
<file path=[Content_Types].xml><?xml version="1.0" encoding="utf-8"?>
<Types xmlns="http://schemas.openxmlformats.org/package/2006/content-types">
  <Default Extension="xlsx" ContentType="application/vnd.openxmlformats-officedocument.spreadsheetml.sheet"/>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A4D040">
      <w:pPr>
        <w:spacing w:line="600" w:lineRule="exact"/>
        <w:jc w:val="both"/>
        <w:outlineLvl w:val="9"/>
        <w:rPr>
          <w:rFonts w:ascii="微软雅黑" w:hAnsi="宋体" w:eastAsia="微软雅黑"/>
          <w:color w:val="auto"/>
          <w:sz w:val="72"/>
          <w:szCs w:val="72"/>
          <w:highlight w:val="none"/>
        </w:rPr>
      </w:pPr>
      <w:bookmarkStart w:id="0" w:name="_Toc15306267"/>
    </w:p>
    <w:p w14:paraId="33F99F33">
      <w:pPr>
        <w:adjustRightInd w:val="0"/>
        <w:snapToGrid w:val="0"/>
        <w:spacing w:line="360" w:lineRule="auto"/>
        <w:jc w:val="center"/>
        <w:outlineLvl w:val="0"/>
        <w:rPr>
          <w:rFonts w:ascii="微软雅黑" w:hAnsi="宋体" w:eastAsia="微软雅黑"/>
          <w:color w:val="auto"/>
          <w:sz w:val="72"/>
          <w:szCs w:val="72"/>
          <w:highlight w:val="none"/>
        </w:rPr>
      </w:pPr>
      <w:bookmarkStart w:id="1" w:name="_Toc15377193"/>
      <w:bookmarkStart w:id="2" w:name="_Toc15396475"/>
      <w:bookmarkStart w:id="3" w:name="_Toc15377425"/>
      <w:bookmarkStart w:id="4" w:name="_Toc15378441"/>
      <w:bookmarkStart w:id="5" w:name="_Toc15396597"/>
      <w:bookmarkStart w:id="6" w:name="_Toc4270"/>
      <w:r>
        <w:rPr>
          <w:rFonts w:hint="eastAsia" w:ascii="黑体" w:hAnsi="黑体" w:eastAsia="黑体"/>
          <w:color w:val="auto"/>
          <w:sz w:val="72"/>
          <w:szCs w:val="72"/>
          <w:highlight w:val="none"/>
        </w:rPr>
        <w:t>202</w:t>
      </w:r>
      <w:r>
        <w:rPr>
          <w:rFonts w:hint="eastAsia" w:ascii="黑体" w:hAnsi="黑体" w:eastAsia="黑体"/>
          <w:color w:val="auto"/>
          <w:sz w:val="72"/>
          <w:szCs w:val="72"/>
          <w:highlight w:val="none"/>
          <w:lang w:val="en-US" w:eastAsia="zh-CN"/>
        </w:rPr>
        <w:t>4</w:t>
      </w:r>
      <w:r>
        <w:rPr>
          <w:rFonts w:hint="eastAsia" w:ascii="微软雅黑" w:hAnsi="宋体" w:eastAsia="微软雅黑"/>
          <w:color w:val="auto"/>
          <w:sz w:val="72"/>
          <w:szCs w:val="72"/>
          <w:highlight w:val="none"/>
        </w:rPr>
        <w:t>年度</w:t>
      </w:r>
      <w:bookmarkEnd w:id="1"/>
      <w:bookmarkEnd w:id="2"/>
      <w:bookmarkEnd w:id="3"/>
      <w:bookmarkEnd w:id="4"/>
      <w:bookmarkEnd w:id="5"/>
      <w:bookmarkEnd w:id="6"/>
    </w:p>
    <w:bookmarkEnd w:id="0"/>
    <w:p w14:paraId="2CDF6692">
      <w:pPr>
        <w:adjustRightInd w:val="0"/>
        <w:snapToGrid w:val="0"/>
        <w:spacing w:line="360" w:lineRule="auto"/>
        <w:jc w:val="center"/>
        <w:outlineLvl w:val="0"/>
        <w:rPr>
          <w:rFonts w:ascii="微软雅黑" w:hAnsi="宋体" w:eastAsia="微软雅黑"/>
          <w:color w:val="auto"/>
          <w:sz w:val="48"/>
          <w:szCs w:val="48"/>
          <w:highlight w:val="none"/>
        </w:rPr>
      </w:pPr>
      <w:bookmarkStart w:id="7" w:name="_Toc22729"/>
      <w:bookmarkStart w:id="8" w:name="_Toc15306268"/>
      <w:bookmarkStart w:id="9" w:name="_Toc15377194"/>
      <w:bookmarkStart w:id="10" w:name="_Toc15378442"/>
      <w:bookmarkStart w:id="11" w:name="_Toc15396476"/>
      <w:bookmarkStart w:id="12" w:name="_Toc15396598"/>
      <w:bookmarkStart w:id="13" w:name="_Toc15377426"/>
      <w:r>
        <w:rPr>
          <w:rFonts w:hint="eastAsia" w:ascii="微软雅黑" w:hAnsi="宋体" w:eastAsia="微软雅黑"/>
          <w:color w:val="auto"/>
          <w:sz w:val="48"/>
          <w:szCs w:val="48"/>
          <w:highlight w:val="none"/>
        </w:rPr>
        <w:t>广元经济技术开发区下西坝办事处</w:t>
      </w:r>
      <w:bookmarkEnd w:id="7"/>
    </w:p>
    <w:p w14:paraId="3BB64AF6">
      <w:pPr>
        <w:adjustRightInd w:val="0"/>
        <w:snapToGrid w:val="0"/>
        <w:spacing w:line="360" w:lineRule="auto"/>
        <w:jc w:val="center"/>
        <w:outlineLvl w:val="0"/>
        <w:rPr>
          <w:rFonts w:ascii="微软雅黑" w:hAnsi="宋体" w:eastAsia="微软雅黑"/>
          <w:color w:val="auto"/>
          <w:sz w:val="72"/>
          <w:szCs w:val="72"/>
          <w:highlight w:val="none"/>
        </w:rPr>
      </w:pPr>
      <w:bookmarkStart w:id="14" w:name="_Toc27392"/>
      <w:r>
        <w:rPr>
          <w:rFonts w:hint="eastAsia" w:ascii="微软雅黑" w:hAnsi="宋体" w:eastAsia="微软雅黑"/>
          <w:color w:val="auto"/>
          <w:sz w:val="72"/>
          <w:szCs w:val="72"/>
          <w:highlight w:val="none"/>
          <w:lang w:eastAsia="zh-CN"/>
        </w:rPr>
        <w:t>部门</w:t>
      </w:r>
      <w:r>
        <w:rPr>
          <w:rFonts w:hint="eastAsia" w:ascii="微软雅黑" w:hAnsi="宋体" w:eastAsia="微软雅黑"/>
          <w:color w:val="auto"/>
          <w:sz w:val="72"/>
          <w:szCs w:val="72"/>
          <w:highlight w:val="none"/>
        </w:rPr>
        <w:t>决算</w:t>
      </w:r>
      <w:bookmarkEnd w:id="8"/>
      <w:bookmarkEnd w:id="9"/>
      <w:bookmarkEnd w:id="10"/>
      <w:bookmarkEnd w:id="11"/>
      <w:bookmarkEnd w:id="12"/>
      <w:bookmarkEnd w:id="13"/>
      <w:bookmarkEnd w:id="14"/>
      <w:bookmarkStart w:id="108" w:name="_GoBack"/>
      <w:bookmarkEnd w:id="108"/>
    </w:p>
    <w:p w14:paraId="6ED5CBC1">
      <w:pPr>
        <w:adjustRightInd w:val="0"/>
        <w:snapToGrid w:val="0"/>
        <w:spacing w:line="360" w:lineRule="auto"/>
        <w:jc w:val="center"/>
        <w:outlineLvl w:val="0"/>
        <w:rPr>
          <w:rFonts w:ascii="微软雅黑" w:hAnsi="宋体" w:eastAsia="微软雅黑"/>
          <w:color w:val="auto"/>
          <w:sz w:val="72"/>
          <w:szCs w:val="72"/>
          <w:highlight w:val="none"/>
        </w:rPr>
      </w:pPr>
      <w:bookmarkStart w:id="15" w:name="_Toc17334"/>
      <w:r>
        <w:rPr>
          <w:rFonts w:hint="eastAsia" w:ascii="微软雅黑" w:hAnsi="宋体" w:eastAsia="微软雅黑"/>
          <w:color w:val="auto"/>
          <w:sz w:val="72"/>
          <w:szCs w:val="72"/>
          <w:highlight w:val="none"/>
        </w:rPr>
        <w:t>编</w:t>
      </w:r>
      <w:bookmarkEnd w:id="15"/>
    </w:p>
    <w:p w14:paraId="3DAB8EC2">
      <w:pPr>
        <w:adjustRightInd w:val="0"/>
        <w:snapToGrid w:val="0"/>
        <w:spacing w:line="360" w:lineRule="auto"/>
        <w:jc w:val="center"/>
        <w:outlineLvl w:val="0"/>
        <w:rPr>
          <w:rFonts w:ascii="微软雅黑" w:hAnsi="宋体" w:eastAsia="微软雅黑"/>
          <w:color w:val="auto"/>
          <w:sz w:val="72"/>
          <w:szCs w:val="72"/>
          <w:highlight w:val="none"/>
        </w:rPr>
      </w:pPr>
      <w:bookmarkStart w:id="16" w:name="_Toc24244"/>
      <w:r>
        <w:rPr>
          <w:rFonts w:hint="eastAsia" w:ascii="微软雅黑" w:hAnsi="宋体" w:eastAsia="微软雅黑"/>
          <w:color w:val="auto"/>
          <w:sz w:val="72"/>
          <w:szCs w:val="72"/>
          <w:highlight w:val="none"/>
        </w:rPr>
        <w:t>制</w:t>
      </w:r>
      <w:bookmarkEnd w:id="16"/>
    </w:p>
    <w:p w14:paraId="67A81605">
      <w:pPr>
        <w:adjustRightInd w:val="0"/>
        <w:snapToGrid w:val="0"/>
        <w:spacing w:line="360" w:lineRule="auto"/>
        <w:jc w:val="center"/>
        <w:outlineLvl w:val="0"/>
        <w:rPr>
          <w:rFonts w:ascii="微软雅黑" w:hAnsi="宋体" w:eastAsia="微软雅黑"/>
          <w:color w:val="auto"/>
          <w:sz w:val="72"/>
          <w:szCs w:val="72"/>
          <w:highlight w:val="none"/>
        </w:rPr>
      </w:pPr>
      <w:bookmarkStart w:id="17" w:name="_Toc25805"/>
      <w:r>
        <w:rPr>
          <w:rFonts w:hint="eastAsia" w:ascii="微软雅黑" w:hAnsi="宋体" w:eastAsia="微软雅黑"/>
          <w:color w:val="auto"/>
          <w:sz w:val="72"/>
          <w:szCs w:val="72"/>
          <w:highlight w:val="none"/>
        </w:rPr>
        <w:t>说</w:t>
      </w:r>
      <w:bookmarkEnd w:id="17"/>
    </w:p>
    <w:p w14:paraId="7F7D86E2">
      <w:pPr>
        <w:jc w:val="center"/>
        <w:rPr>
          <w:rFonts w:hint="eastAsia" w:ascii="黑体" w:hAnsi="黑体" w:eastAsia="黑体"/>
          <w:color w:val="auto"/>
          <w:sz w:val="48"/>
          <w:szCs w:val="48"/>
          <w:highlight w:val="none"/>
        </w:rPr>
      </w:pPr>
      <w:r>
        <w:rPr>
          <w:rFonts w:hint="eastAsia" w:ascii="微软雅黑" w:hAnsi="宋体" w:eastAsia="微软雅黑"/>
          <w:color w:val="auto"/>
          <w:sz w:val="72"/>
          <w:szCs w:val="72"/>
          <w:highlight w:val="none"/>
        </w:rPr>
        <w:t>明</w:t>
      </w:r>
      <w:r>
        <w:rPr>
          <w:rFonts w:ascii="微软雅黑" w:hAnsi="宋体" w:eastAsia="微软雅黑"/>
          <w:color w:val="auto"/>
          <w:sz w:val="36"/>
          <w:szCs w:val="36"/>
          <w:highlight w:val="none"/>
        </w:rPr>
        <w:br w:type="page"/>
      </w:r>
      <w:r>
        <w:rPr>
          <w:rFonts w:hint="eastAsia" w:ascii="黑体" w:hAnsi="黑体" w:eastAsia="黑体"/>
          <w:color w:val="auto"/>
          <w:sz w:val="48"/>
          <w:szCs w:val="48"/>
          <w:highlight w:val="none"/>
        </w:rPr>
        <w:t>目录</w:t>
      </w:r>
    </w:p>
    <w:p w14:paraId="6E4A3138">
      <w:pPr>
        <w:pStyle w:val="13"/>
        <w:rPr>
          <w:rFonts w:ascii="仿宋" w:hAnsi="仿宋" w:eastAsia="仿宋"/>
          <w:color w:val="auto"/>
          <w:sz w:val="24"/>
          <w:highlight w:val="none"/>
        </w:rPr>
      </w:pPr>
      <w:r>
        <w:rPr>
          <w:rFonts w:hint="eastAsia" w:ascii="黑体" w:hAnsi="黑体" w:eastAsia="黑体"/>
          <w:color w:val="auto"/>
          <w:sz w:val="32"/>
          <w:szCs w:val="32"/>
          <w:highlight w:val="none"/>
          <w:lang w:val="en-US" w:eastAsia="zh-CN"/>
        </w:rPr>
        <w:t>公开时间：2025年10月2日</w:t>
      </w:r>
    </w:p>
    <w:sdt>
      <w:sdtPr>
        <w:rPr>
          <w:rFonts w:ascii="宋体" w:hAnsi="宋体" w:eastAsia="宋体" w:cs="Times New Roman"/>
          <w:color w:val="auto"/>
          <w:kern w:val="2"/>
          <w:sz w:val="21"/>
          <w:szCs w:val="24"/>
          <w:highlight w:val="none"/>
          <w:lang w:val="en-US" w:eastAsia="zh-CN" w:bidi="ar-SA"/>
        </w:rPr>
        <w:id w:val="147469558"/>
        <w15:color w:val="DBDBDB"/>
        <w:docPartObj>
          <w:docPartGallery w:val="Table of Contents"/>
          <w:docPartUnique/>
        </w:docPartObj>
      </w:sdtPr>
      <w:sdtEndPr>
        <w:rPr>
          <w:rFonts w:ascii="宋体" w:hAnsi="宋体" w:eastAsia="宋体" w:cs="Times New Roman"/>
          <w:b/>
          <w:color w:val="auto"/>
          <w:kern w:val="2"/>
          <w:sz w:val="21"/>
          <w:szCs w:val="24"/>
          <w:highlight w:val="none"/>
          <w:lang w:val="en-US" w:eastAsia="zh-CN" w:bidi="ar-SA"/>
        </w:rPr>
      </w:sdtEndPr>
      <w:sdtContent>
        <w:p w14:paraId="328FCEE3">
          <w:pPr>
            <w:spacing w:before="0" w:beforeLines="0" w:after="0" w:afterLines="0" w:line="240" w:lineRule="auto"/>
            <w:ind w:left="0" w:leftChars="0" w:right="0" w:rightChars="0" w:firstLine="0" w:firstLineChars="0"/>
            <w:jc w:val="center"/>
            <w:rPr>
              <w:b/>
              <w:color w:val="auto"/>
              <w:highlight w:val="none"/>
            </w:rPr>
          </w:pPr>
          <w:bookmarkStart w:id="18" w:name="_Toc15377196"/>
          <w:bookmarkStart w:id="19" w:name="_Toc15396599"/>
          <w:r>
            <w:rPr>
              <w:color w:val="auto"/>
              <w:highlight w:val="none"/>
            </w:rPr>
            <w:fldChar w:fldCharType="begin"/>
          </w:r>
          <w:r>
            <w:rPr>
              <w:color w:val="auto"/>
              <w:highlight w:val="none"/>
            </w:rPr>
            <w:instrText xml:space="preserve">TOC \o "1-2" \h \u </w:instrText>
          </w:r>
          <w:r>
            <w:rPr>
              <w:color w:val="auto"/>
              <w:highlight w:val="none"/>
            </w:rPr>
            <w:fldChar w:fldCharType="separate"/>
          </w:r>
        </w:p>
        <w:p w14:paraId="4CDF9E66">
          <w:pPr>
            <w:pStyle w:val="46"/>
            <w:tabs>
              <w:tab w:val="right" w:leader="dot" w:pos="10171"/>
            </w:tabs>
            <w:rPr>
              <w:b/>
              <w:color w:val="auto"/>
              <w:highlight w:val="none"/>
            </w:rPr>
          </w:pPr>
          <w:r>
            <w:rPr>
              <w:b/>
              <w:color w:val="auto"/>
              <w:highlight w:val="none"/>
            </w:rPr>
            <w:fldChar w:fldCharType="begin"/>
          </w:r>
          <w:r>
            <w:rPr>
              <w:b/>
              <w:color w:val="auto"/>
              <w:highlight w:val="none"/>
            </w:rPr>
            <w:instrText xml:space="preserve"> HYPERLINK \l _Toc14838 </w:instrText>
          </w:r>
          <w:r>
            <w:rPr>
              <w:b/>
              <w:color w:val="auto"/>
              <w:highlight w:val="none"/>
            </w:rPr>
            <w:fldChar w:fldCharType="separate"/>
          </w:r>
          <w:r>
            <w:rPr>
              <w:rFonts w:hint="eastAsia" w:ascii="黑体" w:hAnsi="黑体" w:eastAsia="黑体"/>
              <w:b/>
              <w:color w:val="auto"/>
              <w:highlight w:val="none"/>
            </w:rPr>
            <w:t xml:space="preserve">第一部分 </w:t>
          </w:r>
          <w:r>
            <w:rPr>
              <w:rFonts w:hint="eastAsia" w:ascii="黑体" w:hAnsi="黑体" w:eastAsia="黑体"/>
              <w:b/>
              <w:bCs w:val="0"/>
              <w:color w:val="auto"/>
              <w:highlight w:val="none"/>
            </w:rPr>
            <w:t>部门概况</w:t>
          </w:r>
          <w:r>
            <w:rPr>
              <w:b/>
              <w:color w:val="auto"/>
              <w:highlight w:val="none"/>
            </w:rPr>
            <w:tab/>
          </w:r>
          <w:r>
            <w:rPr>
              <w:b/>
              <w:color w:val="auto"/>
              <w:highlight w:val="none"/>
            </w:rPr>
            <w:fldChar w:fldCharType="begin"/>
          </w:r>
          <w:r>
            <w:rPr>
              <w:b/>
              <w:color w:val="auto"/>
              <w:highlight w:val="none"/>
            </w:rPr>
            <w:instrText xml:space="preserve"> PAGEREF _Toc14838 \h </w:instrText>
          </w:r>
          <w:r>
            <w:rPr>
              <w:b/>
              <w:color w:val="auto"/>
              <w:highlight w:val="none"/>
            </w:rPr>
            <w:fldChar w:fldCharType="separate"/>
          </w:r>
          <w:r>
            <w:rPr>
              <w:b/>
              <w:color w:val="auto"/>
              <w:highlight w:val="none"/>
            </w:rPr>
            <w:t>3</w:t>
          </w:r>
          <w:r>
            <w:rPr>
              <w:b/>
              <w:color w:val="auto"/>
              <w:highlight w:val="none"/>
            </w:rPr>
            <w:fldChar w:fldCharType="end"/>
          </w:r>
          <w:r>
            <w:rPr>
              <w:b/>
              <w:color w:val="auto"/>
              <w:highlight w:val="none"/>
            </w:rPr>
            <w:fldChar w:fldCharType="end"/>
          </w:r>
        </w:p>
        <w:p w14:paraId="79332F43">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_Toc32266 </w:instrText>
          </w:r>
          <w:r>
            <w:rPr>
              <w:color w:val="auto"/>
              <w:highlight w:val="none"/>
            </w:rPr>
            <w:fldChar w:fldCharType="separate"/>
          </w:r>
          <w:r>
            <w:rPr>
              <w:rFonts w:hint="eastAsia" w:ascii="黑体" w:hAnsi="黑体" w:eastAsia="黑体"/>
              <w:color w:val="auto"/>
              <w:highlight w:val="none"/>
            </w:rPr>
            <w:t>一、基</w:t>
          </w:r>
          <w:r>
            <w:rPr>
              <w:rFonts w:hint="eastAsia" w:ascii="黑体" w:hAnsi="黑体" w:eastAsia="黑体"/>
              <w:bCs w:val="0"/>
              <w:color w:val="auto"/>
              <w:highlight w:val="none"/>
            </w:rPr>
            <w:t>本职能</w:t>
          </w:r>
          <w:r>
            <w:rPr>
              <w:color w:val="auto"/>
              <w:highlight w:val="none"/>
            </w:rPr>
            <w:tab/>
          </w:r>
          <w:r>
            <w:rPr>
              <w:color w:val="auto"/>
              <w:highlight w:val="none"/>
            </w:rPr>
            <w:fldChar w:fldCharType="begin"/>
          </w:r>
          <w:r>
            <w:rPr>
              <w:color w:val="auto"/>
              <w:highlight w:val="none"/>
            </w:rPr>
            <w:instrText xml:space="preserve"> PAGEREF _Toc32266 \h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fldChar w:fldCharType="end"/>
          </w:r>
        </w:p>
        <w:p w14:paraId="1F31FC88">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_Toc14675 </w:instrText>
          </w:r>
          <w:r>
            <w:rPr>
              <w:color w:val="auto"/>
              <w:highlight w:val="none"/>
            </w:rPr>
            <w:fldChar w:fldCharType="separate"/>
          </w:r>
          <w:r>
            <w:rPr>
              <w:rFonts w:hint="eastAsia" w:ascii="黑体" w:eastAsia="黑体"/>
              <w:color w:val="auto"/>
              <w:highlight w:val="none"/>
            </w:rPr>
            <w:t>二、</w:t>
          </w:r>
          <w:r>
            <w:rPr>
              <w:rFonts w:hint="eastAsia" w:ascii="黑体" w:hAnsi="黑体" w:eastAsia="黑体"/>
              <w:color w:val="auto"/>
              <w:highlight w:val="none"/>
            </w:rPr>
            <w:t>机</w:t>
          </w:r>
          <w:r>
            <w:rPr>
              <w:rFonts w:hint="eastAsia" w:ascii="黑体" w:hAnsi="黑体" w:eastAsia="黑体"/>
              <w:bCs w:val="0"/>
              <w:color w:val="auto"/>
              <w:highlight w:val="none"/>
            </w:rPr>
            <w:t>构设置</w:t>
          </w:r>
          <w:r>
            <w:rPr>
              <w:color w:val="auto"/>
              <w:highlight w:val="none"/>
            </w:rPr>
            <w:tab/>
          </w:r>
          <w:r>
            <w:rPr>
              <w:color w:val="auto"/>
              <w:highlight w:val="none"/>
            </w:rPr>
            <w:fldChar w:fldCharType="begin"/>
          </w:r>
          <w:r>
            <w:rPr>
              <w:color w:val="auto"/>
              <w:highlight w:val="none"/>
            </w:rPr>
            <w:instrText xml:space="preserve"> PAGEREF _Toc14675 \h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fldChar w:fldCharType="end"/>
          </w:r>
        </w:p>
        <w:p w14:paraId="6A93299A">
          <w:pPr>
            <w:pStyle w:val="46"/>
            <w:tabs>
              <w:tab w:val="right" w:leader="dot" w:pos="10171"/>
            </w:tabs>
            <w:rPr>
              <w:b/>
              <w:color w:val="auto"/>
              <w:highlight w:val="none"/>
            </w:rPr>
          </w:pPr>
          <w:r>
            <w:rPr>
              <w:b/>
              <w:color w:val="auto"/>
              <w:highlight w:val="none"/>
            </w:rPr>
            <w:fldChar w:fldCharType="begin"/>
          </w:r>
          <w:r>
            <w:rPr>
              <w:b/>
              <w:color w:val="auto"/>
              <w:highlight w:val="none"/>
            </w:rPr>
            <w:instrText xml:space="preserve"> HYPERLINK \l _Toc14940 </w:instrText>
          </w:r>
          <w:r>
            <w:rPr>
              <w:b/>
              <w:color w:val="auto"/>
              <w:highlight w:val="none"/>
            </w:rPr>
            <w:fldChar w:fldCharType="separate"/>
          </w:r>
          <w:r>
            <w:rPr>
              <w:rFonts w:hint="eastAsia" w:ascii="黑体" w:hAnsi="黑体" w:eastAsia="黑体"/>
              <w:b/>
              <w:color w:val="auto"/>
              <w:highlight w:val="none"/>
            </w:rPr>
            <w:t>第二部分</w:t>
          </w:r>
          <w:r>
            <w:rPr>
              <w:rFonts w:hint="eastAsia" w:ascii="黑体" w:hAnsi="黑体" w:eastAsia="黑体"/>
              <w:b/>
              <w:bCs w:val="0"/>
              <w:color w:val="auto"/>
              <w:highlight w:val="none"/>
            </w:rPr>
            <w:t>202</w:t>
          </w:r>
          <w:r>
            <w:rPr>
              <w:rFonts w:hint="eastAsia" w:ascii="黑体" w:hAnsi="黑体" w:eastAsia="黑体"/>
              <w:b/>
              <w:bCs w:val="0"/>
              <w:color w:val="auto"/>
              <w:highlight w:val="none"/>
              <w:lang w:val="en-US" w:eastAsia="zh-CN"/>
            </w:rPr>
            <w:t>4</w:t>
          </w:r>
          <w:r>
            <w:rPr>
              <w:rFonts w:hint="eastAsia" w:ascii="黑体" w:hAnsi="黑体" w:eastAsia="黑体"/>
              <w:b/>
              <w:bCs w:val="0"/>
              <w:color w:val="auto"/>
              <w:highlight w:val="none"/>
            </w:rPr>
            <w:t>年度部门决算情况说明</w:t>
          </w:r>
          <w:r>
            <w:rPr>
              <w:b/>
              <w:color w:val="auto"/>
              <w:highlight w:val="none"/>
            </w:rPr>
            <w:tab/>
          </w:r>
          <w:r>
            <w:rPr>
              <w:b/>
              <w:color w:val="auto"/>
              <w:highlight w:val="none"/>
            </w:rPr>
            <w:fldChar w:fldCharType="begin"/>
          </w:r>
          <w:r>
            <w:rPr>
              <w:b/>
              <w:color w:val="auto"/>
              <w:highlight w:val="none"/>
            </w:rPr>
            <w:instrText xml:space="preserve"> PAGEREF _Toc14940 \h </w:instrText>
          </w:r>
          <w:r>
            <w:rPr>
              <w:b/>
              <w:color w:val="auto"/>
              <w:highlight w:val="none"/>
            </w:rPr>
            <w:fldChar w:fldCharType="separate"/>
          </w:r>
          <w:r>
            <w:rPr>
              <w:b/>
              <w:color w:val="auto"/>
              <w:highlight w:val="none"/>
            </w:rPr>
            <w:t>3</w:t>
          </w:r>
          <w:r>
            <w:rPr>
              <w:b/>
              <w:color w:val="auto"/>
              <w:highlight w:val="none"/>
            </w:rPr>
            <w:fldChar w:fldCharType="end"/>
          </w:r>
          <w:r>
            <w:rPr>
              <w:b/>
              <w:color w:val="auto"/>
              <w:highlight w:val="none"/>
            </w:rPr>
            <w:fldChar w:fldCharType="end"/>
          </w:r>
        </w:p>
        <w:p w14:paraId="1315CBD1">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_Toc577 </w:instrText>
          </w:r>
          <w:r>
            <w:rPr>
              <w:color w:val="auto"/>
              <w:highlight w:val="none"/>
            </w:rPr>
            <w:fldChar w:fldCharType="separate"/>
          </w:r>
          <w:r>
            <w:rPr>
              <w:rFonts w:hint="default" w:ascii="黑体" w:hAnsi="黑体" w:eastAsia="黑体"/>
              <w:color w:val="auto"/>
              <w:highlight w:val="none"/>
            </w:rPr>
            <w:t xml:space="preserve">一、 </w:t>
          </w:r>
          <w:r>
            <w:rPr>
              <w:rFonts w:hint="eastAsia" w:ascii="黑体" w:hAnsi="黑体" w:eastAsia="黑体"/>
              <w:color w:val="auto"/>
              <w:szCs w:val="32"/>
              <w:highlight w:val="none"/>
            </w:rPr>
            <w:t>收</w:t>
          </w:r>
          <w:r>
            <w:rPr>
              <w:rFonts w:hint="eastAsia" w:ascii="黑体" w:hAnsi="黑体" w:eastAsia="黑体"/>
              <w:color w:val="auto"/>
              <w:highlight w:val="none"/>
            </w:rPr>
            <w:t>入支出决算总体情况说明</w:t>
          </w:r>
          <w:r>
            <w:rPr>
              <w:color w:val="auto"/>
              <w:highlight w:val="none"/>
            </w:rPr>
            <w:tab/>
          </w:r>
          <w:r>
            <w:rPr>
              <w:color w:val="auto"/>
              <w:highlight w:val="none"/>
            </w:rPr>
            <w:fldChar w:fldCharType="begin"/>
          </w:r>
          <w:r>
            <w:rPr>
              <w:color w:val="auto"/>
              <w:highlight w:val="none"/>
            </w:rPr>
            <w:instrText xml:space="preserve"> PAGEREF _Toc577 \h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fldChar w:fldCharType="end"/>
          </w:r>
        </w:p>
        <w:p w14:paraId="580F71CE">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_Toc24195 </w:instrText>
          </w:r>
          <w:r>
            <w:rPr>
              <w:color w:val="auto"/>
              <w:highlight w:val="none"/>
            </w:rPr>
            <w:fldChar w:fldCharType="separate"/>
          </w:r>
          <w:r>
            <w:rPr>
              <w:rFonts w:hint="default" w:ascii="黑体" w:hAnsi="黑体" w:eastAsia="黑体"/>
              <w:color w:val="auto"/>
              <w:highlight w:val="none"/>
            </w:rPr>
            <w:t xml:space="preserve">二、 </w:t>
          </w:r>
          <w:r>
            <w:rPr>
              <w:rFonts w:hint="eastAsia" w:ascii="黑体" w:hAnsi="黑体" w:eastAsia="黑体"/>
              <w:color w:val="auto"/>
              <w:szCs w:val="32"/>
              <w:highlight w:val="none"/>
            </w:rPr>
            <w:t>收</w:t>
          </w:r>
          <w:r>
            <w:rPr>
              <w:rFonts w:hint="eastAsia" w:ascii="黑体" w:hAnsi="黑体" w:eastAsia="黑体"/>
              <w:color w:val="auto"/>
              <w:highlight w:val="none"/>
            </w:rPr>
            <w:t>入决算情况说明</w:t>
          </w:r>
          <w:r>
            <w:rPr>
              <w:color w:val="auto"/>
              <w:highlight w:val="none"/>
            </w:rPr>
            <w:tab/>
          </w:r>
          <w:r>
            <w:rPr>
              <w:color w:val="auto"/>
              <w:highlight w:val="none"/>
            </w:rPr>
            <w:fldChar w:fldCharType="begin"/>
          </w:r>
          <w:r>
            <w:rPr>
              <w:color w:val="auto"/>
              <w:highlight w:val="none"/>
            </w:rPr>
            <w:instrText xml:space="preserve"> PAGEREF _Toc24195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14:paraId="4D9F42FC">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_Toc18825 </w:instrText>
          </w:r>
          <w:r>
            <w:rPr>
              <w:color w:val="auto"/>
              <w:highlight w:val="none"/>
            </w:rPr>
            <w:fldChar w:fldCharType="separate"/>
          </w:r>
          <w:r>
            <w:rPr>
              <w:rFonts w:hint="default" w:ascii="黑体" w:hAnsi="黑体" w:eastAsia="黑体"/>
              <w:color w:val="auto"/>
              <w:highlight w:val="none"/>
            </w:rPr>
            <w:t xml:space="preserve">三、 </w:t>
          </w:r>
          <w:r>
            <w:rPr>
              <w:rFonts w:hint="eastAsia" w:ascii="黑体" w:hAnsi="黑体" w:eastAsia="黑体"/>
              <w:color w:val="auto"/>
              <w:szCs w:val="32"/>
              <w:highlight w:val="none"/>
            </w:rPr>
            <w:t>支</w:t>
          </w:r>
          <w:r>
            <w:rPr>
              <w:rFonts w:hint="eastAsia" w:ascii="黑体" w:hAnsi="黑体" w:eastAsia="黑体"/>
              <w:color w:val="auto"/>
              <w:highlight w:val="none"/>
            </w:rPr>
            <w:t>出决算情况说明</w:t>
          </w:r>
          <w:r>
            <w:rPr>
              <w:color w:val="auto"/>
              <w:highlight w:val="none"/>
            </w:rPr>
            <w:tab/>
          </w:r>
          <w:r>
            <w:rPr>
              <w:color w:val="auto"/>
              <w:highlight w:val="none"/>
            </w:rPr>
            <w:fldChar w:fldCharType="begin"/>
          </w:r>
          <w:r>
            <w:rPr>
              <w:color w:val="auto"/>
              <w:highlight w:val="none"/>
            </w:rPr>
            <w:instrText xml:space="preserve"> PAGEREF _Toc18825 \h </w:instrText>
          </w:r>
          <w:r>
            <w:rPr>
              <w:color w:val="auto"/>
              <w:highlight w:val="none"/>
            </w:rPr>
            <w:fldChar w:fldCharType="separate"/>
          </w:r>
          <w:r>
            <w:rPr>
              <w:color w:val="auto"/>
              <w:highlight w:val="none"/>
            </w:rPr>
            <w:t>5</w:t>
          </w:r>
          <w:r>
            <w:rPr>
              <w:color w:val="auto"/>
              <w:highlight w:val="none"/>
            </w:rPr>
            <w:fldChar w:fldCharType="end"/>
          </w:r>
          <w:r>
            <w:rPr>
              <w:color w:val="auto"/>
              <w:highlight w:val="none"/>
            </w:rPr>
            <w:fldChar w:fldCharType="end"/>
          </w:r>
        </w:p>
        <w:p w14:paraId="3C7A67B4">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_Toc24633 </w:instrText>
          </w:r>
          <w:r>
            <w:rPr>
              <w:color w:val="auto"/>
              <w:highlight w:val="none"/>
            </w:rPr>
            <w:fldChar w:fldCharType="separate"/>
          </w:r>
          <w:r>
            <w:rPr>
              <w:rFonts w:hint="eastAsia" w:ascii="黑体" w:hAnsi="黑体" w:eastAsia="黑体"/>
              <w:color w:val="auto"/>
              <w:szCs w:val="32"/>
              <w:highlight w:val="none"/>
            </w:rPr>
            <w:t>四、财</w:t>
          </w:r>
          <w:r>
            <w:rPr>
              <w:rFonts w:hint="eastAsia" w:ascii="黑体" w:hAnsi="黑体" w:eastAsia="黑体"/>
              <w:color w:val="auto"/>
              <w:highlight w:val="none"/>
            </w:rPr>
            <w:t>政拨款收入支出决算总体情况说明</w:t>
          </w:r>
          <w:r>
            <w:rPr>
              <w:color w:val="auto"/>
              <w:highlight w:val="none"/>
            </w:rPr>
            <w:tab/>
          </w:r>
          <w:r>
            <w:rPr>
              <w:color w:val="auto"/>
              <w:highlight w:val="none"/>
            </w:rPr>
            <w:fldChar w:fldCharType="begin"/>
          </w:r>
          <w:r>
            <w:rPr>
              <w:color w:val="auto"/>
              <w:highlight w:val="none"/>
            </w:rPr>
            <w:instrText xml:space="preserve"> PAGEREF _Toc24633 \h </w:instrText>
          </w:r>
          <w:r>
            <w:rPr>
              <w:color w:val="auto"/>
              <w:highlight w:val="none"/>
            </w:rPr>
            <w:fldChar w:fldCharType="separate"/>
          </w:r>
          <w:r>
            <w:rPr>
              <w:color w:val="auto"/>
              <w:highlight w:val="none"/>
            </w:rPr>
            <w:t>5</w:t>
          </w:r>
          <w:r>
            <w:rPr>
              <w:color w:val="auto"/>
              <w:highlight w:val="none"/>
            </w:rPr>
            <w:fldChar w:fldCharType="end"/>
          </w:r>
          <w:r>
            <w:rPr>
              <w:color w:val="auto"/>
              <w:highlight w:val="none"/>
            </w:rPr>
            <w:fldChar w:fldCharType="end"/>
          </w:r>
        </w:p>
        <w:p w14:paraId="24E08EDD">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_Toc2657 </w:instrText>
          </w:r>
          <w:r>
            <w:rPr>
              <w:color w:val="auto"/>
              <w:highlight w:val="none"/>
            </w:rPr>
            <w:fldChar w:fldCharType="separate"/>
          </w:r>
          <w:r>
            <w:rPr>
              <w:rFonts w:hint="eastAsia" w:ascii="黑体" w:hAnsi="黑体" w:eastAsia="黑体"/>
              <w:color w:val="auto"/>
              <w:szCs w:val="32"/>
              <w:highlight w:val="none"/>
            </w:rPr>
            <w:t>五、一</w:t>
          </w:r>
          <w:r>
            <w:rPr>
              <w:rFonts w:hint="eastAsia" w:ascii="黑体" w:hAnsi="黑体" w:eastAsia="黑体"/>
              <w:color w:val="auto"/>
              <w:highlight w:val="none"/>
            </w:rPr>
            <w:t>般公共预算财政拨款支出决算情况说明</w:t>
          </w:r>
          <w:r>
            <w:rPr>
              <w:color w:val="auto"/>
              <w:highlight w:val="none"/>
            </w:rPr>
            <w:tab/>
          </w:r>
          <w:r>
            <w:rPr>
              <w:color w:val="auto"/>
              <w:highlight w:val="none"/>
            </w:rPr>
            <w:fldChar w:fldCharType="begin"/>
          </w:r>
          <w:r>
            <w:rPr>
              <w:color w:val="auto"/>
              <w:highlight w:val="none"/>
            </w:rPr>
            <w:instrText xml:space="preserve"> PAGEREF _Toc2657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14:paraId="58D96EAD">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_Toc15163 </w:instrText>
          </w:r>
          <w:r>
            <w:rPr>
              <w:color w:val="auto"/>
              <w:highlight w:val="none"/>
            </w:rPr>
            <w:fldChar w:fldCharType="separate"/>
          </w:r>
          <w:r>
            <w:rPr>
              <w:rFonts w:hint="eastAsia" w:ascii="黑体" w:eastAsia="黑体"/>
              <w:color w:val="auto"/>
              <w:szCs w:val="32"/>
              <w:highlight w:val="none"/>
            </w:rPr>
            <w:t>六、</w:t>
          </w:r>
          <w:r>
            <w:rPr>
              <w:rFonts w:hint="eastAsia" w:ascii="黑体" w:hAnsi="黑体" w:eastAsia="黑体"/>
              <w:color w:val="auto"/>
              <w:szCs w:val="32"/>
              <w:highlight w:val="none"/>
            </w:rPr>
            <w:t>一</w:t>
          </w:r>
          <w:r>
            <w:rPr>
              <w:rFonts w:hint="eastAsia" w:ascii="黑体" w:hAnsi="黑体" w:eastAsia="黑体"/>
              <w:color w:val="auto"/>
              <w:highlight w:val="none"/>
            </w:rPr>
            <w:t>般公共预算财政拨款基本支出决算情况说明</w:t>
          </w:r>
          <w:r>
            <w:rPr>
              <w:color w:val="auto"/>
              <w:highlight w:val="none"/>
            </w:rPr>
            <w:tab/>
          </w:r>
          <w:r>
            <w:rPr>
              <w:color w:val="auto"/>
              <w:highlight w:val="none"/>
            </w:rPr>
            <w:fldChar w:fldCharType="begin"/>
          </w:r>
          <w:r>
            <w:rPr>
              <w:color w:val="auto"/>
              <w:highlight w:val="none"/>
            </w:rPr>
            <w:instrText xml:space="preserve"> PAGEREF _Toc15163 \h </w:instrText>
          </w:r>
          <w:r>
            <w:rPr>
              <w:color w:val="auto"/>
              <w:highlight w:val="none"/>
            </w:rPr>
            <w:fldChar w:fldCharType="separate"/>
          </w:r>
          <w:r>
            <w:rPr>
              <w:color w:val="auto"/>
              <w:highlight w:val="none"/>
            </w:rPr>
            <w:t>11</w:t>
          </w:r>
          <w:r>
            <w:rPr>
              <w:color w:val="auto"/>
              <w:highlight w:val="none"/>
            </w:rPr>
            <w:fldChar w:fldCharType="end"/>
          </w:r>
          <w:r>
            <w:rPr>
              <w:color w:val="auto"/>
              <w:highlight w:val="none"/>
            </w:rPr>
            <w:fldChar w:fldCharType="end"/>
          </w:r>
        </w:p>
        <w:p w14:paraId="35858472">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_Toc12981 </w:instrText>
          </w:r>
          <w:r>
            <w:rPr>
              <w:color w:val="auto"/>
              <w:highlight w:val="none"/>
            </w:rPr>
            <w:fldChar w:fldCharType="separate"/>
          </w:r>
          <w:r>
            <w:rPr>
              <w:rFonts w:hint="eastAsia" w:ascii="黑体" w:eastAsia="黑体"/>
              <w:color w:val="auto"/>
              <w:szCs w:val="32"/>
              <w:highlight w:val="none"/>
            </w:rPr>
            <w:t>七、</w:t>
          </w:r>
          <w:r>
            <w:rPr>
              <w:rFonts w:hint="eastAsia" w:ascii="黑体" w:hAnsi="黑体" w:eastAsia="黑体"/>
              <w:color w:val="auto"/>
              <w:highlight w:val="none"/>
            </w:rPr>
            <w:t>“三公”经费财政拨款支出决算情况说明</w:t>
          </w:r>
          <w:r>
            <w:rPr>
              <w:color w:val="auto"/>
              <w:highlight w:val="none"/>
            </w:rPr>
            <w:tab/>
          </w:r>
          <w:r>
            <w:rPr>
              <w:color w:val="auto"/>
              <w:highlight w:val="none"/>
            </w:rPr>
            <w:fldChar w:fldCharType="begin"/>
          </w:r>
          <w:r>
            <w:rPr>
              <w:color w:val="auto"/>
              <w:highlight w:val="none"/>
            </w:rPr>
            <w:instrText xml:space="preserve"> PAGEREF _Toc12981 \h </w:instrText>
          </w:r>
          <w:r>
            <w:rPr>
              <w:color w:val="auto"/>
              <w:highlight w:val="none"/>
            </w:rPr>
            <w:fldChar w:fldCharType="separate"/>
          </w:r>
          <w:r>
            <w:rPr>
              <w:color w:val="auto"/>
              <w:highlight w:val="none"/>
            </w:rPr>
            <w:t>11</w:t>
          </w:r>
          <w:r>
            <w:rPr>
              <w:color w:val="auto"/>
              <w:highlight w:val="none"/>
            </w:rPr>
            <w:fldChar w:fldCharType="end"/>
          </w:r>
          <w:r>
            <w:rPr>
              <w:color w:val="auto"/>
              <w:highlight w:val="none"/>
            </w:rPr>
            <w:fldChar w:fldCharType="end"/>
          </w:r>
        </w:p>
        <w:p w14:paraId="4F3DAF52">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_Toc6264 </w:instrText>
          </w:r>
          <w:r>
            <w:rPr>
              <w:color w:val="auto"/>
              <w:highlight w:val="none"/>
            </w:rPr>
            <w:fldChar w:fldCharType="separate"/>
          </w:r>
          <w:r>
            <w:rPr>
              <w:rFonts w:hint="eastAsia" w:ascii="黑体" w:eastAsia="黑体"/>
              <w:color w:val="auto"/>
              <w:szCs w:val="32"/>
              <w:highlight w:val="none"/>
            </w:rPr>
            <w:t>八、</w:t>
          </w:r>
          <w:r>
            <w:rPr>
              <w:rFonts w:hint="eastAsia" w:ascii="黑体" w:hAnsi="黑体" w:eastAsia="黑体"/>
              <w:color w:val="auto"/>
              <w:highlight w:val="none"/>
            </w:rPr>
            <w:t>政府性基金预算支出决算情况说明</w:t>
          </w:r>
          <w:r>
            <w:rPr>
              <w:color w:val="auto"/>
              <w:highlight w:val="none"/>
            </w:rPr>
            <w:tab/>
          </w:r>
          <w:r>
            <w:rPr>
              <w:color w:val="auto"/>
              <w:highlight w:val="none"/>
            </w:rPr>
            <w:fldChar w:fldCharType="begin"/>
          </w:r>
          <w:r>
            <w:rPr>
              <w:color w:val="auto"/>
              <w:highlight w:val="none"/>
            </w:rPr>
            <w:instrText xml:space="preserve"> PAGEREF _Toc6264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14:paraId="464CE135">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_Toc29129 </w:instrText>
          </w:r>
          <w:r>
            <w:rPr>
              <w:color w:val="auto"/>
              <w:highlight w:val="none"/>
            </w:rPr>
            <w:fldChar w:fldCharType="separate"/>
          </w:r>
          <w:r>
            <w:rPr>
              <w:rFonts w:hint="eastAsia" w:ascii="黑体" w:hAnsi="黑体" w:eastAsia="黑体"/>
              <w:color w:val="auto"/>
              <w:highlight w:val="none"/>
            </w:rPr>
            <w:t>九、 国有资本经营预算支出决算情况说明</w:t>
          </w:r>
          <w:r>
            <w:rPr>
              <w:color w:val="auto"/>
              <w:highlight w:val="none"/>
            </w:rPr>
            <w:tab/>
          </w:r>
          <w:r>
            <w:rPr>
              <w:color w:val="auto"/>
              <w:highlight w:val="none"/>
            </w:rPr>
            <w:fldChar w:fldCharType="begin"/>
          </w:r>
          <w:r>
            <w:rPr>
              <w:color w:val="auto"/>
              <w:highlight w:val="none"/>
            </w:rPr>
            <w:instrText xml:space="preserve"> PAGEREF _Toc29129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14:paraId="28E8F07C">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_Toc14455 </w:instrText>
          </w:r>
          <w:r>
            <w:rPr>
              <w:color w:val="auto"/>
              <w:highlight w:val="none"/>
            </w:rPr>
            <w:fldChar w:fldCharType="separate"/>
          </w:r>
          <w:r>
            <w:rPr>
              <w:rFonts w:hint="eastAsia" w:ascii="黑体" w:hAnsi="黑体" w:eastAsia="黑体"/>
              <w:color w:val="auto"/>
              <w:szCs w:val="32"/>
              <w:highlight w:val="none"/>
            </w:rPr>
            <w:t>十</w:t>
          </w:r>
          <w:r>
            <w:rPr>
              <w:rFonts w:hint="eastAsia" w:ascii="黑体" w:hAnsi="黑体" w:eastAsia="黑体"/>
              <w:color w:val="auto"/>
              <w:highlight w:val="none"/>
            </w:rPr>
            <w:t>、其他重要事项的情况说明</w:t>
          </w:r>
          <w:r>
            <w:rPr>
              <w:color w:val="auto"/>
              <w:highlight w:val="none"/>
            </w:rPr>
            <w:tab/>
          </w:r>
          <w:r>
            <w:rPr>
              <w:color w:val="auto"/>
              <w:highlight w:val="none"/>
            </w:rPr>
            <w:fldChar w:fldCharType="begin"/>
          </w:r>
          <w:r>
            <w:rPr>
              <w:color w:val="auto"/>
              <w:highlight w:val="none"/>
            </w:rPr>
            <w:instrText xml:space="preserve"> PAGEREF _Toc14455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14:paraId="4F4CF8FB">
          <w:pPr>
            <w:pStyle w:val="46"/>
            <w:tabs>
              <w:tab w:val="right" w:leader="dot" w:pos="10171"/>
            </w:tabs>
            <w:rPr>
              <w:b/>
              <w:color w:val="auto"/>
              <w:highlight w:val="none"/>
            </w:rPr>
          </w:pPr>
          <w:r>
            <w:rPr>
              <w:b/>
              <w:color w:val="auto"/>
              <w:highlight w:val="none"/>
            </w:rPr>
            <w:fldChar w:fldCharType="begin"/>
          </w:r>
          <w:r>
            <w:rPr>
              <w:b/>
              <w:color w:val="auto"/>
              <w:highlight w:val="none"/>
            </w:rPr>
            <w:instrText xml:space="preserve"> HYPERLINK \l _Toc21815 </w:instrText>
          </w:r>
          <w:r>
            <w:rPr>
              <w:b/>
              <w:color w:val="auto"/>
              <w:highlight w:val="none"/>
            </w:rPr>
            <w:fldChar w:fldCharType="separate"/>
          </w:r>
          <w:r>
            <w:rPr>
              <w:rFonts w:hint="eastAsia" w:ascii="黑体" w:hAnsi="黑体" w:eastAsia="黑体"/>
              <w:b/>
              <w:color w:val="auto"/>
              <w:highlight w:val="none"/>
            </w:rPr>
            <w:t xml:space="preserve">第三部分 </w:t>
          </w:r>
          <w:r>
            <w:rPr>
              <w:rFonts w:hint="eastAsia" w:ascii="黑体" w:hAnsi="黑体" w:eastAsia="黑体"/>
              <w:b/>
              <w:color w:val="auto"/>
              <w:szCs w:val="44"/>
              <w:highlight w:val="none"/>
            </w:rPr>
            <w:t>名</w:t>
          </w:r>
          <w:r>
            <w:rPr>
              <w:rFonts w:hint="eastAsia" w:ascii="黑体" w:hAnsi="黑体" w:eastAsia="黑体"/>
              <w:b/>
              <w:color w:val="auto"/>
              <w:highlight w:val="none"/>
            </w:rPr>
            <w:t>词解释</w:t>
          </w:r>
          <w:r>
            <w:rPr>
              <w:b/>
              <w:color w:val="auto"/>
              <w:highlight w:val="none"/>
            </w:rPr>
            <w:tab/>
          </w:r>
          <w:r>
            <w:rPr>
              <w:b/>
              <w:color w:val="auto"/>
              <w:highlight w:val="none"/>
            </w:rPr>
            <w:fldChar w:fldCharType="begin"/>
          </w:r>
          <w:r>
            <w:rPr>
              <w:b/>
              <w:color w:val="auto"/>
              <w:highlight w:val="none"/>
            </w:rPr>
            <w:instrText xml:space="preserve"> PAGEREF _Toc21815 \h </w:instrText>
          </w:r>
          <w:r>
            <w:rPr>
              <w:b/>
              <w:color w:val="auto"/>
              <w:highlight w:val="none"/>
            </w:rPr>
            <w:fldChar w:fldCharType="separate"/>
          </w:r>
          <w:r>
            <w:rPr>
              <w:b/>
              <w:color w:val="auto"/>
              <w:highlight w:val="none"/>
            </w:rPr>
            <w:t>13</w:t>
          </w:r>
          <w:r>
            <w:rPr>
              <w:b/>
              <w:color w:val="auto"/>
              <w:highlight w:val="none"/>
            </w:rPr>
            <w:fldChar w:fldCharType="end"/>
          </w:r>
          <w:r>
            <w:rPr>
              <w:b/>
              <w:color w:val="auto"/>
              <w:highlight w:val="none"/>
            </w:rPr>
            <w:fldChar w:fldCharType="end"/>
          </w:r>
        </w:p>
        <w:p w14:paraId="5C904AD8">
          <w:pPr>
            <w:pStyle w:val="46"/>
            <w:tabs>
              <w:tab w:val="right" w:leader="dot" w:pos="10171"/>
            </w:tabs>
            <w:rPr>
              <w:b/>
              <w:color w:val="auto"/>
              <w:highlight w:val="none"/>
            </w:rPr>
          </w:pPr>
          <w:r>
            <w:rPr>
              <w:b/>
              <w:color w:val="auto"/>
              <w:highlight w:val="none"/>
            </w:rPr>
            <w:fldChar w:fldCharType="begin"/>
          </w:r>
          <w:r>
            <w:rPr>
              <w:b/>
              <w:color w:val="auto"/>
              <w:highlight w:val="none"/>
            </w:rPr>
            <w:instrText xml:space="preserve"> HYPERLINK \l _Toc11766 </w:instrText>
          </w:r>
          <w:r>
            <w:rPr>
              <w:b/>
              <w:color w:val="auto"/>
              <w:highlight w:val="none"/>
            </w:rPr>
            <w:fldChar w:fldCharType="separate"/>
          </w:r>
          <w:r>
            <w:rPr>
              <w:rFonts w:hint="eastAsia" w:ascii="黑体" w:hAnsi="黑体" w:eastAsia="黑体"/>
              <w:b/>
              <w:color w:val="auto"/>
              <w:szCs w:val="44"/>
              <w:highlight w:val="none"/>
              <w:lang w:eastAsia="zh-CN"/>
            </w:rPr>
            <w:t>第四部分</w:t>
          </w:r>
          <w:r>
            <w:rPr>
              <w:rFonts w:hint="eastAsia" w:ascii="黑体" w:hAnsi="黑体" w:eastAsia="黑体"/>
              <w:b/>
              <w:color w:val="auto"/>
              <w:szCs w:val="44"/>
              <w:highlight w:val="none"/>
              <w:lang w:val="en-US" w:eastAsia="zh-CN"/>
            </w:rPr>
            <w:t xml:space="preserve">    附件</w:t>
          </w:r>
          <w:r>
            <w:rPr>
              <w:b/>
              <w:color w:val="auto"/>
              <w:highlight w:val="none"/>
            </w:rPr>
            <w:tab/>
          </w:r>
          <w:r>
            <w:rPr>
              <w:b/>
              <w:color w:val="auto"/>
              <w:highlight w:val="none"/>
            </w:rPr>
            <w:fldChar w:fldCharType="begin"/>
          </w:r>
          <w:r>
            <w:rPr>
              <w:b/>
              <w:color w:val="auto"/>
              <w:highlight w:val="none"/>
            </w:rPr>
            <w:instrText xml:space="preserve"> PAGEREF _Toc11766 \h </w:instrText>
          </w:r>
          <w:r>
            <w:rPr>
              <w:b/>
              <w:color w:val="auto"/>
              <w:highlight w:val="none"/>
            </w:rPr>
            <w:fldChar w:fldCharType="separate"/>
          </w:r>
          <w:r>
            <w:rPr>
              <w:b/>
              <w:color w:val="auto"/>
              <w:highlight w:val="none"/>
            </w:rPr>
            <w:t>18</w:t>
          </w:r>
          <w:r>
            <w:rPr>
              <w:b/>
              <w:color w:val="auto"/>
              <w:highlight w:val="none"/>
            </w:rPr>
            <w:fldChar w:fldCharType="end"/>
          </w:r>
          <w:r>
            <w:rPr>
              <w:b/>
              <w:color w:val="auto"/>
              <w:highlight w:val="none"/>
            </w:rPr>
            <w:fldChar w:fldCharType="end"/>
          </w:r>
        </w:p>
        <w:p w14:paraId="7218EF4B">
          <w:pPr>
            <w:pStyle w:val="46"/>
            <w:tabs>
              <w:tab w:val="right" w:leader="dot" w:pos="10171"/>
            </w:tabs>
            <w:rPr>
              <w:b/>
              <w:color w:val="auto"/>
              <w:highlight w:val="none"/>
            </w:rPr>
          </w:pPr>
          <w:r>
            <w:rPr>
              <w:b/>
              <w:color w:val="auto"/>
              <w:highlight w:val="none"/>
            </w:rPr>
            <w:fldChar w:fldCharType="begin"/>
          </w:r>
          <w:r>
            <w:rPr>
              <w:b/>
              <w:color w:val="auto"/>
              <w:highlight w:val="none"/>
            </w:rPr>
            <w:instrText xml:space="preserve"> HYPERLINK \l _Toc28289 </w:instrText>
          </w:r>
          <w:r>
            <w:rPr>
              <w:b/>
              <w:color w:val="auto"/>
              <w:highlight w:val="none"/>
            </w:rPr>
            <w:fldChar w:fldCharType="separate"/>
          </w:r>
          <w:r>
            <w:rPr>
              <w:rFonts w:hint="eastAsia" w:ascii="黑体" w:hAnsi="黑体" w:eastAsia="黑体"/>
              <w:b/>
              <w:color w:val="auto"/>
              <w:szCs w:val="44"/>
              <w:highlight w:val="none"/>
            </w:rPr>
            <w:t>第</w:t>
          </w:r>
          <w:r>
            <w:rPr>
              <w:rFonts w:hint="eastAsia" w:ascii="黑体" w:hAnsi="黑体" w:eastAsia="黑体"/>
              <w:b/>
              <w:color w:val="auto"/>
              <w:highlight w:val="none"/>
            </w:rPr>
            <w:t>五部分 附表</w:t>
          </w:r>
          <w:r>
            <w:rPr>
              <w:b/>
              <w:color w:val="auto"/>
              <w:highlight w:val="none"/>
            </w:rPr>
            <w:tab/>
          </w:r>
          <w:r>
            <w:rPr>
              <w:b/>
              <w:color w:val="auto"/>
              <w:highlight w:val="none"/>
            </w:rPr>
            <w:fldChar w:fldCharType="begin"/>
          </w:r>
          <w:r>
            <w:rPr>
              <w:b/>
              <w:color w:val="auto"/>
              <w:highlight w:val="none"/>
            </w:rPr>
            <w:instrText xml:space="preserve"> PAGEREF _Toc28289 \h </w:instrText>
          </w:r>
          <w:r>
            <w:rPr>
              <w:b/>
              <w:color w:val="auto"/>
              <w:highlight w:val="none"/>
            </w:rPr>
            <w:fldChar w:fldCharType="separate"/>
          </w:r>
          <w:r>
            <w:rPr>
              <w:b/>
              <w:color w:val="auto"/>
              <w:highlight w:val="none"/>
            </w:rPr>
            <w:t>23</w:t>
          </w:r>
          <w:r>
            <w:rPr>
              <w:b/>
              <w:color w:val="auto"/>
              <w:highlight w:val="none"/>
            </w:rPr>
            <w:fldChar w:fldCharType="end"/>
          </w:r>
          <w:r>
            <w:rPr>
              <w:b/>
              <w:color w:val="auto"/>
              <w:highlight w:val="none"/>
            </w:rPr>
            <w:fldChar w:fldCharType="end"/>
          </w:r>
        </w:p>
        <w:p w14:paraId="179AFF38">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_Toc27318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一、收入支出决算总表</w:t>
          </w:r>
          <w:r>
            <w:rPr>
              <w:color w:val="auto"/>
              <w:highlight w:val="none"/>
            </w:rPr>
            <w:tab/>
          </w:r>
          <w:r>
            <w:rPr>
              <w:color w:val="auto"/>
              <w:highlight w:val="none"/>
            </w:rPr>
            <w:fldChar w:fldCharType="begin"/>
          </w:r>
          <w:r>
            <w:rPr>
              <w:color w:val="auto"/>
              <w:highlight w:val="none"/>
            </w:rPr>
            <w:instrText xml:space="preserve"> PAGEREF _Toc27318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0954A6F8">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_Toc26554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二、收入决算表</w:t>
          </w:r>
          <w:r>
            <w:rPr>
              <w:color w:val="auto"/>
              <w:highlight w:val="none"/>
            </w:rPr>
            <w:tab/>
          </w:r>
          <w:r>
            <w:rPr>
              <w:color w:val="auto"/>
              <w:highlight w:val="none"/>
            </w:rPr>
            <w:fldChar w:fldCharType="begin"/>
          </w:r>
          <w:r>
            <w:rPr>
              <w:color w:val="auto"/>
              <w:highlight w:val="none"/>
            </w:rPr>
            <w:instrText xml:space="preserve"> PAGEREF _Toc26554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10B9251C">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_Toc22522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三、支出决算表</w:t>
          </w:r>
          <w:r>
            <w:rPr>
              <w:color w:val="auto"/>
              <w:highlight w:val="none"/>
            </w:rPr>
            <w:tab/>
          </w:r>
          <w:r>
            <w:rPr>
              <w:color w:val="auto"/>
              <w:highlight w:val="none"/>
            </w:rPr>
            <w:fldChar w:fldCharType="begin"/>
          </w:r>
          <w:r>
            <w:rPr>
              <w:color w:val="auto"/>
              <w:highlight w:val="none"/>
            </w:rPr>
            <w:instrText xml:space="preserve"> PAGEREF _Toc22522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1F3BA4B5">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_Toc23748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四、财政拨款收入支出决算总表</w:t>
          </w:r>
          <w:r>
            <w:rPr>
              <w:color w:val="auto"/>
              <w:highlight w:val="none"/>
            </w:rPr>
            <w:tab/>
          </w:r>
          <w:r>
            <w:rPr>
              <w:color w:val="auto"/>
              <w:highlight w:val="none"/>
            </w:rPr>
            <w:fldChar w:fldCharType="begin"/>
          </w:r>
          <w:r>
            <w:rPr>
              <w:color w:val="auto"/>
              <w:highlight w:val="none"/>
            </w:rPr>
            <w:instrText xml:space="preserve"> PAGEREF _Toc23748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080757DD">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_Toc27508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五、财政拨款支出决算明细表</w:t>
          </w:r>
          <w:r>
            <w:rPr>
              <w:color w:val="auto"/>
              <w:highlight w:val="none"/>
            </w:rPr>
            <w:tab/>
          </w:r>
          <w:r>
            <w:rPr>
              <w:color w:val="auto"/>
              <w:highlight w:val="none"/>
            </w:rPr>
            <w:fldChar w:fldCharType="begin"/>
          </w:r>
          <w:r>
            <w:rPr>
              <w:color w:val="auto"/>
              <w:highlight w:val="none"/>
            </w:rPr>
            <w:instrText xml:space="preserve"> PAGEREF _Toc27508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0F631856">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_Toc20268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六、一般公共预算财政拨款支出决算表</w:t>
          </w:r>
          <w:r>
            <w:rPr>
              <w:color w:val="auto"/>
              <w:highlight w:val="none"/>
            </w:rPr>
            <w:tab/>
          </w:r>
          <w:r>
            <w:rPr>
              <w:color w:val="auto"/>
              <w:highlight w:val="none"/>
            </w:rPr>
            <w:fldChar w:fldCharType="begin"/>
          </w:r>
          <w:r>
            <w:rPr>
              <w:color w:val="auto"/>
              <w:highlight w:val="none"/>
            </w:rPr>
            <w:instrText xml:space="preserve"> PAGEREF _Toc20268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361F72D1">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_Toc32729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七、一般公共预算财政拨款支出决算明细表</w:t>
          </w:r>
          <w:r>
            <w:rPr>
              <w:color w:val="auto"/>
              <w:highlight w:val="none"/>
            </w:rPr>
            <w:tab/>
          </w:r>
          <w:r>
            <w:rPr>
              <w:color w:val="auto"/>
              <w:highlight w:val="none"/>
            </w:rPr>
            <w:fldChar w:fldCharType="begin"/>
          </w:r>
          <w:r>
            <w:rPr>
              <w:color w:val="auto"/>
              <w:highlight w:val="none"/>
            </w:rPr>
            <w:instrText xml:space="preserve"> PAGEREF _Toc32729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594866B5">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_Toc30915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八、一般公共预算财政拨款基本支出决算明细表</w:t>
          </w:r>
          <w:r>
            <w:rPr>
              <w:color w:val="auto"/>
              <w:highlight w:val="none"/>
            </w:rPr>
            <w:tab/>
          </w:r>
          <w:r>
            <w:rPr>
              <w:color w:val="auto"/>
              <w:highlight w:val="none"/>
            </w:rPr>
            <w:fldChar w:fldCharType="begin"/>
          </w:r>
          <w:r>
            <w:rPr>
              <w:color w:val="auto"/>
              <w:highlight w:val="none"/>
            </w:rPr>
            <w:instrText xml:space="preserve"> PAGEREF _Toc30915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43A53561">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_Toc20962 </w:instrText>
          </w:r>
          <w:r>
            <w:rPr>
              <w:color w:val="auto"/>
              <w:highlight w:val="none"/>
            </w:rPr>
            <w:fldChar w:fldCharType="separate"/>
          </w:r>
          <w:r>
            <w:rPr>
              <w:rFonts w:hint="eastAsia" w:ascii="仿宋_GB2312" w:hAnsi="Calibri" w:eastAsia="仿宋_GB2312" w:cs="仿宋"/>
              <w:bCs w:val="0"/>
              <w:color w:val="auto"/>
              <w:szCs w:val="32"/>
              <w:highlight w:val="none"/>
              <w:lang w:val="en-US" w:eastAsia="zh-CN" w:bidi="ar-SA"/>
            </w:rPr>
            <w:t>九、一般公共预算财政拨款项目支出决算表</w:t>
          </w:r>
          <w:r>
            <w:rPr>
              <w:color w:val="auto"/>
              <w:highlight w:val="none"/>
            </w:rPr>
            <w:tab/>
          </w:r>
          <w:r>
            <w:rPr>
              <w:color w:val="auto"/>
              <w:highlight w:val="none"/>
            </w:rPr>
            <w:fldChar w:fldCharType="begin"/>
          </w:r>
          <w:r>
            <w:rPr>
              <w:color w:val="auto"/>
              <w:highlight w:val="none"/>
            </w:rPr>
            <w:instrText xml:space="preserve"> PAGEREF _Toc20962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70107F46">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_Toc3297 </w:instrText>
          </w:r>
          <w:r>
            <w:rPr>
              <w:color w:val="auto"/>
              <w:highlight w:val="none"/>
            </w:rPr>
            <w:fldChar w:fldCharType="separate"/>
          </w:r>
          <w:r>
            <w:rPr>
              <w:rFonts w:hint="eastAsia" w:ascii="仿宋_GB2312" w:hAnsi="Calibri" w:eastAsia="仿宋_GB2312" w:cs="仿宋"/>
              <w:bCs w:val="0"/>
              <w:color w:val="auto"/>
              <w:kern w:val="2"/>
              <w:szCs w:val="32"/>
              <w:highlight w:val="none"/>
              <w:lang w:val="en-US" w:eastAsia="zh-CN" w:bidi="ar-SA"/>
            </w:rPr>
            <w:t>十、政府性基金预算财政拨款收入支出决算表</w:t>
          </w:r>
          <w:r>
            <w:rPr>
              <w:color w:val="auto"/>
              <w:highlight w:val="none"/>
            </w:rPr>
            <w:tab/>
          </w:r>
          <w:r>
            <w:rPr>
              <w:color w:val="auto"/>
              <w:highlight w:val="none"/>
            </w:rPr>
            <w:fldChar w:fldCharType="begin"/>
          </w:r>
          <w:r>
            <w:rPr>
              <w:color w:val="auto"/>
              <w:highlight w:val="none"/>
            </w:rPr>
            <w:instrText xml:space="preserve"> PAGEREF _Toc3297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0A233A04">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_Toc4863 </w:instrText>
          </w:r>
          <w:r>
            <w:rPr>
              <w:color w:val="auto"/>
              <w:highlight w:val="none"/>
            </w:rPr>
            <w:fldChar w:fldCharType="separate"/>
          </w:r>
          <w:r>
            <w:rPr>
              <w:rFonts w:hint="eastAsia" w:ascii="仿宋_GB2312" w:hAnsi="Calibri" w:eastAsia="仿宋_GB2312" w:cs="仿宋"/>
              <w:bCs w:val="0"/>
              <w:color w:val="auto"/>
              <w:kern w:val="2"/>
              <w:szCs w:val="32"/>
              <w:highlight w:val="none"/>
              <w:lang w:val="en-US" w:eastAsia="zh-CN" w:bidi="ar-SA"/>
            </w:rPr>
            <w:t>十一、国有资本经营预算财政拨款收入支出决算表</w:t>
          </w:r>
          <w:r>
            <w:rPr>
              <w:color w:val="auto"/>
              <w:highlight w:val="none"/>
            </w:rPr>
            <w:tab/>
          </w:r>
          <w:r>
            <w:rPr>
              <w:color w:val="auto"/>
              <w:highlight w:val="none"/>
            </w:rPr>
            <w:fldChar w:fldCharType="begin"/>
          </w:r>
          <w:r>
            <w:rPr>
              <w:color w:val="auto"/>
              <w:highlight w:val="none"/>
            </w:rPr>
            <w:instrText xml:space="preserve"> PAGEREF _Toc4863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46C18E41">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_Toc31943 </w:instrText>
          </w:r>
          <w:r>
            <w:rPr>
              <w:color w:val="auto"/>
              <w:highlight w:val="none"/>
            </w:rPr>
            <w:fldChar w:fldCharType="separate"/>
          </w:r>
          <w:r>
            <w:rPr>
              <w:rFonts w:hint="eastAsia" w:ascii="仿宋_GB2312" w:hAnsi="Calibri" w:eastAsia="仿宋_GB2312" w:cs="仿宋"/>
              <w:bCs w:val="0"/>
              <w:color w:val="auto"/>
              <w:kern w:val="2"/>
              <w:szCs w:val="32"/>
              <w:highlight w:val="none"/>
              <w:lang w:val="en-US" w:eastAsia="zh-CN" w:bidi="ar-SA"/>
            </w:rPr>
            <w:t>十二、国有资本经营预算财政拨款支出决算表</w:t>
          </w:r>
          <w:r>
            <w:rPr>
              <w:color w:val="auto"/>
              <w:highlight w:val="none"/>
            </w:rPr>
            <w:tab/>
          </w:r>
          <w:r>
            <w:rPr>
              <w:color w:val="auto"/>
              <w:highlight w:val="none"/>
            </w:rPr>
            <w:fldChar w:fldCharType="begin"/>
          </w:r>
          <w:r>
            <w:rPr>
              <w:color w:val="auto"/>
              <w:highlight w:val="none"/>
            </w:rPr>
            <w:instrText xml:space="preserve"> PAGEREF _Toc31943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4E5F8514">
          <w:pPr>
            <w:pStyle w:val="47"/>
            <w:tabs>
              <w:tab w:val="right" w:leader="dot" w:pos="10171"/>
            </w:tabs>
            <w:rPr>
              <w:color w:val="auto"/>
              <w:highlight w:val="none"/>
            </w:rPr>
          </w:pPr>
          <w:r>
            <w:rPr>
              <w:color w:val="auto"/>
              <w:highlight w:val="none"/>
            </w:rPr>
            <w:fldChar w:fldCharType="begin"/>
          </w:r>
          <w:r>
            <w:rPr>
              <w:color w:val="auto"/>
              <w:highlight w:val="none"/>
            </w:rPr>
            <w:instrText xml:space="preserve"> HYPERLINK \l _Toc9910 </w:instrText>
          </w:r>
          <w:r>
            <w:rPr>
              <w:color w:val="auto"/>
              <w:highlight w:val="none"/>
            </w:rPr>
            <w:fldChar w:fldCharType="separate"/>
          </w:r>
          <w:r>
            <w:rPr>
              <w:rFonts w:hint="eastAsia" w:ascii="仿宋_GB2312" w:hAnsi="Calibri" w:eastAsia="仿宋_GB2312" w:cs="仿宋"/>
              <w:bCs w:val="0"/>
              <w:color w:val="auto"/>
              <w:kern w:val="2"/>
              <w:szCs w:val="32"/>
              <w:highlight w:val="none"/>
              <w:lang w:val="en-US" w:eastAsia="zh-CN" w:bidi="ar-SA"/>
            </w:rPr>
            <w:t>十三、财政拨款“三公”经费支出决算</w:t>
          </w:r>
          <w:r>
            <w:rPr>
              <w:color w:val="auto"/>
              <w:highlight w:val="none"/>
            </w:rPr>
            <w:tab/>
          </w:r>
          <w:r>
            <w:rPr>
              <w:color w:val="auto"/>
              <w:highlight w:val="none"/>
            </w:rPr>
            <w:fldChar w:fldCharType="begin"/>
          </w:r>
          <w:r>
            <w:rPr>
              <w:color w:val="auto"/>
              <w:highlight w:val="none"/>
            </w:rPr>
            <w:instrText xml:space="preserve"> PAGEREF _Toc9910 \h </w:instrText>
          </w:r>
          <w:r>
            <w:rPr>
              <w:color w:val="auto"/>
              <w:highlight w:val="none"/>
            </w:rPr>
            <w:fldChar w:fldCharType="separate"/>
          </w:r>
          <w:r>
            <w:rPr>
              <w:color w:val="auto"/>
              <w:highlight w:val="none"/>
            </w:rPr>
            <w:t>70</w:t>
          </w:r>
          <w:r>
            <w:rPr>
              <w:color w:val="auto"/>
              <w:highlight w:val="none"/>
            </w:rPr>
            <w:fldChar w:fldCharType="end"/>
          </w:r>
          <w:r>
            <w:rPr>
              <w:color w:val="auto"/>
              <w:highlight w:val="none"/>
            </w:rPr>
            <w:fldChar w:fldCharType="end"/>
          </w:r>
        </w:p>
        <w:p w14:paraId="45C06C0E">
          <w:pPr>
            <w:rPr>
              <w:b/>
              <w:color w:val="auto"/>
              <w:highlight w:val="none"/>
            </w:rPr>
          </w:pPr>
          <w:r>
            <w:rPr>
              <w:b/>
              <w:color w:val="auto"/>
              <w:highlight w:val="none"/>
            </w:rPr>
            <w:fldChar w:fldCharType="end"/>
          </w:r>
        </w:p>
      </w:sdtContent>
    </w:sdt>
    <w:p w14:paraId="63BEA197">
      <w:pPr>
        <w:rPr>
          <w:b/>
          <w:color w:val="auto"/>
          <w:highlight w:val="none"/>
        </w:rPr>
      </w:pPr>
    </w:p>
    <w:p w14:paraId="2C3C770C">
      <w:pPr>
        <w:widowControl/>
        <w:jc w:val="left"/>
        <w:rPr>
          <w:rFonts w:ascii="黑体" w:hAnsi="黑体" w:eastAsia="黑体"/>
          <w:bCs/>
          <w:color w:val="auto"/>
          <w:kern w:val="44"/>
          <w:sz w:val="44"/>
          <w:szCs w:val="44"/>
          <w:highlight w:val="none"/>
        </w:rPr>
      </w:pPr>
      <w:r>
        <w:rPr>
          <w:rFonts w:ascii="黑体" w:hAnsi="黑体" w:eastAsia="黑体"/>
          <w:b/>
          <w:color w:val="auto"/>
          <w:highlight w:val="none"/>
        </w:rPr>
        <w:br w:type="page"/>
      </w:r>
    </w:p>
    <w:p w14:paraId="2A01A0AD">
      <w:pPr>
        <w:pStyle w:val="4"/>
        <w:jc w:val="center"/>
        <w:rPr>
          <w:rStyle w:val="22"/>
          <w:rFonts w:ascii="黑体" w:hAnsi="黑体" w:eastAsia="黑体"/>
          <w:b/>
          <w:bCs w:val="0"/>
          <w:color w:val="auto"/>
          <w:highlight w:val="none"/>
        </w:rPr>
      </w:pPr>
      <w:bookmarkStart w:id="20" w:name="_Toc14838"/>
      <w:r>
        <w:rPr>
          <w:rFonts w:hint="eastAsia" w:ascii="黑体" w:hAnsi="黑体" w:eastAsia="黑体"/>
          <w:b w:val="0"/>
          <w:color w:val="auto"/>
          <w:highlight w:val="none"/>
        </w:rPr>
        <w:t xml:space="preserve">第一部分 </w:t>
      </w:r>
      <w:r>
        <w:rPr>
          <w:rStyle w:val="22"/>
          <w:rFonts w:hint="eastAsia" w:ascii="黑体" w:hAnsi="黑体" w:eastAsia="黑体"/>
          <w:b w:val="0"/>
          <w:bCs w:val="0"/>
          <w:color w:val="auto"/>
          <w:highlight w:val="none"/>
        </w:rPr>
        <w:t>部门概况</w:t>
      </w:r>
      <w:bookmarkEnd w:id="18"/>
      <w:bookmarkEnd w:id="19"/>
      <w:bookmarkEnd w:id="20"/>
    </w:p>
    <w:p w14:paraId="65B3EAEE">
      <w:pPr>
        <w:widowControl/>
        <w:jc w:val="left"/>
        <w:rPr>
          <w:rFonts w:ascii="黑体" w:eastAsia="黑体"/>
          <w:color w:val="auto"/>
          <w:sz w:val="32"/>
          <w:szCs w:val="32"/>
          <w:highlight w:val="none"/>
        </w:rPr>
      </w:pPr>
    </w:p>
    <w:p w14:paraId="7297AA24">
      <w:pPr>
        <w:pStyle w:val="5"/>
        <w:rPr>
          <w:rFonts w:ascii="仿宋" w:hAnsi="仿宋" w:eastAsia="仿宋"/>
          <w:bCs/>
          <w:color w:val="auto"/>
          <w:sz w:val="32"/>
          <w:szCs w:val="32"/>
          <w:highlight w:val="none"/>
        </w:rPr>
      </w:pPr>
      <w:bookmarkStart w:id="21" w:name="_Toc15377197"/>
      <w:bookmarkStart w:id="22" w:name="_Toc32266"/>
      <w:bookmarkStart w:id="23" w:name="_Toc15396600"/>
      <w:r>
        <w:rPr>
          <w:rFonts w:hint="eastAsia" w:ascii="黑体" w:hAnsi="黑体" w:eastAsia="黑体"/>
          <w:b w:val="0"/>
          <w:color w:val="auto"/>
          <w:highlight w:val="none"/>
        </w:rPr>
        <w:t>一、基</w:t>
      </w:r>
      <w:r>
        <w:rPr>
          <w:rStyle w:val="23"/>
          <w:rFonts w:hint="eastAsia" w:ascii="黑体" w:hAnsi="黑体" w:eastAsia="黑体"/>
          <w:b w:val="0"/>
          <w:bCs w:val="0"/>
          <w:color w:val="auto"/>
          <w:highlight w:val="none"/>
        </w:rPr>
        <w:t>本职能</w:t>
      </w:r>
      <w:bookmarkEnd w:id="21"/>
      <w:bookmarkEnd w:id="22"/>
      <w:bookmarkEnd w:id="23"/>
      <w:bookmarkStart w:id="24" w:name="_Toc15378445"/>
      <w:bookmarkStart w:id="25" w:name="_Toc15377198"/>
    </w:p>
    <w:bookmarkEnd w:id="24"/>
    <w:bookmarkEnd w:id="25"/>
    <w:p w14:paraId="74A60E60">
      <w:pPr>
        <w:pStyle w:val="7"/>
        <w:adjustRightInd w:val="0"/>
        <w:snapToGrid w:val="0"/>
        <w:spacing w:beforeLines="0" w:line="560" w:lineRule="exact"/>
        <w:ind w:firstLine="672" w:firstLineChars="210"/>
        <w:rPr>
          <w:rFonts w:hAnsi="楷体_GB2312" w:cs="楷体_GB2312"/>
          <w:color w:val="auto"/>
          <w:sz w:val="32"/>
          <w:szCs w:val="32"/>
          <w:highlight w:val="none"/>
        </w:rPr>
      </w:pPr>
      <w:bookmarkStart w:id="26" w:name="_Toc15377199"/>
      <w:bookmarkStart w:id="27" w:name="_Toc15378446"/>
      <w:r>
        <w:rPr>
          <w:rFonts w:hint="eastAsia" w:hAnsi="楷体_GB2312" w:cs="楷体_GB2312"/>
          <w:color w:val="auto"/>
          <w:sz w:val="32"/>
          <w:szCs w:val="32"/>
          <w:highlight w:val="none"/>
        </w:rPr>
        <w:t>主要职责为：负责辖区内</w:t>
      </w:r>
      <w:r>
        <w:rPr>
          <w:rFonts w:hint="eastAsia" w:hAnsi="楷体_GB2312" w:cs="楷体_GB2312"/>
          <w:color w:val="auto"/>
          <w:sz w:val="32"/>
          <w:szCs w:val="32"/>
          <w:highlight w:val="none"/>
          <w:lang w:eastAsia="zh-CN"/>
        </w:rPr>
        <w:t>经济社区发展、</w:t>
      </w:r>
      <w:r>
        <w:rPr>
          <w:rFonts w:hint="eastAsia" w:hAnsi="楷体_GB2312" w:cs="楷体_GB2312"/>
          <w:color w:val="auto"/>
          <w:sz w:val="32"/>
          <w:szCs w:val="32"/>
          <w:highlight w:val="none"/>
        </w:rPr>
        <w:t>安全生产、信访维稳、房屋征收与补偿、计划生育、民政、劳动就业、社会保障、环境卫生等工作。</w:t>
      </w:r>
    </w:p>
    <w:bookmarkEnd w:id="26"/>
    <w:bookmarkEnd w:id="27"/>
    <w:p w14:paraId="518D5328">
      <w:pPr>
        <w:pStyle w:val="5"/>
        <w:rPr>
          <w:rStyle w:val="23"/>
          <w:b w:val="0"/>
          <w:bCs w:val="0"/>
          <w:color w:val="auto"/>
          <w:highlight w:val="none"/>
        </w:rPr>
      </w:pPr>
      <w:bookmarkStart w:id="28" w:name="_Toc15396601"/>
      <w:bookmarkStart w:id="29" w:name="_Toc14675"/>
      <w:bookmarkStart w:id="30" w:name="_Toc15377200"/>
      <w:r>
        <w:rPr>
          <w:rFonts w:hint="eastAsia" w:ascii="黑体" w:eastAsia="黑体"/>
          <w:b w:val="0"/>
          <w:color w:val="auto"/>
          <w:highlight w:val="none"/>
        </w:rPr>
        <w:t>二、</w:t>
      </w:r>
      <w:r>
        <w:rPr>
          <w:rFonts w:hint="eastAsia" w:ascii="黑体" w:hAnsi="黑体" w:eastAsia="黑体"/>
          <w:b w:val="0"/>
          <w:color w:val="auto"/>
          <w:highlight w:val="none"/>
        </w:rPr>
        <w:t>机</w:t>
      </w:r>
      <w:r>
        <w:rPr>
          <w:rStyle w:val="23"/>
          <w:rFonts w:hint="eastAsia" w:ascii="黑体" w:hAnsi="黑体" w:eastAsia="黑体"/>
          <w:b w:val="0"/>
          <w:bCs w:val="0"/>
          <w:color w:val="auto"/>
          <w:highlight w:val="none"/>
        </w:rPr>
        <w:t>构设置</w:t>
      </w:r>
      <w:bookmarkEnd w:id="28"/>
      <w:bookmarkEnd w:id="29"/>
      <w:bookmarkEnd w:id="30"/>
    </w:p>
    <w:p w14:paraId="0DF78F19">
      <w:pPr>
        <w:ind w:firstLine="800" w:firstLineChars="250"/>
        <w:rPr>
          <w:rFonts w:hint="eastAsia" w:ascii="仿宋_GB2312" w:hAnsi="仿宋_GB2312" w:eastAsia="仿宋_GB2312" w:cs="仿宋_GB2312"/>
          <w:color w:val="auto"/>
          <w:sz w:val="32"/>
          <w:szCs w:val="32"/>
          <w:highlight w:val="none"/>
          <w:lang w:eastAsia="zh-CN"/>
        </w:rPr>
      </w:pPr>
      <w:bookmarkStart w:id="31" w:name="_Toc15396602"/>
      <w:bookmarkStart w:id="32" w:name="_Toc15377204"/>
      <w:r>
        <w:rPr>
          <w:rFonts w:hint="eastAsia" w:ascii="仿宋_GB2312" w:hAnsi="仿宋_GB2312" w:eastAsia="仿宋_GB2312" w:cs="仿宋_GB2312"/>
          <w:color w:val="auto"/>
          <w:sz w:val="32"/>
          <w:szCs w:val="32"/>
          <w:highlight w:val="none"/>
          <w:lang w:eastAsia="zh-CN"/>
        </w:rPr>
        <w:t>我单位</w:t>
      </w:r>
      <w:r>
        <w:rPr>
          <w:rFonts w:hint="eastAsia" w:ascii="仿宋_GB2312" w:hAnsi="仿宋_GB2312" w:eastAsia="仿宋_GB2312" w:cs="仿宋_GB2312"/>
          <w:color w:val="auto"/>
          <w:sz w:val="32"/>
          <w:szCs w:val="32"/>
          <w:highlight w:val="none"/>
        </w:rPr>
        <w:t>下属二级</w:t>
      </w:r>
      <w:r>
        <w:rPr>
          <w:rFonts w:hint="eastAsia" w:ascii="仿宋_GB2312" w:hAnsi="仿宋_GB2312" w:eastAsia="仿宋_GB2312" w:cs="仿宋_GB2312"/>
          <w:color w:val="auto"/>
          <w:sz w:val="32"/>
          <w:szCs w:val="32"/>
          <w:highlight w:val="none"/>
          <w:lang w:eastAsia="zh-CN"/>
        </w:rPr>
        <w:t>预算</w:t>
      </w:r>
      <w:r>
        <w:rPr>
          <w:rFonts w:hint="eastAsia" w:ascii="仿宋_GB2312" w:hAnsi="仿宋_GB2312" w:eastAsia="仿宋_GB2312" w:cs="仿宋_GB2312"/>
          <w:color w:val="auto"/>
          <w:sz w:val="32"/>
          <w:szCs w:val="32"/>
          <w:highlight w:val="none"/>
        </w:rPr>
        <w:t>单位</w:t>
      </w:r>
      <w:r>
        <w:rPr>
          <w:rFonts w:hint="eastAsia" w:ascii="仿宋_GB2312" w:hAnsi="仿宋_GB2312" w:eastAsia="仿宋_GB2312" w:cs="仿宋_GB2312"/>
          <w:color w:val="auto"/>
          <w:sz w:val="32"/>
          <w:szCs w:val="32"/>
          <w:highlight w:val="none"/>
          <w:lang w:val="en-US" w:eastAsia="zh-CN"/>
        </w:rPr>
        <w:t>0</w:t>
      </w:r>
      <w:r>
        <w:rPr>
          <w:rFonts w:hint="eastAsia" w:ascii="仿宋_GB2312" w:hAnsi="仿宋_GB2312" w:eastAsia="仿宋_GB2312" w:cs="仿宋_GB2312"/>
          <w:color w:val="auto"/>
          <w:sz w:val="32"/>
          <w:szCs w:val="32"/>
          <w:highlight w:val="none"/>
        </w:rPr>
        <w:t>个。纳入</w:t>
      </w:r>
      <w:r>
        <w:rPr>
          <w:rFonts w:hint="eastAsia" w:ascii="仿宋_GB2312" w:eastAsia="仿宋_GB2312" w:cs="仿宋_GB2312"/>
          <w:color w:val="auto"/>
          <w:sz w:val="32"/>
          <w:szCs w:val="32"/>
          <w:highlight w:val="none"/>
        </w:rPr>
        <w:t>下西坝街道办事处</w:t>
      </w:r>
      <w:r>
        <w:rPr>
          <w:rFonts w:hint="eastAsia" w:ascii="仿宋_GB2312" w:hAnsi="仿宋_GB2312" w:eastAsia="仿宋_GB2312" w:cs="仿宋_GB2312"/>
          <w:color w:val="auto"/>
          <w:sz w:val="32"/>
          <w:szCs w:val="32"/>
          <w:highlight w:val="none"/>
          <w:lang w:eastAsia="zh-CN"/>
        </w:rPr>
        <w:t>2023</w:t>
      </w:r>
      <w:r>
        <w:rPr>
          <w:rFonts w:hint="eastAsia" w:ascii="仿宋_GB2312" w:hAnsi="仿宋_GB2312" w:eastAsia="仿宋_GB2312" w:cs="仿宋_GB2312"/>
          <w:color w:val="auto"/>
          <w:sz w:val="32"/>
          <w:szCs w:val="32"/>
          <w:highlight w:val="none"/>
        </w:rPr>
        <w:t>年度部门决算编制范围的二级预算单位包括：</w:t>
      </w:r>
      <w:r>
        <w:rPr>
          <w:rFonts w:hint="eastAsia" w:ascii="仿宋_GB2312" w:hAnsi="仿宋_GB2312" w:eastAsia="仿宋_GB2312" w:cs="仿宋_GB2312"/>
          <w:color w:val="auto"/>
          <w:sz w:val="32"/>
          <w:szCs w:val="32"/>
          <w:highlight w:val="none"/>
          <w:lang w:eastAsia="zh-CN"/>
        </w:rPr>
        <w:t>广元经济技术开发区</w:t>
      </w:r>
      <w:r>
        <w:rPr>
          <w:rFonts w:hint="eastAsia" w:ascii="仿宋_GB2312" w:eastAsia="仿宋_GB2312" w:cs="仿宋_GB2312"/>
          <w:color w:val="auto"/>
          <w:sz w:val="32"/>
          <w:szCs w:val="32"/>
          <w:highlight w:val="none"/>
        </w:rPr>
        <w:t>下西坝街道办事处</w:t>
      </w:r>
      <w:r>
        <w:rPr>
          <w:rFonts w:hint="eastAsia" w:ascii="仿宋_GB2312" w:eastAsia="仿宋_GB2312" w:cs="仿宋_GB2312"/>
          <w:color w:val="auto"/>
          <w:sz w:val="32"/>
          <w:szCs w:val="32"/>
          <w:highlight w:val="none"/>
          <w:lang w:eastAsia="zh-CN"/>
        </w:rPr>
        <w:t>。</w:t>
      </w:r>
    </w:p>
    <w:p w14:paraId="164FA8A5">
      <w:pPr>
        <w:pStyle w:val="35"/>
        <w:spacing w:line="490" w:lineRule="exact"/>
        <w:ind w:firstLine="640" w:firstLineChars="200"/>
        <w:jc w:val="left"/>
        <w:rPr>
          <w:rFonts w:hint="eastAsia" w:ascii="仿宋_GB2312" w:hAnsi="仿宋_GB2312" w:eastAsia="仿宋_GB2312" w:cs="仿宋_GB2312"/>
          <w:color w:val="auto"/>
          <w:sz w:val="32"/>
          <w:szCs w:val="32"/>
          <w:highlight w:val="none"/>
        </w:rPr>
      </w:pPr>
      <w:r>
        <w:rPr>
          <w:rFonts w:hint="eastAsia" w:ascii="仿宋_GB2312" w:eastAsia="仿宋_GB2312" w:cs="仿宋_GB2312"/>
          <w:color w:val="auto"/>
          <w:sz w:val="32"/>
          <w:szCs w:val="32"/>
          <w:highlight w:val="none"/>
        </w:rPr>
        <w:t>下西坝街道办事处地处广元市城区以西，幅员面积</w:t>
      </w:r>
      <w:r>
        <w:rPr>
          <w:rFonts w:ascii="仿宋_GB2312" w:eastAsia="仿宋_GB2312" w:cs="仿宋_GB2312"/>
          <w:color w:val="auto"/>
          <w:sz w:val="32"/>
          <w:szCs w:val="32"/>
          <w:highlight w:val="none"/>
        </w:rPr>
        <w:t>12.6</w:t>
      </w:r>
      <w:r>
        <w:rPr>
          <w:rFonts w:hint="eastAsia" w:ascii="仿宋_GB2312" w:eastAsia="仿宋_GB2312" w:cs="仿宋_GB2312"/>
          <w:color w:val="auto"/>
          <w:sz w:val="32"/>
          <w:szCs w:val="32"/>
          <w:highlight w:val="none"/>
        </w:rPr>
        <w:t>平方公里，下辖</w:t>
      </w:r>
      <w:r>
        <w:rPr>
          <w:rFonts w:hint="eastAsia" w:ascii="仿宋_GB2312" w:eastAsia="仿宋_GB2312" w:cs="仿宋_GB2312"/>
          <w:color w:val="auto"/>
          <w:sz w:val="32"/>
          <w:szCs w:val="32"/>
          <w:highlight w:val="none"/>
          <w:lang w:val="en-US" w:eastAsia="zh-CN"/>
        </w:rPr>
        <w:t>9</w:t>
      </w:r>
      <w:r>
        <w:rPr>
          <w:rFonts w:hint="eastAsia" w:ascii="仿宋_GB2312" w:eastAsia="仿宋_GB2312" w:cs="仿宋_GB2312"/>
          <w:color w:val="auto"/>
          <w:sz w:val="32"/>
          <w:szCs w:val="32"/>
          <w:highlight w:val="none"/>
        </w:rPr>
        <w:t>个社区（八一社区、下西社区、活力社区、王家营社区、南陵社区、曾家营社区、树仁社区、铁路社区、</w:t>
      </w:r>
      <w:r>
        <w:rPr>
          <w:rFonts w:hint="eastAsia" w:ascii="仿宋_GB2312" w:eastAsia="仿宋_GB2312" w:cs="仿宋_GB2312"/>
          <w:color w:val="auto"/>
          <w:sz w:val="32"/>
          <w:szCs w:val="32"/>
          <w:highlight w:val="none"/>
          <w:lang w:eastAsia="zh-CN"/>
        </w:rPr>
        <w:t>惠家沟社区</w:t>
      </w:r>
      <w:r>
        <w:rPr>
          <w:rFonts w:hint="eastAsia" w:asci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rPr>
        <w:t>实际财政供养总人数34人，其中：在职正式人员1</w:t>
      </w: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名，聘用人员20名。</w:t>
      </w:r>
    </w:p>
    <w:p w14:paraId="0A1F354D">
      <w:pPr>
        <w:pStyle w:val="35"/>
        <w:spacing w:line="490" w:lineRule="exact"/>
        <w:ind w:firstLine="640" w:firstLineChars="200"/>
        <w:jc w:val="left"/>
        <w:rPr>
          <w:rFonts w:hint="eastAsia" w:ascii="仿宋_GB2312" w:hAnsi="仿宋_GB2312" w:eastAsia="仿宋_GB2312" w:cs="仿宋_GB2312"/>
          <w:color w:val="auto"/>
          <w:sz w:val="32"/>
          <w:szCs w:val="32"/>
          <w:highlight w:val="none"/>
        </w:rPr>
      </w:pPr>
    </w:p>
    <w:p w14:paraId="0519D542">
      <w:pPr>
        <w:pStyle w:val="4"/>
        <w:ind w:right="440"/>
        <w:jc w:val="right"/>
        <w:rPr>
          <w:rStyle w:val="22"/>
          <w:rFonts w:ascii="黑体" w:hAnsi="黑体" w:eastAsia="黑体"/>
          <w:b w:val="0"/>
          <w:bCs w:val="0"/>
          <w:color w:val="auto"/>
          <w:highlight w:val="none"/>
        </w:rPr>
      </w:pPr>
      <w:bookmarkStart w:id="33" w:name="_Toc14940"/>
      <w:r>
        <w:rPr>
          <w:rFonts w:hint="eastAsia" w:ascii="黑体" w:hAnsi="黑体" w:eastAsia="黑体"/>
          <w:b w:val="0"/>
          <w:color w:val="auto"/>
          <w:highlight w:val="none"/>
        </w:rPr>
        <w:t>第二部分</w:t>
      </w:r>
      <w:r>
        <w:rPr>
          <w:rStyle w:val="22"/>
          <w:rFonts w:hint="eastAsia" w:ascii="黑体" w:hAnsi="黑体" w:eastAsia="黑体"/>
          <w:b w:val="0"/>
          <w:bCs w:val="0"/>
          <w:color w:val="auto"/>
          <w:highlight w:val="none"/>
        </w:rPr>
        <w:t>202</w:t>
      </w:r>
      <w:r>
        <w:rPr>
          <w:rStyle w:val="22"/>
          <w:rFonts w:hint="eastAsia" w:ascii="黑体" w:hAnsi="黑体" w:eastAsia="黑体"/>
          <w:b w:val="0"/>
          <w:bCs w:val="0"/>
          <w:color w:val="auto"/>
          <w:highlight w:val="none"/>
          <w:lang w:val="en-US" w:eastAsia="zh-CN"/>
        </w:rPr>
        <w:t>4</w:t>
      </w:r>
      <w:r>
        <w:rPr>
          <w:rStyle w:val="22"/>
          <w:rFonts w:hint="eastAsia" w:ascii="黑体" w:hAnsi="黑体" w:eastAsia="黑体"/>
          <w:b w:val="0"/>
          <w:bCs w:val="0"/>
          <w:color w:val="auto"/>
          <w:highlight w:val="none"/>
        </w:rPr>
        <w:t>年度部门决算情况说明</w:t>
      </w:r>
      <w:bookmarkEnd w:id="31"/>
      <w:bookmarkEnd w:id="32"/>
      <w:bookmarkEnd w:id="33"/>
    </w:p>
    <w:p w14:paraId="7FE03DE0">
      <w:pPr>
        <w:rPr>
          <w:color w:val="auto"/>
          <w:highlight w:val="none"/>
        </w:rPr>
      </w:pPr>
    </w:p>
    <w:p w14:paraId="3DFB8A86">
      <w:pPr>
        <w:pStyle w:val="32"/>
        <w:numPr>
          <w:ilvl w:val="0"/>
          <w:numId w:val="1"/>
        </w:numPr>
        <w:spacing w:line="600" w:lineRule="exact"/>
        <w:ind w:firstLineChars="0"/>
        <w:outlineLvl w:val="1"/>
        <w:rPr>
          <w:rStyle w:val="23"/>
          <w:rFonts w:ascii="黑体" w:hAnsi="黑体" w:eastAsia="黑体"/>
          <w:b w:val="0"/>
          <w:color w:val="auto"/>
          <w:highlight w:val="none"/>
        </w:rPr>
      </w:pPr>
      <w:bookmarkStart w:id="34" w:name="_Toc15377205"/>
      <w:bookmarkStart w:id="35" w:name="_Toc577"/>
      <w:bookmarkStart w:id="36" w:name="_Toc15396603"/>
      <w:r>
        <w:rPr>
          <w:rFonts w:hint="eastAsia" w:ascii="黑体" w:hAnsi="黑体" w:eastAsia="黑体"/>
          <w:color w:val="auto"/>
          <w:sz w:val="32"/>
          <w:szCs w:val="32"/>
          <w:highlight w:val="none"/>
        </w:rPr>
        <w:t>收</w:t>
      </w:r>
      <w:r>
        <w:rPr>
          <w:rStyle w:val="23"/>
          <w:rFonts w:hint="eastAsia" w:ascii="黑体" w:hAnsi="黑体" w:eastAsia="黑体"/>
          <w:b w:val="0"/>
          <w:color w:val="auto"/>
          <w:highlight w:val="none"/>
        </w:rPr>
        <w:t>入支出决算总体情况说明</w:t>
      </w:r>
      <w:bookmarkEnd w:id="34"/>
      <w:bookmarkEnd w:id="35"/>
      <w:bookmarkEnd w:id="36"/>
    </w:p>
    <w:p w14:paraId="4A0971BB">
      <w:pPr>
        <w:spacing w:line="600" w:lineRule="exact"/>
        <w:ind w:firstLine="640" w:firstLineChars="200"/>
        <w:rPr>
          <w:rFonts w:ascii="仿宋_GB2312" w:eastAsia="仿宋_GB2312"/>
          <w:color w:val="auto"/>
          <w:sz w:val="32"/>
          <w:szCs w:val="32"/>
          <w:highlight w:val="none"/>
        </w:rPr>
      </w:pPr>
      <w:r>
        <w:rPr>
          <w:rFonts w:hint="eastAsia" w:ascii="黑体" w:hAnsi="黑体" w:eastAsia="黑体" w:cs="黑体"/>
          <w:color w:val="auto"/>
          <w:sz w:val="32"/>
          <w:szCs w:val="32"/>
          <w:highlight w:val="none"/>
          <w:lang w:eastAsia="zh-CN"/>
        </w:rPr>
        <w:drawing>
          <wp:anchor distT="0" distB="0" distL="114300" distR="114300" simplePos="0" relativeHeight="251659264" behindDoc="0" locked="0" layoutInCell="1" allowOverlap="1">
            <wp:simplePos x="0" y="0"/>
            <wp:positionH relativeFrom="column">
              <wp:posOffset>152400</wp:posOffset>
            </wp:positionH>
            <wp:positionV relativeFrom="paragraph">
              <wp:posOffset>1354455</wp:posOffset>
            </wp:positionV>
            <wp:extent cx="4779645" cy="3533140"/>
            <wp:effectExtent l="5080" t="4445" r="15875" b="5715"/>
            <wp:wrapTopAndBottom/>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anchor>
        </w:drawing>
      </w:r>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年度收、支总计</w:t>
      </w:r>
      <w:r>
        <w:rPr>
          <w:rFonts w:hint="eastAsia" w:ascii="仿宋" w:hAnsi="仿宋" w:eastAsia="仿宋"/>
          <w:color w:val="auto"/>
          <w:sz w:val="32"/>
          <w:szCs w:val="32"/>
          <w:highlight w:val="none"/>
          <w:lang w:val="en-US" w:eastAsia="zh-CN"/>
        </w:rPr>
        <w:t>1868.68</w:t>
      </w:r>
      <w:r>
        <w:rPr>
          <w:rFonts w:hint="eastAsia" w:ascii="仿宋" w:hAnsi="仿宋" w:eastAsia="仿宋"/>
          <w:color w:val="auto"/>
          <w:sz w:val="32"/>
          <w:szCs w:val="32"/>
          <w:highlight w:val="none"/>
        </w:rPr>
        <w:t>万元。与20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年相比，收、支总计</w:t>
      </w:r>
      <w:r>
        <w:rPr>
          <w:rFonts w:hint="eastAsia" w:ascii="仿宋" w:hAnsi="仿宋" w:eastAsia="仿宋"/>
          <w:color w:val="auto"/>
          <w:sz w:val="32"/>
          <w:szCs w:val="32"/>
          <w:highlight w:val="none"/>
          <w:lang w:eastAsia="zh-CN"/>
        </w:rPr>
        <w:t>减少</w:t>
      </w:r>
      <w:r>
        <w:rPr>
          <w:rFonts w:hint="eastAsia" w:ascii="仿宋" w:hAnsi="仿宋" w:eastAsia="仿宋"/>
          <w:color w:val="auto"/>
          <w:sz w:val="32"/>
          <w:szCs w:val="32"/>
          <w:highlight w:val="none"/>
          <w:lang w:val="en-US" w:eastAsia="zh-CN"/>
        </w:rPr>
        <w:t>641.33</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增加</w:t>
      </w:r>
      <w:r>
        <w:rPr>
          <w:rFonts w:hint="eastAsia" w:ascii="仿宋" w:hAnsi="仿宋" w:eastAsia="仿宋"/>
          <w:color w:val="auto"/>
          <w:sz w:val="32"/>
          <w:szCs w:val="32"/>
          <w:highlight w:val="none"/>
          <w:lang w:val="en-US" w:eastAsia="zh-CN"/>
        </w:rPr>
        <w:t>34.32</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项目增加</w:t>
      </w:r>
      <w:r>
        <w:rPr>
          <w:rFonts w:hint="eastAsia" w:ascii="仿宋" w:hAnsi="仿宋" w:eastAsia="仿宋"/>
          <w:color w:val="auto"/>
          <w:sz w:val="32"/>
          <w:szCs w:val="32"/>
          <w:highlight w:val="none"/>
        </w:rPr>
        <w:t>。</w:t>
      </w:r>
    </w:p>
    <w:p w14:paraId="3C295BCD">
      <w:pPr>
        <w:pStyle w:val="7"/>
        <w:pageBreakBefore w:val="0"/>
        <w:kinsoku/>
        <w:wordWrap/>
        <w:overflowPunct/>
        <w:topLinePunct w:val="0"/>
        <w:bidi w:val="0"/>
        <w:spacing w:line="576" w:lineRule="exact"/>
        <w:jc w:val="both"/>
        <w:textAlignment w:val="auto"/>
        <w:rPr>
          <w:color w:val="auto"/>
          <w:highlight w:val="none"/>
        </w:rPr>
      </w:pPr>
      <w:r>
        <w:rPr>
          <w:rFonts w:hint="eastAsia" w:ascii="黑体" w:hAnsi="黑体" w:eastAsia="黑体" w:cs="黑体"/>
          <w:color w:val="auto"/>
          <w:sz w:val="32"/>
          <w:szCs w:val="32"/>
          <w:highlight w:val="none"/>
          <w:lang w:val="en-US" w:eastAsia="zh-CN"/>
        </w:rPr>
        <w:t xml:space="preserve">         </w:t>
      </w:r>
      <w:r>
        <w:rPr>
          <w:rFonts w:hint="eastAsia" w:ascii="黑体" w:hAnsi="黑体" w:eastAsia="黑体" w:cs="黑体"/>
          <w:color w:val="auto"/>
          <w:sz w:val="32"/>
          <w:szCs w:val="32"/>
          <w:highlight w:val="none"/>
        </w:rPr>
        <w:t>（图1：收、支决算总计变动情况图）</w:t>
      </w:r>
    </w:p>
    <w:p w14:paraId="612194F6">
      <w:pPr>
        <w:spacing w:line="600" w:lineRule="exact"/>
        <w:ind w:firstLine="640" w:firstLineChars="200"/>
        <w:jc w:val="left"/>
        <w:rPr>
          <w:rFonts w:ascii="仿宋_GB2312" w:eastAsia="仿宋_GB2312"/>
          <w:color w:val="auto"/>
          <w:sz w:val="32"/>
          <w:szCs w:val="32"/>
          <w:highlight w:val="none"/>
        </w:rPr>
      </w:pPr>
    </w:p>
    <w:p w14:paraId="671FF10C">
      <w:pPr>
        <w:pStyle w:val="32"/>
        <w:numPr>
          <w:ilvl w:val="0"/>
          <w:numId w:val="1"/>
        </w:numPr>
        <w:spacing w:line="600" w:lineRule="exact"/>
        <w:ind w:firstLineChars="0"/>
        <w:outlineLvl w:val="1"/>
        <w:rPr>
          <w:rStyle w:val="23"/>
          <w:rFonts w:ascii="黑体" w:hAnsi="黑体" w:eastAsia="黑体"/>
          <w:b w:val="0"/>
          <w:color w:val="auto"/>
          <w:highlight w:val="none"/>
        </w:rPr>
      </w:pPr>
      <w:bookmarkStart w:id="37" w:name="_Toc24195"/>
      <w:bookmarkStart w:id="38" w:name="_Toc15396604"/>
      <w:bookmarkStart w:id="39" w:name="_Toc15377206"/>
      <w:r>
        <w:rPr>
          <w:rFonts w:hint="eastAsia" w:ascii="黑体" w:hAnsi="黑体" w:eastAsia="黑体"/>
          <w:color w:val="auto"/>
          <w:sz w:val="32"/>
          <w:szCs w:val="32"/>
          <w:highlight w:val="none"/>
        </w:rPr>
        <w:t>收</w:t>
      </w:r>
      <w:r>
        <w:rPr>
          <w:rStyle w:val="23"/>
          <w:rFonts w:hint="eastAsia" w:ascii="黑体" w:hAnsi="黑体" w:eastAsia="黑体"/>
          <w:b w:val="0"/>
          <w:color w:val="auto"/>
          <w:highlight w:val="none"/>
        </w:rPr>
        <w:t>入决算情况说明</w:t>
      </w:r>
      <w:bookmarkEnd w:id="37"/>
      <w:bookmarkEnd w:id="38"/>
      <w:bookmarkEnd w:id="39"/>
    </w:p>
    <w:p w14:paraId="4C712B3F">
      <w:pPr>
        <w:spacing w:line="600" w:lineRule="exact"/>
        <w:ind w:firstLine="640" w:firstLineChars="200"/>
        <w:outlineLvl w:val="1"/>
        <w:rPr>
          <w:rFonts w:hint="eastAsia" w:ascii="仿宋" w:hAnsi="仿宋" w:eastAsia="仿宋"/>
          <w:color w:val="auto"/>
          <w:sz w:val="32"/>
          <w:szCs w:val="32"/>
          <w:highlight w:val="none"/>
          <w:lang w:eastAsia="zh-CN"/>
        </w:rPr>
      </w:pPr>
      <w:bookmarkStart w:id="40" w:name="_Toc12065"/>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年本年收入合计</w:t>
      </w:r>
      <w:r>
        <w:rPr>
          <w:rFonts w:hint="eastAsia" w:ascii="仿宋" w:hAnsi="仿宋" w:eastAsia="仿宋"/>
          <w:color w:val="auto"/>
          <w:sz w:val="32"/>
          <w:szCs w:val="32"/>
          <w:highlight w:val="none"/>
          <w:lang w:val="en-US" w:eastAsia="zh-CN"/>
        </w:rPr>
        <w:t>1868.68</w:t>
      </w:r>
      <w:r>
        <w:rPr>
          <w:rFonts w:hint="eastAsia" w:ascii="仿宋" w:hAnsi="仿宋" w:eastAsia="仿宋"/>
          <w:color w:val="auto"/>
          <w:sz w:val="32"/>
          <w:szCs w:val="32"/>
          <w:highlight w:val="none"/>
        </w:rPr>
        <w:t>万元，其中：一般公共预算财政拨款收入</w:t>
      </w:r>
      <w:r>
        <w:rPr>
          <w:rFonts w:hint="eastAsia" w:ascii="仿宋" w:hAnsi="仿宋" w:eastAsia="仿宋"/>
          <w:color w:val="auto"/>
          <w:sz w:val="32"/>
          <w:szCs w:val="32"/>
          <w:highlight w:val="none"/>
          <w:lang w:val="en-US" w:eastAsia="zh-CN"/>
        </w:rPr>
        <w:t>1709.25</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92</w:t>
      </w:r>
      <w:r>
        <w:rPr>
          <w:rFonts w:ascii="仿宋" w:hAnsi="仿宋" w:eastAsia="仿宋"/>
          <w:color w:val="auto"/>
          <w:sz w:val="32"/>
          <w:szCs w:val="32"/>
          <w:highlight w:val="none"/>
        </w:rPr>
        <w:t>%</w:t>
      </w:r>
      <w:r>
        <w:rPr>
          <w:rFonts w:hint="eastAsia" w:ascii="仿宋" w:hAnsi="仿宋" w:eastAsia="仿宋"/>
          <w:color w:val="auto"/>
          <w:sz w:val="32"/>
          <w:szCs w:val="32"/>
          <w:highlight w:val="none"/>
        </w:rPr>
        <w:t>；政府性基金预算财政拨款收入</w:t>
      </w:r>
      <w:r>
        <w:rPr>
          <w:rFonts w:hint="eastAsia" w:ascii="仿宋" w:hAnsi="仿宋" w:eastAsia="仿宋"/>
          <w:color w:val="auto"/>
          <w:sz w:val="32"/>
          <w:szCs w:val="32"/>
          <w:highlight w:val="none"/>
          <w:lang w:val="en-US" w:eastAsia="zh-CN"/>
        </w:rPr>
        <w:t>139.43</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7</w:t>
      </w:r>
      <w:r>
        <w:rPr>
          <w:rFonts w:ascii="仿宋" w:hAnsi="仿宋" w:eastAsia="仿宋"/>
          <w:color w:val="auto"/>
          <w:sz w:val="32"/>
          <w:szCs w:val="32"/>
          <w:highlight w:val="none"/>
        </w:rPr>
        <w:t>%</w:t>
      </w:r>
      <w:r>
        <w:rPr>
          <w:rFonts w:hint="eastAsia" w:ascii="仿宋" w:hAnsi="仿宋" w:eastAsia="仿宋"/>
          <w:color w:val="auto"/>
          <w:sz w:val="32"/>
          <w:szCs w:val="32"/>
          <w:highlight w:val="none"/>
        </w:rPr>
        <w:t>；国有资本经营预算财政拨款收入</w:t>
      </w:r>
      <w:r>
        <w:rPr>
          <w:rFonts w:hint="eastAsia" w:ascii="仿宋" w:hAnsi="仿宋" w:eastAsia="仿宋"/>
          <w:color w:val="auto"/>
          <w:sz w:val="32"/>
          <w:szCs w:val="32"/>
          <w:highlight w:val="none"/>
          <w:lang w:val="en-US" w:eastAsia="zh-CN"/>
        </w:rPr>
        <w:t>20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1</w:t>
      </w:r>
      <w:r>
        <w:rPr>
          <w:rFonts w:ascii="仿宋" w:hAnsi="仿宋" w:eastAsia="仿宋"/>
          <w:color w:val="auto"/>
          <w:sz w:val="32"/>
          <w:szCs w:val="32"/>
          <w:highlight w:val="none"/>
        </w:rPr>
        <w:t>%</w:t>
      </w:r>
      <w:bookmarkEnd w:id="40"/>
      <w:r>
        <w:rPr>
          <w:rFonts w:hint="eastAsia" w:ascii="仿宋" w:hAnsi="仿宋" w:eastAsia="仿宋"/>
          <w:color w:val="auto"/>
          <w:sz w:val="32"/>
          <w:szCs w:val="32"/>
          <w:highlight w:val="none"/>
          <w:lang w:eastAsia="zh-CN"/>
        </w:rPr>
        <w:t>。</w:t>
      </w:r>
    </w:p>
    <w:p w14:paraId="14DD86C4">
      <w:pPr>
        <w:pStyle w:val="7"/>
        <w:ind w:firstLine="2240" w:firstLineChars="700"/>
        <w:rPr>
          <w:rFonts w:hint="eastAsia" w:ascii="黑体" w:hAnsi="黑体" w:eastAsia="黑体" w:cs="黑体"/>
          <w:b w:val="0"/>
          <w:bCs w:val="0"/>
          <w:color w:val="auto"/>
          <w:sz w:val="32"/>
          <w:szCs w:val="32"/>
          <w:highlight w:val="none"/>
        </w:rPr>
      </w:pPr>
    </w:p>
    <w:p w14:paraId="1E2D930E">
      <w:pPr>
        <w:pStyle w:val="7"/>
        <w:ind w:firstLine="2240" w:firstLineChars="700"/>
        <w:rPr>
          <w:color w:val="auto"/>
          <w:highlight w:val="none"/>
        </w:rPr>
      </w:pPr>
      <w:r>
        <w:rPr>
          <w:rFonts w:hint="eastAsia" w:ascii="黑体" w:hAnsi="黑体" w:eastAsia="黑体" w:cs="黑体"/>
          <w:color w:val="auto"/>
          <w:sz w:val="32"/>
          <w:szCs w:val="32"/>
          <w:highlight w:val="none"/>
          <w:lang w:eastAsia="zh-CN"/>
        </w:rPr>
        <w:drawing>
          <wp:anchor distT="0" distB="0" distL="114300" distR="114300" simplePos="0" relativeHeight="251661312" behindDoc="0" locked="0" layoutInCell="1" allowOverlap="1">
            <wp:simplePos x="0" y="0"/>
            <wp:positionH relativeFrom="column">
              <wp:posOffset>295275</wp:posOffset>
            </wp:positionH>
            <wp:positionV relativeFrom="paragraph">
              <wp:posOffset>-181610</wp:posOffset>
            </wp:positionV>
            <wp:extent cx="4926965" cy="1891665"/>
            <wp:effectExtent l="4445" t="4445" r="21590" b="8890"/>
            <wp:wrapTopAndBottom/>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anchor>
        </w:drawing>
      </w:r>
      <w:r>
        <w:rPr>
          <w:rFonts w:hint="eastAsia" w:ascii="黑体" w:hAnsi="黑体" w:eastAsia="黑体" w:cs="黑体"/>
          <w:b w:val="0"/>
          <w:bCs w:val="0"/>
          <w:color w:val="auto"/>
          <w:sz w:val="32"/>
          <w:szCs w:val="32"/>
          <w:highlight w:val="none"/>
        </w:rPr>
        <w:t>（图2：收入决算结构图）</w:t>
      </w:r>
    </w:p>
    <w:p w14:paraId="319A2F59">
      <w:pPr>
        <w:pStyle w:val="32"/>
        <w:numPr>
          <w:ilvl w:val="0"/>
          <w:numId w:val="0"/>
        </w:numPr>
        <w:spacing w:line="600" w:lineRule="exact"/>
        <w:ind w:left="640" w:leftChars="0"/>
        <w:outlineLvl w:val="9"/>
        <w:rPr>
          <w:rStyle w:val="23"/>
          <w:rFonts w:ascii="黑体" w:hAnsi="黑体" w:eastAsia="黑体"/>
          <w:b w:val="0"/>
          <w:color w:val="auto"/>
          <w:highlight w:val="none"/>
        </w:rPr>
      </w:pPr>
      <w:bookmarkStart w:id="41" w:name="_Toc15377207"/>
      <w:bookmarkStart w:id="42" w:name="_Toc15396605"/>
    </w:p>
    <w:p w14:paraId="7D1B2728">
      <w:pPr>
        <w:pStyle w:val="32"/>
        <w:numPr>
          <w:ilvl w:val="0"/>
          <w:numId w:val="1"/>
        </w:numPr>
        <w:spacing w:line="600" w:lineRule="exact"/>
        <w:ind w:firstLineChars="0"/>
        <w:outlineLvl w:val="1"/>
        <w:rPr>
          <w:rStyle w:val="23"/>
          <w:rFonts w:ascii="黑体" w:hAnsi="黑体" w:eastAsia="黑体"/>
          <w:b w:val="0"/>
          <w:color w:val="auto"/>
          <w:highlight w:val="none"/>
        </w:rPr>
      </w:pPr>
      <w:bookmarkStart w:id="43" w:name="_Toc18825"/>
      <w:r>
        <w:rPr>
          <w:rFonts w:hint="eastAsia" w:ascii="黑体" w:hAnsi="黑体" w:eastAsia="黑体"/>
          <w:color w:val="auto"/>
          <w:sz w:val="32"/>
          <w:szCs w:val="32"/>
          <w:highlight w:val="none"/>
        </w:rPr>
        <w:t>支</w:t>
      </w:r>
      <w:r>
        <w:rPr>
          <w:rStyle w:val="23"/>
          <w:rFonts w:hint="eastAsia" w:ascii="黑体" w:hAnsi="黑体" w:eastAsia="黑体"/>
          <w:b w:val="0"/>
          <w:color w:val="auto"/>
          <w:highlight w:val="none"/>
        </w:rPr>
        <w:t>出决算情况说明</w:t>
      </w:r>
      <w:bookmarkEnd w:id="41"/>
      <w:bookmarkEnd w:id="42"/>
      <w:bookmarkEnd w:id="43"/>
    </w:p>
    <w:p w14:paraId="67D5DDDF">
      <w:pPr>
        <w:spacing w:line="600" w:lineRule="exact"/>
        <w:ind w:firstLine="640"/>
        <w:rPr>
          <w:rFonts w:hint="eastAsia" w:ascii="仿宋" w:hAnsi="仿宋" w:eastAsia="仿宋"/>
          <w:color w:val="auto"/>
          <w:sz w:val="32"/>
          <w:szCs w:val="32"/>
          <w:highlight w:val="none"/>
          <w:lang w:eastAsia="zh-CN"/>
        </w:rPr>
      </w:pPr>
      <w:r>
        <w:rPr>
          <w:rFonts w:hint="eastAsia" w:ascii="仿宋" w:hAnsi="仿宋" w:eastAsia="仿宋"/>
          <w:color w:val="auto"/>
          <w:sz w:val="32"/>
          <w:szCs w:val="32"/>
          <w:highlight w:val="none"/>
          <w:lang w:eastAsia="zh-CN"/>
        </w:rPr>
        <w:drawing>
          <wp:anchor distT="0" distB="0" distL="114300" distR="114300" simplePos="0" relativeHeight="251660288" behindDoc="0" locked="0" layoutInCell="1" allowOverlap="1">
            <wp:simplePos x="0" y="0"/>
            <wp:positionH relativeFrom="column">
              <wp:posOffset>282575</wp:posOffset>
            </wp:positionH>
            <wp:positionV relativeFrom="page">
              <wp:posOffset>5337810</wp:posOffset>
            </wp:positionV>
            <wp:extent cx="4774565" cy="2439670"/>
            <wp:effectExtent l="4445" t="4445" r="21590" b="13335"/>
            <wp:wrapTopAndBottom/>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年本年支出合计</w:t>
      </w:r>
      <w:r>
        <w:rPr>
          <w:rFonts w:hint="eastAsia" w:ascii="仿宋" w:hAnsi="仿宋" w:eastAsia="仿宋"/>
          <w:color w:val="auto"/>
          <w:sz w:val="32"/>
          <w:szCs w:val="32"/>
          <w:highlight w:val="none"/>
          <w:lang w:val="en-US" w:eastAsia="zh-CN"/>
        </w:rPr>
        <w:t>1868.68</w:t>
      </w:r>
      <w:r>
        <w:rPr>
          <w:rFonts w:hint="eastAsia" w:ascii="仿宋" w:hAnsi="仿宋" w:eastAsia="仿宋"/>
          <w:color w:val="auto"/>
          <w:sz w:val="32"/>
          <w:szCs w:val="32"/>
          <w:highlight w:val="none"/>
        </w:rPr>
        <w:t>万元，其中：基本支出</w:t>
      </w:r>
      <w:r>
        <w:rPr>
          <w:rFonts w:hint="eastAsia" w:ascii="仿宋" w:hAnsi="仿宋" w:eastAsia="仿宋"/>
          <w:color w:val="auto"/>
          <w:sz w:val="32"/>
          <w:szCs w:val="32"/>
          <w:highlight w:val="none"/>
          <w:lang w:val="en-US" w:eastAsia="zh-CN"/>
        </w:rPr>
        <w:t>446.22</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22</w:t>
      </w:r>
      <w:r>
        <w:rPr>
          <w:rFonts w:ascii="仿宋" w:hAnsi="仿宋" w:eastAsia="仿宋"/>
          <w:color w:val="auto"/>
          <w:sz w:val="32"/>
          <w:szCs w:val="32"/>
          <w:highlight w:val="none"/>
        </w:rPr>
        <w:t>%</w:t>
      </w:r>
      <w:r>
        <w:rPr>
          <w:rFonts w:hint="eastAsia" w:ascii="仿宋" w:hAnsi="仿宋" w:eastAsia="仿宋"/>
          <w:color w:val="auto"/>
          <w:sz w:val="32"/>
          <w:szCs w:val="32"/>
          <w:highlight w:val="none"/>
        </w:rPr>
        <w:t>；项目支出</w:t>
      </w:r>
      <w:r>
        <w:rPr>
          <w:rFonts w:hint="eastAsia" w:ascii="仿宋" w:hAnsi="仿宋" w:eastAsia="仿宋"/>
          <w:color w:val="auto"/>
          <w:sz w:val="32"/>
          <w:szCs w:val="32"/>
          <w:highlight w:val="none"/>
          <w:lang w:val="en-US" w:eastAsia="zh-CN"/>
        </w:rPr>
        <w:t>1422.46</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78</w:t>
      </w:r>
      <w:r>
        <w:rPr>
          <w:rFonts w:ascii="仿宋" w:hAnsi="仿宋" w:eastAsia="仿宋"/>
          <w:color w:val="auto"/>
          <w:sz w:val="32"/>
          <w:szCs w:val="32"/>
          <w:highlight w:val="none"/>
        </w:rPr>
        <w:t>%</w:t>
      </w:r>
      <w:r>
        <w:rPr>
          <w:rFonts w:hint="eastAsia" w:ascii="仿宋" w:hAnsi="仿宋" w:eastAsia="仿宋"/>
          <w:color w:val="auto"/>
          <w:sz w:val="32"/>
          <w:szCs w:val="32"/>
          <w:highlight w:val="none"/>
          <w:lang w:eastAsia="zh-CN"/>
        </w:rPr>
        <w:t>。</w:t>
      </w:r>
    </w:p>
    <w:p w14:paraId="63331851">
      <w:pPr>
        <w:pStyle w:val="7"/>
        <w:rPr>
          <w:rFonts w:hint="eastAsia" w:ascii="黑体" w:hAnsi="黑体" w:eastAsia="黑体" w:cs="黑体"/>
          <w:color w:val="auto"/>
          <w:sz w:val="32"/>
          <w:szCs w:val="32"/>
          <w:highlight w:val="none"/>
          <w:lang w:val="en-US" w:eastAsia="zh-CN"/>
        </w:rPr>
      </w:pPr>
      <w:bookmarkStart w:id="44" w:name="_Toc15377208"/>
      <w:bookmarkStart w:id="45" w:name="_Toc15396606"/>
      <w:r>
        <w:rPr>
          <w:rFonts w:hint="eastAsia" w:ascii="黑体" w:hAnsi="黑体" w:eastAsia="黑体" w:cs="黑体"/>
          <w:color w:val="auto"/>
          <w:sz w:val="32"/>
          <w:szCs w:val="32"/>
          <w:highlight w:val="none"/>
          <w:lang w:val="en-US" w:eastAsia="zh-CN"/>
        </w:rPr>
        <w:t xml:space="preserve">               </w:t>
      </w:r>
      <w:r>
        <w:rPr>
          <w:rFonts w:hint="eastAsia" w:ascii="黑体" w:hAnsi="黑体" w:eastAsia="黑体" w:cs="黑体"/>
          <w:color w:val="auto"/>
          <w:sz w:val="32"/>
          <w:szCs w:val="32"/>
          <w:highlight w:val="none"/>
        </w:rPr>
        <w:t>（图3：支出决算结构图）</w:t>
      </w:r>
    </w:p>
    <w:p w14:paraId="1626E564">
      <w:pPr>
        <w:pStyle w:val="7"/>
        <w:ind w:firstLine="640" w:firstLineChars="200"/>
        <w:outlineLvl w:val="1"/>
        <w:rPr>
          <w:rStyle w:val="23"/>
          <w:rFonts w:ascii="黑体" w:hAnsi="黑体" w:eastAsia="黑体"/>
          <w:b w:val="0"/>
          <w:color w:val="auto"/>
          <w:highlight w:val="none"/>
        </w:rPr>
      </w:pPr>
      <w:bookmarkStart w:id="46" w:name="_Toc24633"/>
      <w:r>
        <w:rPr>
          <w:rFonts w:hint="eastAsia" w:ascii="黑体" w:hAnsi="黑体" w:eastAsia="黑体"/>
          <w:color w:val="auto"/>
          <w:sz w:val="32"/>
          <w:szCs w:val="32"/>
          <w:highlight w:val="none"/>
        </w:rPr>
        <w:t>四、财</w:t>
      </w:r>
      <w:r>
        <w:rPr>
          <w:rStyle w:val="23"/>
          <w:rFonts w:hint="eastAsia" w:ascii="黑体" w:hAnsi="黑体" w:eastAsia="黑体"/>
          <w:b w:val="0"/>
          <w:color w:val="auto"/>
          <w:highlight w:val="none"/>
        </w:rPr>
        <w:t>政拨款收入支出决算总体情况说明</w:t>
      </w:r>
      <w:bookmarkEnd w:id="44"/>
      <w:bookmarkEnd w:id="45"/>
      <w:bookmarkEnd w:id="46"/>
    </w:p>
    <w:p w14:paraId="5A9E10CA">
      <w:pPr>
        <w:spacing w:line="600" w:lineRule="exact"/>
        <w:rPr>
          <w:rFonts w:hint="eastAsia" w:ascii="仿宋" w:hAnsi="仿宋" w:eastAsia="仿宋"/>
          <w:color w:val="auto"/>
          <w:sz w:val="32"/>
          <w:szCs w:val="32"/>
          <w:highlight w:val="none"/>
        </w:rPr>
      </w:pPr>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年财政拨款收、支总计</w:t>
      </w:r>
      <w:r>
        <w:rPr>
          <w:rFonts w:hint="eastAsia" w:ascii="仿宋" w:hAnsi="仿宋" w:eastAsia="仿宋"/>
          <w:color w:val="auto"/>
          <w:sz w:val="32"/>
          <w:szCs w:val="32"/>
          <w:highlight w:val="none"/>
          <w:lang w:val="en-US" w:eastAsia="zh-CN"/>
        </w:rPr>
        <w:t>1868.68</w:t>
      </w:r>
      <w:r>
        <w:rPr>
          <w:rFonts w:hint="eastAsia" w:ascii="仿宋" w:hAnsi="仿宋" w:eastAsia="仿宋"/>
          <w:color w:val="auto"/>
          <w:sz w:val="32"/>
          <w:szCs w:val="32"/>
          <w:highlight w:val="none"/>
        </w:rPr>
        <w:t>万元。与</w:t>
      </w:r>
      <w:r>
        <w:rPr>
          <w:rFonts w:hint="eastAsia" w:ascii="仿宋" w:hAnsi="仿宋" w:eastAsia="仿宋"/>
          <w:color w:val="auto"/>
          <w:sz w:val="32"/>
          <w:szCs w:val="32"/>
          <w:highlight w:val="none"/>
          <w:lang w:val="en-US" w:eastAsia="zh-CN"/>
        </w:rPr>
        <w:t>2023</w:t>
      </w:r>
      <w:r>
        <w:rPr>
          <w:rFonts w:hint="eastAsia" w:ascii="仿宋" w:hAnsi="仿宋" w:eastAsia="仿宋"/>
          <w:color w:val="auto"/>
          <w:sz w:val="32"/>
          <w:szCs w:val="32"/>
          <w:highlight w:val="none"/>
        </w:rPr>
        <w:t>年相比，财政拨款收、支总计各</w:t>
      </w:r>
      <w:r>
        <w:rPr>
          <w:rFonts w:hint="eastAsia" w:ascii="仿宋" w:hAnsi="仿宋" w:eastAsia="仿宋"/>
          <w:color w:val="auto"/>
          <w:sz w:val="32"/>
          <w:szCs w:val="32"/>
          <w:highlight w:val="none"/>
          <w:lang w:eastAsia="zh-CN"/>
        </w:rPr>
        <w:t>增加</w:t>
      </w:r>
      <w:r>
        <w:rPr>
          <w:rFonts w:hint="eastAsia" w:ascii="仿宋" w:hAnsi="仿宋" w:eastAsia="仿宋"/>
          <w:color w:val="auto"/>
          <w:sz w:val="32"/>
          <w:szCs w:val="32"/>
          <w:highlight w:val="none"/>
          <w:lang w:val="en-US" w:eastAsia="zh-CN"/>
        </w:rPr>
        <w:t>643.11</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增加</w:t>
      </w:r>
      <w:r>
        <w:rPr>
          <w:rFonts w:hint="eastAsia" w:ascii="仿宋" w:hAnsi="仿宋" w:eastAsia="仿宋"/>
          <w:color w:val="auto"/>
          <w:sz w:val="32"/>
          <w:szCs w:val="32"/>
          <w:highlight w:val="none"/>
          <w:lang w:val="en-US" w:eastAsia="zh-CN"/>
        </w:rPr>
        <w:t>34.32</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项目增加。</w:t>
      </w:r>
    </w:p>
    <w:p w14:paraId="63EAE56B">
      <w:pPr>
        <w:spacing w:line="600" w:lineRule="exact"/>
        <w:ind w:firstLine="1606" w:firstLineChars="500"/>
        <w:outlineLvl w:val="9"/>
        <w:rPr>
          <w:rFonts w:hint="eastAsia" w:ascii="黑体" w:hAnsi="黑体" w:eastAsia="黑体"/>
          <w:color w:val="auto"/>
          <w:sz w:val="32"/>
          <w:szCs w:val="32"/>
          <w:highlight w:val="none"/>
        </w:rPr>
      </w:pPr>
      <w:bookmarkStart w:id="47" w:name="_Toc15377209"/>
      <w:bookmarkStart w:id="48" w:name="_Toc15396607"/>
      <w:r>
        <w:rPr>
          <w:rFonts w:hint="eastAsia" w:ascii="黑体" w:hAnsi="黑体" w:eastAsia="黑体" w:cs="黑体"/>
          <w:b/>
          <w:bCs/>
          <w:color w:val="auto"/>
          <w:sz w:val="32"/>
          <w:szCs w:val="32"/>
          <w:highlight w:val="none"/>
          <w:lang w:eastAsia="zh-CN"/>
        </w:rPr>
        <w:drawing>
          <wp:anchor distT="0" distB="0" distL="114300" distR="114300" simplePos="0" relativeHeight="251662336" behindDoc="0" locked="0" layoutInCell="1" allowOverlap="1">
            <wp:simplePos x="0" y="0"/>
            <wp:positionH relativeFrom="column">
              <wp:posOffset>433070</wp:posOffset>
            </wp:positionH>
            <wp:positionV relativeFrom="paragraph">
              <wp:posOffset>154940</wp:posOffset>
            </wp:positionV>
            <wp:extent cx="5151755" cy="2751455"/>
            <wp:effectExtent l="4445" t="4445" r="6350" b="6350"/>
            <wp:wrapTopAndBottom/>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Pr>
          <w:rFonts w:hint="eastAsia" w:ascii="仿宋" w:hAnsi="仿宋" w:eastAsia="仿宋"/>
          <w:b/>
          <w:bCs/>
          <w:color w:val="auto"/>
          <w:sz w:val="32"/>
          <w:szCs w:val="32"/>
          <w:highlight w:val="none"/>
        </w:rPr>
        <w:t>（图4：财政拨款收、支决算总计变动情况）</w:t>
      </w:r>
    </w:p>
    <w:p w14:paraId="61C4B786">
      <w:pPr>
        <w:spacing w:line="600" w:lineRule="exact"/>
        <w:ind w:firstLine="640" w:firstLineChars="200"/>
        <w:outlineLvl w:val="1"/>
        <w:rPr>
          <w:rStyle w:val="23"/>
          <w:rFonts w:ascii="黑体" w:hAnsi="黑体" w:eastAsia="黑体"/>
          <w:b w:val="0"/>
          <w:color w:val="auto"/>
          <w:highlight w:val="none"/>
        </w:rPr>
      </w:pPr>
      <w:bookmarkStart w:id="49" w:name="_Toc2657"/>
      <w:r>
        <w:rPr>
          <w:rFonts w:hint="eastAsia" w:ascii="黑体" w:hAnsi="黑体" w:eastAsia="黑体"/>
          <w:color w:val="auto"/>
          <w:sz w:val="32"/>
          <w:szCs w:val="32"/>
          <w:highlight w:val="none"/>
        </w:rPr>
        <w:t>五、</w:t>
      </w:r>
      <w:r>
        <w:rPr>
          <w:rFonts w:hint="eastAsia" w:ascii="黑体" w:hAnsi="黑体" w:eastAsia="黑体"/>
          <w:b/>
          <w:color w:val="auto"/>
          <w:sz w:val="32"/>
          <w:szCs w:val="32"/>
          <w:highlight w:val="none"/>
        </w:rPr>
        <w:t>一</w:t>
      </w:r>
      <w:r>
        <w:rPr>
          <w:rStyle w:val="23"/>
          <w:rFonts w:hint="eastAsia" w:ascii="黑体" w:hAnsi="黑体" w:eastAsia="黑体"/>
          <w:b w:val="0"/>
          <w:color w:val="auto"/>
          <w:highlight w:val="none"/>
        </w:rPr>
        <w:t>般公共预算财政拨款支出决算情况说明</w:t>
      </w:r>
      <w:bookmarkEnd w:id="47"/>
      <w:bookmarkEnd w:id="48"/>
      <w:bookmarkEnd w:id="49"/>
    </w:p>
    <w:p w14:paraId="41939EA5">
      <w:pPr>
        <w:spacing w:line="600" w:lineRule="exact"/>
        <w:ind w:firstLine="643" w:firstLineChars="200"/>
        <w:outlineLvl w:val="2"/>
        <w:rPr>
          <w:rFonts w:ascii="仿宋" w:hAnsi="仿宋" w:eastAsia="仿宋"/>
          <w:b/>
          <w:color w:val="auto"/>
          <w:sz w:val="32"/>
          <w:szCs w:val="32"/>
          <w:highlight w:val="none"/>
        </w:rPr>
      </w:pPr>
      <w:bookmarkStart w:id="50" w:name="_Toc15377210"/>
      <w:r>
        <w:rPr>
          <w:rFonts w:hint="eastAsia" w:ascii="仿宋" w:hAnsi="仿宋" w:eastAsia="仿宋"/>
          <w:b/>
          <w:color w:val="auto"/>
          <w:sz w:val="32"/>
          <w:szCs w:val="32"/>
          <w:highlight w:val="none"/>
        </w:rPr>
        <w:t>（一）一般公共预算财政拨款支出决算总体情况</w:t>
      </w:r>
      <w:bookmarkEnd w:id="50"/>
    </w:p>
    <w:p w14:paraId="699AEEEE">
      <w:pPr>
        <w:spacing w:line="600" w:lineRule="exact"/>
        <w:ind w:firstLine="640" w:firstLineChars="200"/>
        <w:rPr>
          <w:rFonts w:hint="eastAsia" w:ascii="仿宋" w:hAnsi="仿宋" w:eastAsia="仿宋"/>
          <w:color w:val="auto"/>
          <w:sz w:val="32"/>
          <w:szCs w:val="32"/>
          <w:highlight w:val="none"/>
        </w:rPr>
      </w:pPr>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1709.25</w:t>
      </w:r>
      <w:r>
        <w:rPr>
          <w:rFonts w:hint="eastAsia" w:ascii="仿宋" w:hAnsi="仿宋" w:eastAsia="仿宋"/>
          <w:color w:val="auto"/>
          <w:sz w:val="32"/>
          <w:szCs w:val="32"/>
          <w:highlight w:val="none"/>
        </w:rPr>
        <w:t>万元，占本年支出合计的</w:t>
      </w:r>
      <w:r>
        <w:rPr>
          <w:rFonts w:hint="eastAsia" w:ascii="仿宋" w:hAnsi="仿宋" w:eastAsia="仿宋"/>
          <w:color w:val="auto"/>
          <w:sz w:val="32"/>
          <w:szCs w:val="32"/>
          <w:highlight w:val="none"/>
          <w:lang w:val="en-US" w:eastAsia="zh-CN"/>
        </w:rPr>
        <w:t>92</w:t>
      </w:r>
      <w:r>
        <w:rPr>
          <w:rFonts w:ascii="仿宋" w:hAnsi="仿宋" w:eastAsia="仿宋"/>
          <w:color w:val="auto"/>
          <w:sz w:val="32"/>
          <w:szCs w:val="32"/>
          <w:highlight w:val="none"/>
        </w:rPr>
        <w:t>%</w:t>
      </w:r>
      <w:r>
        <w:rPr>
          <w:rFonts w:hint="eastAsia" w:ascii="仿宋" w:hAnsi="仿宋" w:eastAsia="仿宋"/>
          <w:color w:val="auto"/>
          <w:sz w:val="32"/>
          <w:szCs w:val="32"/>
          <w:highlight w:val="none"/>
        </w:rPr>
        <w:t>。与</w:t>
      </w:r>
      <w:r>
        <w:rPr>
          <w:rFonts w:hint="eastAsia" w:ascii="仿宋" w:hAnsi="仿宋" w:eastAsia="仿宋"/>
          <w:color w:val="auto"/>
          <w:sz w:val="32"/>
          <w:szCs w:val="32"/>
          <w:highlight w:val="none"/>
          <w:lang w:val="en-US" w:eastAsia="zh-CN"/>
        </w:rPr>
        <w:t>2023</w:t>
      </w:r>
      <w:r>
        <w:rPr>
          <w:rFonts w:hint="eastAsia" w:ascii="仿宋" w:hAnsi="仿宋" w:eastAsia="仿宋"/>
          <w:color w:val="auto"/>
          <w:sz w:val="32"/>
          <w:szCs w:val="32"/>
          <w:highlight w:val="none"/>
        </w:rPr>
        <w:t>年相比，一般公共预算财政拨款</w:t>
      </w:r>
      <w:r>
        <w:rPr>
          <w:rFonts w:hint="eastAsia" w:ascii="仿宋" w:hAnsi="仿宋" w:eastAsia="仿宋"/>
          <w:color w:val="auto"/>
          <w:sz w:val="32"/>
          <w:szCs w:val="32"/>
          <w:highlight w:val="none"/>
          <w:lang w:eastAsia="zh-CN"/>
        </w:rPr>
        <w:t>增加</w:t>
      </w:r>
      <w:r>
        <w:rPr>
          <w:rFonts w:hint="eastAsia" w:ascii="仿宋" w:hAnsi="仿宋" w:eastAsia="仿宋"/>
          <w:color w:val="auto"/>
          <w:sz w:val="32"/>
          <w:szCs w:val="32"/>
          <w:highlight w:val="none"/>
          <w:lang w:val="en-US" w:eastAsia="zh-CN"/>
        </w:rPr>
        <w:t>550.64</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增加</w:t>
      </w:r>
      <w:r>
        <w:rPr>
          <w:rFonts w:hint="eastAsia" w:ascii="仿宋" w:hAnsi="仿宋" w:eastAsia="仿宋"/>
          <w:color w:val="auto"/>
          <w:sz w:val="32"/>
          <w:szCs w:val="32"/>
          <w:highlight w:val="none"/>
          <w:lang w:val="en-US" w:eastAsia="zh-CN"/>
        </w:rPr>
        <w:t>47.53</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一般公共预算项目增加</w:t>
      </w:r>
      <w:r>
        <w:rPr>
          <w:rFonts w:hint="eastAsia" w:ascii="仿宋" w:hAnsi="仿宋" w:eastAsia="仿宋"/>
          <w:color w:val="auto"/>
          <w:sz w:val="32"/>
          <w:szCs w:val="32"/>
          <w:highlight w:val="none"/>
        </w:rPr>
        <w:t>。</w:t>
      </w:r>
    </w:p>
    <w:p w14:paraId="7F4B6E16">
      <w:pPr>
        <w:pStyle w:val="2"/>
        <w:rPr>
          <w:rFonts w:hint="eastAsia" w:ascii="仿宋" w:hAnsi="仿宋" w:eastAsia="仿宋"/>
          <w:color w:val="auto"/>
          <w:sz w:val="32"/>
          <w:szCs w:val="32"/>
          <w:highlight w:val="none"/>
        </w:rPr>
      </w:pPr>
    </w:p>
    <w:p w14:paraId="48EC22C8">
      <w:pPr>
        <w:rPr>
          <w:rFonts w:hint="eastAsia" w:ascii="仿宋" w:hAnsi="仿宋" w:eastAsia="仿宋"/>
          <w:color w:val="auto"/>
          <w:sz w:val="32"/>
          <w:szCs w:val="32"/>
          <w:highlight w:val="none"/>
        </w:rPr>
      </w:pPr>
    </w:p>
    <w:p w14:paraId="039631B5">
      <w:pPr>
        <w:pStyle w:val="2"/>
        <w:rPr>
          <w:rFonts w:hint="eastAsia"/>
        </w:rPr>
      </w:pPr>
      <w:r>
        <w:rPr>
          <w:rFonts w:hint="eastAsia" w:ascii="仿宋" w:hAnsi="仿宋" w:eastAsia="仿宋"/>
          <w:color w:val="auto"/>
          <w:sz w:val="32"/>
          <w:szCs w:val="32"/>
          <w:highlight w:val="none"/>
          <w:lang w:eastAsia="zh-CN"/>
        </w:rPr>
        <w:drawing>
          <wp:anchor distT="0" distB="0" distL="114300" distR="114300" simplePos="0" relativeHeight="251663360" behindDoc="0" locked="0" layoutInCell="1" allowOverlap="1">
            <wp:simplePos x="0" y="0"/>
            <wp:positionH relativeFrom="column">
              <wp:posOffset>436245</wp:posOffset>
            </wp:positionH>
            <wp:positionV relativeFrom="page">
              <wp:posOffset>1613535</wp:posOffset>
            </wp:positionV>
            <wp:extent cx="5039360" cy="3411855"/>
            <wp:effectExtent l="4445" t="4445" r="23495" b="12700"/>
            <wp:wrapTopAndBottom/>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14:paraId="64977E6F">
      <w:pPr>
        <w:pStyle w:val="8"/>
        <w:pageBreakBefore w:val="0"/>
        <w:kinsoku/>
        <w:wordWrap/>
        <w:overflowPunct/>
        <w:topLinePunct w:val="0"/>
        <w:bidi w:val="0"/>
        <w:spacing w:line="576" w:lineRule="exact"/>
        <w:jc w:val="center"/>
        <w:textAlignment w:val="auto"/>
        <w:rPr>
          <w:rFonts w:hint="eastAsia" w:ascii="仿宋" w:hAnsi="仿宋" w:eastAsia="仿宋"/>
          <w:color w:val="auto"/>
          <w:sz w:val="32"/>
          <w:szCs w:val="32"/>
          <w:highlight w:val="none"/>
          <w:lang w:eastAsia="zh-CN"/>
        </w:rPr>
      </w:pPr>
      <w:r>
        <w:rPr>
          <w:rFonts w:hint="eastAsia" w:ascii="仿宋" w:hAnsi="仿宋" w:eastAsia="仿宋"/>
          <w:b/>
          <w:bCs/>
          <w:color w:val="auto"/>
          <w:sz w:val="32"/>
          <w:szCs w:val="32"/>
          <w:highlight w:val="none"/>
          <w:lang w:val="en-US" w:eastAsia="zh-CN"/>
        </w:rPr>
        <w:t xml:space="preserve"> （图5：一般公共预算财政拨款支出决算变动情况）</w:t>
      </w:r>
      <w:bookmarkStart w:id="51" w:name="_Toc15377211"/>
    </w:p>
    <w:p w14:paraId="42425BED">
      <w:pPr>
        <w:pStyle w:val="7"/>
        <w:ind w:firstLine="643" w:firstLineChars="200"/>
        <w:rPr>
          <w:rFonts w:ascii="仿宋" w:hAnsi="仿宋" w:eastAsia="仿宋"/>
          <w:b/>
          <w:color w:val="auto"/>
          <w:sz w:val="32"/>
          <w:szCs w:val="32"/>
          <w:highlight w:val="none"/>
        </w:rPr>
      </w:pPr>
      <w:r>
        <w:rPr>
          <w:rFonts w:hint="eastAsia" w:ascii="仿宋" w:hAnsi="仿宋" w:eastAsia="仿宋"/>
          <w:b/>
          <w:color w:val="auto"/>
          <w:sz w:val="32"/>
          <w:szCs w:val="32"/>
          <w:highlight w:val="none"/>
        </w:rPr>
        <w:t>（二）一般公共预算财政拨款支出决算结构情况</w:t>
      </w:r>
      <w:bookmarkEnd w:id="51"/>
    </w:p>
    <w:p w14:paraId="61516623">
      <w:pPr>
        <w:spacing w:line="560" w:lineRule="exact"/>
        <w:ind w:firstLine="640" w:firstLineChars="200"/>
        <w:rPr>
          <w:rFonts w:ascii="仿宋" w:hAnsi="仿宋" w:eastAsia="仿宋"/>
          <w:color w:val="auto"/>
          <w:sz w:val="32"/>
          <w:szCs w:val="32"/>
          <w:highlight w:val="none"/>
        </w:rPr>
      </w:pPr>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1709.25</w:t>
      </w:r>
      <w:r>
        <w:rPr>
          <w:rFonts w:hint="eastAsia" w:ascii="仿宋" w:hAnsi="仿宋" w:eastAsia="仿宋"/>
          <w:color w:val="auto"/>
          <w:sz w:val="32"/>
          <w:szCs w:val="32"/>
          <w:highlight w:val="none"/>
        </w:rPr>
        <w:t>万元，</w:t>
      </w:r>
      <w:r>
        <w:rPr>
          <w:rFonts w:hint="eastAsia" w:ascii="仿宋_GB2312" w:hAnsi="仿宋_GB2312" w:eastAsia="仿宋_GB2312" w:cs="仿宋_GB2312"/>
          <w:color w:val="auto"/>
          <w:sz w:val="32"/>
          <w:szCs w:val="32"/>
          <w:highlight w:val="none"/>
        </w:rPr>
        <w:t>主要用于以下方面</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一般公共服务支出</w:t>
      </w:r>
      <w:r>
        <w:rPr>
          <w:rFonts w:hint="eastAsia" w:ascii="仿宋_GB2312" w:hAnsi="仿宋_GB2312" w:eastAsia="仿宋_GB2312" w:cs="仿宋_GB2312"/>
          <w:color w:val="auto"/>
          <w:sz w:val="32"/>
          <w:szCs w:val="32"/>
          <w:highlight w:val="none"/>
          <w:lang w:val="en-US" w:eastAsia="zh-CN"/>
        </w:rPr>
        <w:t>466.58</w:t>
      </w:r>
      <w:r>
        <w:rPr>
          <w:rFonts w:hint="eastAsia" w:ascii="仿宋_GB2312" w:hAnsi="仿宋_GB2312" w:eastAsia="仿宋_GB2312" w:cs="仿宋_GB2312"/>
          <w:color w:val="auto"/>
          <w:sz w:val="32"/>
          <w:szCs w:val="32"/>
          <w:highlight w:val="none"/>
        </w:rPr>
        <w:t>万元，占</w:t>
      </w:r>
      <w:r>
        <w:rPr>
          <w:rFonts w:hint="eastAsia" w:ascii="仿宋_GB2312" w:hAnsi="仿宋_GB2312" w:eastAsia="仿宋_GB2312" w:cs="仿宋_GB2312"/>
          <w:color w:val="auto"/>
          <w:sz w:val="32"/>
          <w:szCs w:val="32"/>
          <w:highlight w:val="none"/>
          <w:lang w:val="en-US" w:eastAsia="zh-CN"/>
        </w:rPr>
        <w:t>27.3</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国防支出</w:t>
      </w:r>
      <w:r>
        <w:rPr>
          <w:rFonts w:hint="eastAsia" w:ascii="仿宋_GB2312" w:hAnsi="仿宋_GB2312" w:eastAsia="仿宋_GB2312" w:cs="仿宋_GB2312"/>
          <w:color w:val="auto"/>
          <w:sz w:val="32"/>
          <w:szCs w:val="32"/>
          <w:highlight w:val="none"/>
          <w:lang w:val="en-US" w:eastAsia="zh-CN"/>
        </w:rPr>
        <w:t>1万元，占0.05%；</w:t>
      </w:r>
      <w:r>
        <w:rPr>
          <w:rFonts w:hint="eastAsia" w:ascii="仿宋_GB2312" w:hAnsi="仿宋_GB2312" w:eastAsia="仿宋_GB2312" w:cs="仿宋_GB2312"/>
          <w:color w:val="auto"/>
          <w:sz w:val="32"/>
          <w:szCs w:val="32"/>
          <w:highlight w:val="none"/>
        </w:rPr>
        <w:t>公共安全支出</w:t>
      </w:r>
      <w:r>
        <w:rPr>
          <w:rFonts w:hint="eastAsia" w:ascii="仿宋_GB2312" w:hAnsi="仿宋_GB2312" w:eastAsia="仿宋_GB2312" w:cs="仿宋_GB2312"/>
          <w:color w:val="auto"/>
          <w:sz w:val="32"/>
          <w:szCs w:val="32"/>
          <w:highlight w:val="none"/>
          <w:lang w:val="en-US" w:eastAsia="zh-CN"/>
        </w:rPr>
        <w:t>22</w:t>
      </w:r>
      <w:r>
        <w:rPr>
          <w:rFonts w:hint="eastAsia" w:ascii="仿宋_GB2312" w:hAnsi="仿宋_GB2312" w:eastAsia="仿宋_GB2312" w:cs="仿宋_GB2312"/>
          <w:color w:val="auto"/>
          <w:sz w:val="32"/>
          <w:szCs w:val="32"/>
          <w:highlight w:val="none"/>
        </w:rPr>
        <w:t>万元，占</w:t>
      </w:r>
      <w:r>
        <w:rPr>
          <w:rFonts w:hint="eastAsia" w:ascii="仿宋_GB2312" w:hAnsi="仿宋_GB2312" w:eastAsia="仿宋_GB2312" w:cs="仿宋_GB2312"/>
          <w:color w:val="auto"/>
          <w:sz w:val="32"/>
          <w:szCs w:val="32"/>
          <w:highlight w:val="none"/>
          <w:lang w:val="en-US" w:eastAsia="zh-CN"/>
        </w:rPr>
        <w:t>1.29</w:t>
      </w:r>
      <w:r>
        <w:rPr>
          <w:rFonts w:hint="eastAsia" w:ascii="仿宋_GB2312" w:hAnsi="仿宋_GB2312" w:eastAsia="仿宋_GB2312" w:cs="仿宋_GB2312"/>
          <w:color w:val="auto"/>
          <w:sz w:val="32"/>
          <w:szCs w:val="32"/>
          <w:highlight w:val="none"/>
        </w:rPr>
        <w:t>%；社会保障和就业支出</w:t>
      </w:r>
      <w:r>
        <w:rPr>
          <w:rFonts w:hint="eastAsia" w:ascii="仿宋_GB2312" w:hAnsi="仿宋_GB2312" w:eastAsia="仿宋_GB2312" w:cs="仿宋_GB2312"/>
          <w:color w:val="auto"/>
          <w:sz w:val="32"/>
          <w:szCs w:val="32"/>
          <w:highlight w:val="none"/>
          <w:lang w:val="en-US" w:eastAsia="zh-CN"/>
        </w:rPr>
        <w:t>51.36</w:t>
      </w:r>
      <w:r>
        <w:rPr>
          <w:rFonts w:hint="eastAsia" w:ascii="仿宋_GB2312" w:hAnsi="仿宋_GB2312" w:eastAsia="仿宋_GB2312" w:cs="仿宋_GB2312"/>
          <w:color w:val="auto"/>
          <w:sz w:val="32"/>
          <w:szCs w:val="32"/>
          <w:highlight w:val="none"/>
        </w:rPr>
        <w:t>万元，占</w:t>
      </w: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%；卫生</w:t>
      </w:r>
      <w:r>
        <w:rPr>
          <w:rFonts w:hint="eastAsia" w:ascii="仿宋_GB2312" w:hAnsi="仿宋_GB2312" w:eastAsia="仿宋_GB2312" w:cs="仿宋_GB2312"/>
          <w:color w:val="auto"/>
          <w:sz w:val="32"/>
          <w:szCs w:val="32"/>
          <w:highlight w:val="none"/>
          <w:lang w:eastAsia="zh-CN"/>
        </w:rPr>
        <w:t>健康</w:t>
      </w:r>
      <w:r>
        <w:rPr>
          <w:rFonts w:hint="eastAsia" w:ascii="仿宋_GB2312" w:hAnsi="仿宋_GB2312" w:eastAsia="仿宋_GB2312" w:cs="仿宋_GB2312"/>
          <w:color w:val="auto"/>
          <w:sz w:val="32"/>
          <w:szCs w:val="32"/>
          <w:highlight w:val="none"/>
        </w:rPr>
        <w:t>支出</w:t>
      </w:r>
      <w:r>
        <w:rPr>
          <w:rFonts w:hint="eastAsia" w:ascii="仿宋_GB2312" w:hAnsi="仿宋_GB2312" w:eastAsia="仿宋_GB2312" w:cs="仿宋_GB2312"/>
          <w:color w:val="auto"/>
          <w:sz w:val="32"/>
          <w:szCs w:val="32"/>
          <w:highlight w:val="none"/>
          <w:lang w:val="en-US" w:eastAsia="zh-CN"/>
        </w:rPr>
        <w:t>17.14</w:t>
      </w:r>
      <w:r>
        <w:rPr>
          <w:rFonts w:hint="eastAsia" w:ascii="仿宋_GB2312" w:hAnsi="仿宋_GB2312" w:eastAsia="仿宋_GB2312" w:cs="仿宋_GB2312"/>
          <w:color w:val="auto"/>
          <w:sz w:val="32"/>
          <w:szCs w:val="32"/>
          <w:highlight w:val="none"/>
        </w:rPr>
        <w:t>万元，占</w:t>
      </w: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%；城乡社区支出</w:t>
      </w:r>
      <w:r>
        <w:rPr>
          <w:rFonts w:hint="eastAsia" w:ascii="仿宋_GB2312" w:hAnsi="仿宋_GB2312" w:eastAsia="仿宋_GB2312" w:cs="仿宋_GB2312"/>
          <w:color w:val="auto"/>
          <w:sz w:val="32"/>
          <w:szCs w:val="32"/>
          <w:highlight w:val="none"/>
          <w:lang w:val="en-US" w:eastAsia="zh-CN"/>
        </w:rPr>
        <w:t>8</w:t>
      </w:r>
      <w:r>
        <w:rPr>
          <w:rFonts w:hint="eastAsia" w:ascii="仿宋_GB2312" w:hAnsi="仿宋_GB2312" w:eastAsia="仿宋_GB2312" w:cs="仿宋_GB2312"/>
          <w:color w:val="auto"/>
          <w:sz w:val="32"/>
          <w:szCs w:val="32"/>
          <w:highlight w:val="none"/>
        </w:rPr>
        <w:t>万元，占0.</w:t>
      </w:r>
      <w:r>
        <w:rPr>
          <w:rFonts w:hint="eastAsia" w:ascii="仿宋_GB2312" w:hAnsi="仿宋_GB2312" w:eastAsia="仿宋_GB2312" w:cs="仿宋_GB2312"/>
          <w:color w:val="auto"/>
          <w:sz w:val="32"/>
          <w:szCs w:val="32"/>
          <w:highlight w:val="none"/>
          <w:lang w:val="en-US" w:eastAsia="zh-CN"/>
        </w:rPr>
        <w:t>47</w:t>
      </w:r>
      <w:r>
        <w:rPr>
          <w:rFonts w:hint="eastAsia" w:ascii="仿宋_GB2312" w:hAnsi="仿宋_GB2312" w:eastAsia="仿宋_GB2312" w:cs="仿宋_GB2312"/>
          <w:color w:val="auto"/>
          <w:sz w:val="32"/>
          <w:szCs w:val="32"/>
          <w:highlight w:val="none"/>
        </w:rPr>
        <w:t>%；农林水支出</w:t>
      </w:r>
      <w:r>
        <w:rPr>
          <w:rFonts w:hint="eastAsia" w:ascii="仿宋_GB2312" w:hAnsi="仿宋_GB2312" w:eastAsia="仿宋_GB2312" w:cs="仿宋_GB2312"/>
          <w:color w:val="auto"/>
          <w:sz w:val="32"/>
          <w:szCs w:val="32"/>
          <w:highlight w:val="none"/>
          <w:lang w:val="en-US" w:eastAsia="zh-CN"/>
        </w:rPr>
        <w:t>623.11</w:t>
      </w:r>
      <w:r>
        <w:rPr>
          <w:rFonts w:hint="eastAsia" w:ascii="仿宋_GB2312" w:hAnsi="仿宋_GB2312" w:eastAsia="仿宋_GB2312" w:cs="仿宋_GB2312"/>
          <w:color w:val="auto"/>
          <w:sz w:val="32"/>
          <w:szCs w:val="32"/>
          <w:highlight w:val="none"/>
        </w:rPr>
        <w:t>万元，占</w:t>
      </w:r>
      <w:r>
        <w:rPr>
          <w:rFonts w:hint="eastAsia" w:ascii="仿宋_GB2312" w:hAnsi="仿宋_GB2312" w:eastAsia="仿宋_GB2312" w:cs="仿宋_GB2312"/>
          <w:color w:val="auto"/>
          <w:sz w:val="32"/>
          <w:szCs w:val="32"/>
          <w:highlight w:val="none"/>
          <w:lang w:val="en-US" w:eastAsia="zh-CN"/>
        </w:rPr>
        <w:t>36.46</w:t>
      </w:r>
      <w:r>
        <w:rPr>
          <w:rFonts w:hint="eastAsia" w:ascii="仿宋_GB2312" w:hAnsi="仿宋_GB2312" w:eastAsia="仿宋_GB2312" w:cs="仿宋_GB2312"/>
          <w:color w:val="auto"/>
          <w:sz w:val="32"/>
          <w:szCs w:val="32"/>
          <w:highlight w:val="none"/>
        </w:rPr>
        <w:t>%；交通运输支出</w:t>
      </w:r>
      <w:r>
        <w:rPr>
          <w:rFonts w:hint="eastAsia" w:ascii="仿宋_GB2312" w:hAnsi="仿宋_GB2312" w:eastAsia="仿宋_GB2312" w:cs="仿宋_GB2312"/>
          <w:color w:val="auto"/>
          <w:sz w:val="32"/>
          <w:szCs w:val="32"/>
          <w:highlight w:val="none"/>
          <w:lang w:val="en-US" w:eastAsia="zh-CN"/>
        </w:rPr>
        <w:t>400</w:t>
      </w:r>
      <w:r>
        <w:rPr>
          <w:rFonts w:hint="eastAsia" w:ascii="仿宋_GB2312" w:hAnsi="仿宋_GB2312" w:eastAsia="仿宋_GB2312" w:cs="仿宋_GB2312"/>
          <w:color w:val="auto"/>
          <w:sz w:val="32"/>
          <w:szCs w:val="32"/>
          <w:highlight w:val="none"/>
        </w:rPr>
        <w:t>万元，占</w:t>
      </w:r>
      <w:r>
        <w:rPr>
          <w:rFonts w:hint="eastAsia" w:ascii="仿宋_GB2312" w:hAnsi="仿宋_GB2312" w:eastAsia="仿宋_GB2312" w:cs="仿宋_GB2312"/>
          <w:color w:val="auto"/>
          <w:sz w:val="32"/>
          <w:szCs w:val="32"/>
          <w:highlight w:val="none"/>
          <w:lang w:val="en-US" w:eastAsia="zh-CN"/>
        </w:rPr>
        <w:t>23.4</w:t>
      </w:r>
      <w:r>
        <w:rPr>
          <w:rFonts w:hint="eastAsia" w:ascii="仿宋_GB2312" w:hAnsi="仿宋_GB2312" w:eastAsia="仿宋_GB2312" w:cs="仿宋_GB2312"/>
          <w:color w:val="auto"/>
          <w:sz w:val="32"/>
          <w:szCs w:val="32"/>
          <w:highlight w:val="none"/>
        </w:rPr>
        <w:t>%；住房保障支出</w:t>
      </w:r>
      <w:r>
        <w:rPr>
          <w:rFonts w:hint="eastAsia" w:ascii="仿宋_GB2312" w:hAnsi="仿宋_GB2312" w:eastAsia="仿宋_GB2312" w:cs="仿宋_GB2312"/>
          <w:color w:val="auto"/>
          <w:sz w:val="32"/>
          <w:szCs w:val="32"/>
          <w:highlight w:val="none"/>
          <w:lang w:val="en-US" w:eastAsia="zh-CN"/>
        </w:rPr>
        <w:t>120.06</w:t>
      </w:r>
      <w:r>
        <w:rPr>
          <w:rFonts w:hint="eastAsia" w:ascii="仿宋_GB2312" w:hAnsi="仿宋_GB2312" w:eastAsia="仿宋_GB2312" w:cs="仿宋_GB2312"/>
          <w:color w:val="auto"/>
          <w:sz w:val="32"/>
          <w:szCs w:val="32"/>
          <w:highlight w:val="none"/>
        </w:rPr>
        <w:t>万元，占</w:t>
      </w:r>
      <w:r>
        <w:rPr>
          <w:rFonts w:hint="eastAsia" w:ascii="仿宋_GB2312" w:hAnsi="仿宋_GB2312" w:eastAsia="仿宋_GB2312" w:cs="仿宋_GB2312"/>
          <w:color w:val="auto"/>
          <w:sz w:val="32"/>
          <w:szCs w:val="32"/>
          <w:highlight w:val="none"/>
          <w:lang w:val="en-US" w:eastAsia="zh-CN"/>
        </w:rPr>
        <w:t>7.02</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　　　</w:t>
      </w:r>
    </w:p>
    <w:p w14:paraId="61F747AF">
      <w:pPr>
        <w:pageBreakBefore w:val="0"/>
        <w:kinsoku/>
        <w:wordWrap/>
        <w:overflowPunct/>
        <w:topLinePunct w:val="0"/>
        <w:bidi w:val="0"/>
        <w:spacing w:line="576" w:lineRule="exact"/>
        <w:jc w:val="center"/>
        <w:textAlignment w:val="auto"/>
        <w:rPr>
          <w:rFonts w:hint="eastAsia" w:ascii="仿宋" w:hAnsi="仿宋" w:eastAsia="仿宋"/>
          <w:b/>
          <w:color w:val="auto"/>
          <w:sz w:val="32"/>
          <w:szCs w:val="32"/>
          <w:highlight w:val="none"/>
        </w:rPr>
      </w:pPr>
      <w:bookmarkStart w:id="52" w:name="_Toc15377212"/>
    </w:p>
    <w:p w14:paraId="1C533E38">
      <w:pPr>
        <w:spacing w:line="600" w:lineRule="exact"/>
        <w:ind w:firstLine="960" w:firstLineChars="300"/>
        <w:outlineLvl w:val="2"/>
        <w:rPr>
          <w:rFonts w:hint="eastAsia" w:ascii="仿宋" w:hAnsi="仿宋" w:eastAsia="仿宋"/>
          <w:b/>
          <w:color w:val="auto"/>
          <w:sz w:val="32"/>
          <w:szCs w:val="32"/>
          <w:highlight w:val="none"/>
        </w:rPr>
      </w:pPr>
      <w:r>
        <w:rPr>
          <w:rFonts w:hint="eastAsia" w:ascii="仿宋" w:hAnsi="仿宋" w:eastAsia="仿宋"/>
          <w:color w:val="auto"/>
          <w:sz w:val="32"/>
          <w:szCs w:val="32"/>
          <w:highlight w:val="none"/>
          <w:lang w:eastAsia="zh-CN"/>
        </w:rPr>
        <w:drawing>
          <wp:anchor distT="0" distB="0" distL="114300" distR="114300" simplePos="0" relativeHeight="251664384" behindDoc="0" locked="0" layoutInCell="1" allowOverlap="1">
            <wp:simplePos x="0" y="0"/>
            <wp:positionH relativeFrom="column">
              <wp:posOffset>128905</wp:posOffset>
            </wp:positionH>
            <wp:positionV relativeFrom="paragraph">
              <wp:posOffset>-125730</wp:posOffset>
            </wp:positionV>
            <wp:extent cx="5904865" cy="5282565"/>
            <wp:effectExtent l="4445" t="4445" r="15240" b="8890"/>
            <wp:wrapTopAndBottom/>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Pr>
          <w:rFonts w:hint="eastAsia" w:ascii="仿宋" w:hAnsi="仿宋" w:eastAsia="仿宋"/>
          <w:color w:val="auto"/>
          <w:sz w:val="32"/>
          <w:szCs w:val="32"/>
          <w:highlight w:val="none"/>
          <w:lang w:val="en-US" w:eastAsia="zh-CN"/>
        </w:rPr>
        <w:t xml:space="preserve">    （</w:t>
      </w:r>
      <w:r>
        <w:rPr>
          <w:rFonts w:hint="eastAsia" w:ascii="仿宋" w:hAnsi="仿宋" w:eastAsia="仿宋"/>
          <w:b/>
          <w:color w:val="auto"/>
          <w:sz w:val="32"/>
          <w:szCs w:val="32"/>
          <w:highlight w:val="none"/>
          <w:lang w:val="en-US" w:eastAsia="zh-CN"/>
        </w:rPr>
        <w:t>图六</w:t>
      </w:r>
      <w:r>
        <w:rPr>
          <w:rFonts w:hint="eastAsia" w:ascii="黑体" w:hAnsi="黑体" w:eastAsia="黑体" w:cs="黑体"/>
          <w:color w:val="auto"/>
          <w:sz w:val="32"/>
          <w:szCs w:val="32"/>
          <w:highlight w:val="none"/>
        </w:rPr>
        <w:t>一般公共预算财政拨款支出决算结构</w:t>
      </w:r>
      <w:r>
        <w:rPr>
          <w:rFonts w:hint="eastAsia" w:ascii="仿宋" w:hAnsi="仿宋" w:eastAsia="仿宋"/>
          <w:b/>
          <w:color w:val="auto"/>
          <w:sz w:val="32"/>
          <w:szCs w:val="32"/>
          <w:highlight w:val="none"/>
          <w:lang w:val="en-US" w:eastAsia="zh-CN"/>
        </w:rPr>
        <w:t>)</w:t>
      </w:r>
    </w:p>
    <w:p w14:paraId="38DE87AF">
      <w:pPr>
        <w:spacing w:line="600" w:lineRule="exact"/>
        <w:ind w:firstLine="643" w:firstLineChars="200"/>
        <w:outlineLvl w:val="2"/>
        <w:rPr>
          <w:rFonts w:ascii="仿宋" w:hAnsi="仿宋" w:eastAsia="仿宋"/>
          <w:b/>
          <w:color w:val="auto"/>
          <w:sz w:val="32"/>
          <w:szCs w:val="32"/>
          <w:highlight w:val="none"/>
        </w:rPr>
      </w:pPr>
      <w:r>
        <w:rPr>
          <w:rFonts w:hint="eastAsia" w:ascii="仿宋" w:hAnsi="仿宋" w:eastAsia="仿宋"/>
          <w:b/>
          <w:color w:val="auto"/>
          <w:sz w:val="32"/>
          <w:szCs w:val="32"/>
          <w:highlight w:val="none"/>
        </w:rPr>
        <w:t>（三）一般公共预算财政拨款支出决算具体情况</w:t>
      </w:r>
      <w:bookmarkEnd w:id="52"/>
    </w:p>
    <w:p w14:paraId="7E8791DD">
      <w:pPr>
        <w:spacing w:line="600" w:lineRule="exact"/>
        <w:ind w:firstLine="643" w:firstLineChars="200"/>
        <w:outlineLvl w:val="1"/>
        <w:rPr>
          <w:rStyle w:val="20"/>
          <w:rFonts w:ascii="仿宋" w:hAnsi="仿宋" w:eastAsia="仿宋"/>
          <w:bCs/>
          <w:color w:val="auto"/>
          <w:sz w:val="32"/>
          <w:szCs w:val="32"/>
          <w:highlight w:val="none"/>
        </w:rPr>
      </w:pPr>
      <w:bookmarkStart w:id="53" w:name="_Toc15377213"/>
      <w:bookmarkStart w:id="54" w:name="_Toc15378460"/>
      <w:bookmarkStart w:id="55" w:name="_Toc15377444"/>
      <w:bookmarkStart w:id="56" w:name="_Toc8555"/>
      <w:r>
        <w:rPr>
          <w:rFonts w:hint="eastAsia" w:ascii="仿宋" w:hAnsi="仿宋" w:eastAsia="仿宋"/>
          <w:b/>
          <w:color w:val="auto"/>
          <w:sz w:val="32"/>
          <w:szCs w:val="32"/>
          <w:highlight w:val="none"/>
        </w:rPr>
        <w:t>202</w:t>
      </w:r>
      <w:r>
        <w:rPr>
          <w:rFonts w:hint="eastAsia" w:ascii="仿宋" w:hAnsi="仿宋" w:eastAsia="仿宋"/>
          <w:b/>
          <w:color w:val="auto"/>
          <w:sz w:val="32"/>
          <w:szCs w:val="32"/>
          <w:highlight w:val="none"/>
          <w:lang w:val="en-US" w:eastAsia="zh-CN"/>
        </w:rPr>
        <w:t>4</w:t>
      </w:r>
      <w:r>
        <w:rPr>
          <w:rFonts w:hint="eastAsia" w:ascii="仿宋" w:hAnsi="仿宋" w:eastAsia="仿宋"/>
          <w:b/>
          <w:color w:val="auto"/>
          <w:sz w:val="32"/>
          <w:szCs w:val="32"/>
          <w:highlight w:val="none"/>
        </w:rPr>
        <w:t>年</w:t>
      </w:r>
      <w:r>
        <w:rPr>
          <w:rFonts w:hint="eastAsia" w:ascii="仿宋" w:hAnsi="仿宋" w:eastAsia="仿宋"/>
          <w:b/>
          <w:color w:val="auto"/>
          <w:sz w:val="32"/>
          <w:szCs w:val="32"/>
          <w:highlight w:val="none"/>
          <w:lang w:val="en-US" w:eastAsia="zh-CN"/>
        </w:rPr>
        <w:t>一</w:t>
      </w:r>
      <w:r>
        <w:rPr>
          <w:rFonts w:hint="eastAsia" w:ascii="仿宋" w:hAnsi="仿宋" w:eastAsia="仿宋"/>
          <w:b/>
          <w:color w:val="auto"/>
          <w:sz w:val="32"/>
          <w:szCs w:val="32"/>
          <w:highlight w:val="none"/>
        </w:rPr>
        <w:t>般公共预算支出决算数为</w:t>
      </w:r>
      <w:r>
        <w:rPr>
          <w:rFonts w:hint="eastAsia" w:ascii="仿宋" w:hAnsi="仿宋" w:eastAsia="仿宋"/>
          <w:b/>
          <w:color w:val="auto"/>
          <w:sz w:val="32"/>
          <w:szCs w:val="32"/>
          <w:highlight w:val="none"/>
          <w:lang w:val="en-US" w:eastAsia="zh-CN"/>
        </w:rPr>
        <w:t>1709.25万元</w:t>
      </w:r>
      <w:r>
        <w:rPr>
          <w:rFonts w:hint="eastAsia" w:ascii="仿宋" w:hAnsi="仿宋" w:eastAsia="仿宋"/>
          <w:color w:val="auto"/>
          <w:sz w:val="32"/>
          <w:szCs w:val="32"/>
          <w:highlight w:val="none"/>
        </w:rPr>
        <w:t>，</w:t>
      </w:r>
      <w:r>
        <w:rPr>
          <w:rStyle w:val="20"/>
          <w:rFonts w:hint="eastAsia" w:ascii="仿宋" w:hAnsi="仿宋" w:eastAsia="仿宋"/>
          <w:bCs/>
          <w:color w:val="auto"/>
          <w:sz w:val="32"/>
          <w:szCs w:val="32"/>
          <w:highlight w:val="none"/>
        </w:rPr>
        <w:t>完成预算100</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rPr>
        <w:t>。其中：</w:t>
      </w:r>
      <w:bookmarkEnd w:id="53"/>
      <w:bookmarkEnd w:id="54"/>
      <w:bookmarkEnd w:id="55"/>
      <w:bookmarkEnd w:id="56"/>
    </w:p>
    <w:p w14:paraId="2032E079">
      <w:pPr>
        <w:spacing w:line="600" w:lineRule="exact"/>
        <w:ind w:firstLine="640" w:firstLineChars="200"/>
        <w:outlineLvl w:val="2"/>
        <w:rPr>
          <w:rStyle w:val="20"/>
          <w:rFonts w:ascii="仿宋" w:hAnsi="仿宋" w:eastAsia="仿宋"/>
          <w:b w:val="0"/>
          <w:bCs w:val="0"/>
          <w:color w:val="auto"/>
          <w:sz w:val="32"/>
          <w:szCs w:val="32"/>
          <w:highlight w:val="none"/>
        </w:rPr>
      </w:pPr>
      <w:r>
        <w:rPr>
          <w:rFonts w:hint="eastAsia" w:ascii="楷体_GB2312" w:hAnsi="楷体_GB2312" w:eastAsia="楷体_GB2312" w:cs="楷体_GB2312"/>
          <w:b w:val="0"/>
          <w:bCs w:val="0"/>
          <w:color w:val="auto"/>
          <w:sz w:val="32"/>
          <w:szCs w:val="32"/>
          <w:highlight w:val="none"/>
        </w:rPr>
        <w:t>（一）</w:t>
      </w:r>
      <w:r>
        <w:rPr>
          <w:rFonts w:hint="eastAsia" w:ascii="仿宋_GB2312" w:hAnsi="仿宋_GB2312" w:eastAsia="仿宋_GB2312" w:cs="仿宋_GB2312"/>
          <w:b w:val="0"/>
          <w:bCs w:val="0"/>
          <w:color w:val="auto"/>
          <w:kern w:val="0"/>
          <w:sz w:val="32"/>
          <w:szCs w:val="32"/>
          <w:highlight w:val="none"/>
        </w:rPr>
        <w:t>一般公共服务支出</w:t>
      </w:r>
      <w:r>
        <w:rPr>
          <w:rFonts w:hint="eastAsia" w:ascii="楷体_GB2312" w:hAnsi="楷体_GB2312" w:eastAsia="楷体_GB2312" w:cs="楷体_GB2312"/>
          <w:b w:val="0"/>
          <w:bCs w:val="0"/>
          <w:color w:val="auto"/>
          <w:sz w:val="32"/>
          <w:szCs w:val="32"/>
          <w:highlight w:val="none"/>
        </w:rPr>
        <w:t>（类）201，支出决算为</w:t>
      </w:r>
      <w:r>
        <w:rPr>
          <w:rFonts w:hint="eastAsia" w:ascii="楷体_GB2312" w:hAnsi="楷体_GB2312" w:eastAsia="楷体_GB2312" w:cs="楷体_GB2312"/>
          <w:b w:val="0"/>
          <w:bCs w:val="0"/>
          <w:color w:val="auto"/>
          <w:sz w:val="32"/>
          <w:szCs w:val="32"/>
          <w:highlight w:val="none"/>
          <w:lang w:val="en-US" w:eastAsia="zh-CN"/>
        </w:rPr>
        <w:t>466.58</w:t>
      </w:r>
      <w:r>
        <w:rPr>
          <w:rFonts w:hint="eastAsia" w:ascii="楷体_GB2312" w:hAnsi="楷体_GB2312" w:eastAsia="楷体_GB2312" w:cs="楷体_GB2312"/>
          <w:b w:val="0"/>
          <w:bCs w:val="0"/>
          <w:color w:val="auto"/>
          <w:sz w:val="32"/>
          <w:szCs w:val="32"/>
          <w:highlight w:val="none"/>
        </w:rPr>
        <w:t>万元，完成预算</w:t>
      </w:r>
      <w:r>
        <w:rPr>
          <w:rStyle w:val="20"/>
          <w:rFonts w:hint="eastAsia" w:ascii="仿宋_GB2312" w:eastAsia="仿宋_GB2312"/>
          <w:b w:val="0"/>
          <w:bCs w:val="0"/>
          <w:color w:val="auto"/>
          <w:sz w:val="32"/>
          <w:szCs w:val="32"/>
          <w:highlight w:val="none"/>
        </w:rPr>
        <w:t>100%，其中：</w:t>
      </w:r>
    </w:p>
    <w:p w14:paraId="3074D5D0">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rPr>
        <w:t>1.</w:t>
      </w:r>
      <w:r>
        <w:rPr>
          <w:rStyle w:val="30"/>
          <w:rFonts w:hint="eastAsia"/>
          <w:color w:val="auto"/>
          <w:sz w:val="32"/>
          <w:szCs w:val="32"/>
          <w:highlight w:val="none"/>
        </w:rPr>
        <w:t xml:space="preserve"> </w:t>
      </w:r>
      <w:r>
        <w:rPr>
          <w:rFonts w:hint="eastAsia" w:ascii="仿宋_GB2312" w:hAnsi="仿宋_GB2312" w:eastAsia="仿宋_GB2312" w:cs="仿宋_GB2312"/>
          <w:color w:val="auto"/>
          <w:kern w:val="0"/>
          <w:sz w:val="32"/>
          <w:szCs w:val="32"/>
          <w:highlight w:val="none"/>
        </w:rPr>
        <w:t>一般公共服务支出（类）201政府办公厅（室）及相关机构事务（款）03行政运行（项）01</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支出决算为</w:t>
      </w:r>
      <w:r>
        <w:rPr>
          <w:rStyle w:val="20"/>
          <w:rFonts w:hint="eastAsia" w:ascii="仿宋_GB2312" w:eastAsia="仿宋_GB2312"/>
          <w:b w:val="0"/>
          <w:color w:val="auto"/>
          <w:sz w:val="32"/>
          <w:szCs w:val="32"/>
          <w:highlight w:val="none"/>
          <w:lang w:val="en-US" w:eastAsia="zh-CN"/>
        </w:rPr>
        <w:t>344.94</w:t>
      </w:r>
      <w:r>
        <w:rPr>
          <w:rStyle w:val="20"/>
          <w:rFonts w:hint="eastAsia" w:ascii="仿宋_GB2312" w:eastAsia="仿宋_GB2312"/>
          <w:b w:val="0"/>
          <w:color w:val="auto"/>
          <w:sz w:val="32"/>
          <w:szCs w:val="32"/>
          <w:highlight w:val="none"/>
        </w:rPr>
        <w:t>万元，完成预算100%。</w:t>
      </w:r>
    </w:p>
    <w:p w14:paraId="2AB9C370">
      <w:pPr>
        <w:spacing w:line="560" w:lineRule="exact"/>
        <w:ind w:firstLine="64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2.</w:t>
      </w:r>
      <w:r>
        <w:rPr>
          <w:rFonts w:hint="eastAsia" w:ascii="仿宋_GB2312" w:hAnsi="仿宋_GB2312" w:eastAsia="仿宋_GB2312" w:cs="仿宋_GB2312"/>
          <w:color w:val="auto"/>
          <w:kern w:val="0"/>
          <w:sz w:val="32"/>
          <w:szCs w:val="32"/>
          <w:highlight w:val="none"/>
        </w:rPr>
        <w:t>一般公共服务支出</w:t>
      </w:r>
      <w:r>
        <w:rPr>
          <w:rStyle w:val="20"/>
          <w:rFonts w:hint="eastAsia" w:ascii="仿宋_GB2312" w:eastAsia="仿宋_GB2312"/>
          <w:b w:val="0"/>
          <w:color w:val="auto"/>
          <w:sz w:val="32"/>
          <w:szCs w:val="32"/>
          <w:highlight w:val="none"/>
        </w:rPr>
        <w:t>（类）201（款）</w:t>
      </w:r>
      <w:r>
        <w:rPr>
          <w:rFonts w:hint="eastAsia" w:ascii="仿宋_GB2312" w:hAnsi="仿宋_GB2312" w:eastAsia="仿宋_GB2312" w:cs="仿宋_GB2312"/>
          <w:color w:val="auto"/>
          <w:kern w:val="0"/>
          <w:sz w:val="32"/>
          <w:szCs w:val="32"/>
          <w:highlight w:val="none"/>
        </w:rPr>
        <w:t>政府办公厅（室）及相关机构事务（款）</w:t>
      </w:r>
      <w:r>
        <w:rPr>
          <w:rStyle w:val="20"/>
          <w:rFonts w:hint="eastAsia" w:ascii="仿宋_GB2312" w:eastAsia="仿宋_GB2312"/>
          <w:b w:val="0"/>
          <w:color w:val="auto"/>
          <w:sz w:val="32"/>
          <w:szCs w:val="32"/>
          <w:highlight w:val="none"/>
        </w:rPr>
        <w:t>03（项）02一般行政管理事务：支出决算为</w:t>
      </w:r>
      <w:r>
        <w:rPr>
          <w:rStyle w:val="20"/>
          <w:rFonts w:hint="eastAsia" w:ascii="仿宋_GB2312" w:eastAsia="仿宋_GB2312"/>
          <w:b w:val="0"/>
          <w:color w:val="auto"/>
          <w:sz w:val="32"/>
          <w:szCs w:val="32"/>
          <w:highlight w:val="none"/>
          <w:lang w:val="en-US" w:eastAsia="zh-CN"/>
        </w:rPr>
        <w:t>10.04</w:t>
      </w:r>
      <w:r>
        <w:rPr>
          <w:rStyle w:val="20"/>
          <w:rFonts w:hint="eastAsia" w:ascii="仿宋_GB2312" w:eastAsia="仿宋_GB2312"/>
          <w:b w:val="0"/>
          <w:color w:val="auto"/>
          <w:sz w:val="32"/>
          <w:szCs w:val="32"/>
          <w:highlight w:val="none"/>
        </w:rPr>
        <w:t>万元，完成预算100%。</w:t>
      </w:r>
    </w:p>
    <w:p w14:paraId="7C4D53EB">
      <w:pPr>
        <w:pStyle w:val="2"/>
        <w:ind w:left="0" w:leftChars="0" w:firstLine="640" w:firstLineChars="200"/>
        <w:rPr>
          <w:color w:val="auto"/>
          <w:highlight w:val="none"/>
        </w:rPr>
      </w:pPr>
      <w:r>
        <w:rPr>
          <w:rStyle w:val="20"/>
          <w:rFonts w:hint="eastAsia" w:ascii="仿宋_GB2312" w:eastAsia="仿宋_GB2312"/>
          <w:b w:val="0"/>
          <w:color w:val="auto"/>
          <w:sz w:val="32"/>
          <w:szCs w:val="32"/>
          <w:highlight w:val="none"/>
          <w:lang w:val="en-US" w:eastAsia="zh-CN"/>
        </w:rPr>
        <w:t>3.</w:t>
      </w:r>
      <w:r>
        <w:rPr>
          <w:rFonts w:hint="eastAsia" w:ascii="仿宋_GB2312" w:hAnsi="仿宋_GB2312" w:eastAsia="仿宋_GB2312" w:cs="仿宋_GB2312"/>
          <w:color w:val="auto"/>
          <w:kern w:val="0"/>
          <w:sz w:val="32"/>
          <w:szCs w:val="32"/>
          <w:highlight w:val="none"/>
        </w:rPr>
        <w:t>一般公共服务支出</w:t>
      </w:r>
      <w:r>
        <w:rPr>
          <w:rStyle w:val="20"/>
          <w:rFonts w:hint="eastAsia" w:ascii="仿宋_GB2312" w:eastAsia="仿宋_GB2312"/>
          <w:b w:val="0"/>
          <w:color w:val="auto"/>
          <w:sz w:val="32"/>
          <w:szCs w:val="32"/>
          <w:highlight w:val="none"/>
        </w:rPr>
        <w:t>（类）201（款）</w:t>
      </w:r>
      <w:r>
        <w:rPr>
          <w:rFonts w:hint="eastAsia" w:ascii="仿宋_GB2312" w:hAnsi="仿宋_GB2312" w:eastAsia="仿宋_GB2312" w:cs="仿宋_GB2312"/>
          <w:color w:val="auto"/>
          <w:kern w:val="0"/>
          <w:sz w:val="32"/>
          <w:szCs w:val="32"/>
          <w:highlight w:val="none"/>
        </w:rPr>
        <w:t>政府办公厅（室）及相关机构事务（款）</w:t>
      </w:r>
      <w:r>
        <w:rPr>
          <w:rStyle w:val="20"/>
          <w:rFonts w:hint="eastAsia" w:ascii="仿宋_GB2312" w:eastAsia="仿宋_GB2312"/>
          <w:b w:val="0"/>
          <w:color w:val="auto"/>
          <w:sz w:val="32"/>
          <w:szCs w:val="32"/>
          <w:highlight w:val="none"/>
        </w:rPr>
        <w:t>03（项）0</w:t>
      </w:r>
      <w:r>
        <w:rPr>
          <w:rStyle w:val="20"/>
          <w:rFonts w:hint="eastAsia" w:ascii="仿宋_GB2312" w:eastAsia="仿宋_GB2312"/>
          <w:b w:val="0"/>
          <w:color w:val="auto"/>
          <w:sz w:val="32"/>
          <w:szCs w:val="32"/>
          <w:highlight w:val="none"/>
          <w:lang w:val="en-US" w:eastAsia="zh-CN"/>
        </w:rPr>
        <w:t>3</w:t>
      </w:r>
      <w:r>
        <w:rPr>
          <w:rStyle w:val="20"/>
          <w:rFonts w:hint="eastAsia" w:ascii="仿宋_GB2312" w:eastAsia="仿宋_GB2312"/>
          <w:b w:val="0"/>
          <w:color w:val="auto"/>
          <w:sz w:val="32"/>
          <w:szCs w:val="32"/>
          <w:highlight w:val="none"/>
          <w:lang w:eastAsia="zh-CN"/>
        </w:rPr>
        <w:t>机关服务</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12.6</w:t>
      </w:r>
      <w:r>
        <w:rPr>
          <w:rStyle w:val="20"/>
          <w:rFonts w:hint="eastAsia" w:ascii="仿宋_GB2312" w:eastAsia="仿宋_GB2312"/>
          <w:b w:val="0"/>
          <w:color w:val="auto"/>
          <w:sz w:val="32"/>
          <w:szCs w:val="32"/>
          <w:highlight w:val="none"/>
        </w:rPr>
        <w:t>万元，完成预算100%。</w:t>
      </w:r>
    </w:p>
    <w:p w14:paraId="0A3F5D84">
      <w:pPr>
        <w:spacing w:line="560" w:lineRule="exact"/>
        <w:ind w:firstLine="64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val="en-US" w:eastAsia="zh-CN"/>
        </w:rPr>
        <w:t>4.</w:t>
      </w:r>
      <w:r>
        <w:rPr>
          <w:rFonts w:hint="eastAsia" w:ascii="仿宋_GB2312" w:hAnsi="仿宋_GB2312" w:eastAsia="仿宋_GB2312" w:cs="仿宋_GB2312"/>
          <w:color w:val="auto"/>
          <w:kern w:val="0"/>
          <w:sz w:val="32"/>
          <w:szCs w:val="32"/>
          <w:highlight w:val="none"/>
        </w:rPr>
        <w:t>一般公共服务支出</w:t>
      </w:r>
      <w:r>
        <w:rPr>
          <w:rStyle w:val="20"/>
          <w:rFonts w:hint="eastAsia" w:ascii="仿宋_GB2312" w:eastAsia="仿宋_GB2312"/>
          <w:b w:val="0"/>
          <w:color w:val="auto"/>
          <w:sz w:val="32"/>
          <w:szCs w:val="32"/>
          <w:highlight w:val="none"/>
        </w:rPr>
        <w:t>（类）201（款）</w:t>
      </w:r>
      <w:r>
        <w:rPr>
          <w:rFonts w:hint="eastAsia" w:ascii="仿宋_GB2312" w:hAnsi="仿宋_GB2312" w:eastAsia="仿宋_GB2312" w:cs="仿宋_GB2312"/>
          <w:color w:val="auto"/>
          <w:kern w:val="0"/>
          <w:sz w:val="32"/>
          <w:szCs w:val="32"/>
          <w:highlight w:val="none"/>
        </w:rPr>
        <w:t>政府办公厅（室）及相关机构事务（款）</w:t>
      </w:r>
      <w:r>
        <w:rPr>
          <w:rStyle w:val="20"/>
          <w:rFonts w:hint="eastAsia" w:ascii="仿宋_GB2312" w:eastAsia="仿宋_GB2312"/>
          <w:b w:val="0"/>
          <w:color w:val="auto"/>
          <w:sz w:val="32"/>
          <w:szCs w:val="32"/>
          <w:highlight w:val="none"/>
        </w:rPr>
        <w:t>03（项）</w:t>
      </w:r>
      <w:r>
        <w:rPr>
          <w:rStyle w:val="20"/>
          <w:rFonts w:hint="eastAsia" w:ascii="仿宋_GB2312" w:eastAsia="仿宋_GB2312"/>
          <w:b w:val="0"/>
          <w:color w:val="auto"/>
          <w:sz w:val="32"/>
          <w:szCs w:val="32"/>
          <w:highlight w:val="none"/>
          <w:lang w:eastAsia="zh-CN"/>
        </w:rPr>
        <w:t>专项业务及机关事务管理</w:t>
      </w:r>
      <w:r>
        <w:rPr>
          <w:rStyle w:val="20"/>
          <w:rFonts w:hint="eastAsia" w:ascii="仿宋_GB2312" w:eastAsia="仿宋_GB2312"/>
          <w:b w:val="0"/>
          <w:color w:val="auto"/>
          <w:sz w:val="32"/>
          <w:szCs w:val="32"/>
          <w:highlight w:val="none"/>
        </w:rPr>
        <w:t>0</w:t>
      </w:r>
      <w:r>
        <w:rPr>
          <w:rStyle w:val="20"/>
          <w:rFonts w:hint="eastAsia" w:ascii="仿宋_GB2312" w:eastAsia="仿宋_GB2312"/>
          <w:b w:val="0"/>
          <w:color w:val="auto"/>
          <w:sz w:val="32"/>
          <w:szCs w:val="32"/>
          <w:highlight w:val="none"/>
          <w:lang w:val="en-US" w:eastAsia="zh-CN"/>
        </w:rPr>
        <w:t>5</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1</w:t>
      </w:r>
      <w:r>
        <w:rPr>
          <w:rStyle w:val="20"/>
          <w:rFonts w:hint="eastAsia" w:ascii="仿宋_GB2312" w:eastAsia="仿宋_GB2312"/>
          <w:b w:val="0"/>
          <w:color w:val="auto"/>
          <w:sz w:val="32"/>
          <w:szCs w:val="32"/>
          <w:highlight w:val="none"/>
        </w:rPr>
        <w:t>万元，完成预算100%。</w:t>
      </w:r>
    </w:p>
    <w:p w14:paraId="4AF28DB5">
      <w:pPr>
        <w:pStyle w:val="7"/>
        <w:ind w:firstLine="640"/>
        <w:rPr>
          <w:rStyle w:val="20"/>
          <w:rFonts w:hint="eastAsia"/>
          <w:b w:val="0"/>
          <w:color w:val="auto"/>
          <w:sz w:val="32"/>
          <w:szCs w:val="32"/>
          <w:highlight w:val="none"/>
          <w:lang w:val="en-US" w:eastAsia="zh-CN"/>
        </w:rPr>
      </w:pPr>
      <w:r>
        <w:rPr>
          <w:rStyle w:val="20"/>
          <w:rFonts w:hint="eastAsia"/>
          <w:b w:val="0"/>
          <w:color w:val="auto"/>
          <w:sz w:val="32"/>
          <w:szCs w:val="32"/>
          <w:highlight w:val="none"/>
          <w:lang w:val="en-US" w:eastAsia="zh-CN"/>
        </w:rPr>
        <w:t>5.一般公共服务支出（类）201纪检监察事务（款）11一般行政管理事务02（项）：支出决算为1万元，完成预算100%。</w:t>
      </w:r>
    </w:p>
    <w:p w14:paraId="681BC899">
      <w:pPr>
        <w:pStyle w:val="8"/>
        <w:ind w:firstLine="640" w:firstLineChars="200"/>
        <w:rPr>
          <w:rStyle w:val="20"/>
          <w:rFonts w:hint="eastAsia" w:ascii="仿宋_GB2312" w:hAnsi="仿宋_GB2312" w:eastAsia="仿宋_GB2312" w:cs="仿宋_GB2312"/>
          <w:b w:val="0"/>
          <w:color w:val="auto"/>
          <w:sz w:val="32"/>
          <w:szCs w:val="32"/>
          <w:highlight w:val="none"/>
          <w:lang w:val="en-US" w:eastAsia="zh-CN"/>
        </w:rPr>
      </w:pPr>
      <w:r>
        <w:rPr>
          <w:rStyle w:val="20"/>
          <w:rFonts w:hint="eastAsia" w:ascii="仿宋_GB2312" w:hAnsi="仿宋_GB2312" w:eastAsia="仿宋_GB2312" w:cs="仿宋_GB2312"/>
          <w:b w:val="0"/>
          <w:color w:val="auto"/>
          <w:sz w:val="32"/>
          <w:szCs w:val="32"/>
          <w:highlight w:val="none"/>
          <w:lang w:val="en-US" w:eastAsia="zh-CN"/>
        </w:rPr>
        <w:t>6.一般公共服务支出（类）201纪检监察事务（款）11其他纪检监察事务支出99（项）：支出决算为2万元，完成预算100%。</w:t>
      </w:r>
    </w:p>
    <w:p w14:paraId="258FF84E">
      <w:pPr>
        <w:pStyle w:val="8"/>
        <w:ind w:firstLine="640" w:firstLineChars="200"/>
        <w:rPr>
          <w:rStyle w:val="20"/>
          <w:rFonts w:hint="eastAsia" w:ascii="仿宋_GB2312" w:hAnsi="仿宋_GB2312" w:eastAsia="仿宋_GB2312" w:cs="仿宋_GB2312"/>
          <w:b w:val="0"/>
          <w:color w:val="auto"/>
          <w:sz w:val="32"/>
          <w:szCs w:val="32"/>
          <w:highlight w:val="none"/>
          <w:lang w:val="en-US" w:eastAsia="zh-CN"/>
        </w:rPr>
      </w:pPr>
      <w:r>
        <w:rPr>
          <w:rStyle w:val="20"/>
          <w:rFonts w:hint="eastAsia" w:ascii="仿宋_GB2312" w:hAnsi="仿宋_GB2312" w:eastAsia="仿宋_GB2312" w:cs="仿宋_GB2312"/>
          <w:b w:val="0"/>
          <w:color w:val="auto"/>
          <w:sz w:val="32"/>
          <w:szCs w:val="32"/>
          <w:highlight w:val="none"/>
          <w:lang w:val="en-US" w:eastAsia="zh-CN"/>
        </w:rPr>
        <w:t>7.一般公共服务支出（类）201市场监督管理事务（款）38食品安全监管38（项）：支出决算为1万元，完成预算100%。</w:t>
      </w:r>
    </w:p>
    <w:p w14:paraId="103A85DC">
      <w:pPr>
        <w:spacing w:line="560" w:lineRule="exact"/>
        <w:ind w:firstLine="640"/>
        <w:rPr>
          <w:rStyle w:val="20"/>
          <w:rFonts w:ascii="仿宋_GB2312" w:eastAsia="仿宋_GB2312"/>
          <w:b w:val="0"/>
          <w:color w:val="auto"/>
          <w:sz w:val="32"/>
          <w:szCs w:val="32"/>
          <w:highlight w:val="none"/>
        </w:rPr>
      </w:pPr>
      <w:r>
        <w:rPr>
          <w:rFonts w:hint="eastAsia" w:ascii="仿宋_GB2312" w:hAnsi="仿宋_GB2312" w:eastAsia="仿宋_GB2312" w:cs="仿宋_GB2312"/>
          <w:color w:val="auto"/>
          <w:kern w:val="0"/>
          <w:sz w:val="32"/>
          <w:szCs w:val="32"/>
          <w:highlight w:val="none"/>
          <w:lang w:val="en-US" w:eastAsia="zh-CN"/>
        </w:rPr>
        <w:t>8.</w:t>
      </w:r>
      <w:r>
        <w:rPr>
          <w:rFonts w:hint="eastAsia" w:ascii="仿宋_GB2312" w:hAnsi="仿宋_GB2312" w:eastAsia="仿宋_GB2312" w:cs="仿宋_GB2312"/>
          <w:color w:val="auto"/>
          <w:kern w:val="0"/>
          <w:sz w:val="32"/>
          <w:szCs w:val="32"/>
          <w:highlight w:val="none"/>
        </w:rPr>
        <w:t>一般公共服务（类）201</w:t>
      </w:r>
      <w:r>
        <w:rPr>
          <w:rFonts w:hint="eastAsia" w:ascii="仿宋_GB2312" w:hAnsi="仿宋_GB2312" w:eastAsia="仿宋_GB2312" w:cs="仿宋_GB2312"/>
          <w:color w:val="auto"/>
          <w:kern w:val="0"/>
          <w:sz w:val="32"/>
          <w:szCs w:val="32"/>
          <w:highlight w:val="none"/>
          <w:lang w:eastAsia="zh-CN"/>
        </w:rPr>
        <w:t>党委办公厅（室）及相关机构事务</w:t>
      </w:r>
      <w:r>
        <w:rPr>
          <w:rFonts w:hint="eastAsia" w:ascii="仿宋_GB2312" w:hAnsi="仿宋_GB2312" w:eastAsia="仿宋_GB2312" w:cs="仿宋_GB2312"/>
          <w:color w:val="auto"/>
          <w:kern w:val="0"/>
          <w:sz w:val="32"/>
          <w:szCs w:val="32"/>
          <w:highlight w:val="none"/>
          <w:lang w:val="en-US" w:eastAsia="zh-CN"/>
        </w:rPr>
        <w:t>31</w:t>
      </w:r>
      <w:r>
        <w:rPr>
          <w:rFonts w:hint="eastAsia" w:ascii="仿宋_GB2312" w:eastAsia="仿宋_GB2312"/>
          <w:color w:val="auto"/>
          <w:sz w:val="32"/>
          <w:szCs w:val="32"/>
          <w:highlight w:val="none"/>
        </w:rPr>
        <w:t>（款）</w:t>
      </w:r>
      <w:r>
        <w:rPr>
          <w:rFonts w:hint="eastAsia" w:ascii="仿宋_GB2312" w:eastAsia="仿宋_GB2312"/>
          <w:color w:val="auto"/>
          <w:sz w:val="32"/>
          <w:szCs w:val="32"/>
          <w:highlight w:val="none"/>
          <w:lang w:eastAsia="zh-CN"/>
        </w:rPr>
        <w:t>其他</w:t>
      </w:r>
      <w:r>
        <w:rPr>
          <w:rFonts w:hint="eastAsia" w:ascii="仿宋_GB2312" w:hAnsi="仿宋_GB2312" w:eastAsia="仿宋_GB2312" w:cs="仿宋_GB2312"/>
          <w:color w:val="auto"/>
          <w:kern w:val="0"/>
          <w:sz w:val="32"/>
          <w:szCs w:val="32"/>
          <w:highlight w:val="none"/>
          <w:lang w:eastAsia="zh-CN"/>
        </w:rPr>
        <w:t>党委办公厅（室）及相关机构事务</w:t>
      </w:r>
      <w:r>
        <w:rPr>
          <w:rFonts w:hint="eastAsia" w:ascii="仿宋_GB2312" w:eastAsia="仿宋_GB2312"/>
          <w:color w:val="auto"/>
          <w:sz w:val="32"/>
          <w:szCs w:val="32"/>
          <w:highlight w:val="none"/>
        </w:rPr>
        <w:t>（项）</w:t>
      </w:r>
      <w:r>
        <w:rPr>
          <w:rFonts w:hint="eastAsia" w:ascii="仿宋_GB2312" w:eastAsia="仿宋_GB2312"/>
          <w:color w:val="auto"/>
          <w:sz w:val="32"/>
          <w:szCs w:val="32"/>
          <w:highlight w:val="none"/>
          <w:lang w:val="en-US" w:eastAsia="zh-CN"/>
        </w:rPr>
        <w:t>99</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6</w:t>
      </w:r>
      <w:r>
        <w:rPr>
          <w:rStyle w:val="20"/>
          <w:rFonts w:hint="eastAsia" w:ascii="仿宋_GB2312" w:eastAsia="仿宋_GB2312"/>
          <w:b w:val="0"/>
          <w:color w:val="auto"/>
          <w:sz w:val="32"/>
          <w:szCs w:val="32"/>
          <w:highlight w:val="none"/>
        </w:rPr>
        <w:t>万元，完成预算100%。</w:t>
      </w:r>
    </w:p>
    <w:p w14:paraId="554F0628">
      <w:pPr>
        <w:spacing w:line="560" w:lineRule="exact"/>
        <w:ind w:firstLine="64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val="en-US" w:eastAsia="zh-CN"/>
        </w:rPr>
        <w:t>9.</w:t>
      </w:r>
      <w:r>
        <w:rPr>
          <w:rFonts w:hint="eastAsia" w:ascii="仿宋_GB2312" w:hAnsi="仿宋_GB2312" w:eastAsia="仿宋_GB2312" w:cs="仿宋_GB2312"/>
          <w:color w:val="auto"/>
          <w:kern w:val="0"/>
          <w:sz w:val="32"/>
          <w:szCs w:val="32"/>
          <w:highlight w:val="none"/>
        </w:rPr>
        <w:t>一般公共服务（类）201</w:t>
      </w:r>
      <w:r>
        <w:rPr>
          <w:rFonts w:hint="eastAsia" w:ascii="仿宋_GB2312" w:eastAsia="仿宋_GB2312"/>
          <w:color w:val="auto"/>
          <w:sz w:val="32"/>
          <w:szCs w:val="32"/>
          <w:highlight w:val="none"/>
        </w:rPr>
        <w:t>其他一般公共服务支出（款）99其他一般公共服务支出（项）99</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88</w:t>
      </w:r>
      <w:r>
        <w:rPr>
          <w:rStyle w:val="20"/>
          <w:rFonts w:hint="eastAsia" w:ascii="仿宋_GB2312" w:eastAsia="仿宋_GB2312"/>
          <w:b w:val="0"/>
          <w:color w:val="auto"/>
          <w:sz w:val="32"/>
          <w:szCs w:val="32"/>
          <w:highlight w:val="none"/>
        </w:rPr>
        <w:t>万元，完成预算100%。</w:t>
      </w:r>
    </w:p>
    <w:p w14:paraId="7024EC72">
      <w:pPr>
        <w:pStyle w:val="7"/>
        <w:rPr>
          <w:rFonts w:hint="eastAsia"/>
        </w:rPr>
      </w:pPr>
      <w:r>
        <w:rPr>
          <w:rFonts w:hint="eastAsia" w:ascii="楷体_GB2312" w:hAnsi="楷体_GB2312" w:eastAsia="楷体_GB2312" w:cs="楷体_GB2312"/>
          <w:b w:val="0"/>
          <w:bCs w:val="0"/>
          <w:color w:val="auto"/>
          <w:sz w:val="32"/>
          <w:szCs w:val="32"/>
          <w:highlight w:val="none"/>
        </w:rPr>
        <w:t>（</w:t>
      </w:r>
      <w:r>
        <w:rPr>
          <w:rFonts w:hint="eastAsia" w:ascii="仿宋_GB2312" w:hAnsi="仿宋_GB2312" w:eastAsia="仿宋_GB2312" w:cs="仿宋_GB2312"/>
          <w:b w:val="0"/>
          <w:bCs w:val="0"/>
          <w:color w:val="auto"/>
          <w:kern w:val="0"/>
          <w:sz w:val="32"/>
          <w:szCs w:val="32"/>
          <w:highlight w:val="none"/>
        </w:rPr>
        <w:t>二）</w:t>
      </w:r>
      <w:r>
        <w:rPr>
          <w:rFonts w:hint="eastAsia" w:hAnsi="仿宋_GB2312" w:cs="仿宋_GB2312"/>
          <w:b w:val="0"/>
          <w:bCs w:val="0"/>
          <w:color w:val="auto"/>
          <w:kern w:val="0"/>
          <w:sz w:val="32"/>
          <w:szCs w:val="32"/>
          <w:highlight w:val="none"/>
          <w:lang w:eastAsia="zh-CN"/>
        </w:rPr>
        <w:t>国防支出</w:t>
      </w:r>
      <w:r>
        <w:rPr>
          <w:rFonts w:hint="eastAsia" w:ascii="仿宋_GB2312" w:hAnsi="仿宋_GB2312" w:eastAsia="仿宋_GB2312" w:cs="仿宋_GB2312"/>
          <w:b w:val="0"/>
          <w:bCs w:val="0"/>
          <w:color w:val="auto"/>
          <w:kern w:val="0"/>
          <w:sz w:val="32"/>
          <w:szCs w:val="32"/>
          <w:highlight w:val="none"/>
        </w:rPr>
        <w:t>（类）20</w:t>
      </w:r>
      <w:r>
        <w:rPr>
          <w:rFonts w:hint="eastAsia" w:hAnsi="仿宋_GB2312" w:cs="仿宋_GB2312"/>
          <w:b w:val="0"/>
          <w:bCs w:val="0"/>
          <w:color w:val="auto"/>
          <w:kern w:val="0"/>
          <w:sz w:val="32"/>
          <w:szCs w:val="32"/>
          <w:highlight w:val="none"/>
          <w:lang w:val="en-US" w:eastAsia="zh-CN"/>
        </w:rPr>
        <w:t>3</w:t>
      </w:r>
      <w:r>
        <w:rPr>
          <w:rFonts w:hint="eastAsia" w:ascii="仿宋_GB2312" w:hAnsi="仿宋_GB2312" w:eastAsia="仿宋_GB2312" w:cs="仿宋_GB2312"/>
          <w:b w:val="0"/>
          <w:bCs w:val="0"/>
          <w:color w:val="auto"/>
          <w:kern w:val="0"/>
          <w:sz w:val="32"/>
          <w:szCs w:val="32"/>
          <w:highlight w:val="none"/>
        </w:rPr>
        <w:t>，支出决算为</w:t>
      </w:r>
      <w:r>
        <w:rPr>
          <w:rFonts w:hint="eastAsia" w:hAnsi="仿宋_GB2312" w:cs="仿宋_GB2312"/>
          <w:b w:val="0"/>
          <w:bCs w:val="0"/>
          <w:color w:val="auto"/>
          <w:kern w:val="0"/>
          <w:sz w:val="32"/>
          <w:szCs w:val="32"/>
          <w:highlight w:val="none"/>
          <w:lang w:val="en-US" w:eastAsia="zh-CN"/>
        </w:rPr>
        <w:t>1</w:t>
      </w:r>
      <w:r>
        <w:rPr>
          <w:rFonts w:hint="eastAsia" w:ascii="仿宋_GB2312" w:hAnsi="仿宋_GB2312" w:eastAsia="仿宋_GB2312" w:cs="仿宋_GB2312"/>
          <w:b w:val="0"/>
          <w:bCs w:val="0"/>
          <w:color w:val="auto"/>
          <w:kern w:val="0"/>
          <w:sz w:val="32"/>
          <w:szCs w:val="32"/>
          <w:highlight w:val="none"/>
        </w:rPr>
        <w:t>万元，完成预算100%，其中：</w:t>
      </w:r>
    </w:p>
    <w:p w14:paraId="52901527">
      <w:pPr>
        <w:spacing w:line="560" w:lineRule="exact"/>
        <w:ind w:firstLine="640"/>
        <w:rPr>
          <w:color w:val="auto"/>
          <w:highlight w:val="none"/>
        </w:rPr>
      </w:pPr>
      <w:r>
        <w:rPr>
          <w:rStyle w:val="20"/>
          <w:rFonts w:hint="eastAsia" w:ascii="仿宋_GB2312" w:eastAsia="仿宋_GB2312"/>
          <w:b w:val="0"/>
          <w:color w:val="auto"/>
          <w:sz w:val="32"/>
          <w:szCs w:val="32"/>
          <w:highlight w:val="none"/>
          <w:lang w:val="en-US" w:eastAsia="zh-CN"/>
        </w:rPr>
        <w:t>1.</w:t>
      </w:r>
      <w:r>
        <w:rPr>
          <w:rFonts w:hint="eastAsia" w:ascii="仿宋_GB2312" w:eastAsia="仿宋_GB2312"/>
          <w:color w:val="auto"/>
          <w:sz w:val="32"/>
          <w:szCs w:val="32"/>
          <w:highlight w:val="none"/>
          <w:lang w:eastAsia="zh-CN"/>
        </w:rPr>
        <w:t>国防</w:t>
      </w:r>
      <w:r>
        <w:rPr>
          <w:rFonts w:hint="eastAsia" w:ascii="仿宋_GB2312" w:eastAsia="仿宋_GB2312"/>
          <w:color w:val="auto"/>
          <w:sz w:val="32"/>
          <w:szCs w:val="32"/>
          <w:highlight w:val="none"/>
        </w:rPr>
        <w:t>支出（类）20</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lang w:eastAsia="zh-CN"/>
        </w:rPr>
        <w:t>其他国防支出</w:t>
      </w:r>
      <w:r>
        <w:rPr>
          <w:rFonts w:hint="eastAsia" w:ascii="仿宋_GB2312" w:eastAsia="仿宋_GB2312"/>
          <w:color w:val="auto"/>
          <w:sz w:val="32"/>
          <w:szCs w:val="32"/>
          <w:highlight w:val="none"/>
        </w:rPr>
        <w:t>（款）</w:t>
      </w:r>
      <w:r>
        <w:rPr>
          <w:rFonts w:hint="eastAsia" w:ascii="仿宋_GB2312" w:eastAsia="仿宋_GB2312"/>
          <w:color w:val="auto"/>
          <w:sz w:val="32"/>
          <w:szCs w:val="32"/>
          <w:highlight w:val="none"/>
          <w:lang w:val="en-US" w:eastAsia="zh-CN"/>
        </w:rPr>
        <w:t>99</w:t>
      </w:r>
      <w:r>
        <w:rPr>
          <w:rFonts w:hint="eastAsia" w:ascii="仿宋_GB2312" w:eastAsia="仿宋_GB2312"/>
          <w:color w:val="auto"/>
          <w:sz w:val="32"/>
          <w:szCs w:val="32"/>
          <w:highlight w:val="none"/>
          <w:lang w:eastAsia="zh-CN"/>
        </w:rPr>
        <w:t>其他国防支出</w:t>
      </w:r>
      <w:r>
        <w:rPr>
          <w:rFonts w:hint="eastAsia" w:ascii="仿宋_GB2312" w:eastAsia="仿宋_GB2312"/>
          <w:color w:val="auto"/>
          <w:sz w:val="32"/>
          <w:szCs w:val="32"/>
          <w:highlight w:val="none"/>
        </w:rPr>
        <w:t>（项）99</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1</w:t>
      </w:r>
      <w:r>
        <w:rPr>
          <w:rStyle w:val="20"/>
          <w:rFonts w:hint="eastAsia" w:ascii="仿宋_GB2312" w:eastAsia="仿宋_GB2312"/>
          <w:b w:val="0"/>
          <w:color w:val="auto"/>
          <w:sz w:val="32"/>
          <w:szCs w:val="32"/>
          <w:highlight w:val="none"/>
        </w:rPr>
        <w:t>万元，完成预算100%。</w:t>
      </w:r>
    </w:p>
    <w:p w14:paraId="78148DF3">
      <w:pPr>
        <w:spacing w:line="560" w:lineRule="exact"/>
        <w:rPr>
          <w:rStyle w:val="20"/>
          <w:rFonts w:ascii="仿宋_GB2312" w:eastAsia="仿宋_GB2312"/>
          <w:b w:val="0"/>
          <w:color w:val="auto"/>
          <w:sz w:val="32"/>
          <w:szCs w:val="32"/>
          <w:highlight w:val="none"/>
        </w:rPr>
      </w:pPr>
      <w:r>
        <w:rPr>
          <w:rFonts w:hint="eastAsia" w:ascii="楷体_GB2312" w:hAnsi="楷体_GB2312" w:eastAsia="楷体_GB2312" w:cs="楷体_GB2312"/>
          <w:b w:val="0"/>
          <w:bCs w:val="0"/>
          <w:color w:val="auto"/>
          <w:sz w:val="32"/>
          <w:szCs w:val="32"/>
          <w:highlight w:val="none"/>
        </w:rPr>
        <w:t>（</w:t>
      </w:r>
      <w:r>
        <w:rPr>
          <w:rFonts w:hint="eastAsia" w:ascii="仿宋_GB2312" w:hAnsi="仿宋_GB2312" w:eastAsia="仿宋_GB2312" w:cs="仿宋_GB2312"/>
          <w:b w:val="0"/>
          <w:bCs w:val="0"/>
          <w:color w:val="auto"/>
          <w:kern w:val="0"/>
          <w:sz w:val="32"/>
          <w:szCs w:val="32"/>
          <w:highlight w:val="none"/>
          <w:lang w:eastAsia="zh-CN"/>
        </w:rPr>
        <w:t>三</w:t>
      </w:r>
      <w:r>
        <w:rPr>
          <w:rFonts w:hint="eastAsia" w:ascii="仿宋_GB2312" w:hAnsi="仿宋_GB2312" w:eastAsia="仿宋_GB2312" w:cs="仿宋_GB2312"/>
          <w:b w:val="0"/>
          <w:bCs w:val="0"/>
          <w:color w:val="auto"/>
          <w:kern w:val="0"/>
          <w:sz w:val="32"/>
          <w:szCs w:val="32"/>
          <w:highlight w:val="none"/>
        </w:rPr>
        <w:t>）公共安全支出（类）204，支出决算为</w:t>
      </w:r>
      <w:r>
        <w:rPr>
          <w:rFonts w:hint="eastAsia" w:ascii="仿宋_GB2312" w:hAnsi="仿宋_GB2312" w:eastAsia="仿宋_GB2312" w:cs="仿宋_GB2312"/>
          <w:b w:val="0"/>
          <w:bCs w:val="0"/>
          <w:color w:val="auto"/>
          <w:kern w:val="0"/>
          <w:sz w:val="32"/>
          <w:szCs w:val="32"/>
          <w:highlight w:val="none"/>
          <w:lang w:val="en-US" w:eastAsia="zh-CN"/>
        </w:rPr>
        <w:t>22</w:t>
      </w:r>
      <w:r>
        <w:rPr>
          <w:rFonts w:hint="eastAsia" w:ascii="仿宋_GB2312" w:hAnsi="仿宋_GB2312" w:eastAsia="仿宋_GB2312" w:cs="仿宋_GB2312"/>
          <w:b w:val="0"/>
          <w:bCs w:val="0"/>
          <w:color w:val="auto"/>
          <w:kern w:val="0"/>
          <w:sz w:val="32"/>
          <w:szCs w:val="32"/>
          <w:highlight w:val="none"/>
        </w:rPr>
        <w:t>万元，完成预算100%，其中：</w:t>
      </w:r>
    </w:p>
    <w:p w14:paraId="7DA2BF2D">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val="en-US" w:eastAsia="zh-CN"/>
        </w:rPr>
        <w:t>1.</w:t>
      </w:r>
      <w:r>
        <w:rPr>
          <w:rFonts w:hint="eastAsia" w:ascii="仿宋_GB2312" w:eastAsia="仿宋_GB2312"/>
          <w:color w:val="auto"/>
          <w:sz w:val="32"/>
          <w:szCs w:val="32"/>
          <w:highlight w:val="none"/>
        </w:rPr>
        <w:t>公共安全支出（类）204国家安全（款）03其他国家安全支出（项）99</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22</w:t>
      </w:r>
      <w:r>
        <w:rPr>
          <w:rStyle w:val="20"/>
          <w:rFonts w:hint="eastAsia" w:ascii="仿宋_GB2312" w:eastAsia="仿宋_GB2312"/>
          <w:b w:val="0"/>
          <w:color w:val="auto"/>
          <w:sz w:val="32"/>
          <w:szCs w:val="32"/>
          <w:highlight w:val="none"/>
        </w:rPr>
        <w:t>万元，完成预算100%。</w:t>
      </w:r>
    </w:p>
    <w:p w14:paraId="4B44DB90">
      <w:pPr>
        <w:spacing w:line="560" w:lineRule="exact"/>
        <w:rPr>
          <w:rStyle w:val="20"/>
          <w:rFonts w:hint="eastAsia" w:ascii="仿宋_GB2312" w:eastAsia="仿宋_GB2312"/>
          <w:b w:val="0"/>
          <w:color w:val="auto"/>
          <w:sz w:val="32"/>
          <w:szCs w:val="32"/>
          <w:highlight w:val="none"/>
        </w:rPr>
      </w:pPr>
      <w:r>
        <w:rPr>
          <w:rFonts w:hint="eastAsia" w:ascii="楷体_GB2312" w:hAnsi="楷体_GB2312" w:eastAsia="楷体_GB2312" w:cs="楷体_GB2312"/>
          <w:color w:val="auto"/>
          <w:sz w:val="32"/>
          <w:szCs w:val="32"/>
          <w:highlight w:val="none"/>
        </w:rPr>
        <w:t>（</w:t>
      </w:r>
      <w:r>
        <w:rPr>
          <w:rFonts w:hint="eastAsia" w:ascii="楷体_GB2312" w:hAnsi="楷体_GB2312" w:eastAsia="楷体_GB2312" w:cs="楷体_GB2312"/>
          <w:color w:val="auto"/>
          <w:sz w:val="32"/>
          <w:szCs w:val="32"/>
          <w:highlight w:val="none"/>
          <w:lang w:eastAsia="zh-CN"/>
        </w:rPr>
        <w:t>四</w:t>
      </w:r>
      <w:r>
        <w:rPr>
          <w:rStyle w:val="20"/>
          <w:rFonts w:hint="eastAsia" w:ascii="仿宋_GB2312" w:eastAsia="仿宋_GB2312"/>
          <w:b w:val="0"/>
          <w:color w:val="auto"/>
          <w:sz w:val="32"/>
          <w:szCs w:val="32"/>
          <w:highlight w:val="none"/>
        </w:rPr>
        <w:t>）社会保障和就业支出（类）208，支出决算为</w:t>
      </w:r>
      <w:r>
        <w:rPr>
          <w:rStyle w:val="20"/>
          <w:rFonts w:hint="eastAsia" w:ascii="仿宋_GB2312" w:eastAsia="仿宋_GB2312"/>
          <w:b w:val="0"/>
          <w:color w:val="auto"/>
          <w:sz w:val="32"/>
          <w:szCs w:val="32"/>
          <w:highlight w:val="none"/>
          <w:lang w:val="en-US" w:eastAsia="zh-CN"/>
        </w:rPr>
        <w:t>51.36</w:t>
      </w:r>
      <w:r>
        <w:rPr>
          <w:rStyle w:val="20"/>
          <w:rFonts w:hint="eastAsia" w:ascii="仿宋_GB2312" w:eastAsia="仿宋_GB2312"/>
          <w:b w:val="0"/>
          <w:color w:val="auto"/>
          <w:sz w:val="32"/>
          <w:szCs w:val="32"/>
          <w:highlight w:val="none"/>
        </w:rPr>
        <w:t>万元，完成预算100%，其中：</w:t>
      </w:r>
    </w:p>
    <w:p w14:paraId="1A605CB1">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1.</w:t>
      </w:r>
      <w:r>
        <w:rPr>
          <w:rFonts w:hint="eastAsia" w:ascii="仿宋_GB2312" w:eastAsia="仿宋_GB2312"/>
          <w:color w:val="auto"/>
          <w:sz w:val="32"/>
          <w:szCs w:val="32"/>
          <w:highlight w:val="none"/>
        </w:rPr>
        <w:t>社会保障和就业支出（类）208行政事业单位</w:t>
      </w:r>
      <w:r>
        <w:rPr>
          <w:rFonts w:hint="eastAsia" w:ascii="仿宋_GB2312" w:eastAsia="仿宋_GB2312"/>
          <w:color w:val="auto"/>
          <w:sz w:val="32"/>
          <w:szCs w:val="32"/>
          <w:highlight w:val="none"/>
          <w:lang w:eastAsia="zh-CN"/>
        </w:rPr>
        <w:t>养老支出</w:t>
      </w:r>
      <w:r>
        <w:rPr>
          <w:rFonts w:hint="eastAsia" w:ascii="仿宋_GB2312" w:eastAsia="仿宋_GB2312"/>
          <w:color w:val="auto"/>
          <w:sz w:val="32"/>
          <w:szCs w:val="32"/>
          <w:highlight w:val="none"/>
        </w:rPr>
        <w:t>（款）05机关事业单位基本养老保险缴费支出（项）05</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37.98</w:t>
      </w:r>
      <w:r>
        <w:rPr>
          <w:rStyle w:val="20"/>
          <w:rFonts w:hint="eastAsia" w:ascii="仿宋_GB2312" w:eastAsia="仿宋_GB2312"/>
          <w:b w:val="0"/>
          <w:color w:val="auto"/>
          <w:sz w:val="32"/>
          <w:szCs w:val="32"/>
          <w:highlight w:val="none"/>
        </w:rPr>
        <w:t>万元，完成预算100%。</w:t>
      </w:r>
    </w:p>
    <w:p w14:paraId="55BAB4F9">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2.</w:t>
      </w:r>
      <w:r>
        <w:rPr>
          <w:rFonts w:hint="eastAsia" w:ascii="仿宋_GB2312" w:eastAsia="仿宋_GB2312"/>
          <w:color w:val="auto"/>
          <w:sz w:val="32"/>
          <w:szCs w:val="32"/>
          <w:highlight w:val="none"/>
        </w:rPr>
        <w:t>社会保障和就业支出（类）208行政事业单位</w:t>
      </w:r>
      <w:r>
        <w:rPr>
          <w:rFonts w:hint="eastAsia" w:ascii="仿宋_GB2312" w:eastAsia="仿宋_GB2312"/>
          <w:color w:val="auto"/>
          <w:sz w:val="32"/>
          <w:szCs w:val="32"/>
          <w:highlight w:val="none"/>
          <w:lang w:eastAsia="zh-CN"/>
        </w:rPr>
        <w:t>养老支出</w:t>
      </w:r>
      <w:r>
        <w:rPr>
          <w:rFonts w:hint="eastAsia" w:ascii="仿宋_GB2312" w:eastAsia="仿宋_GB2312"/>
          <w:color w:val="auto"/>
          <w:sz w:val="32"/>
          <w:szCs w:val="32"/>
          <w:highlight w:val="none"/>
        </w:rPr>
        <w:t>（款）05机关事业单位职业年金缴费支出（项）06</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10.86</w:t>
      </w:r>
      <w:r>
        <w:rPr>
          <w:rStyle w:val="20"/>
          <w:rFonts w:hint="eastAsia" w:ascii="仿宋_GB2312" w:eastAsia="仿宋_GB2312"/>
          <w:b w:val="0"/>
          <w:color w:val="auto"/>
          <w:sz w:val="32"/>
          <w:szCs w:val="32"/>
          <w:highlight w:val="none"/>
        </w:rPr>
        <w:t>万元，完成预算100%。</w:t>
      </w:r>
    </w:p>
    <w:p w14:paraId="57BF1137">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3.</w:t>
      </w:r>
      <w:r>
        <w:rPr>
          <w:rFonts w:hint="eastAsia" w:ascii="仿宋_GB2312" w:eastAsia="仿宋_GB2312"/>
          <w:color w:val="auto"/>
          <w:sz w:val="32"/>
          <w:szCs w:val="32"/>
          <w:highlight w:val="none"/>
        </w:rPr>
        <w:t>社会保障和就业支出（类）208行政事业单位</w:t>
      </w:r>
      <w:r>
        <w:rPr>
          <w:rFonts w:hint="eastAsia" w:ascii="仿宋_GB2312" w:eastAsia="仿宋_GB2312"/>
          <w:color w:val="auto"/>
          <w:sz w:val="32"/>
          <w:szCs w:val="32"/>
          <w:highlight w:val="none"/>
          <w:lang w:eastAsia="zh-CN"/>
        </w:rPr>
        <w:t>养老支出</w:t>
      </w:r>
      <w:r>
        <w:rPr>
          <w:rFonts w:hint="eastAsia" w:ascii="仿宋_GB2312" w:eastAsia="仿宋_GB2312"/>
          <w:color w:val="auto"/>
          <w:sz w:val="32"/>
          <w:szCs w:val="32"/>
          <w:highlight w:val="none"/>
        </w:rPr>
        <w:t>（款）05行政单位离退休（项）01</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2.52</w:t>
      </w:r>
      <w:r>
        <w:rPr>
          <w:rStyle w:val="20"/>
          <w:rFonts w:hint="eastAsia" w:ascii="仿宋_GB2312" w:eastAsia="仿宋_GB2312"/>
          <w:b w:val="0"/>
          <w:color w:val="auto"/>
          <w:sz w:val="32"/>
          <w:szCs w:val="32"/>
          <w:highlight w:val="none"/>
        </w:rPr>
        <w:t>万元，完成预算100%。</w:t>
      </w:r>
    </w:p>
    <w:p w14:paraId="6AD920D5">
      <w:pPr>
        <w:spacing w:line="560" w:lineRule="exact"/>
        <w:ind w:firstLine="64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rPr>
        <w:t>（</w:t>
      </w:r>
      <w:r>
        <w:rPr>
          <w:rStyle w:val="20"/>
          <w:rFonts w:hint="eastAsia" w:ascii="仿宋_GB2312" w:eastAsia="仿宋_GB2312"/>
          <w:b w:val="0"/>
          <w:color w:val="auto"/>
          <w:sz w:val="32"/>
          <w:szCs w:val="32"/>
          <w:highlight w:val="none"/>
          <w:lang w:eastAsia="zh-CN"/>
        </w:rPr>
        <w:t>五</w:t>
      </w:r>
      <w:r>
        <w:rPr>
          <w:rStyle w:val="20"/>
          <w:rFonts w:hint="eastAsia" w:ascii="仿宋_GB2312" w:eastAsia="仿宋_GB2312"/>
          <w:b w:val="0"/>
          <w:color w:val="auto"/>
          <w:sz w:val="32"/>
          <w:szCs w:val="32"/>
          <w:highlight w:val="none"/>
        </w:rPr>
        <w:t>）卫生健康支出（类）210，支出决算为</w:t>
      </w:r>
      <w:r>
        <w:rPr>
          <w:rStyle w:val="20"/>
          <w:rFonts w:hint="eastAsia" w:ascii="仿宋_GB2312" w:eastAsia="仿宋_GB2312"/>
          <w:b w:val="0"/>
          <w:color w:val="auto"/>
          <w:sz w:val="32"/>
          <w:szCs w:val="32"/>
          <w:highlight w:val="none"/>
          <w:lang w:val="en-US" w:eastAsia="zh-CN"/>
        </w:rPr>
        <w:t>17.14</w:t>
      </w:r>
      <w:r>
        <w:rPr>
          <w:rStyle w:val="20"/>
          <w:rFonts w:hint="eastAsia" w:ascii="仿宋_GB2312" w:eastAsia="仿宋_GB2312"/>
          <w:b w:val="0"/>
          <w:color w:val="auto"/>
          <w:sz w:val="32"/>
          <w:szCs w:val="32"/>
          <w:highlight w:val="none"/>
        </w:rPr>
        <w:t>万元，完成预算100%，其中：</w:t>
      </w:r>
    </w:p>
    <w:p w14:paraId="51DFFB74">
      <w:pPr>
        <w:spacing w:line="560" w:lineRule="exact"/>
        <w:ind w:firstLine="640"/>
        <w:rPr>
          <w:rStyle w:val="20"/>
          <w:rFonts w:hint="eastAsia" w:ascii="仿宋_GB2312" w:eastAsia="仿宋_GB2312"/>
          <w:b w:val="0"/>
          <w:color w:val="auto"/>
          <w:sz w:val="32"/>
          <w:szCs w:val="32"/>
          <w:highlight w:val="none"/>
          <w:lang w:val="en-US" w:eastAsia="zh-CN"/>
        </w:rPr>
      </w:pPr>
      <w:r>
        <w:rPr>
          <w:rStyle w:val="20"/>
          <w:rFonts w:hint="eastAsia" w:ascii="仿宋_GB2312" w:eastAsia="仿宋_GB2312"/>
          <w:b w:val="0"/>
          <w:color w:val="auto"/>
          <w:sz w:val="32"/>
          <w:szCs w:val="32"/>
          <w:highlight w:val="none"/>
          <w:lang w:eastAsia="zh-CN"/>
        </w:rPr>
        <w:t>1.</w:t>
      </w:r>
      <w:r>
        <w:rPr>
          <w:rStyle w:val="20"/>
          <w:rFonts w:hint="eastAsia" w:ascii="仿宋_GB2312" w:eastAsia="仿宋_GB2312"/>
          <w:b w:val="0"/>
          <w:color w:val="auto"/>
          <w:sz w:val="32"/>
          <w:szCs w:val="32"/>
          <w:highlight w:val="none"/>
        </w:rPr>
        <w:t>卫生健康支出（类）210行政事业单位医疗11（款）行政单位医疗（项）01：支出决算为</w:t>
      </w:r>
      <w:r>
        <w:rPr>
          <w:rStyle w:val="20"/>
          <w:rFonts w:hint="eastAsia" w:ascii="仿宋_GB2312" w:eastAsia="仿宋_GB2312"/>
          <w:b w:val="0"/>
          <w:color w:val="auto"/>
          <w:sz w:val="32"/>
          <w:szCs w:val="32"/>
          <w:highlight w:val="none"/>
          <w:lang w:val="en-US" w:eastAsia="zh-CN"/>
        </w:rPr>
        <w:t>17.14</w:t>
      </w:r>
      <w:r>
        <w:rPr>
          <w:rStyle w:val="20"/>
          <w:rFonts w:hint="eastAsia" w:ascii="仿宋_GB2312" w:eastAsia="仿宋_GB2312"/>
          <w:b w:val="0"/>
          <w:color w:val="auto"/>
          <w:sz w:val="32"/>
          <w:szCs w:val="32"/>
          <w:highlight w:val="none"/>
        </w:rPr>
        <w:t>元，完成预算100%</w:t>
      </w:r>
      <w:r>
        <w:rPr>
          <w:rStyle w:val="20"/>
          <w:rFonts w:hint="eastAsia" w:ascii="仿宋_GB2312" w:eastAsia="仿宋_GB2312"/>
          <w:b w:val="0"/>
          <w:color w:val="auto"/>
          <w:sz w:val="32"/>
          <w:szCs w:val="32"/>
          <w:highlight w:val="none"/>
          <w:lang w:val="en-US" w:eastAsia="zh-CN"/>
        </w:rPr>
        <w:t>。</w:t>
      </w:r>
    </w:p>
    <w:p w14:paraId="39CD5CE1">
      <w:pPr>
        <w:spacing w:line="560" w:lineRule="exact"/>
        <w:ind w:firstLine="320" w:firstLineChars="100"/>
        <w:rPr>
          <w:rFonts w:hint="eastAsia" w:ascii="楷体_GB2312" w:hAnsi="楷体_GB2312" w:eastAsia="楷体_GB2312" w:cs="楷体_GB2312"/>
          <w:color w:val="auto"/>
          <w:sz w:val="32"/>
          <w:szCs w:val="32"/>
          <w:highlight w:val="none"/>
        </w:rPr>
      </w:pPr>
      <w:r>
        <w:rPr>
          <w:rFonts w:hint="eastAsia" w:ascii="楷体_GB2312" w:hAnsi="楷体_GB2312" w:eastAsia="楷体_GB2312" w:cs="楷体_GB2312"/>
          <w:color w:val="auto"/>
          <w:sz w:val="32"/>
          <w:szCs w:val="32"/>
          <w:highlight w:val="none"/>
        </w:rPr>
        <w:t>（</w:t>
      </w:r>
      <w:r>
        <w:rPr>
          <w:rFonts w:hint="eastAsia" w:ascii="楷体_GB2312" w:hAnsi="楷体_GB2312" w:eastAsia="楷体_GB2312" w:cs="楷体_GB2312"/>
          <w:color w:val="auto"/>
          <w:sz w:val="32"/>
          <w:szCs w:val="32"/>
          <w:highlight w:val="none"/>
          <w:lang w:eastAsia="zh-CN"/>
        </w:rPr>
        <w:t>六</w:t>
      </w:r>
      <w:r>
        <w:rPr>
          <w:rFonts w:hint="eastAsia" w:ascii="楷体_GB2312" w:hAnsi="楷体_GB2312" w:eastAsia="楷体_GB2312" w:cs="楷体_GB2312"/>
          <w:color w:val="auto"/>
          <w:sz w:val="32"/>
          <w:szCs w:val="32"/>
          <w:highlight w:val="none"/>
        </w:rPr>
        <w:t>）城乡社区支出（类）212，支出决算为</w:t>
      </w:r>
      <w:r>
        <w:rPr>
          <w:rFonts w:hint="eastAsia" w:ascii="楷体_GB2312" w:hAnsi="楷体_GB2312" w:eastAsia="楷体_GB2312" w:cs="楷体_GB2312"/>
          <w:color w:val="auto"/>
          <w:sz w:val="32"/>
          <w:szCs w:val="32"/>
          <w:highlight w:val="none"/>
          <w:lang w:val="en-US" w:eastAsia="zh-CN"/>
        </w:rPr>
        <w:t>8</w:t>
      </w:r>
      <w:r>
        <w:rPr>
          <w:rFonts w:hint="eastAsia" w:ascii="楷体_GB2312" w:hAnsi="楷体_GB2312" w:eastAsia="楷体_GB2312" w:cs="楷体_GB2312"/>
          <w:color w:val="auto"/>
          <w:sz w:val="32"/>
          <w:szCs w:val="32"/>
          <w:highlight w:val="none"/>
        </w:rPr>
        <w:t>万元，完成预算100%，其中：</w:t>
      </w:r>
    </w:p>
    <w:p w14:paraId="1F773C4E">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val="en-US" w:eastAsia="zh-CN"/>
        </w:rPr>
        <w:t>1.</w:t>
      </w:r>
      <w:r>
        <w:rPr>
          <w:rFonts w:hint="eastAsia" w:ascii="仿宋_GB2312" w:eastAsia="仿宋_GB2312"/>
          <w:color w:val="auto"/>
          <w:sz w:val="32"/>
          <w:szCs w:val="32"/>
          <w:highlight w:val="none"/>
        </w:rPr>
        <w:t>城乡社区支出（类）212城乡社区环境卫生（款）05城乡社区环境卫生（项）01</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8</w:t>
      </w:r>
      <w:r>
        <w:rPr>
          <w:rStyle w:val="20"/>
          <w:rFonts w:hint="eastAsia" w:ascii="仿宋_GB2312" w:eastAsia="仿宋_GB2312"/>
          <w:b w:val="0"/>
          <w:color w:val="auto"/>
          <w:sz w:val="32"/>
          <w:szCs w:val="32"/>
          <w:highlight w:val="none"/>
        </w:rPr>
        <w:t>万元，完成预算100%。</w:t>
      </w:r>
    </w:p>
    <w:p w14:paraId="140B0115">
      <w:pPr>
        <w:spacing w:line="560" w:lineRule="exact"/>
        <w:ind w:firstLine="320" w:firstLineChars="100"/>
        <w:rPr>
          <w:rFonts w:hint="eastAsia" w:ascii="楷体_GB2312" w:hAnsi="楷体_GB2312" w:eastAsia="楷体_GB2312" w:cs="楷体_GB2312"/>
          <w:color w:val="auto"/>
          <w:sz w:val="32"/>
          <w:szCs w:val="32"/>
          <w:highlight w:val="none"/>
        </w:rPr>
      </w:pPr>
      <w:r>
        <w:rPr>
          <w:rFonts w:hint="eastAsia" w:ascii="楷体_GB2312" w:hAnsi="楷体_GB2312" w:eastAsia="楷体_GB2312" w:cs="楷体_GB2312"/>
          <w:color w:val="auto"/>
          <w:sz w:val="32"/>
          <w:szCs w:val="32"/>
          <w:highlight w:val="none"/>
        </w:rPr>
        <w:t>（</w:t>
      </w:r>
      <w:r>
        <w:rPr>
          <w:rFonts w:hint="eastAsia" w:ascii="楷体_GB2312" w:hAnsi="楷体_GB2312" w:eastAsia="楷体_GB2312" w:cs="楷体_GB2312"/>
          <w:color w:val="auto"/>
          <w:sz w:val="32"/>
          <w:szCs w:val="32"/>
          <w:highlight w:val="none"/>
          <w:lang w:eastAsia="zh-CN"/>
        </w:rPr>
        <w:t>七</w:t>
      </w:r>
      <w:r>
        <w:rPr>
          <w:rFonts w:hint="eastAsia" w:ascii="楷体_GB2312" w:hAnsi="楷体_GB2312" w:eastAsia="楷体_GB2312" w:cs="楷体_GB2312"/>
          <w:color w:val="auto"/>
          <w:sz w:val="32"/>
          <w:szCs w:val="32"/>
          <w:highlight w:val="none"/>
        </w:rPr>
        <w:t>）农林水支出（类）213，支出决算为</w:t>
      </w:r>
      <w:r>
        <w:rPr>
          <w:rFonts w:hint="eastAsia" w:ascii="楷体_GB2312" w:hAnsi="楷体_GB2312" w:eastAsia="楷体_GB2312" w:cs="楷体_GB2312"/>
          <w:color w:val="auto"/>
          <w:sz w:val="32"/>
          <w:szCs w:val="32"/>
          <w:highlight w:val="none"/>
          <w:lang w:val="en-US" w:eastAsia="zh-CN"/>
        </w:rPr>
        <w:t>623.11</w:t>
      </w:r>
      <w:r>
        <w:rPr>
          <w:rFonts w:hint="eastAsia" w:ascii="楷体_GB2312" w:hAnsi="楷体_GB2312" w:eastAsia="楷体_GB2312" w:cs="楷体_GB2312"/>
          <w:color w:val="auto"/>
          <w:sz w:val="32"/>
          <w:szCs w:val="32"/>
          <w:highlight w:val="none"/>
        </w:rPr>
        <w:t>万元，完成预算100%，其中：</w:t>
      </w:r>
    </w:p>
    <w:p w14:paraId="72C8F17C">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1.</w:t>
      </w:r>
      <w:r>
        <w:rPr>
          <w:rFonts w:hint="eastAsia" w:ascii="仿宋_GB2312" w:eastAsia="仿宋_GB2312"/>
          <w:color w:val="auto"/>
          <w:sz w:val="32"/>
          <w:szCs w:val="32"/>
          <w:highlight w:val="none"/>
        </w:rPr>
        <w:t>农林水支出（类）213农业</w:t>
      </w:r>
      <w:r>
        <w:rPr>
          <w:rFonts w:hint="eastAsia" w:ascii="仿宋_GB2312" w:eastAsia="仿宋_GB2312"/>
          <w:color w:val="auto"/>
          <w:sz w:val="32"/>
          <w:szCs w:val="32"/>
          <w:highlight w:val="none"/>
          <w:lang w:eastAsia="zh-CN"/>
        </w:rPr>
        <w:t>农村</w:t>
      </w:r>
      <w:r>
        <w:rPr>
          <w:rFonts w:hint="eastAsia" w:ascii="仿宋_GB2312" w:eastAsia="仿宋_GB2312"/>
          <w:color w:val="auto"/>
          <w:sz w:val="32"/>
          <w:szCs w:val="32"/>
          <w:highlight w:val="none"/>
        </w:rPr>
        <w:t>（款）01病虫害控制（项）08</w:t>
      </w:r>
      <w:r>
        <w:rPr>
          <w:rStyle w:val="20"/>
          <w:rFonts w:hint="eastAsia" w:ascii="仿宋_GB2312" w:eastAsia="仿宋_GB2312"/>
          <w:b w:val="0"/>
          <w:color w:val="auto"/>
          <w:sz w:val="32"/>
          <w:szCs w:val="32"/>
          <w:highlight w:val="none"/>
        </w:rPr>
        <w:t>：支出决算为1万元，完成预算100%。</w:t>
      </w:r>
    </w:p>
    <w:p w14:paraId="6C32B023">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2.</w:t>
      </w:r>
      <w:r>
        <w:rPr>
          <w:rFonts w:hint="eastAsia" w:ascii="仿宋_GB2312" w:eastAsia="仿宋_GB2312"/>
          <w:color w:val="auto"/>
          <w:sz w:val="32"/>
          <w:szCs w:val="32"/>
          <w:highlight w:val="none"/>
        </w:rPr>
        <w:t>农林水支出（类）213林业</w:t>
      </w:r>
      <w:r>
        <w:rPr>
          <w:rFonts w:hint="eastAsia" w:ascii="仿宋_GB2312" w:eastAsia="仿宋_GB2312"/>
          <w:color w:val="auto"/>
          <w:sz w:val="32"/>
          <w:szCs w:val="32"/>
          <w:highlight w:val="none"/>
          <w:lang w:eastAsia="zh-CN"/>
        </w:rPr>
        <w:t>和草原</w:t>
      </w:r>
      <w:r>
        <w:rPr>
          <w:rFonts w:hint="eastAsia" w:ascii="仿宋_GB2312" w:eastAsia="仿宋_GB2312"/>
          <w:color w:val="auto"/>
          <w:sz w:val="32"/>
          <w:szCs w:val="32"/>
          <w:highlight w:val="none"/>
        </w:rPr>
        <w:t>（款）02林业</w:t>
      </w:r>
      <w:r>
        <w:rPr>
          <w:rFonts w:hint="eastAsia" w:ascii="仿宋_GB2312" w:eastAsia="仿宋_GB2312"/>
          <w:color w:val="auto"/>
          <w:sz w:val="32"/>
          <w:szCs w:val="32"/>
          <w:highlight w:val="none"/>
          <w:lang w:eastAsia="zh-CN"/>
        </w:rPr>
        <w:t>草原</w:t>
      </w:r>
      <w:r>
        <w:rPr>
          <w:rFonts w:hint="eastAsia" w:ascii="仿宋_GB2312" w:eastAsia="仿宋_GB2312"/>
          <w:color w:val="auto"/>
          <w:sz w:val="32"/>
          <w:szCs w:val="32"/>
          <w:highlight w:val="none"/>
        </w:rPr>
        <w:t>防灾减灾（项）34</w:t>
      </w:r>
      <w:r>
        <w:rPr>
          <w:rStyle w:val="20"/>
          <w:rFonts w:hint="eastAsia" w:ascii="仿宋_GB2312" w:eastAsia="仿宋_GB2312"/>
          <w:b w:val="0"/>
          <w:color w:val="auto"/>
          <w:sz w:val="32"/>
          <w:szCs w:val="32"/>
          <w:highlight w:val="none"/>
        </w:rPr>
        <w:t>：支出决算为2万元，完成预算100%。</w:t>
      </w:r>
    </w:p>
    <w:p w14:paraId="5DD17BE4">
      <w:pPr>
        <w:spacing w:line="560" w:lineRule="exact"/>
        <w:ind w:firstLine="640"/>
        <w:rPr>
          <w:rStyle w:val="20"/>
          <w:rFonts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3.</w:t>
      </w:r>
      <w:r>
        <w:rPr>
          <w:rFonts w:hint="eastAsia" w:ascii="仿宋_GB2312" w:eastAsia="仿宋_GB2312"/>
          <w:color w:val="auto"/>
          <w:sz w:val="32"/>
          <w:szCs w:val="32"/>
          <w:highlight w:val="none"/>
        </w:rPr>
        <w:t>农林水支出（类）213水利（款）03防汛（项）14</w:t>
      </w:r>
      <w:r>
        <w:rPr>
          <w:rStyle w:val="20"/>
          <w:rFonts w:hint="eastAsia" w:ascii="仿宋_GB2312" w:eastAsia="仿宋_GB2312"/>
          <w:b w:val="0"/>
          <w:color w:val="auto"/>
          <w:sz w:val="32"/>
          <w:szCs w:val="32"/>
          <w:highlight w:val="none"/>
        </w:rPr>
        <w:t>：支出决算为1万元，完成预算100%。</w:t>
      </w:r>
    </w:p>
    <w:p w14:paraId="59B4161E">
      <w:pPr>
        <w:spacing w:line="560" w:lineRule="exact"/>
        <w:ind w:firstLine="64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4.</w:t>
      </w:r>
      <w:r>
        <w:rPr>
          <w:rFonts w:hint="eastAsia" w:ascii="仿宋_GB2312" w:eastAsia="仿宋_GB2312"/>
          <w:color w:val="auto"/>
          <w:sz w:val="32"/>
          <w:szCs w:val="32"/>
          <w:highlight w:val="none"/>
        </w:rPr>
        <w:t>农林水支出（类）213农村综合改革（款）07对村民委员会和村党支部的补助（项）05</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617.85</w:t>
      </w:r>
      <w:r>
        <w:rPr>
          <w:rStyle w:val="20"/>
          <w:rFonts w:hint="eastAsia" w:ascii="仿宋_GB2312" w:eastAsia="仿宋_GB2312"/>
          <w:b w:val="0"/>
          <w:color w:val="auto"/>
          <w:sz w:val="32"/>
          <w:szCs w:val="32"/>
          <w:highlight w:val="none"/>
        </w:rPr>
        <w:t>万元，完成预算100%。</w:t>
      </w:r>
    </w:p>
    <w:p w14:paraId="3A78ADB9">
      <w:pPr>
        <w:pStyle w:val="7"/>
        <w:ind w:firstLine="640" w:firstLineChars="200"/>
      </w:pPr>
      <w:r>
        <w:rPr>
          <w:rStyle w:val="20"/>
          <w:rFonts w:hint="eastAsia"/>
          <w:b w:val="0"/>
          <w:color w:val="auto"/>
          <w:sz w:val="32"/>
          <w:szCs w:val="32"/>
          <w:highlight w:val="none"/>
          <w:lang w:val="en-US" w:eastAsia="zh-CN"/>
        </w:rPr>
        <w:t>5.</w:t>
      </w:r>
      <w:r>
        <w:rPr>
          <w:rFonts w:hint="eastAsia" w:ascii="仿宋_GB2312" w:eastAsia="仿宋_GB2312"/>
          <w:color w:val="auto"/>
          <w:sz w:val="32"/>
          <w:szCs w:val="32"/>
          <w:highlight w:val="none"/>
        </w:rPr>
        <w:t>农林水支出（类）213</w:t>
      </w:r>
      <w:r>
        <w:rPr>
          <w:rFonts w:hint="eastAsia"/>
          <w:color w:val="auto"/>
          <w:sz w:val="32"/>
          <w:szCs w:val="32"/>
          <w:highlight w:val="none"/>
          <w:lang w:eastAsia="zh-CN"/>
        </w:rPr>
        <w:t>巩固脱贫攻坚成果衔接乡村振兴</w:t>
      </w:r>
      <w:r>
        <w:rPr>
          <w:rFonts w:hint="eastAsia" w:ascii="仿宋_GB2312" w:eastAsia="仿宋_GB2312"/>
          <w:color w:val="auto"/>
          <w:sz w:val="32"/>
          <w:szCs w:val="32"/>
          <w:highlight w:val="none"/>
        </w:rPr>
        <w:t>（款）</w:t>
      </w:r>
      <w:r>
        <w:rPr>
          <w:rFonts w:hint="eastAsia"/>
          <w:color w:val="auto"/>
          <w:sz w:val="32"/>
          <w:szCs w:val="32"/>
          <w:highlight w:val="none"/>
          <w:lang w:val="en-US" w:eastAsia="zh-CN"/>
        </w:rPr>
        <w:t>05其他</w:t>
      </w:r>
      <w:r>
        <w:rPr>
          <w:rFonts w:hint="eastAsia"/>
          <w:color w:val="auto"/>
          <w:sz w:val="32"/>
          <w:szCs w:val="32"/>
          <w:highlight w:val="none"/>
          <w:lang w:eastAsia="zh-CN"/>
        </w:rPr>
        <w:t>巩固脱贫攻坚成果衔接乡村振兴支出</w:t>
      </w:r>
      <w:r>
        <w:rPr>
          <w:rFonts w:hint="eastAsia" w:ascii="仿宋_GB2312" w:eastAsia="仿宋_GB2312"/>
          <w:color w:val="auto"/>
          <w:sz w:val="32"/>
          <w:szCs w:val="32"/>
          <w:highlight w:val="none"/>
        </w:rPr>
        <w:t>（项）</w:t>
      </w:r>
      <w:r>
        <w:rPr>
          <w:rFonts w:hint="eastAsia"/>
          <w:color w:val="auto"/>
          <w:sz w:val="32"/>
          <w:szCs w:val="32"/>
          <w:highlight w:val="none"/>
          <w:lang w:val="en-US" w:eastAsia="zh-CN"/>
        </w:rPr>
        <w:t>99</w:t>
      </w:r>
      <w:r>
        <w:rPr>
          <w:rStyle w:val="20"/>
          <w:rFonts w:hint="eastAsia" w:ascii="仿宋_GB2312" w:eastAsia="仿宋_GB2312"/>
          <w:b w:val="0"/>
          <w:color w:val="auto"/>
          <w:sz w:val="32"/>
          <w:szCs w:val="32"/>
          <w:highlight w:val="none"/>
        </w:rPr>
        <w:t>：支出决算为</w:t>
      </w:r>
      <w:r>
        <w:rPr>
          <w:rStyle w:val="20"/>
          <w:rFonts w:hint="eastAsia"/>
          <w:b w:val="0"/>
          <w:color w:val="auto"/>
          <w:sz w:val="32"/>
          <w:szCs w:val="32"/>
          <w:highlight w:val="none"/>
          <w:lang w:val="en-US" w:eastAsia="zh-CN"/>
        </w:rPr>
        <w:t>1.26</w:t>
      </w:r>
      <w:r>
        <w:rPr>
          <w:rStyle w:val="20"/>
          <w:rFonts w:hint="eastAsia" w:ascii="仿宋_GB2312" w:eastAsia="仿宋_GB2312"/>
          <w:b w:val="0"/>
          <w:color w:val="auto"/>
          <w:sz w:val="32"/>
          <w:szCs w:val="32"/>
          <w:highlight w:val="none"/>
        </w:rPr>
        <w:t>万元，完成预算100%。</w:t>
      </w:r>
    </w:p>
    <w:p w14:paraId="67360FC9">
      <w:pPr>
        <w:spacing w:line="560" w:lineRule="exact"/>
        <w:ind w:firstLine="320" w:firstLineChars="100"/>
        <w:rPr>
          <w:rStyle w:val="20"/>
          <w:rFonts w:ascii="仿宋_GB2312" w:eastAsia="仿宋_GB2312"/>
          <w:b w:val="0"/>
          <w:color w:val="auto"/>
          <w:sz w:val="32"/>
          <w:szCs w:val="32"/>
          <w:highlight w:val="none"/>
        </w:rPr>
      </w:pPr>
      <w:r>
        <w:rPr>
          <w:rFonts w:hint="eastAsia" w:ascii="楷体_GB2312" w:hAnsi="楷体_GB2312" w:eastAsia="楷体_GB2312" w:cs="楷体_GB2312"/>
          <w:color w:val="auto"/>
          <w:sz w:val="32"/>
          <w:szCs w:val="32"/>
          <w:highlight w:val="none"/>
        </w:rPr>
        <w:t>（</w:t>
      </w:r>
      <w:r>
        <w:rPr>
          <w:rFonts w:hint="eastAsia" w:ascii="楷体_GB2312" w:hAnsi="楷体_GB2312" w:eastAsia="楷体_GB2312" w:cs="楷体_GB2312"/>
          <w:color w:val="auto"/>
          <w:sz w:val="32"/>
          <w:szCs w:val="32"/>
          <w:highlight w:val="none"/>
          <w:lang w:eastAsia="zh-CN"/>
        </w:rPr>
        <w:t>八</w:t>
      </w:r>
      <w:r>
        <w:rPr>
          <w:rFonts w:hint="eastAsia" w:ascii="楷体_GB2312" w:hAnsi="楷体_GB2312" w:eastAsia="楷体_GB2312" w:cs="楷体_GB2312"/>
          <w:color w:val="auto"/>
          <w:sz w:val="32"/>
          <w:szCs w:val="32"/>
          <w:highlight w:val="none"/>
        </w:rPr>
        <w:t>）交通运输支出（类）214，支出决算为</w:t>
      </w:r>
      <w:r>
        <w:rPr>
          <w:rFonts w:hint="eastAsia" w:ascii="楷体_GB2312" w:hAnsi="楷体_GB2312" w:eastAsia="楷体_GB2312" w:cs="楷体_GB2312"/>
          <w:color w:val="auto"/>
          <w:sz w:val="32"/>
          <w:szCs w:val="32"/>
          <w:highlight w:val="none"/>
          <w:lang w:val="en-US" w:eastAsia="zh-CN"/>
        </w:rPr>
        <w:t>400</w:t>
      </w:r>
      <w:r>
        <w:rPr>
          <w:rFonts w:hint="eastAsia" w:ascii="楷体_GB2312" w:hAnsi="楷体_GB2312" w:eastAsia="楷体_GB2312" w:cs="楷体_GB2312"/>
          <w:color w:val="auto"/>
          <w:sz w:val="32"/>
          <w:szCs w:val="32"/>
          <w:highlight w:val="none"/>
        </w:rPr>
        <w:t>万元，完成预算</w:t>
      </w:r>
      <w:r>
        <w:rPr>
          <w:rStyle w:val="20"/>
          <w:rFonts w:hint="eastAsia" w:ascii="仿宋_GB2312" w:eastAsia="仿宋_GB2312"/>
          <w:b w:val="0"/>
          <w:color w:val="auto"/>
          <w:sz w:val="32"/>
          <w:szCs w:val="32"/>
          <w:highlight w:val="none"/>
        </w:rPr>
        <w:t>100%，其中：</w:t>
      </w:r>
    </w:p>
    <w:p w14:paraId="0C213F97">
      <w:pPr>
        <w:spacing w:line="560" w:lineRule="exact"/>
        <w:ind w:firstLine="480" w:firstLineChars="150"/>
        <w:rPr>
          <w:rFonts w:hint="eastAsia" w:ascii="仿宋_GB2312" w:eastAsia="仿宋_GB2312"/>
          <w:color w:val="auto"/>
          <w:sz w:val="32"/>
          <w:szCs w:val="32"/>
          <w:highlight w:val="none"/>
        </w:rPr>
      </w:pPr>
      <w:r>
        <w:rPr>
          <w:rStyle w:val="20"/>
          <w:rFonts w:hint="eastAsia" w:ascii="仿宋_GB2312" w:eastAsia="仿宋_GB2312"/>
          <w:b w:val="0"/>
          <w:color w:val="auto"/>
          <w:sz w:val="32"/>
          <w:szCs w:val="32"/>
          <w:highlight w:val="none"/>
          <w:lang w:eastAsia="zh-CN"/>
        </w:rPr>
        <w:t>1.</w:t>
      </w:r>
      <w:r>
        <w:rPr>
          <w:rFonts w:hint="eastAsia" w:ascii="仿宋_GB2312" w:eastAsia="仿宋_GB2312"/>
          <w:color w:val="auto"/>
          <w:sz w:val="32"/>
          <w:szCs w:val="32"/>
          <w:highlight w:val="none"/>
        </w:rPr>
        <w:t>交通运输支出（类）214公路水路运输（款）01</w:t>
      </w:r>
      <w:r>
        <w:rPr>
          <w:rFonts w:hint="eastAsia" w:ascii="仿宋_GB2312" w:eastAsia="仿宋_GB2312"/>
          <w:color w:val="auto"/>
          <w:sz w:val="32"/>
          <w:szCs w:val="32"/>
          <w:highlight w:val="none"/>
          <w:lang w:eastAsia="zh-CN"/>
        </w:rPr>
        <w:t>公路建设</w:t>
      </w:r>
      <w:r>
        <w:rPr>
          <w:rFonts w:hint="eastAsia" w:ascii="仿宋_GB2312" w:eastAsia="仿宋_GB2312"/>
          <w:color w:val="auto"/>
          <w:sz w:val="32"/>
          <w:szCs w:val="32"/>
          <w:highlight w:val="none"/>
        </w:rPr>
        <w:t>（项）10：支出决算为</w:t>
      </w:r>
      <w:r>
        <w:rPr>
          <w:rFonts w:hint="eastAsia" w:ascii="仿宋_GB2312" w:eastAsia="仿宋_GB2312"/>
          <w:color w:val="auto"/>
          <w:sz w:val="32"/>
          <w:szCs w:val="32"/>
          <w:highlight w:val="none"/>
          <w:lang w:val="en-US" w:eastAsia="zh-CN"/>
        </w:rPr>
        <w:t>400</w:t>
      </w:r>
      <w:r>
        <w:rPr>
          <w:rFonts w:hint="eastAsia" w:ascii="仿宋_GB2312" w:eastAsia="仿宋_GB2312"/>
          <w:color w:val="auto"/>
          <w:sz w:val="32"/>
          <w:szCs w:val="32"/>
          <w:highlight w:val="none"/>
        </w:rPr>
        <w:t>万元，完成预算100%。</w:t>
      </w:r>
    </w:p>
    <w:p w14:paraId="4C2E1162">
      <w:pPr>
        <w:spacing w:line="560" w:lineRule="exact"/>
        <w:ind w:firstLine="480" w:firstLineChars="150"/>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t>（九）住房保障支出（类）221，支出决算为</w:t>
      </w:r>
      <w:r>
        <w:rPr>
          <w:rFonts w:hint="eastAsia" w:ascii="仿宋_GB2312" w:eastAsia="仿宋_GB2312"/>
          <w:color w:val="auto"/>
          <w:sz w:val="32"/>
          <w:szCs w:val="32"/>
          <w:highlight w:val="none"/>
          <w:lang w:val="en-US" w:eastAsia="zh-CN"/>
        </w:rPr>
        <w:t>120.06</w:t>
      </w:r>
      <w:r>
        <w:rPr>
          <w:rFonts w:hint="eastAsia" w:ascii="仿宋_GB2312" w:eastAsia="仿宋_GB2312"/>
          <w:color w:val="auto"/>
          <w:sz w:val="32"/>
          <w:szCs w:val="32"/>
          <w:highlight w:val="none"/>
        </w:rPr>
        <w:t>万元，完成预算100%，其中：</w:t>
      </w:r>
    </w:p>
    <w:p w14:paraId="7FCA11B4">
      <w:pPr>
        <w:spacing w:line="560" w:lineRule="exact"/>
        <w:ind w:firstLine="480" w:firstLineChars="15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eastAsia="zh-CN"/>
        </w:rPr>
        <w:t>1.</w:t>
      </w:r>
      <w:r>
        <w:rPr>
          <w:rFonts w:hint="eastAsia" w:ascii="仿宋_GB2312" w:eastAsia="仿宋_GB2312"/>
          <w:color w:val="auto"/>
          <w:sz w:val="32"/>
          <w:szCs w:val="32"/>
          <w:highlight w:val="none"/>
        </w:rPr>
        <w:t>住房保障支出（类）221住房改革支出（款）02住房公积金（项）01</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32.78</w:t>
      </w:r>
      <w:r>
        <w:rPr>
          <w:rStyle w:val="20"/>
          <w:rFonts w:hint="eastAsia" w:ascii="仿宋_GB2312" w:eastAsia="仿宋_GB2312"/>
          <w:b w:val="0"/>
          <w:color w:val="auto"/>
          <w:sz w:val="32"/>
          <w:szCs w:val="32"/>
          <w:highlight w:val="none"/>
        </w:rPr>
        <w:t>万元，完成预算100%。</w:t>
      </w:r>
    </w:p>
    <w:p w14:paraId="33CB7C70">
      <w:pPr>
        <w:spacing w:line="560" w:lineRule="exact"/>
        <w:ind w:firstLine="480" w:firstLineChars="15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val="en-US" w:eastAsia="zh-CN"/>
        </w:rPr>
        <w:t>2.</w:t>
      </w:r>
      <w:r>
        <w:rPr>
          <w:rFonts w:hint="eastAsia" w:ascii="仿宋_GB2312" w:eastAsia="仿宋_GB2312"/>
          <w:color w:val="auto"/>
          <w:sz w:val="32"/>
          <w:szCs w:val="32"/>
          <w:highlight w:val="none"/>
        </w:rPr>
        <w:t>住房保障支出（类）221住房</w:t>
      </w:r>
      <w:r>
        <w:rPr>
          <w:rFonts w:hint="eastAsia" w:ascii="仿宋_GB2312" w:eastAsia="仿宋_GB2312"/>
          <w:color w:val="auto"/>
          <w:sz w:val="32"/>
          <w:szCs w:val="32"/>
          <w:highlight w:val="none"/>
          <w:lang w:eastAsia="zh-CN"/>
        </w:rPr>
        <w:t>保障性安居工程</w:t>
      </w:r>
      <w:r>
        <w:rPr>
          <w:rFonts w:hint="eastAsia" w:ascii="仿宋_GB2312" w:eastAsia="仿宋_GB2312"/>
          <w:color w:val="auto"/>
          <w:sz w:val="32"/>
          <w:szCs w:val="32"/>
          <w:highlight w:val="none"/>
        </w:rPr>
        <w:t>支出（款）0</w:t>
      </w:r>
      <w:r>
        <w:rPr>
          <w:rFonts w:hint="eastAsia" w:ascii="仿宋_GB2312" w:eastAsia="仿宋_GB2312"/>
          <w:color w:val="auto"/>
          <w:sz w:val="32"/>
          <w:szCs w:val="32"/>
          <w:highlight w:val="none"/>
          <w:lang w:val="en-US" w:eastAsia="zh-CN"/>
        </w:rPr>
        <w:t>1</w:t>
      </w:r>
      <w:r>
        <w:rPr>
          <w:rFonts w:hint="eastAsia" w:ascii="仿宋_GB2312" w:eastAsia="仿宋_GB2312"/>
          <w:color w:val="auto"/>
          <w:sz w:val="32"/>
          <w:szCs w:val="32"/>
          <w:highlight w:val="none"/>
          <w:lang w:eastAsia="zh-CN"/>
        </w:rPr>
        <w:t>棚户区改造</w:t>
      </w:r>
      <w:r>
        <w:rPr>
          <w:rFonts w:hint="eastAsia" w:ascii="仿宋_GB2312" w:eastAsia="仿宋_GB2312"/>
          <w:color w:val="auto"/>
          <w:sz w:val="32"/>
          <w:szCs w:val="32"/>
          <w:highlight w:val="none"/>
        </w:rPr>
        <w:t>（项）0</w:t>
      </w:r>
      <w:r>
        <w:rPr>
          <w:rFonts w:hint="eastAsia" w:ascii="仿宋_GB2312" w:eastAsia="仿宋_GB2312"/>
          <w:color w:val="auto"/>
          <w:sz w:val="32"/>
          <w:szCs w:val="32"/>
          <w:highlight w:val="none"/>
          <w:lang w:val="en-US" w:eastAsia="zh-CN"/>
        </w:rPr>
        <w:t>3</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37.28</w:t>
      </w:r>
      <w:r>
        <w:rPr>
          <w:rStyle w:val="20"/>
          <w:rFonts w:hint="eastAsia" w:ascii="仿宋_GB2312" w:eastAsia="仿宋_GB2312"/>
          <w:b w:val="0"/>
          <w:color w:val="auto"/>
          <w:sz w:val="32"/>
          <w:szCs w:val="32"/>
          <w:highlight w:val="none"/>
        </w:rPr>
        <w:t>万元，完成预算100%。</w:t>
      </w:r>
    </w:p>
    <w:p w14:paraId="2F10AD6B">
      <w:pPr>
        <w:spacing w:line="560" w:lineRule="exact"/>
        <w:ind w:firstLine="480" w:firstLineChars="150"/>
        <w:rPr>
          <w:rStyle w:val="20"/>
          <w:rFonts w:hint="eastAsia" w:ascii="仿宋_GB2312" w:eastAsia="仿宋_GB2312"/>
          <w:b w:val="0"/>
          <w:color w:val="auto"/>
          <w:sz w:val="32"/>
          <w:szCs w:val="32"/>
          <w:highlight w:val="none"/>
        </w:rPr>
      </w:pPr>
      <w:r>
        <w:rPr>
          <w:rStyle w:val="20"/>
          <w:rFonts w:hint="eastAsia" w:ascii="仿宋_GB2312" w:eastAsia="仿宋_GB2312"/>
          <w:b w:val="0"/>
          <w:color w:val="auto"/>
          <w:sz w:val="32"/>
          <w:szCs w:val="32"/>
          <w:highlight w:val="none"/>
          <w:lang w:val="en-US" w:eastAsia="zh-CN"/>
        </w:rPr>
        <w:t>3.</w:t>
      </w:r>
      <w:r>
        <w:rPr>
          <w:rFonts w:hint="eastAsia" w:ascii="仿宋_GB2312" w:eastAsia="仿宋_GB2312"/>
          <w:color w:val="auto"/>
          <w:sz w:val="32"/>
          <w:szCs w:val="32"/>
          <w:highlight w:val="none"/>
        </w:rPr>
        <w:t>住房保障支出（类）221住房</w:t>
      </w:r>
      <w:r>
        <w:rPr>
          <w:rFonts w:hint="eastAsia" w:ascii="仿宋_GB2312" w:eastAsia="仿宋_GB2312"/>
          <w:color w:val="auto"/>
          <w:sz w:val="32"/>
          <w:szCs w:val="32"/>
          <w:highlight w:val="none"/>
          <w:lang w:eastAsia="zh-CN"/>
        </w:rPr>
        <w:t>保障性安居工程</w:t>
      </w:r>
      <w:r>
        <w:rPr>
          <w:rFonts w:hint="eastAsia" w:ascii="仿宋_GB2312" w:eastAsia="仿宋_GB2312"/>
          <w:color w:val="auto"/>
          <w:sz w:val="32"/>
          <w:szCs w:val="32"/>
          <w:highlight w:val="none"/>
        </w:rPr>
        <w:t>支出（款）0</w:t>
      </w:r>
      <w:r>
        <w:rPr>
          <w:rFonts w:hint="eastAsia" w:ascii="仿宋_GB2312" w:eastAsia="仿宋_GB2312"/>
          <w:color w:val="auto"/>
          <w:sz w:val="32"/>
          <w:szCs w:val="32"/>
          <w:highlight w:val="none"/>
          <w:lang w:val="en-US" w:eastAsia="zh-CN"/>
        </w:rPr>
        <w:t>1</w:t>
      </w:r>
      <w:r>
        <w:rPr>
          <w:rFonts w:hint="eastAsia" w:ascii="仿宋_GB2312" w:eastAsia="仿宋_GB2312"/>
          <w:color w:val="auto"/>
          <w:sz w:val="32"/>
          <w:szCs w:val="32"/>
          <w:highlight w:val="none"/>
          <w:lang w:eastAsia="zh-CN"/>
        </w:rPr>
        <w:t>老旧小区改造</w:t>
      </w:r>
      <w:r>
        <w:rPr>
          <w:rFonts w:hint="eastAsia" w:ascii="仿宋_GB2312" w:eastAsia="仿宋_GB2312"/>
          <w:color w:val="auto"/>
          <w:sz w:val="32"/>
          <w:szCs w:val="32"/>
          <w:highlight w:val="none"/>
        </w:rPr>
        <w:t>（项）0</w:t>
      </w:r>
      <w:r>
        <w:rPr>
          <w:rFonts w:hint="eastAsia" w:ascii="仿宋_GB2312" w:eastAsia="仿宋_GB2312"/>
          <w:color w:val="auto"/>
          <w:sz w:val="32"/>
          <w:szCs w:val="32"/>
          <w:highlight w:val="none"/>
          <w:lang w:val="en-US" w:eastAsia="zh-CN"/>
        </w:rPr>
        <w:t>8</w:t>
      </w:r>
      <w:r>
        <w:rPr>
          <w:rStyle w:val="20"/>
          <w:rFonts w:hint="eastAsia" w:ascii="仿宋_GB2312" w:eastAsia="仿宋_GB2312"/>
          <w:b w:val="0"/>
          <w:color w:val="auto"/>
          <w:sz w:val="32"/>
          <w:szCs w:val="32"/>
          <w:highlight w:val="none"/>
        </w:rPr>
        <w:t>：支出决算为</w:t>
      </w:r>
      <w:r>
        <w:rPr>
          <w:rStyle w:val="20"/>
          <w:rFonts w:hint="eastAsia" w:ascii="仿宋_GB2312" w:eastAsia="仿宋_GB2312"/>
          <w:b w:val="0"/>
          <w:color w:val="auto"/>
          <w:sz w:val="32"/>
          <w:szCs w:val="32"/>
          <w:highlight w:val="none"/>
          <w:lang w:val="en-US" w:eastAsia="zh-CN"/>
        </w:rPr>
        <w:t>50</w:t>
      </w:r>
      <w:r>
        <w:rPr>
          <w:rStyle w:val="20"/>
          <w:rFonts w:hint="eastAsia" w:ascii="仿宋_GB2312" w:eastAsia="仿宋_GB2312"/>
          <w:b w:val="0"/>
          <w:color w:val="auto"/>
          <w:sz w:val="32"/>
          <w:szCs w:val="32"/>
          <w:highlight w:val="none"/>
        </w:rPr>
        <w:t>万元，完成预算100%。</w:t>
      </w:r>
    </w:p>
    <w:p w14:paraId="6DF87FC0">
      <w:pPr>
        <w:pStyle w:val="7"/>
        <w:rPr>
          <w:rFonts w:hint="eastAsia"/>
        </w:rPr>
      </w:pPr>
    </w:p>
    <w:p w14:paraId="798944DA">
      <w:pPr>
        <w:pStyle w:val="7"/>
      </w:pPr>
    </w:p>
    <w:p w14:paraId="2A8F026C">
      <w:pPr>
        <w:tabs>
          <w:tab w:val="right" w:pos="8306"/>
        </w:tabs>
        <w:spacing w:line="600" w:lineRule="exact"/>
        <w:outlineLvl w:val="1"/>
        <w:rPr>
          <w:rStyle w:val="23"/>
          <w:color w:val="auto"/>
          <w:highlight w:val="none"/>
        </w:rPr>
      </w:pPr>
      <w:bookmarkStart w:id="57" w:name="_Toc15163"/>
      <w:bookmarkStart w:id="58" w:name="_Toc15396608"/>
      <w:bookmarkStart w:id="59" w:name="_Toc15377214"/>
      <w:r>
        <w:rPr>
          <w:rFonts w:hint="eastAsia" w:ascii="黑体" w:eastAsia="黑体"/>
          <w:color w:val="auto"/>
          <w:sz w:val="32"/>
          <w:szCs w:val="32"/>
          <w:highlight w:val="none"/>
        </w:rPr>
        <w:t>六</w:t>
      </w:r>
      <w:r>
        <w:rPr>
          <w:rFonts w:hint="eastAsia" w:ascii="黑体" w:eastAsia="黑体"/>
          <w:b/>
          <w:color w:val="auto"/>
          <w:sz w:val="32"/>
          <w:szCs w:val="32"/>
          <w:highlight w:val="none"/>
        </w:rPr>
        <w:t>、</w:t>
      </w:r>
      <w:r>
        <w:rPr>
          <w:rFonts w:hint="eastAsia" w:ascii="黑体" w:hAnsi="黑体" w:eastAsia="黑体"/>
          <w:b/>
          <w:color w:val="auto"/>
          <w:sz w:val="32"/>
          <w:szCs w:val="32"/>
          <w:highlight w:val="none"/>
        </w:rPr>
        <w:t>一</w:t>
      </w:r>
      <w:r>
        <w:rPr>
          <w:rStyle w:val="23"/>
          <w:rFonts w:hint="eastAsia" w:ascii="黑体" w:hAnsi="黑体" w:eastAsia="黑体"/>
          <w:b w:val="0"/>
          <w:color w:val="auto"/>
          <w:highlight w:val="none"/>
        </w:rPr>
        <w:t>般公共预算财政拨款基本支出决算情况说明</w:t>
      </w:r>
      <w:bookmarkEnd w:id="57"/>
      <w:bookmarkEnd w:id="58"/>
      <w:bookmarkEnd w:id="59"/>
      <w:r>
        <w:rPr>
          <w:rStyle w:val="23"/>
          <w:rFonts w:ascii="黑体" w:hAnsi="黑体" w:eastAsia="黑体"/>
          <w:b w:val="0"/>
          <w:color w:val="auto"/>
          <w:highlight w:val="none"/>
        </w:rPr>
        <w:tab/>
      </w:r>
    </w:p>
    <w:p w14:paraId="1BA77552">
      <w:pPr>
        <w:spacing w:line="600" w:lineRule="exact"/>
        <w:ind w:firstLine="645"/>
        <w:rPr>
          <w:rFonts w:ascii="仿宋" w:hAnsi="仿宋" w:eastAsia="仿宋"/>
          <w:color w:val="auto"/>
          <w:sz w:val="32"/>
          <w:szCs w:val="32"/>
          <w:highlight w:val="none"/>
        </w:rPr>
      </w:pPr>
      <w:r>
        <w:rPr>
          <w:rFonts w:hint="eastAsia" w:ascii="仿宋" w:hAnsi="仿宋" w:eastAsia="仿宋"/>
          <w:b/>
          <w:bCs/>
          <w:color w:val="auto"/>
          <w:sz w:val="32"/>
          <w:szCs w:val="32"/>
          <w:highlight w:val="none"/>
        </w:rPr>
        <w:t>202</w:t>
      </w:r>
      <w:r>
        <w:rPr>
          <w:rFonts w:hint="eastAsia" w:ascii="仿宋" w:hAnsi="仿宋" w:eastAsia="仿宋"/>
          <w:b/>
          <w:bCs/>
          <w:color w:val="auto"/>
          <w:sz w:val="32"/>
          <w:szCs w:val="32"/>
          <w:highlight w:val="none"/>
          <w:lang w:val="en-US" w:eastAsia="zh-CN"/>
        </w:rPr>
        <w:t>4</w:t>
      </w:r>
      <w:r>
        <w:rPr>
          <w:rFonts w:hint="eastAsia" w:ascii="仿宋" w:hAnsi="仿宋" w:eastAsia="仿宋"/>
          <w:b/>
          <w:bCs/>
          <w:color w:val="auto"/>
          <w:sz w:val="32"/>
          <w:szCs w:val="32"/>
          <w:highlight w:val="none"/>
        </w:rPr>
        <w:t>年一般公共预算财政拨款基本支出</w:t>
      </w:r>
      <w:r>
        <w:rPr>
          <w:rFonts w:hint="eastAsia" w:ascii="仿宋_GB2312" w:hAnsi="仿宋_GB2312" w:eastAsia="仿宋_GB2312" w:cs="仿宋_GB2312"/>
          <w:b/>
          <w:bCs/>
          <w:color w:val="auto"/>
          <w:sz w:val="32"/>
          <w:szCs w:val="32"/>
          <w:highlight w:val="none"/>
          <w:lang w:val="en-US" w:eastAsia="zh-CN"/>
        </w:rPr>
        <w:t>446.21</w:t>
      </w:r>
      <w:r>
        <w:rPr>
          <w:rFonts w:hint="eastAsia" w:ascii="仿宋" w:hAnsi="仿宋" w:eastAsia="仿宋"/>
          <w:b/>
          <w:bCs/>
          <w:color w:val="auto"/>
          <w:sz w:val="32"/>
          <w:szCs w:val="32"/>
          <w:highlight w:val="none"/>
        </w:rPr>
        <w:t>万元，其中：</w:t>
      </w:r>
    </w:p>
    <w:p w14:paraId="2E0D01AF">
      <w:pPr>
        <w:spacing w:line="600" w:lineRule="exact"/>
        <w:ind w:firstLine="645"/>
        <w:rPr>
          <w:rFonts w:ascii="黑体" w:eastAsia="黑体"/>
          <w:color w:val="auto"/>
          <w:sz w:val="32"/>
          <w:szCs w:val="32"/>
          <w:highlight w:val="none"/>
        </w:rPr>
      </w:pPr>
      <w:r>
        <w:rPr>
          <w:rFonts w:hint="eastAsia" w:ascii="仿宋" w:hAnsi="仿宋" w:eastAsia="仿宋"/>
          <w:color w:val="auto"/>
          <w:sz w:val="32"/>
          <w:szCs w:val="32"/>
          <w:highlight w:val="none"/>
        </w:rPr>
        <w:t>人员经费</w:t>
      </w:r>
      <w:r>
        <w:rPr>
          <w:rFonts w:hint="eastAsia" w:ascii="仿宋" w:hAnsi="仿宋" w:eastAsia="仿宋"/>
          <w:color w:val="auto"/>
          <w:sz w:val="32"/>
          <w:szCs w:val="32"/>
          <w:highlight w:val="none"/>
          <w:lang w:val="en-US" w:eastAsia="zh-CN"/>
        </w:rPr>
        <w:t>382.2</w:t>
      </w:r>
      <w:r>
        <w:rPr>
          <w:rFonts w:hint="eastAsia" w:ascii="仿宋" w:hAnsi="仿宋" w:eastAsia="仿宋"/>
          <w:color w:val="auto"/>
          <w:sz w:val="32"/>
          <w:szCs w:val="32"/>
          <w:highlight w:val="none"/>
        </w:rPr>
        <w:t>万元，主要包括：基本工资、津贴补贴、奖金</w:t>
      </w:r>
      <w:r>
        <w:rPr>
          <w:rFonts w:hint="eastAsia" w:ascii="仿宋" w:hAnsi="仿宋" w:eastAsia="仿宋"/>
          <w:color w:val="auto"/>
          <w:sz w:val="32"/>
          <w:szCs w:val="32"/>
          <w:highlight w:val="none"/>
          <w:lang w:eastAsia="zh-CN"/>
        </w:rPr>
        <w:t>、</w:t>
      </w:r>
      <w:r>
        <w:rPr>
          <w:rFonts w:hint="eastAsia" w:ascii="仿宋" w:hAnsi="仿宋" w:eastAsia="仿宋"/>
          <w:color w:val="auto"/>
          <w:sz w:val="32"/>
          <w:szCs w:val="32"/>
          <w:highlight w:val="none"/>
        </w:rPr>
        <w:t>机关事业单位基本养老保险缴费、职业年金缴费、职工基本医疗保险缴费</w:t>
      </w:r>
      <w:r>
        <w:rPr>
          <w:rFonts w:hint="eastAsia" w:ascii="仿宋" w:hAnsi="仿宋" w:eastAsia="仿宋"/>
          <w:color w:val="auto"/>
          <w:sz w:val="32"/>
          <w:szCs w:val="32"/>
          <w:highlight w:val="none"/>
          <w:lang w:eastAsia="zh-CN"/>
        </w:rPr>
        <w:t>、</w:t>
      </w:r>
      <w:r>
        <w:rPr>
          <w:rFonts w:hint="eastAsia" w:ascii="仿宋" w:hAnsi="仿宋" w:eastAsia="仿宋"/>
          <w:color w:val="auto"/>
          <w:sz w:val="32"/>
          <w:szCs w:val="32"/>
          <w:highlight w:val="none"/>
        </w:rPr>
        <w:t>其他社会保障缴费、住房公积金、生活补助。</w:t>
      </w:r>
      <w:r>
        <w:rPr>
          <w:rFonts w:ascii="仿宋" w:hAnsi="仿宋" w:eastAsia="仿宋"/>
          <w:color w:val="auto"/>
          <w:sz w:val="32"/>
          <w:szCs w:val="32"/>
          <w:highlight w:val="none"/>
        </w:rPr>
        <w:br w:type="textWrapping"/>
      </w:r>
      <w:r>
        <w:rPr>
          <w:rFonts w:hint="eastAsia" w:ascii="仿宋" w:hAnsi="仿宋" w:eastAsia="仿宋"/>
          <w:color w:val="auto"/>
          <w:sz w:val="32"/>
          <w:szCs w:val="32"/>
          <w:highlight w:val="none"/>
        </w:rPr>
        <w:t>　　公用经费</w:t>
      </w:r>
      <w:r>
        <w:rPr>
          <w:rFonts w:hint="eastAsia" w:ascii="仿宋" w:hAnsi="仿宋" w:eastAsia="仿宋"/>
          <w:color w:val="auto"/>
          <w:sz w:val="32"/>
          <w:szCs w:val="32"/>
          <w:highlight w:val="none"/>
          <w:lang w:val="en-US" w:eastAsia="zh-CN"/>
        </w:rPr>
        <w:t>64.01</w:t>
      </w:r>
      <w:r>
        <w:rPr>
          <w:rFonts w:hint="eastAsia" w:ascii="仿宋" w:hAnsi="仿宋" w:eastAsia="仿宋"/>
          <w:color w:val="auto"/>
          <w:sz w:val="32"/>
          <w:szCs w:val="32"/>
          <w:highlight w:val="none"/>
        </w:rPr>
        <w:t>元，主要包括：办公费、印刷费、</w:t>
      </w:r>
      <w:r>
        <w:rPr>
          <w:rFonts w:hint="eastAsia" w:ascii="仿宋" w:hAnsi="仿宋" w:eastAsia="仿宋"/>
          <w:color w:val="auto"/>
          <w:sz w:val="32"/>
          <w:szCs w:val="32"/>
          <w:highlight w:val="none"/>
          <w:lang w:val="en-US" w:eastAsia="zh-CN"/>
        </w:rPr>
        <w:t>水费、</w:t>
      </w:r>
      <w:r>
        <w:rPr>
          <w:rFonts w:hint="eastAsia" w:ascii="仿宋" w:hAnsi="仿宋" w:eastAsia="仿宋"/>
          <w:color w:val="auto"/>
          <w:sz w:val="32"/>
          <w:szCs w:val="32"/>
          <w:highlight w:val="none"/>
        </w:rPr>
        <w:t>电费、邮电费、差旅费、维修（护）费、</w:t>
      </w:r>
      <w:r>
        <w:rPr>
          <w:rFonts w:hint="eastAsia" w:ascii="仿宋" w:hAnsi="仿宋" w:eastAsia="仿宋"/>
          <w:color w:val="auto"/>
          <w:sz w:val="32"/>
          <w:szCs w:val="32"/>
          <w:highlight w:val="none"/>
          <w:lang w:val="en-US" w:eastAsia="zh-CN"/>
        </w:rPr>
        <w:t>会议费、</w:t>
      </w:r>
      <w:r>
        <w:rPr>
          <w:rFonts w:hint="eastAsia" w:ascii="仿宋" w:hAnsi="仿宋" w:eastAsia="仿宋"/>
          <w:color w:val="auto"/>
          <w:sz w:val="32"/>
          <w:szCs w:val="32"/>
          <w:highlight w:val="none"/>
        </w:rPr>
        <w:t>培训费、劳务费、工会经费、福利费、其他交通费</w:t>
      </w:r>
      <w:r>
        <w:rPr>
          <w:rFonts w:hint="eastAsia" w:ascii="仿宋" w:hAnsi="仿宋" w:eastAsia="仿宋"/>
          <w:color w:val="auto"/>
          <w:sz w:val="32"/>
          <w:szCs w:val="32"/>
          <w:highlight w:val="none"/>
          <w:lang w:val="en-US" w:eastAsia="zh-CN"/>
        </w:rPr>
        <w:t>用</w:t>
      </w:r>
      <w:r>
        <w:rPr>
          <w:rFonts w:hint="eastAsia" w:ascii="仿宋" w:hAnsi="仿宋" w:eastAsia="仿宋"/>
          <w:color w:val="auto"/>
          <w:sz w:val="32"/>
          <w:szCs w:val="32"/>
          <w:highlight w:val="none"/>
        </w:rPr>
        <w:t>、其他商品和服务支出。</w:t>
      </w:r>
      <w:bookmarkStart w:id="60" w:name="_Toc15396609"/>
      <w:bookmarkStart w:id="61" w:name="_Toc15377215"/>
    </w:p>
    <w:p w14:paraId="0A2CC575">
      <w:pPr>
        <w:spacing w:line="600" w:lineRule="exact"/>
        <w:ind w:firstLine="640"/>
        <w:outlineLvl w:val="1"/>
        <w:rPr>
          <w:rStyle w:val="23"/>
          <w:rFonts w:ascii="黑体" w:hAnsi="黑体" w:eastAsia="黑体"/>
          <w:b w:val="0"/>
          <w:color w:val="auto"/>
          <w:highlight w:val="none"/>
        </w:rPr>
      </w:pPr>
      <w:bookmarkStart w:id="62" w:name="_Toc12981"/>
      <w:r>
        <w:rPr>
          <w:rFonts w:hint="eastAsia" w:ascii="黑体" w:eastAsia="黑体"/>
          <w:color w:val="auto"/>
          <w:sz w:val="32"/>
          <w:szCs w:val="32"/>
          <w:highlight w:val="none"/>
        </w:rPr>
        <w:t>七、</w:t>
      </w:r>
      <w:r>
        <w:rPr>
          <w:rStyle w:val="23"/>
          <w:rFonts w:hint="eastAsia" w:ascii="黑体" w:hAnsi="黑体" w:eastAsia="黑体"/>
          <w:color w:val="auto"/>
          <w:highlight w:val="none"/>
        </w:rPr>
        <w:t>“</w:t>
      </w:r>
      <w:r>
        <w:rPr>
          <w:rStyle w:val="23"/>
          <w:rFonts w:hint="eastAsia" w:ascii="黑体" w:hAnsi="黑体" w:eastAsia="黑体"/>
          <w:b w:val="0"/>
          <w:color w:val="auto"/>
          <w:highlight w:val="none"/>
        </w:rPr>
        <w:t>三公”经费财政拨款支出决算情况说明</w:t>
      </w:r>
      <w:bookmarkEnd w:id="60"/>
      <w:bookmarkEnd w:id="61"/>
      <w:bookmarkEnd w:id="62"/>
    </w:p>
    <w:p w14:paraId="7330151A">
      <w:pPr>
        <w:spacing w:line="600" w:lineRule="exact"/>
        <w:ind w:firstLine="640"/>
        <w:outlineLvl w:val="2"/>
        <w:rPr>
          <w:rFonts w:ascii="仿宋" w:hAnsi="仿宋" w:eastAsia="仿宋"/>
          <w:b/>
          <w:color w:val="auto"/>
          <w:sz w:val="32"/>
          <w:szCs w:val="32"/>
          <w:highlight w:val="none"/>
        </w:rPr>
      </w:pPr>
      <w:bookmarkStart w:id="63" w:name="_Toc15377216"/>
      <w:r>
        <w:rPr>
          <w:rFonts w:hint="eastAsia" w:ascii="仿宋" w:hAnsi="仿宋" w:eastAsia="仿宋"/>
          <w:b/>
          <w:color w:val="auto"/>
          <w:sz w:val="32"/>
          <w:szCs w:val="32"/>
          <w:highlight w:val="none"/>
        </w:rPr>
        <w:t>（一）“三公”经费财政拨款支出决算总体情况说明</w:t>
      </w:r>
      <w:bookmarkEnd w:id="63"/>
    </w:p>
    <w:p w14:paraId="4569DEED">
      <w:pPr>
        <w:spacing w:line="600" w:lineRule="exact"/>
        <w:ind w:firstLine="640"/>
        <w:rPr>
          <w:rFonts w:ascii="仿宋" w:hAnsi="仿宋" w:eastAsia="仿宋"/>
          <w:color w:val="auto"/>
          <w:sz w:val="32"/>
          <w:szCs w:val="32"/>
          <w:highlight w:val="none"/>
        </w:rPr>
      </w:pPr>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年“三公”经费财政拨款支出决算为</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较上年无变化，年初未安排预算</w:t>
      </w:r>
      <w:r>
        <w:rPr>
          <w:rFonts w:hint="eastAsia" w:ascii="仿宋" w:hAnsi="仿宋" w:eastAsia="仿宋"/>
          <w:color w:val="auto"/>
          <w:sz w:val="32"/>
          <w:szCs w:val="32"/>
          <w:highlight w:val="none"/>
        </w:rPr>
        <w:t>。</w:t>
      </w:r>
    </w:p>
    <w:p w14:paraId="191F56A0">
      <w:pPr>
        <w:spacing w:line="600" w:lineRule="exact"/>
        <w:ind w:firstLine="640"/>
        <w:outlineLvl w:val="2"/>
        <w:rPr>
          <w:rFonts w:ascii="仿宋" w:hAnsi="仿宋" w:eastAsia="仿宋"/>
          <w:b/>
          <w:color w:val="auto"/>
          <w:sz w:val="32"/>
          <w:szCs w:val="32"/>
          <w:highlight w:val="none"/>
        </w:rPr>
      </w:pPr>
      <w:bookmarkStart w:id="64" w:name="_Toc15377217"/>
      <w:r>
        <w:rPr>
          <w:rFonts w:hint="eastAsia" w:ascii="仿宋" w:hAnsi="仿宋" w:eastAsia="仿宋"/>
          <w:b/>
          <w:color w:val="auto"/>
          <w:sz w:val="32"/>
          <w:szCs w:val="32"/>
          <w:highlight w:val="none"/>
        </w:rPr>
        <w:t>（二）“三公”经费财政拨款支出决算具体情况说明</w:t>
      </w:r>
      <w:bookmarkEnd w:id="64"/>
    </w:p>
    <w:p w14:paraId="530AA47A">
      <w:pPr>
        <w:spacing w:line="600" w:lineRule="exact"/>
        <w:ind w:firstLine="640"/>
        <w:rPr>
          <w:rFonts w:ascii="仿宋" w:hAnsi="仿宋" w:eastAsia="仿宋"/>
          <w:b w:val="0"/>
          <w:bCs w:val="0"/>
          <w:color w:val="auto"/>
          <w:sz w:val="32"/>
          <w:szCs w:val="32"/>
          <w:highlight w:val="none"/>
        </w:rPr>
      </w:pPr>
      <w:r>
        <w:rPr>
          <w:rFonts w:hint="eastAsia" w:ascii="仿宋" w:hAnsi="仿宋" w:eastAsia="仿宋"/>
          <w:color w:val="auto"/>
          <w:sz w:val="32"/>
          <w:szCs w:val="32"/>
          <w:highlight w:val="none"/>
        </w:rPr>
        <w:t>202</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年“三公”经费财政拨款支出决算中，因公出国（境）费支出决算0万元，占0</w:t>
      </w:r>
      <w:r>
        <w:rPr>
          <w:rFonts w:ascii="仿宋" w:hAnsi="仿宋" w:eastAsia="仿宋"/>
          <w:color w:val="auto"/>
          <w:sz w:val="32"/>
          <w:szCs w:val="32"/>
          <w:highlight w:val="none"/>
        </w:rPr>
        <w:t>%</w:t>
      </w:r>
      <w:r>
        <w:rPr>
          <w:rFonts w:hint="eastAsia" w:ascii="仿宋" w:hAnsi="仿宋" w:eastAsia="仿宋"/>
          <w:color w:val="auto"/>
          <w:sz w:val="32"/>
          <w:szCs w:val="32"/>
          <w:highlight w:val="none"/>
        </w:rPr>
        <w:t>；公务用车购置及运行维护费支出决算0万元，占0</w:t>
      </w:r>
      <w:r>
        <w:rPr>
          <w:rFonts w:ascii="仿宋" w:hAnsi="仿宋" w:eastAsia="仿宋"/>
          <w:color w:val="auto"/>
          <w:sz w:val="32"/>
          <w:szCs w:val="32"/>
          <w:highlight w:val="none"/>
        </w:rPr>
        <w:t>%</w:t>
      </w:r>
      <w:r>
        <w:rPr>
          <w:rFonts w:hint="eastAsia" w:ascii="仿宋" w:hAnsi="仿宋" w:eastAsia="仿宋"/>
          <w:color w:val="auto"/>
          <w:sz w:val="32"/>
          <w:szCs w:val="32"/>
          <w:highlight w:val="none"/>
        </w:rPr>
        <w:t>；公务接待费支出决算</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万元，占0</w:t>
      </w:r>
      <w:r>
        <w:rPr>
          <w:rFonts w:ascii="仿宋" w:hAnsi="仿宋" w:eastAsia="仿宋"/>
          <w:color w:val="auto"/>
          <w:sz w:val="32"/>
          <w:szCs w:val="32"/>
          <w:highlight w:val="none"/>
        </w:rPr>
        <w:t>%</w:t>
      </w:r>
      <w:r>
        <w:rPr>
          <w:rFonts w:hint="eastAsia" w:ascii="仿宋" w:hAnsi="仿宋" w:eastAsia="仿宋"/>
          <w:color w:val="auto"/>
          <w:sz w:val="32"/>
          <w:szCs w:val="32"/>
          <w:highlight w:val="none"/>
        </w:rPr>
        <w:t>。具体情况如下：</w:t>
      </w:r>
    </w:p>
    <w:p w14:paraId="5861C41C">
      <w:pPr>
        <w:spacing w:line="600" w:lineRule="exact"/>
        <w:ind w:firstLine="640"/>
        <w:rPr>
          <w:rFonts w:ascii="仿宋_GB2312" w:eastAsia="仿宋_GB2312"/>
          <w:b/>
          <w:color w:val="auto"/>
          <w:sz w:val="32"/>
          <w:szCs w:val="32"/>
          <w:highlight w:val="none"/>
        </w:rPr>
      </w:pPr>
      <w:bookmarkStart w:id="65" w:name="_Toc15377221"/>
      <w:bookmarkStart w:id="66" w:name="_Toc15396612"/>
      <w:r>
        <w:rPr>
          <w:rFonts w:ascii="仿宋_GB2312" w:eastAsia="仿宋_GB2312"/>
          <w:b/>
          <w:color w:val="auto"/>
          <w:sz w:val="32"/>
          <w:szCs w:val="32"/>
          <w:highlight w:val="none"/>
        </w:rPr>
        <w:t>1.</w:t>
      </w:r>
      <w:r>
        <w:rPr>
          <w:rFonts w:hint="eastAsia" w:ascii="仿宋_GB2312" w:eastAsia="仿宋_GB2312"/>
          <w:b/>
          <w:color w:val="auto"/>
          <w:sz w:val="32"/>
          <w:szCs w:val="32"/>
          <w:highlight w:val="none"/>
        </w:rPr>
        <w:t>因公出国（境）经费支出</w:t>
      </w:r>
      <w:r>
        <w:rPr>
          <w:rFonts w:hint="eastAsia" w:ascii="仿宋_GB2312" w:eastAsia="仿宋_GB2312"/>
          <w:color w:val="auto"/>
          <w:sz w:val="32"/>
          <w:szCs w:val="32"/>
          <w:highlight w:val="none"/>
        </w:rPr>
        <w:t>因公出国（境）经费支出0万元，年初未安排预算。</w:t>
      </w:r>
    </w:p>
    <w:p w14:paraId="7B6EF359">
      <w:pPr>
        <w:spacing w:line="600" w:lineRule="exact"/>
        <w:ind w:firstLine="643" w:firstLineChars="200"/>
        <w:rPr>
          <w:rFonts w:hint="eastAsia" w:ascii="仿宋_GB2312" w:eastAsia="仿宋_GB2312"/>
          <w:color w:val="auto"/>
          <w:sz w:val="32"/>
          <w:szCs w:val="32"/>
          <w:highlight w:val="none"/>
        </w:rPr>
      </w:pPr>
      <w:r>
        <w:rPr>
          <w:rFonts w:hint="eastAsia" w:ascii="仿宋_GB2312" w:eastAsia="仿宋_GB2312"/>
          <w:b/>
          <w:color w:val="auto"/>
          <w:sz w:val="32"/>
          <w:szCs w:val="32"/>
          <w:highlight w:val="none"/>
          <w:lang w:val="en-US" w:eastAsia="zh-CN"/>
        </w:rPr>
        <w:t>2.</w:t>
      </w:r>
      <w:r>
        <w:rPr>
          <w:rFonts w:hint="eastAsia" w:ascii="仿宋_GB2312" w:eastAsia="仿宋_GB2312"/>
          <w:b/>
          <w:color w:val="auto"/>
          <w:sz w:val="32"/>
          <w:szCs w:val="32"/>
          <w:highlight w:val="none"/>
        </w:rPr>
        <w:t>公务用车购置及运行维护费支出0万元</w:t>
      </w:r>
      <w:r>
        <w:rPr>
          <w:rFonts w:hint="eastAsia" w:ascii="仿宋_GB2312" w:eastAsia="仿宋_GB2312"/>
          <w:b/>
          <w:color w:val="auto"/>
          <w:sz w:val="32"/>
          <w:szCs w:val="32"/>
          <w:highlight w:val="none"/>
          <w:lang w:eastAsia="zh-CN"/>
        </w:rPr>
        <w:t>，</w:t>
      </w:r>
      <w:r>
        <w:rPr>
          <w:rFonts w:hint="eastAsia" w:ascii="仿宋_GB2312" w:eastAsia="仿宋_GB2312"/>
          <w:color w:val="auto"/>
          <w:sz w:val="32"/>
          <w:szCs w:val="32"/>
          <w:highlight w:val="none"/>
        </w:rPr>
        <w:t>年初未安排预算，公务用车购置及运行维护费支出决算比202</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lang w:eastAsia="zh-CN"/>
        </w:rPr>
        <w:t>年</w:t>
      </w:r>
      <w:r>
        <w:rPr>
          <w:rFonts w:hint="eastAsia" w:ascii="仿宋_GB2312" w:eastAsia="仿宋_GB2312"/>
          <w:color w:val="auto"/>
          <w:sz w:val="32"/>
          <w:szCs w:val="32"/>
          <w:highlight w:val="none"/>
        </w:rPr>
        <w:t>无变化。</w:t>
      </w:r>
    </w:p>
    <w:p w14:paraId="26967D05">
      <w:pPr>
        <w:spacing w:line="600" w:lineRule="exact"/>
        <w:ind w:firstLine="640" w:firstLineChars="200"/>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t>其中：公务用车购置支出0万元，年初未安排预算。截至202</w:t>
      </w:r>
      <w:r>
        <w:rPr>
          <w:rFonts w:hint="eastAsia" w:ascii="仿宋_GB2312" w:eastAsia="仿宋_GB2312"/>
          <w:color w:val="auto"/>
          <w:sz w:val="32"/>
          <w:szCs w:val="32"/>
          <w:highlight w:val="none"/>
          <w:lang w:val="en-US" w:eastAsia="zh-CN"/>
        </w:rPr>
        <w:t>4</w:t>
      </w:r>
      <w:r>
        <w:rPr>
          <w:rFonts w:hint="eastAsia" w:ascii="仿宋_GB2312" w:eastAsia="仿宋_GB2312"/>
          <w:color w:val="auto"/>
          <w:sz w:val="32"/>
          <w:szCs w:val="32"/>
          <w:highlight w:val="none"/>
        </w:rPr>
        <w:t>年12月31日，单位共有公务用车0辆。</w:t>
      </w:r>
    </w:p>
    <w:p w14:paraId="02B5812F">
      <w:pPr>
        <w:spacing w:line="600" w:lineRule="exact"/>
        <w:ind w:firstLine="640" w:firstLineChars="200"/>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t>公务用车运行维护费支出0万元，年初未安排预算。</w:t>
      </w:r>
    </w:p>
    <w:p w14:paraId="3FDD69A9">
      <w:pPr>
        <w:pageBreakBefore w:val="0"/>
        <w:kinsoku/>
        <w:wordWrap/>
        <w:overflowPunct/>
        <w:topLinePunct w:val="0"/>
        <w:bidi w:val="0"/>
        <w:spacing w:line="576" w:lineRule="exact"/>
        <w:ind w:firstLine="640"/>
        <w:jc w:val="both"/>
        <w:textAlignment w:val="auto"/>
        <w:rPr>
          <w:rFonts w:hint="eastAsia" w:ascii="仿宋_GB2312" w:eastAsia="仿宋_GB2312"/>
          <w:color w:val="auto"/>
          <w:sz w:val="32"/>
          <w:szCs w:val="32"/>
          <w:highlight w:val="none"/>
          <w:lang w:val="en-US" w:eastAsia="zh-CN"/>
        </w:rPr>
      </w:pPr>
      <w:r>
        <w:rPr>
          <w:rFonts w:ascii="仿宋_GB2312" w:eastAsia="仿宋_GB2312"/>
          <w:b/>
          <w:color w:val="auto"/>
          <w:sz w:val="32"/>
          <w:szCs w:val="32"/>
          <w:highlight w:val="none"/>
        </w:rPr>
        <w:t>3.</w:t>
      </w:r>
      <w:r>
        <w:rPr>
          <w:rFonts w:hint="eastAsia" w:ascii="仿宋_GB2312" w:eastAsia="仿宋_GB2312"/>
          <w:b/>
          <w:color w:val="auto"/>
          <w:sz w:val="32"/>
          <w:szCs w:val="32"/>
          <w:highlight w:val="none"/>
        </w:rPr>
        <w:t>公务接待费支出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r>
        <w:rPr>
          <w:rStyle w:val="20"/>
          <w:rFonts w:hint="eastAsia" w:ascii="仿宋" w:hAnsi="仿宋" w:eastAsia="仿宋"/>
          <w:b w:val="0"/>
          <w:bCs/>
          <w:color w:val="auto"/>
          <w:sz w:val="32"/>
          <w:szCs w:val="32"/>
          <w:highlight w:val="none"/>
          <w:lang w:eastAsia="zh-CN"/>
        </w:rPr>
        <w:t>较上年无变化，年初未安排预算</w:t>
      </w:r>
      <w:r>
        <w:rPr>
          <w:rStyle w:val="20"/>
          <w:rFonts w:hint="eastAsia" w:ascii="仿宋" w:hAnsi="仿宋" w:eastAsia="仿宋"/>
          <w:b w:val="0"/>
          <w:bCs/>
          <w:color w:val="auto"/>
          <w:sz w:val="32"/>
          <w:szCs w:val="32"/>
          <w:highlight w:val="none"/>
        </w:rPr>
        <w:t>。</w:t>
      </w:r>
    </w:p>
    <w:p w14:paraId="4922177D">
      <w:pPr>
        <w:pageBreakBefore w:val="0"/>
        <w:kinsoku/>
        <w:wordWrap/>
        <w:overflowPunct/>
        <w:topLinePunct w:val="0"/>
        <w:bidi w:val="0"/>
        <w:spacing w:line="576" w:lineRule="exact"/>
        <w:jc w:val="both"/>
        <w:textAlignment w:val="auto"/>
        <w:outlineLvl w:val="1"/>
        <w:rPr>
          <w:rStyle w:val="23"/>
          <w:rFonts w:ascii="黑体" w:hAnsi="黑体" w:eastAsia="黑体"/>
          <w:color w:val="auto"/>
          <w:highlight w:val="none"/>
        </w:rPr>
      </w:pPr>
      <w:bookmarkStart w:id="67" w:name="_Toc15396610"/>
      <w:bookmarkStart w:id="68" w:name="_Toc15377218"/>
      <w:bookmarkStart w:id="69" w:name="_Toc6264"/>
      <w:r>
        <w:rPr>
          <w:rFonts w:hint="eastAsia" w:ascii="黑体" w:eastAsia="黑体"/>
          <w:color w:val="auto"/>
          <w:sz w:val="32"/>
          <w:szCs w:val="32"/>
          <w:highlight w:val="none"/>
        </w:rPr>
        <w:t>八、</w:t>
      </w:r>
      <w:r>
        <w:rPr>
          <w:rStyle w:val="23"/>
          <w:rFonts w:hint="eastAsia" w:ascii="黑体" w:hAnsi="黑体" w:eastAsia="黑体"/>
          <w:b w:val="0"/>
          <w:color w:val="auto"/>
          <w:highlight w:val="none"/>
        </w:rPr>
        <w:t>政府性基金预算支出决算情况说明</w:t>
      </w:r>
      <w:bookmarkEnd w:id="67"/>
      <w:bookmarkEnd w:id="68"/>
      <w:bookmarkEnd w:id="69"/>
    </w:p>
    <w:p w14:paraId="70C4F630">
      <w:pPr>
        <w:pageBreakBefore w:val="0"/>
        <w:kinsoku/>
        <w:wordWrap/>
        <w:overflowPunct/>
        <w:topLinePunct w:val="0"/>
        <w:bidi w:val="0"/>
        <w:spacing w:line="576" w:lineRule="exact"/>
        <w:ind w:firstLine="640"/>
        <w:jc w:val="both"/>
        <w:textAlignment w:val="auto"/>
        <w:rPr>
          <w:color w:val="auto"/>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24</w:t>
      </w:r>
      <w:r>
        <w:rPr>
          <w:rFonts w:hint="eastAsia" w:ascii="仿宋_GB2312" w:eastAsia="仿宋_GB2312"/>
          <w:color w:val="auto"/>
          <w:sz w:val="32"/>
          <w:szCs w:val="32"/>
          <w:highlight w:val="none"/>
        </w:rPr>
        <w:t>年政府性基金预算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139.43</w:t>
      </w:r>
      <w:r>
        <w:rPr>
          <w:rFonts w:hint="eastAsia" w:ascii="仿宋_GB2312" w:eastAsia="仿宋_GB2312"/>
          <w:color w:val="auto"/>
          <w:sz w:val="32"/>
          <w:szCs w:val="32"/>
          <w:highlight w:val="none"/>
        </w:rPr>
        <w:t>万元。</w:t>
      </w:r>
    </w:p>
    <w:p w14:paraId="34292E0B">
      <w:pPr>
        <w:pageBreakBefore w:val="0"/>
        <w:numPr>
          <w:ilvl w:val="0"/>
          <w:numId w:val="2"/>
        </w:numPr>
        <w:kinsoku/>
        <w:wordWrap/>
        <w:overflowPunct/>
        <w:topLinePunct w:val="0"/>
        <w:bidi w:val="0"/>
        <w:spacing w:line="576" w:lineRule="exact"/>
        <w:ind w:left="-640" w:leftChars="0" w:firstLine="640" w:firstLineChars="0"/>
        <w:jc w:val="both"/>
        <w:textAlignment w:val="auto"/>
        <w:outlineLvl w:val="1"/>
        <w:rPr>
          <w:rStyle w:val="23"/>
          <w:rFonts w:ascii="黑体" w:hAnsi="黑体" w:eastAsia="黑体"/>
          <w:b w:val="0"/>
          <w:color w:val="auto"/>
          <w:highlight w:val="none"/>
        </w:rPr>
      </w:pPr>
      <w:bookmarkStart w:id="70" w:name="_Toc15396611"/>
      <w:bookmarkStart w:id="71" w:name="_Toc29129"/>
      <w:bookmarkStart w:id="72" w:name="_Toc15377219"/>
      <w:r>
        <w:rPr>
          <w:rStyle w:val="23"/>
          <w:rFonts w:hint="eastAsia" w:ascii="黑体" w:hAnsi="黑体" w:eastAsia="黑体"/>
          <w:b w:val="0"/>
          <w:color w:val="auto"/>
          <w:highlight w:val="none"/>
        </w:rPr>
        <w:t>国有资本经营预算支出决算情况说明</w:t>
      </w:r>
      <w:bookmarkEnd w:id="70"/>
      <w:bookmarkEnd w:id="71"/>
      <w:bookmarkEnd w:id="72"/>
    </w:p>
    <w:p w14:paraId="667B65C0">
      <w:pPr>
        <w:pageBreakBefore w:val="0"/>
        <w:kinsoku/>
        <w:wordWrap/>
        <w:overflowPunct/>
        <w:topLinePunct w:val="0"/>
        <w:bidi w:val="0"/>
        <w:spacing w:line="576" w:lineRule="exact"/>
        <w:ind w:firstLine="640"/>
        <w:jc w:val="both"/>
        <w:textAlignment w:val="auto"/>
        <w:rPr>
          <w:rFonts w:hint="eastAsia"/>
          <w:color w:val="auto"/>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24</w:t>
      </w:r>
      <w:r>
        <w:rPr>
          <w:rFonts w:hint="eastAsia" w:ascii="仿宋_GB2312" w:eastAsia="仿宋_GB2312"/>
          <w:color w:val="auto"/>
          <w:sz w:val="32"/>
          <w:szCs w:val="32"/>
          <w:highlight w:val="none"/>
        </w:rPr>
        <w:t>年国有资本经营预算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20</w:t>
      </w:r>
      <w:r>
        <w:rPr>
          <w:rFonts w:hint="eastAsia" w:ascii="仿宋_GB2312" w:eastAsia="仿宋_GB2312"/>
          <w:color w:val="auto"/>
          <w:sz w:val="32"/>
          <w:szCs w:val="32"/>
          <w:highlight w:val="none"/>
        </w:rPr>
        <w:t>万元。</w:t>
      </w:r>
    </w:p>
    <w:p w14:paraId="2FC20CB8">
      <w:pPr>
        <w:spacing w:line="600" w:lineRule="exact"/>
        <w:ind w:firstLine="800" w:firstLineChars="250"/>
        <w:outlineLvl w:val="1"/>
        <w:rPr>
          <w:rStyle w:val="23"/>
          <w:rFonts w:ascii="黑体" w:hAnsi="黑体" w:eastAsia="黑体"/>
          <w:color w:val="auto"/>
          <w:highlight w:val="none"/>
        </w:rPr>
      </w:pPr>
      <w:bookmarkStart w:id="73" w:name="_Toc14455"/>
      <w:r>
        <w:rPr>
          <w:rFonts w:hint="eastAsia" w:ascii="黑体" w:hAnsi="黑体" w:eastAsia="黑体"/>
          <w:color w:val="auto"/>
          <w:sz w:val="32"/>
          <w:szCs w:val="32"/>
          <w:highlight w:val="none"/>
        </w:rPr>
        <w:t>十</w:t>
      </w:r>
      <w:r>
        <w:rPr>
          <w:rStyle w:val="23"/>
          <w:rFonts w:hint="eastAsia" w:ascii="黑体" w:hAnsi="黑体" w:eastAsia="黑体"/>
          <w:color w:val="auto"/>
          <w:highlight w:val="none"/>
        </w:rPr>
        <w:t>、</w:t>
      </w:r>
      <w:r>
        <w:rPr>
          <w:rStyle w:val="23"/>
          <w:rFonts w:hint="eastAsia" w:ascii="黑体" w:hAnsi="黑体" w:eastAsia="黑体"/>
          <w:b w:val="0"/>
          <w:color w:val="auto"/>
          <w:highlight w:val="none"/>
        </w:rPr>
        <w:t>其他重要事项的情况说明</w:t>
      </w:r>
      <w:bookmarkEnd w:id="65"/>
      <w:bookmarkEnd w:id="66"/>
      <w:bookmarkEnd w:id="73"/>
    </w:p>
    <w:p w14:paraId="23359D3D">
      <w:pPr>
        <w:spacing w:line="600" w:lineRule="exact"/>
        <w:ind w:firstLine="643" w:firstLineChars="200"/>
        <w:outlineLvl w:val="2"/>
        <w:rPr>
          <w:rFonts w:ascii="仿宋" w:hAnsi="仿宋" w:eastAsia="仿宋"/>
          <w:color w:val="auto"/>
          <w:sz w:val="32"/>
          <w:szCs w:val="32"/>
          <w:highlight w:val="none"/>
        </w:rPr>
      </w:pPr>
      <w:bookmarkStart w:id="74" w:name="_Toc15377222"/>
      <w:r>
        <w:rPr>
          <w:rFonts w:hint="eastAsia" w:ascii="仿宋" w:hAnsi="仿宋" w:eastAsia="仿宋"/>
          <w:b/>
          <w:color w:val="auto"/>
          <w:sz w:val="32"/>
          <w:szCs w:val="32"/>
          <w:highlight w:val="none"/>
        </w:rPr>
        <w:t>（一）机关运行经费支出情况</w:t>
      </w:r>
      <w:bookmarkEnd w:id="74"/>
    </w:p>
    <w:p w14:paraId="2E71E5EB">
      <w:pPr>
        <w:spacing w:line="600" w:lineRule="exact"/>
        <w:ind w:firstLine="640" w:firstLineChars="200"/>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t>202</w:t>
      </w:r>
      <w:r>
        <w:rPr>
          <w:rFonts w:hint="eastAsia" w:ascii="仿宋_GB2312" w:eastAsia="仿宋_GB2312"/>
          <w:color w:val="auto"/>
          <w:sz w:val="32"/>
          <w:szCs w:val="32"/>
          <w:highlight w:val="none"/>
          <w:lang w:val="en-US" w:eastAsia="zh-CN"/>
        </w:rPr>
        <w:t>4</w:t>
      </w:r>
      <w:r>
        <w:rPr>
          <w:rFonts w:hint="eastAsia" w:ascii="仿宋_GB2312" w:eastAsia="仿宋_GB2312"/>
          <w:color w:val="auto"/>
          <w:sz w:val="32"/>
          <w:szCs w:val="32"/>
          <w:highlight w:val="none"/>
        </w:rPr>
        <w:t>年，下西办事处机关运行经费支出</w:t>
      </w:r>
      <w:r>
        <w:rPr>
          <w:rFonts w:hint="eastAsia" w:ascii="仿宋_GB2312" w:eastAsia="仿宋_GB2312"/>
          <w:color w:val="auto"/>
          <w:sz w:val="32"/>
          <w:szCs w:val="32"/>
          <w:highlight w:val="none"/>
          <w:lang w:val="en-US" w:eastAsia="zh-CN"/>
        </w:rPr>
        <w:t>64.01</w:t>
      </w:r>
      <w:r>
        <w:rPr>
          <w:rFonts w:hint="eastAsia" w:ascii="仿宋_GB2312" w:eastAsia="仿宋_GB2312"/>
          <w:color w:val="auto"/>
          <w:sz w:val="32"/>
          <w:szCs w:val="32"/>
          <w:highlight w:val="none"/>
        </w:rPr>
        <w:t>万元，比</w:t>
      </w:r>
      <w:r>
        <w:rPr>
          <w:rFonts w:hint="eastAsia" w:ascii="仿宋_GB2312" w:eastAsia="仿宋_GB2312"/>
          <w:color w:val="auto"/>
          <w:sz w:val="32"/>
          <w:szCs w:val="32"/>
          <w:highlight w:val="none"/>
          <w:lang w:val="en-US" w:eastAsia="zh-CN"/>
        </w:rPr>
        <w:t>2023</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增加</w:t>
      </w:r>
      <w:r>
        <w:rPr>
          <w:rFonts w:hint="eastAsia" w:ascii="仿宋_GB2312" w:eastAsia="仿宋_GB2312"/>
          <w:color w:val="auto"/>
          <w:sz w:val="32"/>
          <w:szCs w:val="32"/>
          <w:highlight w:val="none"/>
          <w:lang w:val="en-US" w:eastAsia="zh-CN"/>
        </w:rPr>
        <w:t>19.89</w:t>
      </w:r>
      <w:r>
        <w:rPr>
          <w:rFonts w:hint="eastAsia" w:ascii="仿宋_GB2312" w:eastAsia="仿宋_GB2312"/>
          <w:color w:val="auto"/>
          <w:sz w:val="32"/>
          <w:szCs w:val="32"/>
          <w:highlight w:val="none"/>
        </w:rPr>
        <w:t>万元，主要原因是</w:t>
      </w:r>
      <w:r>
        <w:rPr>
          <w:rFonts w:hint="eastAsia" w:ascii="仿宋_GB2312" w:eastAsia="仿宋_GB2312"/>
          <w:color w:val="auto"/>
          <w:sz w:val="32"/>
          <w:szCs w:val="32"/>
          <w:highlight w:val="none"/>
          <w:lang w:eastAsia="zh-CN"/>
        </w:rPr>
        <w:t>聘用人员费用纳入运行经费</w:t>
      </w:r>
      <w:r>
        <w:rPr>
          <w:rFonts w:hint="eastAsia" w:ascii="仿宋_GB2312" w:eastAsia="仿宋_GB2312"/>
          <w:color w:val="auto"/>
          <w:sz w:val="32"/>
          <w:szCs w:val="32"/>
          <w:highlight w:val="none"/>
        </w:rPr>
        <w:t>。</w:t>
      </w:r>
    </w:p>
    <w:p w14:paraId="29B5A722">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75" w:name="_Toc15377223"/>
      <w:r>
        <w:rPr>
          <w:rFonts w:hint="eastAsia" w:ascii="仿宋" w:hAnsi="仿宋" w:eastAsia="仿宋"/>
          <w:b/>
          <w:color w:val="auto"/>
          <w:sz w:val="32"/>
          <w:szCs w:val="32"/>
          <w:highlight w:val="none"/>
        </w:rPr>
        <w:t>（二）政府采购支出情况</w:t>
      </w:r>
      <w:bookmarkEnd w:id="75"/>
    </w:p>
    <w:p w14:paraId="2580D619">
      <w:pPr>
        <w:spacing w:line="600" w:lineRule="exact"/>
        <w:ind w:firstLine="640" w:firstLineChars="200"/>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24</w:t>
      </w:r>
      <w:r>
        <w:rPr>
          <w:rFonts w:hint="eastAsia" w:ascii="仿宋_GB2312" w:eastAsia="仿宋_GB2312"/>
          <w:color w:val="auto"/>
          <w:sz w:val="32"/>
          <w:szCs w:val="32"/>
          <w:highlight w:val="none"/>
        </w:rPr>
        <w:t>年，政府采购支出总额</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p>
    <w:p w14:paraId="5B6E390E">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76" w:name="_Toc15377224"/>
      <w:r>
        <w:rPr>
          <w:rFonts w:hint="eastAsia" w:ascii="仿宋" w:hAnsi="仿宋" w:eastAsia="仿宋"/>
          <w:b/>
          <w:color w:val="auto"/>
          <w:sz w:val="32"/>
          <w:szCs w:val="32"/>
          <w:highlight w:val="none"/>
        </w:rPr>
        <w:t>（三）国有资产占有使用情况</w:t>
      </w:r>
      <w:bookmarkEnd w:id="76"/>
    </w:p>
    <w:p w14:paraId="5E3BE214">
      <w:pPr>
        <w:pStyle w:val="7"/>
        <w:ind w:firstLine="640" w:firstLineChars="200"/>
        <w:rPr>
          <w:rFonts w:hint="eastAsia" w:ascii="仿宋" w:hAnsi="仿宋" w:eastAsia="仿宋"/>
          <w:b/>
          <w:color w:val="auto"/>
          <w:sz w:val="32"/>
          <w:szCs w:val="32"/>
          <w:highlight w:val="none"/>
        </w:rPr>
      </w:pPr>
      <w:r>
        <w:rPr>
          <w:rFonts w:hint="eastAsia" w:ascii="仿宋_GB2312" w:eastAsia="仿宋_GB2312"/>
          <w:color w:val="auto"/>
          <w:sz w:val="32"/>
          <w:szCs w:val="32"/>
          <w:highlight w:val="none"/>
        </w:rPr>
        <w:t>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w:t>
      </w:r>
      <w:r>
        <w:rPr>
          <w:rFonts w:hint="eastAsia"/>
          <w:color w:val="auto"/>
          <w:sz w:val="32"/>
          <w:szCs w:val="32"/>
          <w:highlight w:val="none"/>
          <w:lang w:val="en-US" w:eastAsia="zh-CN"/>
        </w:rPr>
        <w:t>4</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w:t>
      </w:r>
      <w:r>
        <w:rPr>
          <w:rFonts w:ascii="仿宋_GB2312" w:eastAsia="仿宋_GB2312"/>
          <w:color w:val="auto"/>
          <w:sz w:val="32"/>
          <w:szCs w:val="32"/>
          <w:highlight w:val="none"/>
        </w:rPr>
        <w:t>31</w:t>
      </w:r>
      <w:r>
        <w:rPr>
          <w:rFonts w:hint="eastAsia" w:ascii="仿宋_GB2312" w:eastAsia="仿宋_GB2312"/>
          <w:color w:val="auto"/>
          <w:sz w:val="32"/>
          <w:szCs w:val="32"/>
          <w:highlight w:val="none"/>
        </w:rPr>
        <w:t>日，</w:t>
      </w:r>
      <w:r>
        <w:rPr>
          <w:rFonts w:hint="eastAsia" w:ascii="仿宋_GB2312" w:eastAsia="仿宋_GB2312"/>
          <w:color w:val="auto"/>
          <w:sz w:val="32"/>
          <w:szCs w:val="32"/>
          <w:highlight w:val="none"/>
          <w:lang w:eastAsia="zh-CN"/>
        </w:rPr>
        <w:t>下西办事处</w:t>
      </w:r>
      <w:r>
        <w:rPr>
          <w:rFonts w:hint="eastAsia" w:ascii="仿宋_GB2312" w:eastAsia="仿宋_GB2312"/>
          <w:color w:val="auto"/>
          <w:sz w:val="32"/>
          <w:szCs w:val="32"/>
          <w:highlight w:val="none"/>
        </w:rPr>
        <w:t>共有车辆</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w:t>
      </w:r>
      <w:r>
        <w:rPr>
          <w:rFonts w:hint="eastAsia"/>
          <w:color w:val="auto"/>
          <w:sz w:val="32"/>
          <w:szCs w:val="32"/>
          <w:highlight w:val="none"/>
          <w:lang w:eastAsia="zh-CN"/>
        </w:rPr>
        <w:t>，</w:t>
      </w:r>
      <w:r>
        <w:rPr>
          <w:rFonts w:hint="eastAsia" w:ascii="仿宋_GB2312" w:eastAsia="仿宋_GB2312"/>
          <w:color w:val="auto"/>
          <w:sz w:val="32"/>
          <w:szCs w:val="32"/>
          <w:highlight w:val="none"/>
        </w:rPr>
        <w:t>单价</w:t>
      </w:r>
      <w:r>
        <w:rPr>
          <w:rFonts w:ascii="仿宋_GB2312" w:eastAsia="仿宋_GB2312"/>
          <w:color w:val="auto"/>
          <w:sz w:val="32"/>
          <w:szCs w:val="32"/>
          <w:highlight w:val="none"/>
        </w:rPr>
        <w:t>50</w:t>
      </w:r>
      <w:r>
        <w:rPr>
          <w:rFonts w:hint="eastAsia" w:ascii="仿宋_GB2312" w:eastAsia="仿宋_GB2312"/>
          <w:color w:val="auto"/>
          <w:sz w:val="32"/>
          <w:szCs w:val="32"/>
          <w:highlight w:val="none"/>
        </w:rPr>
        <w:t>万元以上通用设备</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台（套），单价</w:t>
      </w:r>
      <w:r>
        <w:rPr>
          <w:rFonts w:ascii="仿宋_GB2312" w:eastAsia="仿宋_GB2312"/>
          <w:color w:val="auto"/>
          <w:sz w:val="32"/>
          <w:szCs w:val="32"/>
          <w:highlight w:val="none"/>
        </w:rPr>
        <w:t>100</w:t>
      </w:r>
      <w:r>
        <w:rPr>
          <w:rFonts w:hint="eastAsia" w:ascii="仿宋_GB2312" w:eastAsia="仿宋_GB2312"/>
          <w:color w:val="auto"/>
          <w:sz w:val="32"/>
          <w:szCs w:val="32"/>
          <w:highlight w:val="none"/>
        </w:rPr>
        <w:t>万元以上专用设备</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台（套）。</w:t>
      </w:r>
    </w:p>
    <w:p w14:paraId="42F9790E">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r>
        <w:rPr>
          <w:rFonts w:hint="eastAsia" w:ascii="仿宋" w:hAnsi="仿宋" w:eastAsia="仿宋"/>
          <w:b/>
          <w:color w:val="auto"/>
          <w:sz w:val="32"/>
          <w:szCs w:val="32"/>
          <w:highlight w:val="none"/>
        </w:rPr>
        <w:t>（四）预算绩效管理情况</w:t>
      </w:r>
    </w:p>
    <w:p w14:paraId="05F12F0F">
      <w:pPr>
        <w:widowControl/>
        <w:ind w:firstLine="640" w:firstLineChars="200"/>
        <w:jc w:val="lef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根据预算绩效管理要求，本部门在202</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年度预算编制阶段，组织对</w:t>
      </w:r>
      <w:r>
        <w:rPr>
          <w:rFonts w:hint="eastAsia" w:ascii="仿宋_GB2312" w:hAnsi="仿宋_GB2312" w:eastAsia="仿宋_GB2312" w:cs="仿宋_GB2312"/>
          <w:color w:val="auto"/>
          <w:sz w:val="32"/>
          <w:szCs w:val="32"/>
          <w:highlight w:val="none"/>
          <w:lang w:eastAsia="zh-CN"/>
        </w:rPr>
        <w:t>信访安全维稳</w:t>
      </w:r>
      <w:r>
        <w:rPr>
          <w:rFonts w:hint="eastAsia" w:ascii="仿宋_GB2312" w:hAnsi="仿宋_GB2312" w:eastAsia="仿宋_GB2312" w:cs="仿宋_GB2312"/>
          <w:color w:val="auto"/>
          <w:sz w:val="32"/>
          <w:szCs w:val="32"/>
          <w:highlight w:val="none"/>
        </w:rPr>
        <w:t>等项目开展了预算事前绩效评估，对</w:t>
      </w:r>
      <w:r>
        <w:rPr>
          <w:rFonts w:hint="eastAsia" w:ascii="仿宋_GB2312" w:hAnsi="仿宋_GB2312" w:eastAsia="仿宋_GB2312" w:cs="仿宋_GB2312"/>
          <w:color w:val="auto"/>
          <w:sz w:val="32"/>
          <w:szCs w:val="32"/>
          <w:highlight w:val="none"/>
          <w:lang w:val="en-US" w:eastAsia="zh-CN"/>
        </w:rPr>
        <w:t>27</w:t>
      </w:r>
      <w:r>
        <w:rPr>
          <w:rFonts w:hint="eastAsia" w:ascii="仿宋_GB2312" w:hAnsi="仿宋_GB2312" w:eastAsia="仿宋_GB2312" w:cs="仿宋_GB2312"/>
          <w:color w:val="auto"/>
          <w:sz w:val="32"/>
          <w:szCs w:val="32"/>
          <w:highlight w:val="none"/>
        </w:rPr>
        <w:t>个项目编制了绩效目标，预算执行过程中，选取</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个项目开展绩效监控。</w:t>
      </w:r>
      <w:r>
        <w:rPr>
          <w:rFonts w:hint="eastAsia" w:ascii="仿宋_GB2312" w:hAnsi="仿宋_GB2312" w:eastAsia="仿宋_GB2312" w:cs="仿宋_GB2312"/>
          <w:color w:val="auto"/>
          <w:sz w:val="32"/>
          <w:szCs w:val="32"/>
          <w:highlight w:val="none"/>
          <w:lang w:eastAsia="zh-CN"/>
        </w:rPr>
        <w:t>组织</w:t>
      </w:r>
      <w:r>
        <w:rPr>
          <w:rFonts w:hint="eastAsia" w:ascii="仿宋_GB2312" w:hAnsi="仿宋_GB2312" w:eastAsia="仿宋_GB2312" w:cs="仿宋_GB2312"/>
          <w:color w:val="auto"/>
          <w:sz w:val="32"/>
          <w:szCs w:val="32"/>
          <w:highlight w:val="none"/>
        </w:rPr>
        <w:t>对</w:t>
      </w:r>
      <w:r>
        <w:rPr>
          <w:rFonts w:hint="eastAsia" w:ascii="仿宋_GB2312" w:hAnsi="仿宋_GB2312" w:eastAsia="仿宋_GB2312" w:cs="仿宋_GB2312"/>
          <w:color w:val="auto"/>
          <w:sz w:val="32"/>
          <w:szCs w:val="32"/>
          <w:highlight w:val="none"/>
          <w:lang w:val="en-US" w:eastAsia="zh-CN"/>
        </w:rPr>
        <w:t>2024年度一般公共预算、</w:t>
      </w:r>
      <w:r>
        <w:rPr>
          <w:rFonts w:hint="eastAsia" w:ascii="仿宋_GB2312" w:hAnsi="仿宋_GB2312" w:eastAsia="仿宋_GB2312" w:cs="仿宋_GB2312"/>
          <w:color w:val="auto"/>
          <w:sz w:val="32"/>
          <w:szCs w:val="32"/>
          <w:highlight w:val="none"/>
          <w:lang w:eastAsia="zh-CN"/>
        </w:rPr>
        <w:t>政府性基金预算、国有资本经营预算等</w:t>
      </w:r>
      <w:r>
        <w:rPr>
          <w:rFonts w:hint="eastAsia" w:ascii="仿宋_GB2312" w:hAnsi="仿宋_GB2312" w:eastAsia="仿宋_GB2312" w:cs="仿宋_GB2312"/>
          <w:color w:val="auto"/>
          <w:sz w:val="32"/>
          <w:szCs w:val="32"/>
          <w:highlight w:val="none"/>
          <w:lang w:val="en-US" w:eastAsia="zh-CN"/>
        </w:rPr>
        <w:t>全面开展绩效自评。绩效自评报告详见附件：</w:t>
      </w:r>
    </w:p>
    <w:p w14:paraId="3781ED83">
      <w:pPr>
        <w:pStyle w:val="7"/>
        <w:rPr>
          <w:highlight w:val="yellow"/>
        </w:rPr>
      </w:pPr>
    </w:p>
    <w:p w14:paraId="6C4F1DD5">
      <w:pPr>
        <w:numPr>
          <w:ilvl w:val="0"/>
          <w:numId w:val="3"/>
        </w:numPr>
        <w:spacing w:line="600" w:lineRule="exact"/>
        <w:ind w:firstLine="663" w:firstLineChars="150"/>
        <w:jc w:val="center"/>
        <w:outlineLvl w:val="0"/>
        <w:rPr>
          <w:rStyle w:val="22"/>
          <w:rFonts w:ascii="黑体" w:hAnsi="黑体" w:eastAsia="黑体"/>
          <w:b w:val="0"/>
          <w:color w:val="auto"/>
          <w:highlight w:val="none"/>
        </w:rPr>
      </w:pPr>
      <w:bookmarkStart w:id="77" w:name="_Toc15377225"/>
      <w:bookmarkStart w:id="78" w:name="_Toc21815"/>
      <w:bookmarkStart w:id="79" w:name="_Toc15396613"/>
      <w:r>
        <w:rPr>
          <w:rFonts w:hint="eastAsia" w:ascii="黑体" w:hAnsi="黑体" w:eastAsia="黑体"/>
          <w:b/>
          <w:color w:val="auto"/>
          <w:sz w:val="44"/>
          <w:szCs w:val="44"/>
          <w:highlight w:val="none"/>
        </w:rPr>
        <w:t>名</w:t>
      </w:r>
      <w:r>
        <w:rPr>
          <w:rStyle w:val="22"/>
          <w:rFonts w:hint="eastAsia" w:ascii="黑体" w:hAnsi="黑体" w:eastAsia="黑体"/>
          <w:b w:val="0"/>
          <w:color w:val="auto"/>
          <w:highlight w:val="none"/>
        </w:rPr>
        <w:t>词解释</w:t>
      </w:r>
      <w:bookmarkEnd w:id="77"/>
      <w:bookmarkEnd w:id="78"/>
      <w:bookmarkEnd w:id="79"/>
    </w:p>
    <w:p w14:paraId="21AEC685">
      <w:pPr>
        <w:spacing w:line="600" w:lineRule="exact"/>
        <w:jc w:val="left"/>
        <w:rPr>
          <w:rFonts w:ascii="宋体"/>
          <w:b/>
          <w:color w:val="auto"/>
          <w:sz w:val="44"/>
          <w:szCs w:val="44"/>
          <w:highlight w:val="none"/>
        </w:rPr>
      </w:pPr>
    </w:p>
    <w:p w14:paraId="26873939">
      <w:pPr>
        <w:pStyle w:val="31"/>
        <w:keepNext w:val="0"/>
        <w:keepLines w:val="0"/>
        <w:pageBreakBefore w:val="0"/>
        <w:numPr>
          <w:numId w:val="0"/>
        </w:numPr>
        <w:kinsoku/>
        <w:wordWrap/>
        <w:overflowPunct/>
        <w:topLinePunct w:val="0"/>
        <w:bidi w:val="0"/>
        <w:snapToGrid/>
        <w:spacing w:line="560" w:lineRule="exact"/>
        <w:ind w:left="0" w:leftChars="0" w:firstLine="640" w:firstLineChars="200"/>
        <w:textAlignment w:val="auto"/>
        <w:outlineLvl w:val="1"/>
        <w:rPr>
          <w:rFonts w:ascii="仿宋_GB2312" w:eastAsia="仿宋_GB2312"/>
          <w:color w:val="auto"/>
          <w:sz w:val="32"/>
          <w:szCs w:val="32"/>
          <w:highlight w:val="none"/>
        </w:rPr>
      </w:pPr>
      <w:bookmarkStart w:id="80" w:name="_Toc12942"/>
      <w:bookmarkStart w:id="81" w:name="_Toc15396614"/>
      <w:bookmarkStart w:id="82" w:name="_Toc15377226"/>
      <w:r>
        <w:rPr>
          <w:rFonts w:hint="eastAsia" w:ascii="仿宋_GB2312" w:eastAsia="仿宋_GB2312"/>
          <w:color w:val="auto"/>
          <w:sz w:val="32"/>
          <w:szCs w:val="32"/>
          <w:highlight w:val="none"/>
          <w:lang w:val="en-US" w:eastAsia="zh-CN"/>
        </w:rPr>
        <w:t>1.</w:t>
      </w:r>
      <w:r>
        <w:rPr>
          <w:rFonts w:hint="eastAsia" w:ascii="仿宋_GB2312" w:eastAsia="仿宋_GB2312"/>
          <w:color w:val="auto"/>
          <w:sz w:val="32"/>
          <w:szCs w:val="32"/>
          <w:highlight w:val="none"/>
        </w:rPr>
        <w:t>财政拨款收入：指单位从同级财政部门取得的财政预算资金。</w:t>
      </w:r>
      <w:bookmarkEnd w:id="80"/>
    </w:p>
    <w:p w14:paraId="47B509C5">
      <w:pPr>
        <w:keepNext w:val="0"/>
        <w:keepLines w:val="0"/>
        <w:pageBreakBefore w:val="0"/>
        <w:widowControl/>
        <w:numPr>
          <w:numId w:val="0"/>
        </w:numPr>
        <w:kinsoku/>
        <w:wordWrap/>
        <w:overflowPunct/>
        <w:topLinePunct w:val="0"/>
        <w:bidi w:val="0"/>
        <w:snapToGrid/>
        <w:ind w:left="0" w:leftChars="0" w:firstLine="640" w:firstLineChars="200"/>
        <w:jc w:val="left"/>
        <w:textAlignment w:val="auto"/>
        <w:rPr>
          <w:rFonts w:hint="eastAsia" w:ascii="仿宋_GB2312" w:eastAsia="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en-US" w:eastAsia="zh-CN"/>
        </w:rPr>
        <w:t>2.</w:t>
      </w:r>
      <w:r>
        <w:rPr>
          <w:rFonts w:hint="eastAsia" w:ascii="仿宋_GB2312" w:hAnsi="仿宋_GB2312" w:eastAsia="仿宋_GB2312" w:cs="仿宋_GB2312"/>
          <w:color w:val="auto"/>
          <w:kern w:val="0"/>
          <w:sz w:val="32"/>
          <w:szCs w:val="32"/>
          <w:highlight w:val="none"/>
        </w:rPr>
        <w:t>一般公共服务支出（类）201政府办公厅（室）及相关机构事务（款）03行政运行（项）01：指反映行政单位（包括实行公务员管理的事业单位）的基本支出。</w:t>
      </w:r>
    </w:p>
    <w:p w14:paraId="12ADE1C7">
      <w:pPr>
        <w:keepNext w:val="0"/>
        <w:keepLines w:val="0"/>
        <w:pageBreakBefore w:val="0"/>
        <w:numPr>
          <w:numId w:val="0"/>
        </w:numPr>
        <w:kinsoku/>
        <w:wordWrap/>
        <w:overflowPunct/>
        <w:topLinePunct w:val="0"/>
        <w:bidi w:val="0"/>
        <w:snapToGrid/>
        <w:spacing w:line="560" w:lineRule="exact"/>
        <w:ind w:left="0" w:leftChars="0" w:firstLine="640" w:firstLineChars="200"/>
        <w:textAlignment w:val="auto"/>
        <w:rPr>
          <w:rFonts w:hint="eastAsia" w:ascii="仿宋_GB2312" w:eastAsia="仿宋_GB2312"/>
          <w:color w:val="auto"/>
          <w:sz w:val="32"/>
          <w:szCs w:val="32"/>
          <w:highlight w:val="none"/>
        </w:rPr>
      </w:pPr>
      <w:r>
        <w:rPr>
          <w:rFonts w:hint="eastAsia" w:ascii="仿宋_GB2312" w:hAnsi="仿宋_GB2312" w:eastAsia="仿宋_GB2312" w:cs="仿宋_GB2312"/>
          <w:color w:val="auto"/>
          <w:kern w:val="0"/>
          <w:sz w:val="32"/>
          <w:szCs w:val="32"/>
          <w:highlight w:val="none"/>
          <w:lang w:val="en-US" w:eastAsia="zh-CN"/>
        </w:rPr>
        <w:t>3.</w:t>
      </w:r>
      <w:r>
        <w:rPr>
          <w:rFonts w:hint="eastAsia" w:ascii="仿宋_GB2312" w:hAnsi="仿宋_GB2312" w:eastAsia="仿宋_GB2312" w:cs="仿宋_GB2312"/>
          <w:color w:val="auto"/>
          <w:kern w:val="0"/>
          <w:sz w:val="32"/>
          <w:szCs w:val="32"/>
          <w:highlight w:val="none"/>
        </w:rPr>
        <w:t>一般公共服务支出（类）201政府办公厅（室）及相关机构事务（款）03</w:t>
      </w:r>
      <w:r>
        <w:rPr>
          <w:rFonts w:hint="eastAsia" w:ascii="仿宋_GB2312" w:eastAsia="仿宋_GB2312"/>
          <w:color w:val="auto"/>
          <w:sz w:val="32"/>
          <w:szCs w:val="32"/>
          <w:highlight w:val="none"/>
        </w:rPr>
        <w:t>一般行政管理事务（项）02：指反映行政单位（包括实行公务员管理的事业单位）未单独设置项级科目的其他项目支出。</w:t>
      </w:r>
    </w:p>
    <w:p w14:paraId="0E7ABC9F">
      <w:pPr>
        <w:pStyle w:val="7"/>
        <w:keepNext w:val="0"/>
        <w:keepLines w:val="0"/>
        <w:pageBreakBefore w:val="0"/>
        <w:numPr>
          <w:numId w:val="0"/>
        </w:numPr>
        <w:kinsoku/>
        <w:wordWrap/>
        <w:overflowPunct/>
        <w:topLinePunct w:val="0"/>
        <w:bidi w:val="0"/>
        <w:snapToGrid/>
        <w:spacing w:beforeLines="0"/>
        <w:ind w:left="0" w:leftChars="0" w:firstLine="640" w:firstLineChars="200"/>
        <w:textAlignment w:val="auto"/>
        <w:rPr>
          <w:rFonts w:hint="default" w:eastAsia="仿宋_GB2312"/>
          <w:color w:val="auto"/>
          <w:highlight w:val="none"/>
          <w:lang w:val="en-US" w:eastAsia="zh-CN"/>
        </w:rPr>
      </w:pPr>
      <w:r>
        <w:rPr>
          <w:rFonts w:hint="eastAsia" w:hAnsi="仿宋_GB2312" w:cs="仿宋_GB2312"/>
          <w:color w:val="auto"/>
          <w:kern w:val="0"/>
          <w:sz w:val="32"/>
          <w:szCs w:val="32"/>
          <w:highlight w:val="none"/>
          <w:lang w:val="en-US" w:eastAsia="zh-CN"/>
        </w:rPr>
        <w:t>4.</w:t>
      </w:r>
      <w:r>
        <w:rPr>
          <w:rFonts w:hint="eastAsia" w:ascii="仿宋_GB2312" w:hAnsi="仿宋_GB2312" w:eastAsia="仿宋_GB2312" w:cs="仿宋_GB2312"/>
          <w:color w:val="auto"/>
          <w:kern w:val="0"/>
          <w:sz w:val="32"/>
          <w:szCs w:val="32"/>
          <w:highlight w:val="none"/>
        </w:rPr>
        <w:t>一般公共服务支出（类）201政府办公厅（室）及相关机构事务（款）03</w:t>
      </w:r>
      <w:r>
        <w:rPr>
          <w:rFonts w:hint="eastAsia" w:ascii="仿宋_GB2312" w:eastAsia="仿宋_GB2312"/>
          <w:color w:val="auto"/>
          <w:sz w:val="32"/>
          <w:szCs w:val="32"/>
          <w:highlight w:val="none"/>
          <w:lang w:eastAsia="zh-CN"/>
        </w:rPr>
        <w:t>机关服务</w:t>
      </w:r>
      <w:r>
        <w:rPr>
          <w:rFonts w:hint="eastAsia" w:ascii="仿宋_GB2312" w:eastAsia="仿宋_GB2312"/>
          <w:color w:val="auto"/>
          <w:sz w:val="32"/>
          <w:szCs w:val="32"/>
          <w:highlight w:val="none"/>
        </w:rPr>
        <w:t>（项）</w:t>
      </w:r>
      <w:r>
        <w:rPr>
          <w:rFonts w:hint="eastAsia" w:ascii="仿宋_GB2312" w:eastAsia="仿宋_GB2312"/>
          <w:color w:val="auto"/>
          <w:sz w:val="32"/>
          <w:szCs w:val="32"/>
          <w:highlight w:val="none"/>
          <w:lang w:val="en-US" w:eastAsia="zh-CN"/>
        </w:rPr>
        <w:t>03</w:t>
      </w:r>
      <w:r>
        <w:rPr>
          <w:rFonts w:hint="eastAsia" w:ascii="仿宋_GB2312" w:eastAsia="仿宋_GB2312"/>
          <w:color w:val="auto"/>
          <w:sz w:val="32"/>
          <w:szCs w:val="32"/>
          <w:highlight w:val="none"/>
        </w:rPr>
        <w:t>：指反映行政单位（包括实行公务员管理的事业单位）</w:t>
      </w:r>
      <w:r>
        <w:rPr>
          <w:rFonts w:hint="eastAsia" w:ascii="仿宋_GB2312" w:eastAsia="仿宋_GB2312"/>
          <w:color w:val="auto"/>
          <w:sz w:val="32"/>
          <w:szCs w:val="32"/>
          <w:highlight w:val="none"/>
          <w:lang w:eastAsia="zh-CN"/>
        </w:rPr>
        <w:t>提供后勤服务的各类后勤服务中心、医务室等附属事业单位的支出。其他事业单位的支出，凡单独设置了项级科目的，在单独设置的项级科目中</w:t>
      </w:r>
      <w:r>
        <w:rPr>
          <w:rFonts w:hint="eastAsia"/>
          <w:color w:val="auto"/>
          <w:sz w:val="32"/>
          <w:szCs w:val="32"/>
          <w:highlight w:val="none"/>
          <w:lang w:eastAsia="zh-CN"/>
        </w:rPr>
        <w:t>反映</w:t>
      </w:r>
      <w:r>
        <w:rPr>
          <w:rFonts w:hint="eastAsia" w:ascii="仿宋_GB2312" w:eastAsia="仿宋_GB2312"/>
          <w:color w:val="auto"/>
          <w:sz w:val="32"/>
          <w:szCs w:val="32"/>
          <w:highlight w:val="none"/>
          <w:lang w:eastAsia="zh-CN"/>
        </w:rPr>
        <w:t>。未单设项级科目的，在“其他”项级科目中</w:t>
      </w:r>
      <w:r>
        <w:rPr>
          <w:rFonts w:hint="eastAsia"/>
          <w:color w:val="auto"/>
          <w:sz w:val="32"/>
          <w:szCs w:val="32"/>
          <w:highlight w:val="none"/>
          <w:lang w:eastAsia="zh-CN"/>
        </w:rPr>
        <w:t>反映</w:t>
      </w:r>
      <w:r>
        <w:rPr>
          <w:rFonts w:hint="eastAsia" w:ascii="仿宋_GB2312" w:eastAsia="仿宋_GB2312"/>
          <w:color w:val="auto"/>
          <w:sz w:val="32"/>
          <w:szCs w:val="32"/>
          <w:highlight w:val="none"/>
          <w:lang w:eastAsia="zh-CN"/>
        </w:rPr>
        <w:t>。</w:t>
      </w:r>
    </w:p>
    <w:p w14:paraId="2A137744">
      <w:pPr>
        <w:keepNext w:val="0"/>
        <w:keepLines w:val="0"/>
        <w:pageBreakBefore w:val="0"/>
        <w:numPr>
          <w:ilvl w:val="0"/>
          <w:numId w:val="0"/>
        </w:numPr>
        <w:kinsoku/>
        <w:wordWrap/>
        <w:overflowPunct/>
        <w:topLinePunct w:val="0"/>
        <w:bidi w:val="0"/>
        <w:snapToGrid/>
        <w:spacing w:line="576"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5.</w:t>
      </w:r>
      <w:r>
        <w:rPr>
          <w:rFonts w:hint="eastAsia" w:ascii="仿宋_GB2312" w:eastAsia="仿宋_GB2312"/>
          <w:color w:val="auto"/>
          <w:sz w:val="32"/>
          <w:szCs w:val="32"/>
          <w:highlight w:val="none"/>
          <w:lang w:eastAsia="zh-CN"/>
        </w:rPr>
        <w:t>一般公共服务支出（类）201政府办公厅（室）及相关机构事务（款）03专项业务及机关事务管理（项）0</w:t>
      </w:r>
      <w:r>
        <w:rPr>
          <w:rFonts w:hint="eastAsia"/>
          <w:color w:val="auto"/>
          <w:sz w:val="32"/>
          <w:szCs w:val="32"/>
          <w:highlight w:val="none"/>
          <w:lang w:val="en-US" w:eastAsia="zh-CN"/>
        </w:rPr>
        <w:t>5</w:t>
      </w:r>
      <w:r>
        <w:rPr>
          <w:rFonts w:hint="eastAsia" w:ascii="仿宋_GB2312" w:eastAsia="仿宋_GB2312"/>
          <w:color w:val="auto"/>
          <w:sz w:val="32"/>
          <w:szCs w:val="32"/>
          <w:highlight w:val="none"/>
          <w:lang w:eastAsia="zh-CN"/>
        </w:rPr>
        <w:t>：</w:t>
      </w:r>
      <w:r>
        <w:rPr>
          <w:rFonts w:hint="eastAsia" w:ascii="仿宋_GB2312" w:eastAsia="仿宋_GB2312" w:cs="Times New Roman"/>
          <w:color w:val="auto"/>
          <w:sz w:val="32"/>
          <w:szCs w:val="32"/>
          <w:highlight w:val="none"/>
          <w:lang w:val="en-US" w:eastAsia="zh-CN"/>
        </w:rPr>
        <w:t>指反映各级政府举行各类重大活动、召开重要会议（如国务院一类会议、国庆招待会、全国劳模大会）的支出，政府机关房地产管理、公务用车管理等方面的支出。</w:t>
      </w:r>
    </w:p>
    <w:p w14:paraId="0EAFC22D">
      <w:pPr>
        <w:keepNext w:val="0"/>
        <w:keepLines w:val="0"/>
        <w:pageBreakBefore w:val="0"/>
        <w:numPr>
          <w:ilvl w:val="0"/>
          <w:numId w:val="0"/>
        </w:numPr>
        <w:kinsoku/>
        <w:wordWrap/>
        <w:overflowPunct/>
        <w:topLinePunct w:val="0"/>
        <w:bidi w:val="0"/>
        <w:snapToGrid/>
        <w:spacing w:line="576" w:lineRule="exact"/>
        <w:ind w:left="0" w:leftChars="0" w:firstLine="640" w:firstLineChars="200"/>
        <w:textAlignment w:val="auto"/>
        <w:rPr>
          <w:rFonts w:hint="eastAsia" w:ascii="仿宋_GB2312" w:eastAsia="仿宋_GB2312" w:cs="Times New Roman"/>
          <w:color w:val="auto"/>
          <w:sz w:val="32"/>
          <w:szCs w:val="32"/>
          <w:highlight w:val="none"/>
          <w:lang w:val="en-US" w:eastAsia="zh-CN"/>
        </w:rPr>
      </w:pPr>
      <w:r>
        <w:rPr>
          <w:rFonts w:hint="eastAsia" w:ascii="仿宋_GB2312" w:hAnsi="仿宋_GB2312" w:eastAsia="仿宋_GB2312" w:cs="仿宋_GB2312"/>
          <w:color w:val="auto"/>
          <w:kern w:val="0"/>
          <w:sz w:val="32"/>
          <w:szCs w:val="32"/>
          <w:highlight w:val="none"/>
          <w:lang w:val="en-US" w:eastAsia="zh-CN"/>
        </w:rPr>
        <w:t>6.</w:t>
      </w:r>
      <w:r>
        <w:rPr>
          <w:rFonts w:hint="eastAsia" w:ascii="仿宋_GB2312" w:hAnsi="仿宋_GB2312" w:eastAsia="仿宋_GB2312" w:cs="仿宋_GB2312"/>
          <w:color w:val="auto"/>
          <w:kern w:val="0"/>
          <w:sz w:val="32"/>
          <w:szCs w:val="32"/>
          <w:highlight w:val="none"/>
        </w:rPr>
        <w:t>一般公共服务支出（类）201</w:t>
      </w:r>
      <w:r>
        <w:rPr>
          <w:rFonts w:hint="eastAsia" w:ascii="仿宋_GB2312" w:hAnsi="仿宋_GB2312" w:eastAsia="仿宋_GB2312" w:cs="仿宋_GB2312"/>
          <w:color w:val="auto"/>
          <w:kern w:val="0"/>
          <w:sz w:val="32"/>
          <w:szCs w:val="32"/>
          <w:highlight w:val="none"/>
          <w:lang w:eastAsia="zh-CN"/>
        </w:rPr>
        <w:t>纪检监察事务（款）</w:t>
      </w:r>
      <w:r>
        <w:rPr>
          <w:rFonts w:hint="eastAsia" w:ascii="仿宋_GB2312" w:hAnsi="仿宋_GB2312" w:eastAsia="仿宋_GB2312" w:cs="仿宋_GB2312"/>
          <w:color w:val="auto"/>
          <w:kern w:val="0"/>
          <w:sz w:val="32"/>
          <w:szCs w:val="32"/>
          <w:highlight w:val="none"/>
          <w:lang w:val="en-US" w:eastAsia="zh-CN"/>
        </w:rPr>
        <w:t>11</w:t>
      </w:r>
      <w:r>
        <w:rPr>
          <w:rFonts w:hint="eastAsia" w:ascii="仿宋_GB2312" w:hAnsi="仿宋_GB2312" w:eastAsia="仿宋_GB2312" w:cs="仿宋_GB2312"/>
          <w:color w:val="auto"/>
          <w:kern w:val="0"/>
          <w:sz w:val="32"/>
          <w:szCs w:val="32"/>
          <w:highlight w:val="none"/>
          <w:lang w:eastAsia="zh-CN"/>
        </w:rPr>
        <w:t>一般行政管理事务（</w:t>
      </w:r>
      <w:r>
        <w:rPr>
          <w:rFonts w:hint="eastAsia" w:ascii="仿宋_GB2312" w:hAnsi="仿宋_GB2312" w:eastAsia="仿宋_GB2312" w:cs="仿宋_GB2312"/>
          <w:color w:val="auto"/>
          <w:kern w:val="0"/>
          <w:sz w:val="32"/>
          <w:szCs w:val="32"/>
          <w:highlight w:val="none"/>
          <w:lang w:val="en-US" w:eastAsia="zh-CN"/>
        </w:rPr>
        <w:t>项</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02：</w:t>
      </w:r>
      <w:r>
        <w:rPr>
          <w:rFonts w:hint="eastAsia" w:ascii="仿宋_GB2312" w:eastAsia="仿宋_GB2312" w:cs="Times New Roman"/>
          <w:color w:val="auto"/>
          <w:sz w:val="32"/>
          <w:szCs w:val="32"/>
          <w:highlight w:val="none"/>
          <w:lang w:val="en-US" w:eastAsia="zh-CN"/>
        </w:rPr>
        <w:t>指反映行政单位（包括实行公务员管理的事业单位）未单独设置项目科目的其他项目支出。</w:t>
      </w:r>
    </w:p>
    <w:p w14:paraId="50B87598">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FF0000"/>
          <w:sz w:val="32"/>
          <w:szCs w:val="32"/>
          <w:highlight w:val="none"/>
        </w:rPr>
      </w:pPr>
      <w:r>
        <w:rPr>
          <w:rFonts w:hint="eastAsia" w:ascii="仿宋_GB2312" w:hAnsi="仿宋_GB2312" w:eastAsia="仿宋_GB2312" w:cs="仿宋_GB2312"/>
          <w:color w:val="auto"/>
          <w:kern w:val="0"/>
          <w:sz w:val="32"/>
          <w:szCs w:val="32"/>
          <w:highlight w:val="none"/>
          <w:lang w:val="en-US" w:eastAsia="zh-CN"/>
        </w:rPr>
        <w:t>7.</w:t>
      </w:r>
      <w:r>
        <w:rPr>
          <w:rFonts w:hint="eastAsia" w:ascii="仿宋_GB2312" w:hAnsi="仿宋_GB2312" w:eastAsia="仿宋_GB2312" w:cs="仿宋_GB2312"/>
          <w:color w:val="auto"/>
          <w:kern w:val="0"/>
          <w:sz w:val="32"/>
          <w:szCs w:val="32"/>
          <w:highlight w:val="none"/>
          <w:lang w:eastAsia="zh-CN"/>
        </w:rPr>
        <w:t>一般公共服务支出（类）201纪检监察事务（款）11其他纪检监察事务支出（项）</w:t>
      </w:r>
      <w:r>
        <w:rPr>
          <w:rFonts w:hint="eastAsia" w:ascii="仿宋_GB2312" w:hAnsi="仿宋_GB2312" w:eastAsia="仿宋_GB2312" w:cs="仿宋_GB2312"/>
          <w:color w:val="auto"/>
          <w:kern w:val="0"/>
          <w:sz w:val="32"/>
          <w:szCs w:val="32"/>
          <w:highlight w:val="none"/>
          <w:lang w:val="en-US" w:eastAsia="zh-CN"/>
        </w:rPr>
        <w:t>99</w:t>
      </w:r>
      <w:r>
        <w:rPr>
          <w:rFonts w:hint="eastAsia" w:ascii="仿宋_GB2312" w:hAnsi="仿宋_GB2312" w:eastAsia="仿宋_GB2312" w:cs="仿宋_GB2312"/>
          <w:color w:val="auto"/>
          <w:kern w:val="0"/>
          <w:sz w:val="32"/>
          <w:szCs w:val="32"/>
          <w:highlight w:val="none"/>
          <w:lang w:eastAsia="zh-CN"/>
        </w:rPr>
        <w:t>：指反映除上述项目以外其他纪检监察事务支出。</w:t>
      </w:r>
    </w:p>
    <w:p w14:paraId="691F0A7B">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hAnsi="仿宋_GB2312" w:eastAsia="仿宋_GB2312" w:cs="仿宋_GB2312"/>
          <w:color w:val="auto"/>
          <w:kern w:val="0"/>
          <w:sz w:val="32"/>
          <w:szCs w:val="32"/>
          <w:highlight w:val="none"/>
          <w:lang w:val="en-US" w:eastAsia="zh-CN"/>
        </w:rPr>
        <w:t>8.</w:t>
      </w:r>
      <w:r>
        <w:rPr>
          <w:rFonts w:hint="eastAsia" w:ascii="仿宋_GB2312" w:hAnsi="仿宋_GB2312" w:eastAsia="仿宋_GB2312" w:cs="仿宋_GB2312"/>
          <w:color w:val="auto"/>
          <w:kern w:val="0"/>
          <w:sz w:val="32"/>
          <w:szCs w:val="32"/>
          <w:highlight w:val="none"/>
        </w:rPr>
        <w:t>一般公共服务（类）201</w:t>
      </w:r>
      <w:r>
        <w:rPr>
          <w:rFonts w:hint="eastAsia" w:ascii="仿宋_GB2312" w:eastAsia="仿宋_GB2312"/>
          <w:color w:val="auto"/>
          <w:sz w:val="32"/>
          <w:szCs w:val="32"/>
          <w:highlight w:val="none"/>
          <w:lang w:eastAsia="zh-CN"/>
        </w:rPr>
        <w:t>党委办公厅（室）及相关机构事务</w:t>
      </w:r>
      <w:r>
        <w:rPr>
          <w:rFonts w:hint="eastAsia" w:ascii="仿宋_GB2312" w:eastAsia="仿宋_GB2312"/>
          <w:color w:val="auto"/>
          <w:sz w:val="32"/>
          <w:szCs w:val="32"/>
          <w:highlight w:val="none"/>
        </w:rPr>
        <w:t>（款）3</w:t>
      </w:r>
      <w:r>
        <w:rPr>
          <w:rFonts w:hint="eastAsia" w:ascii="仿宋_GB2312" w:eastAsia="仿宋_GB2312"/>
          <w:color w:val="auto"/>
          <w:sz w:val="32"/>
          <w:szCs w:val="32"/>
          <w:highlight w:val="none"/>
          <w:lang w:val="en-US" w:eastAsia="zh-CN"/>
        </w:rPr>
        <w:t>1</w:t>
      </w:r>
      <w:r>
        <w:rPr>
          <w:rFonts w:hint="eastAsia" w:ascii="仿宋_GB2312" w:eastAsia="仿宋_GB2312"/>
          <w:color w:val="auto"/>
          <w:sz w:val="32"/>
          <w:szCs w:val="32"/>
          <w:highlight w:val="none"/>
          <w:lang w:eastAsia="zh-CN"/>
        </w:rPr>
        <w:t>党委办公厅（室）及相关机构事务</w:t>
      </w:r>
      <w:r>
        <w:rPr>
          <w:rFonts w:hint="eastAsia" w:ascii="仿宋_GB2312" w:eastAsia="仿宋_GB2312"/>
          <w:color w:val="auto"/>
          <w:sz w:val="32"/>
          <w:szCs w:val="32"/>
          <w:highlight w:val="none"/>
        </w:rPr>
        <w:t>（项）</w:t>
      </w:r>
      <w:r>
        <w:rPr>
          <w:rFonts w:hint="eastAsia" w:ascii="仿宋_GB2312" w:eastAsia="仿宋_GB2312"/>
          <w:color w:val="auto"/>
          <w:sz w:val="32"/>
          <w:szCs w:val="32"/>
          <w:highlight w:val="none"/>
          <w:lang w:val="en-US" w:eastAsia="zh-CN"/>
        </w:rPr>
        <w:t>99：</w:t>
      </w:r>
      <w:r>
        <w:rPr>
          <w:rFonts w:hint="eastAsia" w:ascii="仿宋_GB2312" w:eastAsia="仿宋_GB2312"/>
          <w:color w:val="auto"/>
          <w:sz w:val="32"/>
          <w:szCs w:val="32"/>
          <w:highlight w:val="none"/>
        </w:rPr>
        <w:t>指反映</w:t>
      </w:r>
      <w:r>
        <w:rPr>
          <w:rFonts w:hint="eastAsia" w:ascii="仿宋_GB2312" w:eastAsia="仿宋_GB2312"/>
          <w:color w:val="auto"/>
          <w:sz w:val="32"/>
          <w:szCs w:val="32"/>
          <w:highlight w:val="none"/>
          <w:lang w:eastAsia="zh-CN"/>
        </w:rPr>
        <w:t>除上述项目以外其他用于党委办公厅（室）及相关机构事务支出</w:t>
      </w:r>
      <w:r>
        <w:rPr>
          <w:rFonts w:hint="eastAsia" w:ascii="仿宋_GB2312" w:eastAsia="仿宋_GB2312"/>
          <w:color w:val="auto"/>
          <w:sz w:val="32"/>
          <w:szCs w:val="32"/>
          <w:highlight w:val="none"/>
        </w:rPr>
        <w:t>。</w:t>
      </w:r>
    </w:p>
    <w:p w14:paraId="35848EAE">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9.</w:t>
      </w:r>
      <w:r>
        <w:rPr>
          <w:rFonts w:hint="eastAsia" w:ascii="仿宋_GB2312" w:eastAsia="仿宋_GB2312"/>
          <w:color w:val="auto"/>
          <w:sz w:val="32"/>
          <w:szCs w:val="32"/>
          <w:highlight w:val="none"/>
        </w:rPr>
        <w:t>一般公共服务支出（类）201市场监督管理事务（款）</w:t>
      </w:r>
      <w:r>
        <w:rPr>
          <w:rFonts w:hint="eastAsia" w:ascii="仿宋_GB2312" w:eastAsia="仿宋_GB2312"/>
          <w:color w:val="auto"/>
          <w:sz w:val="32"/>
          <w:szCs w:val="32"/>
          <w:highlight w:val="none"/>
          <w:lang w:val="en-US" w:eastAsia="zh-CN"/>
        </w:rPr>
        <w:t>38</w:t>
      </w:r>
      <w:r>
        <w:rPr>
          <w:rFonts w:hint="eastAsia" w:ascii="仿宋_GB2312" w:eastAsia="仿宋_GB2312"/>
          <w:color w:val="auto"/>
          <w:sz w:val="32"/>
          <w:szCs w:val="32"/>
          <w:highlight w:val="none"/>
        </w:rPr>
        <w:t>食品安全监管（项）</w:t>
      </w:r>
      <w:r>
        <w:rPr>
          <w:rFonts w:hint="eastAsia" w:ascii="仿宋_GB2312" w:eastAsia="仿宋_GB2312"/>
          <w:color w:val="auto"/>
          <w:sz w:val="32"/>
          <w:szCs w:val="32"/>
          <w:highlight w:val="none"/>
          <w:lang w:val="en-US" w:eastAsia="zh-CN"/>
        </w:rPr>
        <w:t>16</w:t>
      </w:r>
      <w:r>
        <w:rPr>
          <w:rFonts w:hint="eastAsia" w:ascii="仿宋_GB2312" w:eastAsia="仿宋_GB2312"/>
          <w:color w:val="auto"/>
          <w:sz w:val="32"/>
          <w:szCs w:val="32"/>
          <w:highlight w:val="none"/>
        </w:rPr>
        <w:t>：指反映食品安全监管</w:t>
      </w:r>
      <w:r>
        <w:rPr>
          <w:rFonts w:hint="eastAsia" w:ascii="仿宋_GB2312" w:eastAsia="仿宋_GB2312"/>
          <w:color w:val="auto"/>
          <w:sz w:val="32"/>
          <w:szCs w:val="32"/>
          <w:highlight w:val="none"/>
          <w:lang w:eastAsia="zh-CN"/>
        </w:rPr>
        <w:t>等专项工作支出</w:t>
      </w:r>
      <w:r>
        <w:rPr>
          <w:rFonts w:hint="eastAsia" w:ascii="仿宋_GB2312" w:eastAsia="仿宋_GB2312"/>
          <w:color w:val="auto"/>
          <w:sz w:val="32"/>
          <w:szCs w:val="32"/>
          <w:highlight w:val="none"/>
        </w:rPr>
        <w:t>。</w:t>
      </w:r>
    </w:p>
    <w:p w14:paraId="51AC158D">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hAnsi="仿宋_GB2312" w:eastAsia="仿宋_GB2312" w:cs="仿宋_GB2312"/>
          <w:color w:val="auto"/>
          <w:kern w:val="0"/>
          <w:sz w:val="32"/>
          <w:szCs w:val="32"/>
          <w:highlight w:val="none"/>
          <w:lang w:val="en-US" w:eastAsia="zh-CN"/>
        </w:rPr>
        <w:t>10.</w:t>
      </w:r>
      <w:r>
        <w:rPr>
          <w:rFonts w:hint="eastAsia" w:ascii="仿宋_GB2312" w:hAnsi="仿宋_GB2312" w:eastAsia="仿宋_GB2312" w:cs="仿宋_GB2312"/>
          <w:color w:val="auto"/>
          <w:kern w:val="0"/>
          <w:sz w:val="32"/>
          <w:szCs w:val="32"/>
          <w:highlight w:val="none"/>
        </w:rPr>
        <w:t>一般公共服务（类）201</w:t>
      </w:r>
      <w:r>
        <w:rPr>
          <w:rFonts w:hint="eastAsia" w:ascii="仿宋_GB2312" w:eastAsia="仿宋_GB2312"/>
          <w:color w:val="auto"/>
          <w:sz w:val="32"/>
          <w:szCs w:val="32"/>
          <w:highlight w:val="none"/>
        </w:rPr>
        <w:t>其他一般公共服务支出（款）99其他一般公共服务支出（项）99</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指反映除用于上述项目以外的其他一般公共服务支出。</w:t>
      </w:r>
    </w:p>
    <w:p w14:paraId="66D4DE2A">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FF0000"/>
          <w:sz w:val="32"/>
          <w:szCs w:val="32"/>
          <w:highlight w:val="none"/>
        </w:rPr>
      </w:pPr>
      <w:r>
        <w:rPr>
          <w:rFonts w:hint="eastAsia" w:ascii="仿宋_GB2312" w:eastAsia="仿宋_GB2312"/>
          <w:color w:val="auto"/>
          <w:sz w:val="32"/>
          <w:szCs w:val="32"/>
          <w:highlight w:val="none"/>
          <w:lang w:val="en-US" w:eastAsia="zh-CN"/>
        </w:rPr>
        <w:t>11.</w:t>
      </w:r>
      <w:r>
        <w:rPr>
          <w:rFonts w:hint="eastAsia" w:ascii="仿宋_GB2312" w:eastAsia="仿宋_GB2312"/>
          <w:color w:val="auto"/>
          <w:sz w:val="32"/>
          <w:szCs w:val="32"/>
          <w:highlight w:val="none"/>
        </w:rPr>
        <w:t>国防支出（类）20</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rPr>
        <w:t>其他国防支出（款）</w:t>
      </w:r>
      <w:r>
        <w:rPr>
          <w:rFonts w:hint="eastAsia" w:ascii="仿宋_GB2312" w:eastAsia="仿宋_GB2312"/>
          <w:color w:val="auto"/>
          <w:sz w:val="32"/>
          <w:szCs w:val="32"/>
          <w:highlight w:val="none"/>
          <w:lang w:val="en-US" w:eastAsia="zh-CN"/>
        </w:rPr>
        <w:t>99</w:t>
      </w:r>
      <w:r>
        <w:rPr>
          <w:rFonts w:hint="eastAsia" w:ascii="仿宋_GB2312" w:eastAsia="仿宋_GB2312"/>
          <w:color w:val="auto"/>
          <w:sz w:val="32"/>
          <w:szCs w:val="32"/>
          <w:highlight w:val="none"/>
        </w:rPr>
        <w:t>其他国防支出（项）99：指反映</w:t>
      </w:r>
      <w:r>
        <w:rPr>
          <w:rFonts w:hint="eastAsia" w:ascii="仿宋_GB2312" w:eastAsia="仿宋_GB2312"/>
          <w:color w:val="auto"/>
          <w:sz w:val="32"/>
          <w:szCs w:val="32"/>
          <w:highlight w:val="none"/>
          <w:lang w:eastAsia="zh-CN"/>
        </w:rPr>
        <w:t>其他用于国防方面的支出</w:t>
      </w:r>
      <w:r>
        <w:rPr>
          <w:rFonts w:hint="eastAsia" w:ascii="仿宋_GB2312" w:eastAsia="仿宋_GB2312"/>
          <w:color w:val="auto"/>
          <w:sz w:val="32"/>
          <w:szCs w:val="32"/>
          <w:highlight w:val="none"/>
        </w:rPr>
        <w:t>。</w:t>
      </w:r>
    </w:p>
    <w:p w14:paraId="4EC33079">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12.</w:t>
      </w:r>
      <w:r>
        <w:rPr>
          <w:rFonts w:hint="eastAsia" w:ascii="仿宋_GB2312" w:eastAsia="仿宋_GB2312"/>
          <w:color w:val="auto"/>
          <w:sz w:val="32"/>
          <w:szCs w:val="32"/>
          <w:highlight w:val="none"/>
        </w:rPr>
        <w:t>公共安全支出（类）204国家安全（款）03其他国家安全支出（项）99：指反映用于安全方面的支出。</w:t>
      </w:r>
    </w:p>
    <w:p w14:paraId="6DF326A6">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13.</w:t>
      </w:r>
      <w:r>
        <w:rPr>
          <w:rFonts w:hint="eastAsia" w:ascii="仿宋_GB2312" w:eastAsia="仿宋_GB2312"/>
          <w:color w:val="auto"/>
          <w:sz w:val="32"/>
          <w:szCs w:val="32"/>
          <w:highlight w:val="none"/>
        </w:rPr>
        <w:t>社会保障和就业支出（类）208行政事业单位离退休（款）05</w:t>
      </w:r>
      <w:r>
        <w:rPr>
          <w:rFonts w:hint="eastAsia" w:ascii="仿宋_GB2312" w:eastAsia="仿宋_GB2312"/>
          <w:color w:val="auto"/>
          <w:sz w:val="32"/>
          <w:szCs w:val="32"/>
          <w:highlight w:val="none"/>
          <w:lang w:eastAsia="zh-CN"/>
        </w:rPr>
        <w:t>行政单位离退休（项）</w:t>
      </w:r>
      <w:r>
        <w:rPr>
          <w:rFonts w:hint="eastAsia" w:ascii="仿宋_GB2312" w:eastAsia="仿宋_GB2312"/>
          <w:color w:val="auto"/>
          <w:sz w:val="32"/>
          <w:szCs w:val="32"/>
          <w:highlight w:val="none"/>
          <w:lang w:val="en-US" w:eastAsia="zh-CN"/>
        </w:rPr>
        <w:t>01：指反映行政单位（包括实行公务员管理的事业单位）开支离退休经费。</w:t>
      </w:r>
    </w:p>
    <w:p w14:paraId="5B61F48C">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14.</w:t>
      </w:r>
      <w:r>
        <w:rPr>
          <w:rFonts w:hint="eastAsia" w:ascii="仿宋_GB2312" w:eastAsia="仿宋_GB2312"/>
          <w:color w:val="auto"/>
          <w:sz w:val="32"/>
          <w:szCs w:val="32"/>
          <w:highlight w:val="none"/>
        </w:rPr>
        <w:t>社会保障和就业支出（类）208行政事业单位离退休（款）05机关事业单位基本养老保险缴费支出（项）05：指反映机关事业单位实施养老保险制度由单位缴纳的基本养老保险费支出。</w:t>
      </w:r>
    </w:p>
    <w:p w14:paraId="6184A0C5">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15.</w:t>
      </w:r>
      <w:r>
        <w:rPr>
          <w:rFonts w:hint="eastAsia" w:ascii="仿宋_GB2312" w:eastAsia="仿宋_GB2312"/>
          <w:color w:val="auto"/>
          <w:sz w:val="32"/>
          <w:szCs w:val="32"/>
          <w:highlight w:val="none"/>
        </w:rPr>
        <w:t>社会保障和就业支出（类）208行政事业单位离退休（款）05机关事业单位职业年金缴费支出（项）06：指反映机关事业单位实施养老保险制度由单位实际缴纳的职业年金支出。</w:t>
      </w:r>
    </w:p>
    <w:p w14:paraId="7E0EFFC4">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16.</w:t>
      </w:r>
      <w:r>
        <w:rPr>
          <w:rFonts w:hint="eastAsia" w:ascii="仿宋_GB2312" w:eastAsia="仿宋_GB2312"/>
          <w:color w:val="auto"/>
          <w:sz w:val="32"/>
          <w:szCs w:val="32"/>
          <w:highlight w:val="none"/>
        </w:rPr>
        <w:t>卫生健康支出（类）210行政事业单位医疗（类）11行政单位医疗（项）01：指反映财政部门集中安排的行政单位基本医疗保险缴费经费，未参加医疗保险的行政单位的公费医疗经费，按国家规定享受离休人员待遇的医疗费用。</w:t>
      </w:r>
    </w:p>
    <w:p w14:paraId="2A6497E1">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17.</w:t>
      </w:r>
      <w:r>
        <w:rPr>
          <w:rFonts w:hint="eastAsia" w:ascii="仿宋_GB2312" w:eastAsia="仿宋_GB2312"/>
          <w:color w:val="auto"/>
          <w:sz w:val="32"/>
          <w:szCs w:val="32"/>
          <w:highlight w:val="none"/>
        </w:rPr>
        <w:t>城乡社区支出（类）212城乡社区环境卫生（款）05城乡社区环境卫生（项）01：反映城乡社区道路清扫、垃圾清运与处理、公厕建设与维护、园林绿化等方面的支出。</w:t>
      </w:r>
    </w:p>
    <w:p w14:paraId="54564B40">
      <w:pPr>
        <w:keepNext w:val="0"/>
        <w:keepLines w:val="0"/>
        <w:pageBreakBefore w:val="0"/>
        <w:numPr>
          <w:ilvl w:val="0"/>
          <w:numId w:val="0"/>
        </w:numPr>
        <w:kinsoku/>
        <w:wordWrap/>
        <w:overflowPunct/>
        <w:topLinePunct w:val="0"/>
        <w:bidi w:val="0"/>
        <w:snapToGrid/>
        <w:spacing w:line="576" w:lineRule="exact"/>
        <w:ind w:left="0" w:leftChars="0" w:firstLine="640" w:firstLineChars="200"/>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18.</w:t>
      </w:r>
      <w:r>
        <w:rPr>
          <w:rFonts w:hint="eastAsia" w:ascii="仿宋_GB2312" w:eastAsia="仿宋_GB2312"/>
          <w:color w:val="auto"/>
          <w:sz w:val="32"/>
          <w:szCs w:val="32"/>
          <w:highlight w:val="none"/>
        </w:rPr>
        <w:t>城乡社区支出（类）212国有土地使用权出让收入安排的支出（款）08农业生产发展支出（项）</w:t>
      </w:r>
      <w:r>
        <w:rPr>
          <w:rFonts w:hint="eastAsia" w:ascii="仿宋_GB2312" w:eastAsia="仿宋_GB2312"/>
          <w:color w:val="auto"/>
          <w:sz w:val="32"/>
          <w:szCs w:val="32"/>
          <w:highlight w:val="none"/>
          <w:lang w:val="en-US" w:eastAsia="zh-CN"/>
        </w:rPr>
        <w:t>14</w:t>
      </w:r>
      <w:r>
        <w:rPr>
          <w:rFonts w:hint="eastAsia" w:ascii="仿宋_GB2312" w:eastAsia="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指反映土地出让收入用于农业生产发展方面的支出。</w:t>
      </w:r>
    </w:p>
    <w:p w14:paraId="727AF6F6">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19.</w:t>
      </w:r>
      <w:r>
        <w:rPr>
          <w:rFonts w:hint="eastAsia" w:ascii="仿宋_GB2312" w:eastAsia="仿宋_GB2312"/>
          <w:color w:val="auto"/>
          <w:sz w:val="32"/>
          <w:szCs w:val="32"/>
          <w:highlight w:val="none"/>
        </w:rPr>
        <w:t>城乡社区支出（类）212国有土地使用权出让收入安排的支出（款）</w:t>
      </w:r>
      <w:r>
        <w:rPr>
          <w:rFonts w:hint="eastAsia" w:ascii="仿宋_GB2312" w:eastAsia="仿宋_GB2312"/>
          <w:color w:val="auto"/>
          <w:sz w:val="32"/>
          <w:szCs w:val="32"/>
          <w:highlight w:val="none"/>
          <w:lang w:val="en-US" w:eastAsia="zh-CN"/>
        </w:rPr>
        <w:t>08</w:t>
      </w:r>
      <w:r>
        <w:rPr>
          <w:rFonts w:hint="eastAsia" w:ascii="仿宋_GB2312" w:eastAsia="仿宋_GB2312"/>
          <w:color w:val="auto"/>
          <w:sz w:val="32"/>
          <w:szCs w:val="32"/>
          <w:highlight w:val="none"/>
        </w:rPr>
        <w:t>其他国有土地使用权出让收入安排的支出（</w:t>
      </w:r>
      <w:r>
        <w:rPr>
          <w:rFonts w:hint="eastAsia" w:ascii="仿宋_GB2312" w:eastAsia="仿宋_GB2312"/>
          <w:color w:val="auto"/>
          <w:sz w:val="32"/>
          <w:szCs w:val="32"/>
          <w:highlight w:val="none"/>
          <w:lang w:val="en-US" w:eastAsia="zh-CN"/>
        </w:rPr>
        <w:t>项</w:t>
      </w:r>
      <w:r>
        <w:rPr>
          <w:rFonts w:hint="eastAsia" w:ascii="仿宋_GB2312" w:eastAsia="仿宋_GB2312"/>
          <w:color w:val="auto"/>
          <w:sz w:val="32"/>
          <w:szCs w:val="32"/>
          <w:highlight w:val="none"/>
        </w:rPr>
        <w:t>）</w:t>
      </w:r>
      <w:r>
        <w:rPr>
          <w:rFonts w:hint="eastAsia" w:ascii="仿宋_GB2312" w:eastAsia="仿宋_GB2312"/>
          <w:color w:val="auto"/>
          <w:sz w:val="32"/>
          <w:szCs w:val="32"/>
          <w:highlight w:val="none"/>
          <w:lang w:val="en-US" w:eastAsia="zh-CN"/>
        </w:rPr>
        <w:t>99：</w:t>
      </w:r>
      <w:r>
        <w:rPr>
          <w:rFonts w:hint="eastAsia" w:ascii="仿宋_GB2312" w:eastAsia="仿宋_GB2312"/>
          <w:color w:val="auto"/>
          <w:sz w:val="32"/>
          <w:szCs w:val="32"/>
          <w:highlight w:val="none"/>
        </w:rPr>
        <w:t>反映土地出让收入用于其他方面的支出。</w:t>
      </w:r>
    </w:p>
    <w:p w14:paraId="3F01FDF3">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20.</w:t>
      </w:r>
      <w:r>
        <w:rPr>
          <w:rFonts w:hint="eastAsia" w:ascii="仿宋_GB2312" w:eastAsia="仿宋_GB2312"/>
          <w:color w:val="auto"/>
          <w:sz w:val="32"/>
          <w:szCs w:val="32"/>
          <w:highlight w:val="none"/>
        </w:rPr>
        <w:t>农林水支出（类）213农业（款）01病虫害控制（项）08：反映用于病虫鼠害及疫情监测、预报、预防、控制、检疫、防疫所需的仪器、设施、药物、疫苗、种苗，疫畜防治、扑杀补偿及劳务补助、菌（毒）种保藏及动植物及其产品检疫、检测等方面的支出。</w:t>
      </w:r>
    </w:p>
    <w:p w14:paraId="58CD7320">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农林水支出（类）213林业（款）02林业防灾减灾（项）34：反映为预防和扑救、救治森林火灾、林业有害生物灾害、自然水旱灾害等发生的支出。</w:t>
      </w:r>
    </w:p>
    <w:p w14:paraId="33683824">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农林水支出（类）213水利（款）03防汛（项）14：反映防汛业务支出。有关事项包括防汛物资购置管护，防汛通信设施设备、网络系统、车船设备运行维护，防汛值班、水情报汛、防汛指挥系统运行维护、水毁修复以及防汛组织（如防汛预案编制、检查、演习、宣传、会议等），汛期调用民工及劳动保护，水利设施灾后重建，退田还湖，蓄滞洪区补偿、水情、雨情、决策支持，防汛视频会商，应急度汛，山洪灾害防治等。</w:t>
      </w:r>
    </w:p>
    <w:p w14:paraId="6D198AD2">
      <w:pPr>
        <w:keepNext w:val="0"/>
        <w:keepLines w:val="0"/>
        <w:pageBreakBefore w:val="0"/>
        <w:numPr>
          <w:ilvl w:val="0"/>
          <w:numId w:val="0"/>
        </w:numPr>
        <w:kinsoku/>
        <w:wordWrap/>
        <w:overflowPunct/>
        <w:topLinePunct w:val="0"/>
        <w:bidi w:val="0"/>
        <w:snapToGrid/>
        <w:spacing w:line="576"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农林水支出（类）213巩固脱贫攻坚成果衔接乡村振兴（款）0</w:t>
      </w:r>
      <w:r>
        <w:rPr>
          <w:rFonts w:hint="eastAsia" w:ascii="仿宋_GB2312" w:eastAsia="仿宋_GB2312"/>
          <w:color w:val="auto"/>
          <w:sz w:val="32"/>
          <w:szCs w:val="32"/>
          <w:highlight w:val="none"/>
          <w:lang w:val="en-US" w:eastAsia="zh-CN"/>
        </w:rPr>
        <w:t>5</w:t>
      </w:r>
      <w:r>
        <w:rPr>
          <w:rFonts w:hint="eastAsia" w:ascii="仿宋_GB2312" w:eastAsia="仿宋_GB2312"/>
          <w:color w:val="auto"/>
          <w:sz w:val="32"/>
          <w:szCs w:val="32"/>
          <w:highlight w:val="none"/>
        </w:rPr>
        <w:t>其他巩固脱贫攻坚成果衔接乡村振兴支出（项）</w:t>
      </w:r>
      <w:r>
        <w:rPr>
          <w:rFonts w:hint="eastAsia" w:ascii="仿宋_GB2312" w:eastAsia="仿宋_GB2312"/>
          <w:color w:val="auto"/>
          <w:sz w:val="32"/>
          <w:szCs w:val="32"/>
          <w:highlight w:val="none"/>
          <w:lang w:val="en-US" w:eastAsia="zh-CN"/>
        </w:rPr>
        <w:t>99</w:t>
      </w:r>
      <w:r>
        <w:rPr>
          <w:rFonts w:hint="eastAsia" w:ascii="仿宋_GB2312" w:eastAsia="仿宋_GB2312"/>
          <w:color w:val="auto"/>
          <w:sz w:val="32"/>
          <w:szCs w:val="32"/>
          <w:highlight w:val="none"/>
        </w:rPr>
        <w:t>：</w:t>
      </w:r>
      <w:r>
        <w:rPr>
          <w:rStyle w:val="20"/>
          <w:rFonts w:hint="eastAsia" w:ascii="仿宋_GB2312" w:hAnsi="仿宋_GB2312" w:eastAsia="仿宋_GB2312" w:cs="仿宋_GB2312"/>
          <w:b w:val="0"/>
          <w:bCs/>
          <w:color w:val="auto"/>
          <w:sz w:val="32"/>
          <w:szCs w:val="32"/>
          <w:highlight w:val="none"/>
          <w:lang w:val="en-US" w:eastAsia="zh-CN"/>
        </w:rPr>
        <w:t>指行政单位巩固脱贫攻坚成果衔接乡村振兴方面的支出。</w:t>
      </w:r>
    </w:p>
    <w:p w14:paraId="0C251D42">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24.</w:t>
      </w:r>
      <w:r>
        <w:rPr>
          <w:rFonts w:hint="eastAsia" w:ascii="仿宋_GB2312" w:eastAsia="仿宋_GB2312"/>
          <w:color w:val="auto"/>
          <w:sz w:val="32"/>
          <w:szCs w:val="32"/>
          <w:highlight w:val="none"/>
        </w:rPr>
        <w:t>农林水支出（类）213农村综合改革（款）07对村民委员会和村党支部的补助（项）05：反映各级财政对村民委员会和村党支部的补助支出，以及支持建立县级基本财力保障机制安排的村级组织运转奖补资金。</w:t>
      </w:r>
    </w:p>
    <w:p w14:paraId="13AA99F4">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25.</w:t>
      </w:r>
      <w:r>
        <w:rPr>
          <w:rFonts w:hint="eastAsia" w:ascii="仿宋_GB2312" w:eastAsia="仿宋_GB2312"/>
          <w:color w:val="auto"/>
          <w:sz w:val="32"/>
          <w:szCs w:val="32"/>
          <w:highlight w:val="none"/>
        </w:rPr>
        <w:t>交通运输支出（类）214公路水路运输（款）01公路建设（项）</w:t>
      </w:r>
      <w:r>
        <w:rPr>
          <w:rFonts w:hint="eastAsia" w:ascii="仿宋_GB2312" w:eastAsia="仿宋_GB2312"/>
          <w:color w:val="auto"/>
          <w:sz w:val="32"/>
          <w:szCs w:val="32"/>
          <w:highlight w:val="none"/>
          <w:lang w:val="en-US" w:eastAsia="zh-CN"/>
        </w:rPr>
        <w:t>04</w:t>
      </w:r>
      <w:r>
        <w:rPr>
          <w:rFonts w:hint="eastAsia" w:ascii="仿宋_GB2312" w:eastAsia="仿宋_GB2312"/>
          <w:color w:val="auto"/>
          <w:sz w:val="32"/>
          <w:szCs w:val="32"/>
          <w:highlight w:val="none"/>
        </w:rPr>
        <w:t>：指反映</w:t>
      </w:r>
      <w:r>
        <w:rPr>
          <w:rFonts w:hint="eastAsia" w:ascii="仿宋_GB2312" w:eastAsia="仿宋_GB2312"/>
          <w:color w:val="auto"/>
          <w:sz w:val="32"/>
          <w:szCs w:val="32"/>
          <w:highlight w:val="none"/>
          <w:lang w:eastAsia="zh-CN"/>
        </w:rPr>
        <w:t>公路新建和改扩建支出，特大型桥梁建设、公路客货运站（场）以及公路相关实施设备建设支出</w:t>
      </w:r>
      <w:r>
        <w:rPr>
          <w:rFonts w:hint="eastAsia" w:ascii="仿宋_GB2312" w:eastAsia="仿宋_GB2312"/>
          <w:color w:val="auto"/>
          <w:sz w:val="32"/>
          <w:szCs w:val="32"/>
          <w:highlight w:val="none"/>
        </w:rPr>
        <w:t>。</w:t>
      </w:r>
    </w:p>
    <w:p w14:paraId="292DF82E">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26.</w:t>
      </w:r>
      <w:r>
        <w:rPr>
          <w:rFonts w:hint="eastAsia" w:ascii="仿宋_GB2312" w:eastAsia="仿宋_GB2312"/>
          <w:color w:val="auto"/>
          <w:sz w:val="32"/>
          <w:szCs w:val="32"/>
          <w:highlight w:val="none"/>
        </w:rPr>
        <w:t>住房保障支出（类）2</w:t>
      </w: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保障性安居工程支出（款）0</w:t>
      </w:r>
      <w:r>
        <w:rPr>
          <w:rFonts w:hint="eastAsia" w:ascii="仿宋_GB2312" w:eastAsia="仿宋_GB2312"/>
          <w:color w:val="auto"/>
          <w:sz w:val="32"/>
          <w:szCs w:val="32"/>
          <w:highlight w:val="none"/>
          <w:lang w:val="en-US" w:eastAsia="zh-CN"/>
        </w:rPr>
        <w:t>1</w:t>
      </w:r>
      <w:r>
        <w:rPr>
          <w:rFonts w:hint="eastAsia" w:ascii="仿宋_GB2312" w:eastAsia="仿宋_GB2312"/>
          <w:color w:val="auto"/>
          <w:sz w:val="32"/>
          <w:szCs w:val="32"/>
          <w:highlight w:val="none"/>
        </w:rPr>
        <w:t>棚户区改造（项）0</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rPr>
        <w:t>：指反映</w:t>
      </w:r>
      <w:r>
        <w:rPr>
          <w:rFonts w:hint="eastAsia" w:ascii="仿宋_GB2312" w:eastAsia="仿宋_GB2312"/>
          <w:color w:val="auto"/>
          <w:sz w:val="32"/>
          <w:szCs w:val="32"/>
          <w:highlight w:val="none"/>
          <w:lang w:eastAsia="zh-CN"/>
        </w:rPr>
        <w:t>用于棚户区改造方面的支出</w:t>
      </w:r>
      <w:r>
        <w:rPr>
          <w:rFonts w:hint="eastAsia" w:ascii="仿宋_GB2312" w:eastAsia="仿宋_GB2312"/>
          <w:color w:val="auto"/>
          <w:sz w:val="32"/>
          <w:szCs w:val="32"/>
          <w:highlight w:val="none"/>
        </w:rPr>
        <w:t>。</w:t>
      </w:r>
    </w:p>
    <w:p w14:paraId="624A72E4">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FF0000"/>
          <w:sz w:val="32"/>
          <w:szCs w:val="32"/>
          <w:highlight w:val="none"/>
        </w:rPr>
      </w:pPr>
      <w:r>
        <w:rPr>
          <w:rFonts w:hint="eastAsia" w:ascii="仿宋_GB2312" w:eastAsia="仿宋_GB2312"/>
          <w:color w:val="auto"/>
          <w:sz w:val="32"/>
          <w:szCs w:val="32"/>
          <w:highlight w:val="none"/>
          <w:lang w:val="en-US" w:eastAsia="zh-CN"/>
        </w:rPr>
        <w:t>27.</w:t>
      </w:r>
      <w:r>
        <w:rPr>
          <w:rFonts w:hint="eastAsia" w:ascii="仿宋_GB2312" w:eastAsia="仿宋_GB2312"/>
          <w:color w:val="auto"/>
          <w:sz w:val="32"/>
          <w:szCs w:val="32"/>
          <w:highlight w:val="none"/>
        </w:rPr>
        <w:t>住房保障支出（类）221保障性安居工程支出（款）01老旧小区改造（项）0</w:t>
      </w:r>
      <w:r>
        <w:rPr>
          <w:rFonts w:hint="eastAsia" w:ascii="仿宋_GB2312" w:eastAsia="仿宋_GB2312"/>
          <w:color w:val="auto"/>
          <w:sz w:val="32"/>
          <w:szCs w:val="32"/>
          <w:highlight w:val="none"/>
          <w:lang w:val="en-US" w:eastAsia="zh-CN"/>
        </w:rPr>
        <w:t>8</w:t>
      </w:r>
      <w:r>
        <w:rPr>
          <w:rFonts w:hint="eastAsia" w:ascii="仿宋_GB2312" w:eastAsia="仿宋_GB2312"/>
          <w:color w:val="auto"/>
          <w:sz w:val="32"/>
          <w:szCs w:val="32"/>
          <w:highlight w:val="none"/>
        </w:rPr>
        <w:t>：指反映</w:t>
      </w:r>
      <w:r>
        <w:rPr>
          <w:rFonts w:hint="eastAsia" w:ascii="仿宋_GB2312" w:eastAsia="仿宋_GB2312"/>
          <w:color w:val="auto"/>
          <w:sz w:val="32"/>
          <w:szCs w:val="32"/>
          <w:highlight w:val="none"/>
          <w:lang w:eastAsia="zh-CN"/>
        </w:rPr>
        <w:t>用于老旧小区改造方面的支出</w:t>
      </w:r>
      <w:r>
        <w:rPr>
          <w:rFonts w:hint="eastAsia" w:ascii="仿宋_GB2312" w:eastAsia="仿宋_GB2312"/>
          <w:color w:val="auto"/>
          <w:sz w:val="32"/>
          <w:szCs w:val="32"/>
          <w:highlight w:val="none"/>
        </w:rPr>
        <w:t>。</w:t>
      </w:r>
    </w:p>
    <w:p w14:paraId="723A25C1">
      <w:pPr>
        <w:pStyle w:val="7"/>
        <w:keepNext w:val="0"/>
        <w:keepLines w:val="0"/>
        <w:pageBreakBefore w:val="0"/>
        <w:numPr>
          <w:ilvl w:val="0"/>
          <w:numId w:val="0"/>
        </w:numPr>
        <w:kinsoku/>
        <w:wordWrap/>
        <w:overflowPunct/>
        <w:topLinePunct w:val="0"/>
        <w:bidi w:val="0"/>
        <w:snapToGrid/>
        <w:spacing w:beforeLines="0"/>
        <w:ind w:left="0" w:leftChars="0" w:firstLine="640" w:firstLineChars="200"/>
        <w:textAlignment w:val="auto"/>
        <w:rPr>
          <w:rFonts w:hint="eastAsia" w:ascii="仿宋_GB2312" w:eastAsia="仿宋_GB2312"/>
          <w:color w:val="auto"/>
          <w:sz w:val="32"/>
          <w:szCs w:val="32"/>
          <w:highlight w:val="none"/>
        </w:rPr>
      </w:pPr>
      <w:r>
        <w:rPr>
          <w:rFonts w:hint="eastAsia"/>
          <w:color w:val="auto"/>
          <w:sz w:val="32"/>
          <w:szCs w:val="32"/>
          <w:highlight w:val="none"/>
          <w:lang w:val="en-US" w:eastAsia="zh-CN"/>
        </w:rPr>
        <w:t>28.</w:t>
      </w:r>
      <w:r>
        <w:rPr>
          <w:rFonts w:hint="eastAsia" w:ascii="仿宋_GB2312" w:eastAsia="仿宋_GB2312"/>
          <w:color w:val="auto"/>
          <w:sz w:val="32"/>
          <w:szCs w:val="32"/>
          <w:highlight w:val="none"/>
        </w:rPr>
        <w:t>住房保障支出（类）221住房改革支出（款）02住房公积金（项）01：指反映行政事业单位按人力资源和社会保障部、财政部规定的基本工资和津贴补贴以及规定比例为职工缴纳的住房公积金。</w:t>
      </w:r>
    </w:p>
    <w:p w14:paraId="6C4DBF53">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29.</w:t>
      </w:r>
      <w:r>
        <w:rPr>
          <w:rFonts w:hint="eastAsia" w:ascii="仿宋_GB2312" w:eastAsia="仿宋_GB2312"/>
          <w:color w:val="auto"/>
          <w:sz w:val="32"/>
          <w:szCs w:val="32"/>
          <w:highlight w:val="none"/>
          <w:lang w:eastAsia="zh-CN"/>
        </w:rPr>
        <w:t>国有资本经营预算支出（类）</w:t>
      </w:r>
      <w:r>
        <w:rPr>
          <w:rFonts w:hint="eastAsia" w:ascii="仿宋_GB2312" w:eastAsia="仿宋_GB2312"/>
          <w:color w:val="auto"/>
          <w:sz w:val="32"/>
          <w:szCs w:val="32"/>
          <w:highlight w:val="none"/>
          <w:lang w:val="en-US" w:eastAsia="zh-CN"/>
        </w:rPr>
        <w:t>223解决历史遗留问题及改革成本支出（款）01国有企业退休人员社会化管理补助支出（项）05：反映用</w:t>
      </w:r>
      <w:r>
        <w:rPr>
          <w:rFonts w:hint="eastAsia" w:ascii="仿宋_GB2312" w:eastAsia="仿宋_GB2312"/>
          <w:color w:val="auto"/>
          <w:sz w:val="32"/>
          <w:szCs w:val="32"/>
          <w:highlight w:val="none"/>
          <w:lang w:eastAsia="zh-CN"/>
        </w:rPr>
        <w:t>国有资本经营预算收入安排支持国有企业退休人员移交社区实现社会化管理的支出</w:t>
      </w:r>
      <w:r>
        <w:rPr>
          <w:rFonts w:hint="eastAsia" w:ascii="仿宋_GB2312" w:eastAsia="仿宋_GB2312"/>
          <w:color w:val="auto"/>
          <w:sz w:val="32"/>
          <w:szCs w:val="32"/>
          <w:highlight w:val="none"/>
          <w:lang w:val="en-US" w:eastAsia="zh-CN"/>
        </w:rPr>
        <w:t>。</w:t>
      </w:r>
    </w:p>
    <w:p w14:paraId="4D4A910A">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30.</w:t>
      </w:r>
      <w:r>
        <w:rPr>
          <w:rFonts w:hint="eastAsia" w:ascii="仿宋_GB2312" w:eastAsia="仿宋_GB2312"/>
          <w:color w:val="auto"/>
          <w:sz w:val="32"/>
          <w:szCs w:val="32"/>
          <w:highlight w:val="none"/>
        </w:rPr>
        <w:t>基本支出：指为保障机构正常运转、完成日常工作任务而发生的人员支出和公用支出。</w:t>
      </w:r>
    </w:p>
    <w:p w14:paraId="3666C02A">
      <w:pPr>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31</w:t>
      </w:r>
      <w:r>
        <w:rPr>
          <w:rFonts w:hint="eastAsia" w:ascii="仿宋_GB2312" w:eastAsia="仿宋_GB2312"/>
          <w:color w:val="auto"/>
          <w:sz w:val="32"/>
          <w:szCs w:val="32"/>
          <w:highlight w:val="none"/>
        </w:rPr>
        <w:t xml:space="preserve">项目支出：指在基本支出之外为完成特定行政任务和事业发展目标所发生的支出。 </w:t>
      </w:r>
    </w:p>
    <w:p w14:paraId="004CF4F4">
      <w:pPr>
        <w:pStyle w:val="31"/>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32.</w:t>
      </w:r>
      <w:r>
        <w:rPr>
          <w:rFonts w:hint="eastAsia" w:ascii="仿宋_GB2312" w:eastAsia="仿宋_GB2312"/>
          <w:color w:val="auto"/>
          <w:sz w:val="32"/>
          <w:szCs w:val="32"/>
          <w:highlight w:val="none"/>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704D775B">
      <w:pPr>
        <w:pStyle w:val="31"/>
        <w:keepNext w:val="0"/>
        <w:keepLines w:val="0"/>
        <w:pageBreakBefore w:val="0"/>
        <w:numPr>
          <w:ilvl w:val="0"/>
          <w:numId w:val="0"/>
        </w:numPr>
        <w:kinsoku/>
        <w:wordWrap/>
        <w:overflowPunct/>
        <w:topLinePunct w:val="0"/>
        <w:bidi w:val="0"/>
        <w:snapToGrid/>
        <w:spacing w:line="560" w:lineRule="exact"/>
        <w:ind w:left="0" w:leftChars="0" w:firstLine="640" w:firstLineChars="200"/>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33.</w:t>
      </w:r>
      <w:r>
        <w:rPr>
          <w:rFonts w:hint="eastAsia" w:ascii="仿宋_GB2312" w:eastAsia="仿宋_GB2312"/>
          <w:color w:val="auto"/>
          <w:sz w:val="32"/>
          <w:szCs w:val="32"/>
          <w:highlight w:val="none"/>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14:paraId="1C5E1203">
      <w:pPr>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br w:type="page"/>
      </w:r>
    </w:p>
    <w:bookmarkEnd w:id="81"/>
    <w:p w14:paraId="72A72D95">
      <w:pPr>
        <w:pStyle w:val="8"/>
        <w:jc w:val="center"/>
        <w:outlineLvl w:val="0"/>
        <w:rPr>
          <w:rFonts w:hint="eastAsia" w:ascii="黑体" w:hAnsi="黑体" w:eastAsia="黑体"/>
          <w:color w:val="auto"/>
          <w:sz w:val="44"/>
          <w:szCs w:val="44"/>
          <w:highlight w:val="none"/>
          <w:lang w:val="en-US" w:eastAsia="zh-CN"/>
        </w:rPr>
      </w:pPr>
      <w:bookmarkStart w:id="83" w:name="_Toc11766"/>
      <w:bookmarkStart w:id="84" w:name="_Toc15396618"/>
      <w:r>
        <w:rPr>
          <w:rFonts w:hint="eastAsia" w:ascii="黑体" w:hAnsi="黑体" w:eastAsia="黑体"/>
          <w:color w:val="auto"/>
          <w:sz w:val="44"/>
          <w:szCs w:val="44"/>
          <w:highlight w:val="none"/>
          <w:lang w:eastAsia="zh-CN"/>
        </w:rPr>
        <w:t>第四部分</w:t>
      </w:r>
      <w:r>
        <w:rPr>
          <w:rFonts w:hint="eastAsia" w:ascii="黑体" w:hAnsi="黑体" w:eastAsia="黑体"/>
          <w:color w:val="auto"/>
          <w:sz w:val="44"/>
          <w:szCs w:val="44"/>
          <w:highlight w:val="none"/>
          <w:lang w:val="en-US" w:eastAsia="zh-CN"/>
        </w:rPr>
        <w:t xml:space="preserve">    附件</w:t>
      </w:r>
      <w:bookmarkEnd w:id="83"/>
    </w:p>
    <w:p w14:paraId="1C274E14">
      <w:pPr>
        <w:spacing w:line="360" w:lineRule="auto"/>
        <w:ind w:right="420" w:rightChars="200"/>
        <w:jc w:val="center"/>
        <w:rPr>
          <w:rFonts w:hint="eastAsia" w:ascii="仿宋_GB2312" w:hAnsi="仿宋_GB2312" w:eastAsia="仿宋_GB2312" w:cs="仿宋_GB2312"/>
          <w:color w:val="auto"/>
          <w:sz w:val="32"/>
          <w:szCs w:val="32"/>
          <w:highlight w:val="none"/>
        </w:rPr>
      </w:pPr>
      <w:r>
        <w:rPr>
          <w:rFonts w:hint="eastAsia" w:ascii="微软雅黑" w:hAnsi="微软雅黑" w:eastAsia="微软雅黑" w:cs="微软雅黑"/>
          <w:color w:val="auto"/>
          <w:sz w:val="44"/>
          <w:szCs w:val="44"/>
          <w:highlight w:val="none"/>
        </w:rPr>
        <w:t>下西坝办事处202</w:t>
      </w:r>
      <w:r>
        <w:rPr>
          <w:rFonts w:hint="eastAsia" w:ascii="微软雅黑" w:hAnsi="微软雅黑" w:eastAsia="微软雅黑" w:cs="微软雅黑"/>
          <w:color w:val="auto"/>
          <w:sz w:val="44"/>
          <w:szCs w:val="44"/>
          <w:highlight w:val="none"/>
          <w:lang w:val="en-US" w:eastAsia="zh-CN"/>
        </w:rPr>
        <w:t>4</w:t>
      </w:r>
      <w:r>
        <w:rPr>
          <w:rFonts w:hint="eastAsia" w:ascii="微软雅黑" w:hAnsi="微软雅黑" w:eastAsia="微软雅黑" w:cs="微软雅黑"/>
          <w:color w:val="auto"/>
          <w:sz w:val="44"/>
          <w:szCs w:val="44"/>
          <w:highlight w:val="none"/>
        </w:rPr>
        <w:t>年部门整体支出绩效评价自评报告</w:t>
      </w:r>
    </w:p>
    <w:p w14:paraId="0164D53D">
      <w:pPr>
        <w:keepNext w:val="0"/>
        <w:keepLines w:val="0"/>
        <w:pageBreakBefore w:val="0"/>
        <w:widowControl w:val="0"/>
        <w:numPr>
          <w:ilvl w:val="0"/>
          <w:numId w:val="0"/>
        </w:numPr>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黑体" w:hAnsi="黑体" w:eastAsia="黑体" w:cs="黑体"/>
          <w:w w:val="100"/>
          <w:sz w:val="32"/>
          <w:szCs w:val="32"/>
        </w:rPr>
      </w:pPr>
      <w:r>
        <w:rPr>
          <w:rFonts w:hint="eastAsia" w:ascii="黑体" w:hAnsi="黑体" w:eastAsia="黑体" w:cs="黑体"/>
          <w:color w:val="000000"/>
          <w:w w:val="100"/>
          <w:kern w:val="0"/>
          <w:sz w:val="32"/>
          <w:szCs w:val="32"/>
          <w:highlight w:val="none"/>
          <w:shd w:val="clear" w:color="auto" w:fill="FFFFFF"/>
          <w:lang w:val="zh-CN"/>
        </w:rPr>
        <w:t>一、部门（单位）基本情况</w:t>
      </w:r>
    </w:p>
    <w:p w14:paraId="2022C058">
      <w:pPr>
        <w:keepNext w:val="0"/>
        <w:keepLines w:val="0"/>
        <w:pageBreakBefore w:val="0"/>
        <w:widowControl w:val="0"/>
        <w:numPr>
          <w:ilvl w:val="0"/>
          <w:numId w:val="0"/>
        </w:numPr>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b w:val="0"/>
          <w:bCs w:val="0"/>
          <w:w w:val="100"/>
          <w:sz w:val="32"/>
          <w:szCs w:val="32"/>
          <w:lang w:val="en-US"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（一）机构组成。</w:t>
      </w:r>
      <w:r>
        <w:rPr>
          <w:rFonts w:hint="eastAsia" w:ascii="仿宋_GB2312" w:hAnsi="仿宋_GB2312" w:eastAsia="仿宋_GB2312" w:cs="仿宋_GB2312"/>
          <w:b w:val="0"/>
          <w:bCs w:val="0"/>
          <w:w w:val="100"/>
          <w:sz w:val="32"/>
          <w:szCs w:val="32"/>
          <w:lang w:val="en-US" w:eastAsia="zh-CN"/>
        </w:rPr>
        <w:t>位为广元经济技术开发区管理委员会的下属二级预算单位，本单位无单下属机构，设有内设部门6个，辖区管理九个社区。</w:t>
      </w:r>
    </w:p>
    <w:p w14:paraId="1BD40301">
      <w:pPr>
        <w:spacing w:line="576" w:lineRule="exact"/>
        <w:ind w:firstLine="640" w:firstLineChars="200"/>
        <w:rPr>
          <w:rFonts w:hint="eastAsia" w:ascii="仿宋_GB2312" w:hAnsi="仿宋_GB2312" w:eastAsia="仿宋_GB2312" w:cs="仿宋_GB2312"/>
          <w:sz w:val="32"/>
          <w:szCs w:val="32"/>
          <w:lang w:val="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（二）机构职能。</w:t>
      </w:r>
      <w:r>
        <w:rPr>
          <w:rFonts w:hint="eastAsia" w:ascii="仿宋_GB2312" w:hAnsi="仿宋_GB2312" w:eastAsia="仿宋_GB2312" w:cs="仿宋_GB2312"/>
          <w:sz w:val="32"/>
          <w:szCs w:val="32"/>
          <w:lang w:val="en-US" w:eastAsia="zh-CN"/>
        </w:rPr>
        <w:t>下西坝办事处</w:t>
      </w:r>
      <w:r>
        <w:rPr>
          <w:rFonts w:hint="eastAsia" w:ascii="仿宋_GB2312" w:hAnsi="仿宋_GB2312" w:eastAsia="仿宋_GB2312" w:cs="仿宋_GB2312"/>
          <w:sz w:val="32"/>
          <w:szCs w:val="32"/>
        </w:rPr>
        <w:t>职能简介</w:t>
      </w:r>
      <w:r>
        <w:rPr>
          <w:rFonts w:hint="eastAsia" w:ascii="仿宋_GB2312" w:hAnsi="仿宋_GB2312" w:eastAsia="仿宋_GB2312" w:cs="仿宋_GB2312"/>
          <w:sz w:val="32"/>
          <w:szCs w:val="32"/>
          <w:lang w:val="en-US" w:eastAsia="zh-CN"/>
        </w:rPr>
        <w:t>负责辖区内企业服务、安全生产、信访维稳、房屋征收与补偿、计划生育、民政、劳动就业、社会保障、环境卫生等工作。</w:t>
      </w:r>
    </w:p>
    <w:p w14:paraId="2D1C479A">
      <w:pPr>
        <w:keepNext w:val="0"/>
        <w:keepLines w:val="0"/>
        <w:pageBreakBefore w:val="0"/>
        <w:kinsoku/>
        <w:wordWrap/>
        <w:overflowPunct/>
        <w:topLinePunct w:val="0"/>
        <w:autoSpaceDE/>
        <w:autoSpaceDN/>
        <w:bidi w:val="0"/>
        <w:adjustRightInd/>
        <w:spacing w:line="576" w:lineRule="exact"/>
        <w:ind w:left="-210" w:leftChars="-100" w:right="-210" w:rightChars="-100" w:firstLine="640" w:firstLineChars="200"/>
        <w:textAlignment w:val="auto"/>
        <w:rPr>
          <w:rFonts w:hint="eastAsia" w:ascii="仿宋_GB2312" w:hAnsi="仿宋_GB2312" w:eastAsia="仿宋_GB2312" w:cs="仿宋_GB2312"/>
          <w:sz w:val="28"/>
          <w:szCs w:val="28"/>
          <w:lang w:val="en-US"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（三）人员概况。</w:t>
      </w:r>
      <w:r>
        <w:rPr>
          <w:rFonts w:hint="eastAsia" w:ascii="仿宋_GB2312" w:hAnsi="仿宋_GB2312" w:eastAsia="仿宋_GB2312" w:cs="仿宋_GB2312"/>
          <w:b w:val="0"/>
          <w:bCs w:val="0"/>
          <w:w w:val="100"/>
          <w:sz w:val="32"/>
          <w:szCs w:val="32"/>
          <w:lang w:val="en-US" w:eastAsia="zh-CN"/>
        </w:rPr>
        <w:t>截至2024年末，下西坝办事处年末实有人数</w:t>
      </w:r>
      <w:r>
        <w:rPr>
          <w:rFonts w:hint="eastAsia" w:ascii="仿宋_GB2312" w:hAnsi="仿宋_GB2312" w:eastAsia="仿宋_GB2312" w:cs="仿宋_GB2312"/>
          <w:sz w:val="28"/>
          <w:szCs w:val="28"/>
          <w:lang w:val="en-US" w:eastAsia="zh-CN"/>
        </w:rPr>
        <w:t>33人，</w:t>
      </w:r>
      <w:r>
        <w:rPr>
          <w:rFonts w:hint="eastAsia" w:ascii="仿宋_GB2312" w:hAnsi="仿宋_GB2312" w:eastAsia="仿宋_GB2312" w:cs="仿宋_GB2312"/>
          <w:b w:val="0"/>
          <w:bCs w:val="0"/>
          <w:w w:val="100"/>
          <w:sz w:val="32"/>
          <w:szCs w:val="32"/>
          <w:lang w:val="en-US" w:eastAsia="zh-CN"/>
        </w:rPr>
        <w:t>其中：在职正式干部13名，聘用干部20名</w:t>
      </w:r>
      <w:r>
        <w:rPr>
          <w:rFonts w:hint="eastAsia" w:ascii="仿宋_GB2312" w:hAnsi="仿宋_GB2312" w:eastAsia="仿宋_GB2312" w:cs="仿宋_GB2312"/>
          <w:sz w:val="28"/>
          <w:szCs w:val="28"/>
          <w:lang w:val="en-US" w:eastAsia="zh-CN"/>
        </w:rPr>
        <w:t>。</w:t>
      </w:r>
    </w:p>
    <w:p w14:paraId="1368D11C">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黑体" w:hAnsi="黑体" w:eastAsia="黑体" w:cs="黑体"/>
          <w:b w:val="0"/>
          <w:bCs w:val="0"/>
          <w:color w:val="000000"/>
          <w:w w:val="100"/>
          <w:kern w:val="0"/>
          <w:sz w:val="32"/>
          <w:szCs w:val="32"/>
          <w:highlight w:val="none"/>
          <w:shd w:val="clear" w:color="auto" w:fill="FFFFFF"/>
        </w:rPr>
      </w:pPr>
      <w:r>
        <w:rPr>
          <w:rFonts w:hint="eastAsia" w:ascii="黑体" w:hAnsi="黑体" w:eastAsia="黑体" w:cs="黑体"/>
          <w:b w:val="0"/>
          <w:bCs w:val="0"/>
          <w:color w:val="000000"/>
          <w:w w:val="100"/>
          <w:kern w:val="0"/>
          <w:sz w:val="32"/>
          <w:szCs w:val="32"/>
          <w:highlight w:val="none"/>
          <w:shd w:val="clear" w:color="auto" w:fill="FFFFFF"/>
        </w:rPr>
        <w:t>二、</w:t>
      </w:r>
      <w:r>
        <w:rPr>
          <w:rFonts w:hint="eastAsia" w:ascii="黑体" w:hAnsi="黑体" w:eastAsia="黑体" w:cs="黑体"/>
          <w:b w:val="0"/>
          <w:bCs w:val="0"/>
          <w:color w:val="000000"/>
          <w:w w:val="100"/>
          <w:kern w:val="0"/>
          <w:sz w:val="32"/>
          <w:szCs w:val="32"/>
          <w:highlight w:val="none"/>
          <w:shd w:val="clear" w:color="auto" w:fill="FFFFFF"/>
          <w:lang w:eastAsia="zh-CN"/>
        </w:rPr>
        <w:t>部门</w:t>
      </w:r>
      <w:r>
        <w:rPr>
          <w:rFonts w:hint="eastAsia" w:ascii="黑体" w:hAnsi="黑体" w:eastAsia="黑体" w:cs="黑体"/>
          <w:b w:val="0"/>
          <w:bCs w:val="0"/>
          <w:color w:val="000000"/>
          <w:w w:val="100"/>
          <w:kern w:val="0"/>
          <w:sz w:val="32"/>
          <w:szCs w:val="32"/>
          <w:highlight w:val="none"/>
          <w:shd w:val="clear" w:color="auto" w:fill="FFFFFF"/>
        </w:rPr>
        <w:t>资金收支情况</w:t>
      </w:r>
    </w:p>
    <w:p w14:paraId="2A6B180F">
      <w:pPr>
        <w:spacing w:line="360" w:lineRule="auto"/>
        <w:ind w:left="-210" w:leftChars="-100" w:right="-210" w:rightChars="-100" w:firstLine="640" w:firstLineChars="200"/>
        <w:rPr>
          <w:rFonts w:hint="eastAsia" w:ascii="仿宋_GB2312" w:hAnsi="仿宋_GB2312" w:eastAsia="仿宋_GB2312" w:cs="仿宋_GB2312"/>
          <w:sz w:val="32"/>
          <w:szCs w:val="32"/>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（一）收入情况。</w:t>
      </w: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年部门财政资金收入</w:t>
      </w:r>
      <w:r>
        <w:rPr>
          <w:rFonts w:hint="eastAsia" w:ascii="仿宋_GB2312" w:hAnsi="仿宋_GB2312" w:eastAsia="仿宋_GB2312" w:cs="仿宋_GB2312"/>
          <w:sz w:val="32"/>
          <w:szCs w:val="32"/>
          <w:lang w:val="en-US" w:eastAsia="zh-CN"/>
        </w:rPr>
        <w:t>1868.68</w:t>
      </w:r>
      <w:r>
        <w:rPr>
          <w:rFonts w:hint="eastAsia" w:ascii="仿宋_GB2312" w:hAnsi="仿宋_GB2312" w:eastAsia="仿宋_GB2312" w:cs="仿宋_GB2312"/>
          <w:sz w:val="32"/>
          <w:szCs w:val="32"/>
        </w:rPr>
        <w:t>万元，其中一般公共预算财政拨款收入</w:t>
      </w:r>
      <w:r>
        <w:rPr>
          <w:rFonts w:hint="eastAsia" w:ascii="仿宋_GB2312" w:hAnsi="仿宋_GB2312" w:eastAsia="仿宋_GB2312" w:cs="仿宋_GB2312"/>
          <w:sz w:val="32"/>
          <w:szCs w:val="32"/>
          <w:lang w:val="en-US" w:eastAsia="zh-CN"/>
        </w:rPr>
        <w:t>1709.25</w:t>
      </w:r>
      <w:r>
        <w:rPr>
          <w:rFonts w:hint="eastAsia" w:ascii="仿宋_GB2312" w:hAnsi="仿宋_GB2312" w:eastAsia="仿宋_GB2312" w:cs="仿宋_GB2312"/>
          <w:sz w:val="32"/>
          <w:szCs w:val="32"/>
        </w:rPr>
        <w:t>万元，政府性基金收入</w:t>
      </w:r>
      <w:r>
        <w:rPr>
          <w:rFonts w:hint="eastAsia" w:ascii="仿宋_GB2312" w:hAnsi="仿宋_GB2312" w:eastAsia="仿宋_GB2312" w:cs="仿宋_GB2312"/>
          <w:sz w:val="32"/>
          <w:szCs w:val="32"/>
          <w:lang w:val="en-US" w:eastAsia="zh-CN"/>
        </w:rPr>
        <w:t>139.43</w:t>
      </w:r>
      <w:r>
        <w:rPr>
          <w:rFonts w:hint="eastAsia" w:ascii="仿宋_GB2312" w:hAnsi="仿宋_GB2312" w:eastAsia="仿宋_GB2312" w:cs="仿宋_GB2312"/>
          <w:sz w:val="32"/>
          <w:szCs w:val="32"/>
        </w:rPr>
        <w:t>万元，国有资本经营预算财政拨款收入</w:t>
      </w:r>
      <w:r>
        <w:rPr>
          <w:rFonts w:hint="eastAsia" w:ascii="仿宋_GB2312" w:hAnsi="仿宋_GB2312" w:eastAsia="仿宋_GB2312" w:cs="仿宋_GB2312"/>
          <w:sz w:val="32"/>
          <w:szCs w:val="32"/>
          <w:lang w:val="en-US" w:eastAsia="zh-CN"/>
        </w:rPr>
        <w:t>20</w:t>
      </w:r>
      <w:r>
        <w:rPr>
          <w:rFonts w:hint="eastAsia" w:ascii="仿宋_GB2312" w:hAnsi="仿宋_GB2312" w:eastAsia="仿宋_GB2312" w:cs="仿宋_GB2312"/>
          <w:sz w:val="32"/>
          <w:szCs w:val="32"/>
        </w:rPr>
        <w:t>万元。</w:t>
      </w:r>
    </w:p>
    <w:p w14:paraId="4DB4B3D6">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sz w:val="32"/>
          <w:szCs w:val="32"/>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（二）支出情况。</w:t>
      </w: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年支出总计</w:t>
      </w:r>
      <w:r>
        <w:rPr>
          <w:rFonts w:hint="eastAsia" w:ascii="仿宋_GB2312" w:hAnsi="仿宋_GB2312" w:eastAsia="仿宋_GB2312" w:cs="仿宋_GB2312"/>
          <w:sz w:val="32"/>
          <w:szCs w:val="32"/>
          <w:lang w:val="en-US" w:eastAsia="zh-CN"/>
        </w:rPr>
        <w:t>1868.68</w:t>
      </w:r>
      <w:r>
        <w:rPr>
          <w:rFonts w:hint="eastAsia" w:ascii="仿宋_GB2312" w:hAnsi="仿宋_GB2312" w:eastAsia="仿宋_GB2312" w:cs="仿宋_GB2312"/>
          <w:sz w:val="32"/>
          <w:szCs w:val="32"/>
        </w:rPr>
        <w:t>万元，其中基本支出</w:t>
      </w:r>
      <w:r>
        <w:rPr>
          <w:rFonts w:hint="eastAsia" w:ascii="仿宋_GB2312" w:hAnsi="仿宋_GB2312" w:eastAsia="仿宋_GB2312" w:cs="仿宋_GB2312"/>
          <w:sz w:val="32"/>
          <w:szCs w:val="32"/>
          <w:lang w:val="en-US" w:eastAsia="zh-CN"/>
        </w:rPr>
        <w:t>446.22</w:t>
      </w:r>
      <w:r>
        <w:rPr>
          <w:rFonts w:hint="eastAsia" w:ascii="仿宋_GB2312" w:hAnsi="仿宋_GB2312" w:eastAsia="仿宋_GB2312" w:cs="仿宋_GB2312"/>
          <w:sz w:val="32"/>
          <w:szCs w:val="32"/>
        </w:rPr>
        <w:t>万元，项目支出</w:t>
      </w:r>
      <w:r>
        <w:rPr>
          <w:rFonts w:hint="eastAsia" w:ascii="仿宋_GB2312" w:hAnsi="仿宋_GB2312" w:eastAsia="仿宋_GB2312" w:cs="仿宋_GB2312"/>
          <w:sz w:val="32"/>
          <w:szCs w:val="32"/>
          <w:lang w:val="en-US" w:eastAsia="zh-CN"/>
        </w:rPr>
        <w:t>1422.46</w:t>
      </w:r>
      <w:r>
        <w:rPr>
          <w:rFonts w:hint="eastAsia" w:ascii="仿宋_GB2312" w:hAnsi="仿宋_GB2312" w:eastAsia="仿宋_GB2312" w:cs="仿宋_GB2312"/>
          <w:sz w:val="32"/>
          <w:szCs w:val="32"/>
        </w:rPr>
        <w:t>万元。</w:t>
      </w:r>
    </w:p>
    <w:p w14:paraId="1D968E0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b w:val="0"/>
          <w:bCs w:val="0"/>
          <w:w w:val="100"/>
          <w:sz w:val="32"/>
          <w:szCs w:val="32"/>
          <w:lang w:val="zh-CN"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（三）结转结余情况</w:t>
      </w:r>
      <w:r>
        <w:rPr>
          <w:rFonts w:hint="eastAsia" w:ascii="楷体_GB2312" w:hAnsi="楷体_GB2312" w:eastAsia="楷体_GB2312" w:cs="楷体_GB2312"/>
          <w:b w:val="0"/>
          <w:bCs w:val="0"/>
          <w:color w:val="000000"/>
          <w:w w:val="100"/>
          <w:kern w:val="0"/>
          <w:sz w:val="32"/>
          <w:szCs w:val="32"/>
          <w:highlight w:val="none"/>
          <w:shd w:val="clear" w:color="auto" w:fill="FFFFFF"/>
          <w:lang w:val="zh-CN" w:eastAsia="zh-CN"/>
        </w:rPr>
        <w:t>。</w:t>
      </w:r>
      <w:r>
        <w:rPr>
          <w:rFonts w:hint="eastAsia" w:ascii="仿宋_GB2312" w:hAnsi="仿宋_GB2312" w:eastAsia="仿宋_GB2312" w:cs="仿宋_GB2312"/>
          <w:b w:val="0"/>
          <w:bCs w:val="0"/>
          <w:w w:val="100"/>
          <w:sz w:val="32"/>
          <w:szCs w:val="32"/>
          <w:lang w:val="en-US" w:eastAsia="zh-CN"/>
        </w:rPr>
        <w:t>2024年决算报表无结转结余。</w:t>
      </w:r>
    </w:p>
    <w:p w14:paraId="3386D89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黑体" w:hAnsi="黑体" w:eastAsia="黑体" w:cs="黑体"/>
          <w:b w:val="0"/>
          <w:bCs w:val="0"/>
          <w:color w:val="000000"/>
          <w:w w:val="100"/>
          <w:kern w:val="0"/>
          <w:sz w:val="32"/>
          <w:szCs w:val="32"/>
          <w:highlight w:val="none"/>
          <w:shd w:val="clear" w:color="auto" w:fill="FFFFFF"/>
        </w:rPr>
      </w:pPr>
      <w:r>
        <w:rPr>
          <w:rFonts w:hint="eastAsia" w:ascii="黑体" w:hAnsi="黑体" w:eastAsia="黑体" w:cs="黑体"/>
          <w:b w:val="0"/>
          <w:bCs w:val="0"/>
          <w:color w:val="000000"/>
          <w:w w:val="100"/>
          <w:kern w:val="0"/>
          <w:sz w:val="32"/>
          <w:szCs w:val="32"/>
          <w:highlight w:val="none"/>
          <w:shd w:val="clear" w:color="auto" w:fill="FFFFFF"/>
        </w:rPr>
        <w:t>三、</w:t>
      </w:r>
      <w:r>
        <w:rPr>
          <w:rFonts w:hint="eastAsia" w:ascii="黑体" w:hAnsi="黑体" w:eastAsia="黑体" w:cs="黑体"/>
          <w:b w:val="0"/>
          <w:bCs w:val="0"/>
          <w:color w:val="000000"/>
          <w:w w:val="100"/>
          <w:kern w:val="0"/>
          <w:sz w:val="32"/>
          <w:szCs w:val="32"/>
          <w:highlight w:val="none"/>
          <w:u w:val="none"/>
          <w:shd w:val="clear" w:color="auto" w:fill="FFFFFF"/>
        </w:rPr>
        <w:t>部门</w:t>
      </w:r>
      <w:r>
        <w:rPr>
          <w:rFonts w:hint="eastAsia" w:ascii="黑体" w:hAnsi="黑体" w:eastAsia="黑体" w:cs="黑体"/>
          <w:b w:val="0"/>
          <w:bCs w:val="0"/>
          <w:color w:val="000000"/>
          <w:w w:val="100"/>
          <w:kern w:val="0"/>
          <w:sz w:val="32"/>
          <w:szCs w:val="32"/>
          <w:highlight w:val="none"/>
          <w:u w:val="none"/>
          <w:shd w:val="clear" w:color="auto" w:fill="FFFFFF"/>
          <w:lang w:eastAsia="zh-CN"/>
        </w:rPr>
        <w:t>预算</w:t>
      </w:r>
      <w:r>
        <w:rPr>
          <w:rFonts w:hint="eastAsia" w:ascii="黑体" w:hAnsi="黑体" w:eastAsia="黑体" w:cs="黑体"/>
          <w:b w:val="0"/>
          <w:bCs w:val="0"/>
          <w:color w:val="000000"/>
          <w:w w:val="100"/>
          <w:kern w:val="0"/>
          <w:sz w:val="32"/>
          <w:szCs w:val="32"/>
          <w:highlight w:val="none"/>
          <w:u w:val="none"/>
          <w:shd w:val="clear" w:color="auto" w:fill="FFFFFF"/>
        </w:rPr>
        <w:t>绩效</w:t>
      </w:r>
      <w:r>
        <w:rPr>
          <w:rFonts w:hint="eastAsia" w:ascii="黑体" w:hAnsi="黑体" w:eastAsia="黑体" w:cs="黑体"/>
          <w:b w:val="0"/>
          <w:bCs w:val="0"/>
          <w:color w:val="000000"/>
          <w:w w:val="100"/>
          <w:kern w:val="0"/>
          <w:sz w:val="32"/>
          <w:szCs w:val="32"/>
          <w:highlight w:val="none"/>
          <w:u w:val="none"/>
          <w:shd w:val="clear" w:color="auto" w:fill="FFFFFF"/>
          <w:lang w:eastAsia="zh-CN"/>
        </w:rPr>
        <w:t>分析</w:t>
      </w:r>
    </w:p>
    <w:p w14:paraId="76397905">
      <w:pPr>
        <w:keepNext w:val="0"/>
        <w:keepLines w:val="0"/>
        <w:pageBreakBefore w:val="0"/>
        <w:widowControl w:val="0"/>
        <w:numPr>
          <w:ilvl w:val="0"/>
          <w:numId w:val="0"/>
        </w:numPr>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b w:val="0"/>
          <w:bCs w:val="0"/>
          <w:w w:val="100"/>
          <w:sz w:val="32"/>
          <w:szCs w:val="32"/>
          <w:lang w:val="en-US"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（一）部门预算总体绩效分析。</w:t>
      </w:r>
      <w:r>
        <w:rPr>
          <w:rFonts w:hint="eastAsia" w:ascii="仿宋_GB2312" w:hAnsi="仿宋_GB2312" w:eastAsia="仿宋_GB2312" w:cs="仿宋_GB2312"/>
          <w:b w:val="0"/>
          <w:bCs w:val="0"/>
          <w:w w:val="100"/>
          <w:sz w:val="32"/>
          <w:szCs w:val="32"/>
          <w:lang w:val="en-US" w:eastAsia="zh-CN"/>
        </w:rPr>
        <w:t>2024年本部门支出绩效目标完成情况。基本实现产出和取得效益目标，全年围绕本部门职责，以预算资金管理为主线，总结本部门2024年工作开展情况，从项目成本、管理效率、履职效能、社会效益、可持续发展能力和服务对象满意度等方面，衡量本部门整体及核心业务实施效果。</w:t>
      </w:r>
    </w:p>
    <w:p w14:paraId="05C7C3B2">
      <w:pPr>
        <w:spacing w:line="576" w:lineRule="exact"/>
        <w:ind w:firstLine="645"/>
        <w:rPr>
          <w:rFonts w:ascii="仿宋_GB2312" w:eastAsia="仿宋_GB2312"/>
          <w:bCs/>
          <w:color w:val="auto"/>
          <w:sz w:val="32"/>
          <w:szCs w:val="32"/>
        </w:rPr>
      </w:pPr>
      <w:r>
        <w:rPr>
          <w:rFonts w:hint="eastAsia" w:ascii="仿宋_GB2312" w:hAnsi="仿宋_GB2312" w:eastAsia="仿宋_GB2312" w:cs="仿宋_GB2312"/>
          <w:color w:val="000000"/>
          <w:w w:val="100"/>
          <w:kern w:val="0"/>
          <w:sz w:val="32"/>
          <w:szCs w:val="32"/>
          <w:highlight w:val="none"/>
          <w:shd w:val="clear" w:color="auto" w:fill="FFFFFF"/>
          <w:lang w:val="en-US" w:eastAsia="zh-CN"/>
        </w:rPr>
        <w:t>1.</w:t>
      </w:r>
      <w:r>
        <w:rPr>
          <w:rFonts w:hint="eastAsia" w:ascii="仿宋_GB2312" w:hAnsi="仿宋_GB2312" w:eastAsia="仿宋_GB2312" w:cs="仿宋_GB2312"/>
          <w:color w:val="000000"/>
          <w:w w:val="100"/>
          <w:kern w:val="0"/>
          <w:sz w:val="32"/>
          <w:szCs w:val="32"/>
          <w:highlight w:val="none"/>
          <w:shd w:val="clear" w:color="auto" w:fill="FFFFFF"/>
          <w:lang w:val="zh-CN"/>
        </w:rPr>
        <w:t>履职效能。</w:t>
      </w:r>
      <w:r>
        <w:rPr>
          <w:rFonts w:hint="eastAsia" w:ascii="仿宋_GB2312" w:hAnsi="仿宋_GB2312" w:eastAsia="仿宋_GB2312" w:cs="仿宋_GB2312"/>
          <w:color w:val="000000"/>
          <w:w w:val="100"/>
          <w:kern w:val="0"/>
          <w:sz w:val="32"/>
          <w:szCs w:val="32"/>
          <w:highlight w:val="none"/>
          <w:shd w:val="clear" w:color="auto" w:fill="FFFFFF"/>
          <w:lang w:val="en-US" w:eastAsia="zh-CN"/>
        </w:rPr>
        <w:t>自评得分15分</w:t>
      </w:r>
      <w:r>
        <w:rPr>
          <w:rFonts w:hint="eastAsia" w:ascii="仿宋_GB2312" w:hAnsi="仿宋_GB2312" w:eastAsia="仿宋_GB2312" w:cs="仿宋_GB2312"/>
          <w:color w:val="000000"/>
          <w:w w:val="100"/>
          <w:kern w:val="0"/>
          <w:sz w:val="32"/>
          <w:szCs w:val="32"/>
          <w:highlight w:val="none"/>
          <w:shd w:val="clear" w:color="auto" w:fill="FFFFFF"/>
          <w:lang w:val="zh-CN"/>
        </w:rPr>
        <w:t>。</w:t>
      </w:r>
      <w:r>
        <w:rPr>
          <w:rFonts w:hint="eastAsia" w:ascii="仿宋_GB2312" w:hAnsi="仿宋_GB2312" w:eastAsia="仿宋_GB2312" w:cs="仿宋_GB2312"/>
          <w:color w:val="auto"/>
          <w:w w:val="100"/>
          <w:kern w:val="0"/>
          <w:sz w:val="32"/>
          <w:szCs w:val="32"/>
          <w:highlight w:val="none"/>
          <w:shd w:val="clear" w:color="auto" w:fill="FFFFFF"/>
          <w:lang w:val="zh-CN"/>
        </w:rPr>
        <w:t>（</w:t>
      </w:r>
      <w:r>
        <w:rPr>
          <w:rFonts w:hint="eastAsia" w:ascii="仿宋_GB2312" w:hAnsi="仿宋_GB2312" w:eastAsia="仿宋_GB2312" w:cs="仿宋_GB2312"/>
          <w:color w:val="auto"/>
          <w:w w:val="100"/>
          <w:kern w:val="0"/>
          <w:sz w:val="32"/>
          <w:szCs w:val="32"/>
          <w:highlight w:val="none"/>
          <w:shd w:val="clear" w:color="auto" w:fill="FFFFFF"/>
          <w:lang w:val="en-US" w:eastAsia="zh-CN"/>
        </w:rPr>
        <w:t>1</w:t>
      </w:r>
      <w:r>
        <w:rPr>
          <w:rFonts w:hint="eastAsia" w:ascii="仿宋_GB2312" w:hAnsi="仿宋_GB2312" w:eastAsia="仿宋_GB2312" w:cs="仿宋_GB2312"/>
          <w:color w:val="auto"/>
          <w:w w:val="100"/>
          <w:kern w:val="0"/>
          <w:sz w:val="32"/>
          <w:szCs w:val="32"/>
          <w:highlight w:val="none"/>
          <w:shd w:val="clear" w:color="auto" w:fill="FFFFFF"/>
          <w:lang w:val="zh-CN"/>
        </w:rPr>
        <w:t>）</w:t>
      </w:r>
      <w:r>
        <w:rPr>
          <w:rFonts w:hint="eastAsia" w:ascii="仿宋_GB2312" w:hAnsi="仿宋_GB2312" w:eastAsia="仿宋_GB2312" w:cs="仿宋_GB2312"/>
          <w:color w:val="auto"/>
          <w:w w:val="100"/>
          <w:kern w:val="0"/>
          <w:sz w:val="32"/>
          <w:szCs w:val="32"/>
          <w:highlight w:val="none"/>
          <w:shd w:val="clear" w:color="auto" w:fill="FFFFFF"/>
          <w:lang w:val="en-US" w:eastAsia="zh-CN"/>
        </w:rPr>
        <w:t>下西产业园指挥部园区指挥部在2024年</w:t>
      </w:r>
      <w:r>
        <w:rPr>
          <w:rFonts w:hint="eastAsia" w:ascii="仿宋_GB2312" w:eastAsia="仿宋_GB2312"/>
          <w:b/>
          <w:color w:val="auto"/>
          <w:sz w:val="32"/>
          <w:szCs w:val="32"/>
        </w:rPr>
        <w:t>一是</w:t>
      </w:r>
      <w:r>
        <w:rPr>
          <w:rFonts w:hint="eastAsia" w:ascii="仿宋_GB2312" w:hAnsi="Calibri" w:eastAsia="仿宋_GB2312" w:cs="Times New Roman"/>
          <w:color w:val="auto"/>
          <w:sz w:val="32"/>
          <w:szCs w:val="32"/>
          <w:lang w:eastAsia="zh-CN"/>
        </w:rPr>
        <w:t>完成</w:t>
      </w:r>
      <w:r>
        <w:rPr>
          <w:rFonts w:hint="eastAsia" w:ascii="仿宋_GB2312" w:hAnsi="Calibri" w:eastAsia="仿宋_GB2312" w:cs="Times New Roman"/>
          <w:color w:val="auto"/>
          <w:sz w:val="32"/>
          <w:szCs w:val="32"/>
        </w:rPr>
        <w:t>9个项目的申报入库工作。社会固定投资累计金额3.7亿元，同比增长2.63%。广元铝期货指定交割仓库建设项目预计12月可完成入库审核，总投资1536万元。</w:t>
      </w:r>
      <w:r>
        <w:rPr>
          <w:rFonts w:hint="eastAsia" w:ascii="仿宋_GB2312" w:eastAsia="仿宋_GB2312"/>
          <w:b/>
          <w:color w:val="auto"/>
          <w:sz w:val="32"/>
          <w:szCs w:val="32"/>
        </w:rPr>
        <w:t>二是</w:t>
      </w:r>
      <w:r>
        <w:rPr>
          <w:rFonts w:hint="eastAsia" w:ascii="仿宋_GB2312" w:eastAsia="仿宋_GB2312"/>
          <w:color w:val="auto"/>
          <w:sz w:val="32"/>
          <w:szCs w:val="32"/>
        </w:rPr>
        <w:t>培育完成5家企业进入限上批零住餐企业。</w:t>
      </w:r>
      <w:r>
        <w:rPr>
          <w:rFonts w:hint="eastAsia" w:ascii="仿宋_GB2312" w:eastAsia="仿宋_GB2312"/>
          <w:b/>
          <w:bCs/>
          <w:color w:val="auto"/>
          <w:sz w:val="32"/>
          <w:szCs w:val="32"/>
        </w:rPr>
        <w:t>三是</w:t>
      </w:r>
      <w:r>
        <w:rPr>
          <w:rFonts w:hint="eastAsia" w:ascii="仿宋_GB2312" w:eastAsia="仿宋_GB2312"/>
          <w:bCs/>
          <w:color w:val="auto"/>
          <w:sz w:val="32"/>
          <w:szCs w:val="32"/>
        </w:rPr>
        <w:t>推动金贝儿食品扩能升级，打造产学研一体食品工业综合体，现已启动开工建设。</w:t>
      </w:r>
      <w:r>
        <w:rPr>
          <w:rFonts w:ascii="仿宋_GB2312" w:eastAsia="仿宋_GB2312"/>
          <w:bCs/>
          <w:color w:val="auto"/>
          <w:sz w:val="32"/>
          <w:szCs w:val="32"/>
        </w:rPr>
        <w:t>全面落实减税降费政策，持续抓好中小微企业的梯次培育，</w:t>
      </w:r>
      <w:r>
        <w:rPr>
          <w:rFonts w:hint="eastAsia" w:ascii="仿宋_GB2312" w:eastAsia="仿宋_GB2312"/>
          <w:bCs/>
          <w:color w:val="auto"/>
          <w:sz w:val="32"/>
          <w:szCs w:val="32"/>
        </w:rPr>
        <w:t>做好“个转企”“小升规”工作，</w:t>
      </w:r>
      <w:r>
        <w:rPr>
          <w:rFonts w:ascii="仿宋_GB2312" w:eastAsia="仿宋_GB2312"/>
          <w:bCs/>
          <w:color w:val="auto"/>
          <w:sz w:val="32"/>
          <w:szCs w:val="32"/>
        </w:rPr>
        <w:t>推动企业持续扩大投资、技术改造</w:t>
      </w:r>
      <w:r>
        <w:rPr>
          <w:rFonts w:hint="eastAsia" w:ascii="仿宋_GB2312" w:eastAsia="仿宋_GB2312"/>
          <w:bCs/>
          <w:color w:val="auto"/>
          <w:sz w:val="32"/>
          <w:szCs w:val="32"/>
        </w:rPr>
        <w:t>。</w:t>
      </w:r>
    </w:p>
    <w:p w14:paraId="17D6EDF4">
      <w:pPr>
        <w:pStyle w:val="48"/>
        <w:keepNext w:val="0"/>
        <w:keepLines w:val="0"/>
        <w:pageBreakBefore w:val="0"/>
        <w:widowControl/>
        <w:numPr>
          <w:ilvl w:val="0"/>
          <w:numId w:val="0"/>
        </w:numPr>
        <w:tabs>
          <w:tab w:val="center" w:pos="4153"/>
        </w:tabs>
        <w:kinsoku/>
        <w:wordWrap/>
        <w:overflowPunct/>
        <w:topLinePunct w:val="0"/>
        <w:autoSpaceDE/>
        <w:autoSpaceDN/>
        <w:bidi w:val="0"/>
        <w:adjustRightInd w:val="0"/>
        <w:snapToGrid/>
        <w:spacing w:line="560" w:lineRule="exact"/>
        <w:ind w:firstLine="640" w:firstLineChars="200"/>
        <w:textAlignment w:val="auto"/>
        <w:rPr>
          <w:rFonts w:hint="default" w:ascii="仿宋_GB2312" w:hAnsi="仿宋_GB2312" w:eastAsia="仿宋_GB2312" w:cs="仿宋_GB2312"/>
          <w:color w:val="auto"/>
          <w:w w:val="100"/>
          <w:kern w:val="0"/>
          <w:sz w:val="32"/>
          <w:szCs w:val="32"/>
          <w:highlight w:val="none"/>
          <w:shd w:val="clear" w:color="auto" w:fill="FFFFFF"/>
          <w:lang w:val="en-US" w:eastAsia="zh-CN"/>
        </w:rPr>
      </w:pPr>
      <w:r>
        <w:rPr>
          <w:rFonts w:hint="eastAsia" w:ascii="仿宋_GB2312" w:hAnsi="仿宋_GB2312" w:eastAsia="仿宋_GB2312" w:cs="仿宋_GB2312"/>
          <w:color w:val="auto"/>
          <w:w w:val="100"/>
          <w:kern w:val="0"/>
          <w:sz w:val="32"/>
          <w:szCs w:val="32"/>
          <w:highlight w:val="none"/>
          <w:shd w:val="clear" w:color="auto" w:fill="FFFFFF"/>
          <w:lang w:val="en-US" w:eastAsia="zh-CN"/>
        </w:rPr>
        <w:t>为园区发展提供动力。为园区发展提供有力保障。自评得分3分。（2）党建部门2024年</w:t>
      </w:r>
      <w:r>
        <w:rPr>
          <w:rFonts w:hint="eastAsia" w:ascii="仿宋_GB2312" w:hAnsi="仿宋_GB2312" w:eastAsia="仿宋_GB2312" w:cs="仿宋_GB2312"/>
          <w:color w:val="auto"/>
          <w:kern w:val="21"/>
          <w:sz w:val="32"/>
          <w:szCs w:val="32"/>
          <w:lang w:val="en-US" w:eastAsia="zh-CN" w:bidi="ar"/>
        </w:rPr>
        <w:t>组织中心组理论学习5次。组织开展并带头参加其他各类学习20次；提出工作措施及办法20余条，积极对接上级部门增设铁路社区常职干部职数2名，5名网格员；实行街道、社区干部“上挂下派”制度，充实活力社区、王家营社区“两委”干部力量；组织党组织书记、党员干部集中培训6次，组织干部实地考察学习5次，组织辖区6支党员志愿服务队开展培训，进一步提升党员干部能力素质，确保关键时刻拉得出、顶得上。</w:t>
      </w:r>
      <w:r>
        <w:rPr>
          <w:rFonts w:hint="eastAsia" w:ascii="仿宋_GB2312" w:hAnsi="仿宋_GB2312" w:eastAsia="仿宋_GB2312" w:cs="仿宋_GB2312"/>
          <w:color w:val="auto"/>
          <w:w w:val="100"/>
          <w:kern w:val="0"/>
          <w:sz w:val="32"/>
          <w:szCs w:val="32"/>
          <w:highlight w:val="none"/>
          <w:shd w:val="clear" w:color="auto" w:fill="FFFFFF"/>
          <w:lang w:val="en-US" w:eastAsia="zh-CN"/>
        </w:rPr>
        <w:t>按时完成各项目标任务。自评得分3分。（3）社区治理中心部门，</w:t>
      </w:r>
      <w:r>
        <w:rPr>
          <w:rFonts w:hint="eastAsia" w:ascii="仿宋_GB2312" w:hAnsi="仿宋_GB2312" w:eastAsia="仿宋_GB2312" w:cs="仿宋_GB2312"/>
          <w:b/>
          <w:bCs/>
          <w:color w:val="auto"/>
          <w:spacing w:val="0"/>
          <w:sz w:val="32"/>
          <w:szCs w:val="32"/>
          <w:lang w:val="en-US" w:eastAsia="zh-CN"/>
        </w:rPr>
        <w:t>一是</w:t>
      </w:r>
      <w:r>
        <w:rPr>
          <w:rFonts w:hint="eastAsia" w:ascii="仿宋_GB2312" w:hAnsi="仿宋_GB2312" w:eastAsia="仿宋_GB2312" w:cs="仿宋_GB2312"/>
          <w:b w:val="0"/>
          <w:bCs w:val="0"/>
          <w:color w:val="auto"/>
          <w:spacing w:val="0"/>
          <w:sz w:val="32"/>
          <w:szCs w:val="32"/>
          <w:lang w:val="en-US" w:eastAsia="zh-CN"/>
        </w:rPr>
        <w:t>组织召开安全生产工作会议16次，形成每季度大会、每月安全例会传达部署上级精神和工作要求，协调解决工作中遇到的问题。</w:t>
      </w:r>
      <w:r>
        <w:rPr>
          <w:rFonts w:hint="eastAsia" w:ascii="仿宋_GB2312" w:hAnsi="仿宋_GB2312" w:eastAsia="仿宋_GB2312" w:cs="仿宋_GB2312"/>
          <w:b/>
          <w:bCs/>
          <w:color w:val="auto"/>
          <w:spacing w:val="0"/>
          <w:sz w:val="32"/>
          <w:szCs w:val="32"/>
          <w:lang w:val="en-US" w:eastAsia="zh-CN"/>
        </w:rPr>
        <w:t>二是</w:t>
      </w:r>
      <w:r>
        <w:rPr>
          <w:rFonts w:hint="eastAsia" w:ascii="仿宋_GB2312" w:hAnsi="仿宋_GB2312" w:eastAsia="仿宋_GB2312" w:cs="仿宋_GB2312"/>
          <w:b w:val="0"/>
          <w:bCs w:val="0"/>
          <w:color w:val="auto"/>
          <w:spacing w:val="0"/>
          <w:sz w:val="32"/>
          <w:szCs w:val="32"/>
          <w:lang w:val="en-US" w:eastAsia="zh-CN"/>
        </w:rPr>
        <w:t>大力推进企业分类定级安全监管，现已纳入信息监管的企事业单位共计245家。</w:t>
      </w:r>
      <w:r>
        <w:rPr>
          <w:rFonts w:hint="eastAsia" w:ascii="仿宋_GB2312" w:hAnsi="仿宋_GB2312" w:eastAsia="仿宋_GB2312" w:cs="仿宋_GB2312"/>
          <w:b/>
          <w:bCs/>
          <w:color w:val="auto"/>
          <w:spacing w:val="0"/>
          <w:sz w:val="32"/>
          <w:szCs w:val="32"/>
          <w:lang w:val="en-US" w:eastAsia="zh-CN"/>
        </w:rPr>
        <w:t>三是</w:t>
      </w:r>
      <w:r>
        <w:rPr>
          <w:rFonts w:hint="eastAsia" w:ascii="仿宋_GB2312" w:hAnsi="仿宋_GB2312" w:eastAsia="仿宋_GB2312" w:cs="仿宋_GB2312"/>
          <w:b w:val="0"/>
          <w:bCs w:val="0"/>
          <w:color w:val="auto"/>
          <w:spacing w:val="0"/>
          <w:sz w:val="32"/>
          <w:szCs w:val="32"/>
          <w:lang w:eastAsia="zh-CN"/>
        </w:rPr>
        <w:t>严格按照上级工作部署要求，持续推进安全生产治本攻坚三年行动走深走实，共检查危化品、工贸、建筑施工等重点行业领域企业</w:t>
      </w:r>
      <w:r>
        <w:rPr>
          <w:rFonts w:hint="eastAsia" w:ascii="仿宋_GB2312" w:hAnsi="仿宋_GB2312" w:eastAsia="仿宋_GB2312" w:cs="仿宋_GB2312"/>
          <w:b w:val="0"/>
          <w:bCs w:val="0"/>
          <w:color w:val="auto"/>
          <w:spacing w:val="0"/>
          <w:sz w:val="32"/>
          <w:szCs w:val="32"/>
          <w:lang w:val="en-US" w:eastAsia="zh-CN"/>
        </w:rPr>
        <w:t>65</w:t>
      </w:r>
      <w:r>
        <w:rPr>
          <w:rFonts w:hint="eastAsia" w:ascii="仿宋_GB2312" w:hAnsi="仿宋_GB2312" w:eastAsia="仿宋_GB2312" w:cs="仿宋_GB2312"/>
          <w:b w:val="0"/>
          <w:bCs w:val="0"/>
          <w:color w:val="auto"/>
          <w:spacing w:val="0"/>
          <w:sz w:val="32"/>
          <w:szCs w:val="32"/>
          <w:lang w:eastAsia="zh-CN"/>
        </w:rPr>
        <w:t>家，整改隐患21处；检查“园中园”“厂中厂”微小企业</w:t>
      </w:r>
      <w:r>
        <w:rPr>
          <w:rFonts w:hint="eastAsia" w:ascii="仿宋_GB2312" w:hAnsi="仿宋_GB2312" w:eastAsia="仿宋_GB2312" w:cs="仿宋_GB2312"/>
          <w:b w:val="0"/>
          <w:bCs w:val="0"/>
          <w:color w:val="auto"/>
          <w:spacing w:val="0"/>
          <w:sz w:val="32"/>
          <w:szCs w:val="32"/>
          <w:lang w:val="en-US" w:eastAsia="zh-CN"/>
        </w:rPr>
        <w:t>48</w:t>
      </w:r>
      <w:r>
        <w:rPr>
          <w:rFonts w:hint="eastAsia" w:ascii="仿宋_GB2312" w:hAnsi="仿宋_GB2312" w:eastAsia="仿宋_GB2312" w:cs="仿宋_GB2312"/>
          <w:b w:val="0"/>
          <w:bCs w:val="0"/>
          <w:color w:val="auto"/>
          <w:spacing w:val="0"/>
          <w:sz w:val="32"/>
          <w:szCs w:val="32"/>
          <w:lang w:eastAsia="zh-CN"/>
        </w:rPr>
        <w:t>家，排查整治一般隐患8处；检查“九小场所”</w:t>
      </w:r>
      <w:r>
        <w:rPr>
          <w:rFonts w:hint="eastAsia" w:ascii="仿宋_GB2312" w:hAnsi="仿宋_GB2312" w:eastAsia="仿宋_GB2312" w:cs="仿宋_GB2312"/>
          <w:b w:val="0"/>
          <w:bCs w:val="0"/>
          <w:color w:val="auto"/>
          <w:spacing w:val="0"/>
          <w:sz w:val="32"/>
          <w:szCs w:val="32"/>
          <w:lang w:val="en-US" w:eastAsia="zh-CN"/>
        </w:rPr>
        <w:t>415</w:t>
      </w:r>
      <w:r>
        <w:rPr>
          <w:rFonts w:hint="eastAsia" w:ascii="仿宋_GB2312" w:hAnsi="仿宋_GB2312" w:eastAsia="仿宋_GB2312" w:cs="仿宋_GB2312"/>
          <w:b w:val="0"/>
          <w:bCs w:val="0"/>
          <w:color w:val="auto"/>
          <w:spacing w:val="0"/>
          <w:sz w:val="32"/>
          <w:szCs w:val="32"/>
          <w:lang w:eastAsia="zh-CN"/>
        </w:rPr>
        <w:t>家、大型多业态混合经营体</w:t>
      </w:r>
      <w:r>
        <w:rPr>
          <w:rFonts w:hint="eastAsia" w:ascii="仿宋_GB2312" w:hAnsi="仿宋_GB2312" w:eastAsia="仿宋_GB2312" w:cs="仿宋_GB2312"/>
          <w:b w:val="0"/>
          <w:bCs w:val="0"/>
          <w:color w:val="auto"/>
          <w:spacing w:val="0"/>
          <w:sz w:val="32"/>
          <w:szCs w:val="32"/>
          <w:lang w:val="en-US" w:eastAsia="zh-CN"/>
        </w:rPr>
        <w:t>3家</w:t>
      </w:r>
      <w:r>
        <w:rPr>
          <w:rFonts w:hint="eastAsia" w:ascii="仿宋_GB2312" w:hAnsi="仿宋_GB2312" w:eastAsia="仿宋_GB2312" w:cs="仿宋_GB2312"/>
          <w:b w:val="0"/>
          <w:bCs w:val="0"/>
          <w:color w:val="auto"/>
          <w:spacing w:val="0"/>
          <w:sz w:val="32"/>
          <w:szCs w:val="32"/>
          <w:lang w:eastAsia="zh-CN"/>
        </w:rPr>
        <w:t>，发隐整治隐患</w:t>
      </w:r>
      <w:r>
        <w:rPr>
          <w:rFonts w:hint="eastAsia" w:ascii="仿宋_GB2312" w:hAnsi="仿宋_GB2312" w:eastAsia="仿宋_GB2312" w:cs="仿宋_GB2312"/>
          <w:b w:val="0"/>
          <w:bCs w:val="0"/>
          <w:color w:val="auto"/>
          <w:spacing w:val="0"/>
          <w:sz w:val="32"/>
          <w:szCs w:val="32"/>
          <w:lang w:val="en-US" w:eastAsia="zh-CN"/>
        </w:rPr>
        <w:t>61</w:t>
      </w:r>
      <w:r>
        <w:rPr>
          <w:rFonts w:hint="eastAsia" w:ascii="仿宋_GB2312" w:hAnsi="仿宋_GB2312" w:eastAsia="仿宋_GB2312" w:cs="仿宋_GB2312"/>
          <w:b w:val="0"/>
          <w:bCs w:val="0"/>
          <w:color w:val="auto"/>
          <w:spacing w:val="0"/>
          <w:sz w:val="32"/>
          <w:szCs w:val="32"/>
          <w:lang w:eastAsia="zh-CN"/>
        </w:rPr>
        <w:t>处。</w:t>
      </w:r>
      <w:r>
        <w:rPr>
          <w:rFonts w:hint="eastAsia" w:ascii="仿宋_GB2312" w:hAnsi="仿宋_GB2312" w:eastAsia="仿宋_GB2312" w:cs="仿宋_GB2312"/>
          <w:b/>
          <w:bCs/>
          <w:color w:val="auto"/>
          <w:spacing w:val="0"/>
          <w:sz w:val="32"/>
          <w:szCs w:val="32"/>
          <w:lang w:eastAsia="zh-CN"/>
        </w:rPr>
        <w:t>四是</w:t>
      </w:r>
      <w:r>
        <w:rPr>
          <w:rFonts w:hint="eastAsia" w:ascii="仿宋_GB2312" w:hAnsi="黑体" w:eastAsia="仿宋_GB2312"/>
          <w:color w:val="auto"/>
          <w:spacing w:val="0"/>
          <w:sz w:val="32"/>
          <w:szCs w:val="32"/>
          <w:lang w:eastAsia="zh-CN"/>
        </w:rPr>
        <w:t>全年</w:t>
      </w:r>
      <w:r>
        <w:rPr>
          <w:rFonts w:hint="eastAsia" w:ascii="仿宋_GB2312" w:hAnsi="仿宋_GB2312" w:eastAsia="仿宋_GB2312" w:cs="仿宋_GB2312"/>
          <w:color w:val="auto"/>
          <w:spacing w:val="0"/>
          <w:sz w:val="32"/>
          <w:szCs w:val="32"/>
          <w:lang w:val="en-US" w:eastAsia="zh-CN"/>
        </w:rPr>
        <w:t>街道共计调查处理回复书信类信访件8件(其中省委巡视组3件)，</w:t>
      </w:r>
      <w:r>
        <w:rPr>
          <w:rFonts w:hint="eastAsia" w:ascii="仿宋_GB2312" w:hAnsi="楷体_GB2312" w:eastAsia="仿宋_GB2312" w:cs="楷体_GB2312"/>
          <w:color w:val="auto"/>
          <w:spacing w:val="0"/>
          <w:sz w:val="32"/>
          <w:szCs w:val="32"/>
          <w:lang w:eastAsia="zh-CN"/>
        </w:rPr>
        <w:t>于去年</w:t>
      </w:r>
      <w:r>
        <w:rPr>
          <w:rFonts w:hint="eastAsia" w:ascii="仿宋_GB2312" w:hAnsi="仿宋_GB2312" w:eastAsia="仿宋_GB2312" w:cs="仿宋_GB2312"/>
          <w:color w:val="auto"/>
          <w:spacing w:val="0"/>
          <w:sz w:val="32"/>
          <w:szCs w:val="32"/>
          <w:lang w:val="en-US" w:eastAsia="zh-CN"/>
        </w:rPr>
        <w:t>同比下降20%（去年10件）</w:t>
      </w:r>
      <w:r>
        <w:rPr>
          <w:rFonts w:hint="eastAsia" w:ascii="仿宋_GB2312" w:hAnsi="楷体_GB2312" w:eastAsia="仿宋_GB2312" w:cs="楷体_GB2312"/>
          <w:color w:val="auto"/>
          <w:spacing w:val="0"/>
          <w:sz w:val="32"/>
          <w:szCs w:val="32"/>
        </w:rPr>
        <w:t>，</w:t>
      </w:r>
      <w:r>
        <w:rPr>
          <w:rFonts w:hint="eastAsia" w:ascii="仿宋_GB2312" w:hAnsi="黑体" w:eastAsia="仿宋_GB2312"/>
          <w:color w:val="auto"/>
          <w:spacing w:val="0"/>
          <w:sz w:val="32"/>
          <w:szCs w:val="32"/>
        </w:rPr>
        <w:t>回复率达100%，处理率达</w:t>
      </w:r>
      <w:r>
        <w:rPr>
          <w:rFonts w:hint="eastAsia" w:ascii="仿宋_GB2312" w:hAnsi="黑体" w:eastAsia="仿宋_GB2312"/>
          <w:color w:val="auto"/>
          <w:spacing w:val="0"/>
          <w:sz w:val="32"/>
          <w:szCs w:val="32"/>
          <w:lang w:val="en-US" w:eastAsia="zh-CN"/>
        </w:rPr>
        <w:t>100</w:t>
      </w:r>
      <w:r>
        <w:rPr>
          <w:rFonts w:hint="eastAsia" w:ascii="仿宋_GB2312" w:hAnsi="黑体" w:eastAsia="仿宋_GB2312"/>
          <w:color w:val="auto"/>
          <w:spacing w:val="0"/>
          <w:sz w:val="32"/>
          <w:szCs w:val="32"/>
        </w:rPr>
        <w:t>%，绝大多数信访人已经停访息诉。</w:t>
      </w:r>
      <w:r>
        <w:rPr>
          <w:rFonts w:hint="eastAsia" w:ascii="仿宋_GB2312" w:hAnsi="仿宋_GB2312" w:eastAsia="仿宋_GB2312" w:cs="仿宋_GB2312"/>
          <w:color w:val="auto"/>
          <w:spacing w:val="0"/>
          <w:sz w:val="32"/>
          <w:szCs w:val="32"/>
          <w:lang w:val="en-US" w:eastAsia="zh-CN"/>
        </w:rPr>
        <w:t>处理各类上访、集访事件共计5批次，</w:t>
      </w:r>
      <w:r>
        <w:rPr>
          <w:rFonts w:hint="eastAsia" w:ascii="仿宋_GB2312" w:hAnsi="楷体_GB2312" w:eastAsia="仿宋_GB2312" w:cs="楷体_GB2312"/>
          <w:color w:val="auto"/>
          <w:spacing w:val="0"/>
          <w:sz w:val="32"/>
          <w:szCs w:val="32"/>
          <w:lang w:eastAsia="zh-CN"/>
        </w:rPr>
        <w:t>于去年相同</w:t>
      </w:r>
      <w:r>
        <w:rPr>
          <w:rFonts w:hint="eastAsia" w:ascii="仿宋_GB2312" w:hAnsi="仿宋_GB2312" w:eastAsia="仿宋_GB2312" w:cs="仿宋_GB2312"/>
          <w:color w:val="auto"/>
          <w:spacing w:val="0"/>
          <w:sz w:val="32"/>
          <w:szCs w:val="32"/>
          <w:lang w:val="en-US" w:eastAsia="zh-CN"/>
        </w:rPr>
        <w:t>（去年5起），涉及五十人。</w:t>
      </w:r>
      <w:r>
        <w:rPr>
          <w:rFonts w:hint="eastAsia" w:ascii="仿宋_GB2312" w:hAnsi="仿宋_GB2312" w:eastAsia="仿宋_GB2312" w:cs="仿宋_GB2312"/>
          <w:color w:val="auto"/>
          <w:w w:val="100"/>
          <w:kern w:val="0"/>
          <w:sz w:val="32"/>
          <w:szCs w:val="32"/>
          <w:highlight w:val="none"/>
          <w:shd w:val="clear" w:color="auto" w:fill="FFFFFF"/>
          <w:lang w:val="en-US" w:eastAsia="zh-CN"/>
        </w:rPr>
        <w:t>自评得分3分。（4）社区发展中心</w:t>
      </w:r>
      <w:r>
        <w:rPr>
          <w:rFonts w:ascii="仿宋_GB2312" w:hAnsi="仿宋_GB2312" w:eastAsia="仿宋_GB2312" w:cs="仿宋_GB2312"/>
          <w:color w:val="auto"/>
          <w:w w:val="100"/>
          <w:kern w:val="2"/>
          <w:sz w:val="32"/>
          <w:szCs w:val="32"/>
          <w:lang w:bidi="ar-SA"/>
        </w:rPr>
        <w:t>针对冬春火灾高发期，提前实施防火隔离带割除措施，强化宣传力度，修建宣传设施，印发宣传资料2800余份</w:t>
      </w:r>
      <w:r>
        <w:rPr>
          <w:rFonts w:hint="eastAsia" w:ascii="仿宋_GB2312" w:hAnsi="仿宋_GB2312" w:eastAsia="仿宋_GB2312" w:cs="仿宋_GB2312"/>
          <w:color w:val="auto"/>
          <w:w w:val="100"/>
          <w:kern w:val="2"/>
          <w:sz w:val="32"/>
          <w:szCs w:val="32"/>
          <w:lang w:eastAsia="zh-CN" w:bidi="ar-SA"/>
        </w:rPr>
        <w:t>；</w:t>
      </w:r>
      <w:r>
        <w:rPr>
          <w:rFonts w:hint="eastAsia" w:ascii="仿宋_GB2312" w:hAnsi="仿宋_GB2312" w:eastAsia="仿宋_GB2312" w:cs="仿宋_GB2312"/>
          <w:color w:val="auto"/>
          <w:w w:val="100"/>
          <w:kern w:val="2"/>
          <w:sz w:val="32"/>
          <w:szCs w:val="32"/>
          <w:lang w:val="en-US" w:eastAsia="zh-CN" w:bidi="ar-SA"/>
        </w:rPr>
        <w:t>为有效防范</w:t>
      </w:r>
      <w:r>
        <w:rPr>
          <w:rFonts w:ascii="仿宋_GB2312" w:hAnsi="仿宋_GB2312" w:eastAsia="仿宋_GB2312" w:cs="仿宋_GB2312"/>
          <w:color w:val="auto"/>
          <w:w w:val="100"/>
          <w:kern w:val="2"/>
          <w:sz w:val="32"/>
          <w:szCs w:val="32"/>
          <w:lang w:bidi="ar-SA"/>
        </w:rPr>
        <w:t>对猪、犬只等重大疫情</w:t>
      </w:r>
      <w:r>
        <w:rPr>
          <w:rFonts w:hint="eastAsia" w:ascii="仿宋_GB2312" w:hAnsi="仿宋_GB2312" w:eastAsia="仿宋_GB2312" w:cs="仿宋_GB2312"/>
          <w:color w:val="auto"/>
          <w:w w:val="100"/>
          <w:kern w:val="2"/>
          <w:sz w:val="32"/>
          <w:szCs w:val="32"/>
          <w:lang w:val="en-US" w:eastAsia="zh-CN" w:bidi="ar-SA"/>
        </w:rPr>
        <w:t>发生，全年注射</w:t>
      </w:r>
      <w:r>
        <w:rPr>
          <w:rFonts w:ascii="仿宋_GB2312" w:hAnsi="仿宋_GB2312" w:eastAsia="仿宋_GB2312" w:cs="仿宋_GB2312"/>
          <w:color w:val="auto"/>
          <w:w w:val="100"/>
          <w:kern w:val="2"/>
          <w:sz w:val="32"/>
          <w:szCs w:val="32"/>
          <w:lang w:bidi="ar-SA"/>
        </w:rPr>
        <w:t>生猪防控疫苗1次共计11头，免疫接种率达到100%</w:t>
      </w:r>
      <w:r>
        <w:rPr>
          <w:rFonts w:hint="eastAsia" w:ascii="仿宋_GB2312" w:hAnsi="仿宋_GB2312" w:eastAsia="仿宋_GB2312" w:cs="仿宋_GB2312"/>
          <w:color w:val="auto"/>
          <w:w w:val="100"/>
          <w:kern w:val="2"/>
          <w:sz w:val="32"/>
          <w:szCs w:val="32"/>
          <w:lang w:eastAsia="zh-CN" w:bidi="ar-SA"/>
        </w:rPr>
        <w:t>；</w:t>
      </w:r>
      <w:r>
        <w:rPr>
          <w:rFonts w:hint="eastAsia" w:ascii="仿宋_GB2312" w:hAnsi="仿宋_GB2312" w:eastAsia="仿宋_GB2312" w:cs="仿宋_GB2312"/>
          <w:color w:val="auto"/>
          <w:w w:val="100"/>
          <w:kern w:val="2"/>
          <w:sz w:val="32"/>
          <w:szCs w:val="32"/>
          <w:lang w:val="en-US" w:eastAsia="zh-CN" w:bidi="ar-SA"/>
        </w:rPr>
        <w:t>免疫注射犬只</w:t>
      </w:r>
      <w:r>
        <w:rPr>
          <w:rFonts w:ascii="仿宋_GB2312" w:hAnsi="仿宋_GB2312" w:eastAsia="仿宋_GB2312" w:cs="仿宋_GB2312"/>
          <w:color w:val="auto"/>
          <w:w w:val="100"/>
          <w:kern w:val="2"/>
          <w:sz w:val="32"/>
          <w:szCs w:val="32"/>
          <w:lang w:bidi="ar-SA"/>
        </w:rPr>
        <w:t>狂犬病</w:t>
      </w:r>
      <w:r>
        <w:rPr>
          <w:rFonts w:hint="eastAsia" w:ascii="仿宋_GB2312" w:hAnsi="仿宋_GB2312" w:eastAsia="仿宋_GB2312" w:cs="仿宋_GB2312"/>
          <w:color w:val="auto"/>
          <w:w w:val="100"/>
          <w:kern w:val="2"/>
          <w:sz w:val="32"/>
          <w:szCs w:val="32"/>
          <w:lang w:val="en-US" w:eastAsia="zh-CN" w:bidi="ar-SA"/>
        </w:rPr>
        <w:t>疫苗</w:t>
      </w:r>
      <w:r>
        <w:rPr>
          <w:rFonts w:ascii="仿宋_GB2312" w:hAnsi="仿宋_GB2312" w:eastAsia="仿宋_GB2312" w:cs="仿宋_GB2312"/>
          <w:color w:val="auto"/>
          <w:w w:val="100"/>
          <w:kern w:val="2"/>
          <w:sz w:val="32"/>
          <w:szCs w:val="32"/>
          <w:lang w:bidi="ar-SA"/>
        </w:rPr>
        <w:t>了224只</w:t>
      </w:r>
      <w:r>
        <w:rPr>
          <w:rFonts w:hint="eastAsia" w:ascii="仿宋_GB2312" w:hAnsi="仿宋_GB2312" w:eastAsia="仿宋_GB2312" w:cs="仿宋_GB2312"/>
          <w:color w:val="auto"/>
          <w:w w:val="100"/>
          <w:kern w:val="2"/>
          <w:sz w:val="32"/>
          <w:szCs w:val="32"/>
          <w:lang w:eastAsia="zh-CN" w:bidi="ar-SA"/>
        </w:rPr>
        <w:t>，</w:t>
      </w:r>
      <w:r>
        <w:rPr>
          <w:rFonts w:ascii="仿宋_GB2312" w:hAnsi="仿宋_GB2312" w:eastAsia="仿宋_GB2312" w:cs="仿宋_GB2312"/>
          <w:color w:val="auto"/>
          <w:w w:val="100"/>
          <w:kern w:val="2"/>
          <w:sz w:val="32"/>
          <w:szCs w:val="32"/>
          <w:lang w:bidi="ar-SA"/>
        </w:rPr>
        <w:t>免疫覆盖率达到95%。同时，对畜禽圈舍进行了</w:t>
      </w:r>
      <w:r>
        <w:rPr>
          <w:rFonts w:hint="eastAsia" w:ascii="仿宋_GB2312" w:hAnsi="仿宋_GB2312" w:eastAsia="仿宋_GB2312" w:cs="仿宋_GB2312"/>
          <w:color w:val="auto"/>
          <w:w w:val="100"/>
          <w:kern w:val="2"/>
          <w:sz w:val="32"/>
          <w:szCs w:val="32"/>
          <w:lang w:val="en-US" w:eastAsia="zh-CN" w:bidi="ar-SA"/>
        </w:rPr>
        <w:t>全面</w:t>
      </w:r>
      <w:r>
        <w:rPr>
          <w:rFonts w:ascii="仿宋_GB2312" w:hAnsi="仿宋_GB2312" w:eastAsia="仿宋_GB2312" w:cs="仿宋_GB2312"/>
          <w:color w:val="auto"/>
          <w:w w:val="100"/>
          <w:kern w:val="2"/>
          <w:sz w:val="32"/>
          <w:szCs w:val="32"/>
          <w:lang w:bidi="ar-SA"/>
        </w:rPr>
        <w:t>消</w:t>
      </w:r>
      <w:r>
        <w:rPr>
          <w:rFonts w:hint="eastAsia" w:ascii="仿宋_GB2312" w:hAnsi="仿宋_GB2312" w:eastAsia="仿宋_GB2312" w:cs="仿宋_GB2312"/>
          <w:color w:val="auto"/>
          <w:w w:val="100"/>
          <w:kern w:val="2"/>
          <w:sz w:val="32"/>
          <w:szCs w:val="32"/>
          <w:lang w:val="en-US" w:eastAsia="zh-CN" w:bidi="ar-SA"/>
        </w:rPr>
        <w:t>毒，保障畜牧业的健康发展，维护公共卫生安全。</w:t>
      </w:r>
      <w:r>
        <w:rPr>
          <w:rFonts w:hint="eastAsia" w:ascii="仿宋_GB2312" w:hAnsi="仿宋_GB2312" w:eastAsia="仿宋_GB2312" w:cs="仿宋_GB2312"/>
          <w:color w:val="auto"/>
          <w:w w:val="100"/>
          <w:kern w:val="0"/>
          <w:sz w:val="32"/>
          <w:szCs w:val="32"/>
          <w:highlight w:val="none"/>
          <w:shd w:val="clear" w:color="auto" w:fill="FFFFFF"/>
          <w:lang w:val="en-US" w:eastAsia="zh-CN"/>
        </w:rPr>
        <w:t>辖区内环境质量逐步改善，民众满意度上升。自评得分3分。（5）城市建设服务中心，2024年开展</w:t>
      </w:r>
      <w:r>
        <w:rPr>
          <w:rFonts w:hint="eastAsia" w:ascii="仿宋_GB2312" w:hAnsi="仿宋_GB2312" w:eastAsia="仿宋_GB2312" w:cs="仿宋_GB2312"/>
          <w:b w:val="0"/>
          <w:color w:val="auto"/>
          <w:spacing w:val="0"/>
          <w:kern w:val="0"/>
          <w:sz w:val="32"/>
          <w:szCs w:val="32"/>
          <w:lang w:val="en-US" w:eastAsia="zh-CN" w:bidi="ar-SA"/>
        </w:rPr>
        <w:t>征地拆迁项目有205线改扩建项目、曾家营社区101亩地块征拆项目、八一社区7号地块征拆等多个项目。</w:t>
      </w:r>
      <w:r>
        <w:rPr>
          <w:rFonts w:hint="eastAsia" w:ascii="仿宋_GB2312" w:hAnsi="仿宋_GB2312" w:eastAsia="仿宋_GB2312" w:cs="仿宋_GB2312"/>
          <w:b w:val="0"/>
          <w:bCs w:val="0"/>
          <w:color w:val="auto"/>
          <w:spacing w:val="0"/>
          <w:kern w:val="0"/>
          <w:sz w:val="32"/>
          <w:szCs w:val="32"/>
          <w:lang w:val="en-US" w:eastAsia="zh-CN" w:bidi="ar-SA"/>
        </w:rPr>
        <w:t>自建房查违处漏工作，全年查处违建行为5起，整治处理5起；制止违建2起。楼顶处漏12起，有效的提升了辖区乱建违建的现象。</w:t>
      </w:r>
      <w:r>
        <w:rPr>
          <w:rFonts w:hint="eastAsia" w:ascii="仿宋_GB2312" w:hAnsi="仿宋_GB2312" w:eastAsia="仿宋_GB2312" w:cs="仿宋_GB2312"/>
          <w:color w:val="auto"/>
          <w:w w:val="100"/>
          <w:kern w:val="0"/>
          <w:sz w:val="32"/>
          <w:szCs w:val="32"/>
          <w:highlight w:val="none"/>
          <w:shd w:val="clear" w:color="auto" w:fill="FFFFFF"/>
          <w:lang w:val="en-US" w:eastAsia="zh-CN"/>
        </w:rPr>
        <w:t>自评得分3分。</w:t>
      </w:r>
    </w:p>
    <w:p w14:paraId="6EDD837D">
      <w:pPr>
        <w:keepNext w:val="0"/>
        <w:keepLines w:val="0"/>
        <w:pageBreakBefore w:val="0"/>
        <w:kinsoku/>
        <w:wordWrap/>
        <w:overflowPunct/>
        <w:topLinePunct w:val="0"/>
        <w:autoSpaceDE/>
        <w:autoSpaceDN/>
        <w:bidi w:val="0"/>
        <w:adjustRightInd/>
        <w:spacing w:line="576" w:lineRule="exact"/>
        <w:ind w:left="-210" w:leftChars="-100" w:right="-210" w:rightChars="-100" w:firstLine="640" w:firstLineChars="200"/>
        <w:textAlignment w:val="auto"/>
        <w:rPr>
          <w:rFonts w:hint="default" w:ascii="仿宋_GB2312" w:hAnsi="仿宋_GB2312" w:eastAsia="仿宋_GB2312" w:cs="仿宋_GB2312"/>
          <w:color w:val="auto"/>
          <w:w w:val="100"/>
          <w:kern w:val="0"/>
          <w:sz w:val="32"/>
          <w:szCs w:val="32"/>
          <w:highlight w:val="none"/>
          <w:shd w:val="clear" w:color="auto" w:fill="FFFFFF"/>
          <w:lang w:val="en-US" w:eastAsia="zh-CN"/>
        </w:rPr>
      </w:pPr>
      <w:r>
        <w:rPr>
          <w:rFonts w:hint="eastAsia" w:ascii="仿宋_GB2312" w:hAnsi="仿宋_GB2312" w:eastAsia="仿宋_GB2312" w:cs="仿宋_GB2312"/>
          <w:color w:val="auto"/>
          <w:w w:val="100"/>
          <w:kern w:val="0"/>
          <w:sz w:val="32"/>
          <w:szCs w:val="32"/>
          <w:highlight w:val="none"/>
          <w:shd w:val="clear" w:color="auto" w:fill="FFFFFF"/>
          <w:lang w:val="en-US" w:eastAsia="zh-CN"/>
        </w:rPr>
        <w:t>2.</w:t>
      </w:r>
      <w:r>
        <w:rPr>
          <w:rFonts w:hint="eastAsia" w:ascii="仿宋_GB2312" w:hAnsi="仿宋_GB2312" w:eastAsia="仿宋_GB2312" w:cs="仿宋_GB2312"/>
          <w:color w:val="auto"/>
          <w:w w:val="100"/>
          <w:kern w:val="0"/>
          <w:sz w:val="32"/>
          <w:szCs w:val="32"/>
          <w:highlight w:val="none"/>
          <w:shd w:val="clear" w:color="auto" w:fill="FFFFFF"/>
          <w:lang w:val="zh-CN"/>
        </w:rPr>
        <w:t>预算管理。</w:t>
      </w:r>
      <w:r>
        <w:rPr>
          <w:rFonts w:hint="eastAsia" w:ascii="仿宋_GB2312" w:hAnsi="仿宋_GB2312" w:eastAsia="仿宋_GB2312" w:cs="仿宋_GB2312"/>
          <w:color w:val="auto"/>
          <w:w w:val="100"/>
          <w:kern w:val="0"/>
          <w:sz w:val="32"/>
          <w:szCs w:val="32"/>
          <w:highlight w:val="none"/>
          <w:shd w:val="clear" w:color="auto" w:fill="FFFFFF"/>
          <w:lang w:val="en-US" w:eastAsia="zh-CN"/>
        </w:rPr>
        <w:t>自评得分19.45。</w:t>
      </w:r>
    </w:p>
    <w:p w14:paraId="0919202D">
      <w:pPr>
        <w:keepNext w:val="0"/>
        <w:keepLines w:val="0"/>
        <w:pageBreakBefore w:val="0"/>
        <w:widowControl w:val="0"/>
        <w:numPr>
          <w:ilvl w:val="0"/>
          <w:numId w:val="0"/>
        </w:numPr>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color w:val="000000"/>
          <w:w w:val="100"/>
          <w:kern w:val="0"/>
          <w:sz w:val="32"/>
          <w:szCs w:val="32"/>
          <w:highlight w:val="none"/>
          <w:shd w:val="clear" w:color="auto" w:fill="FFFFFF"/>
          <w:lang w:val="zh-CN"/>
        </w:rPr>
      </w:pPr>
      <w:r>
        <w:rPr>
          <w:rFonts w:hint="eastAsia" w:ascii="仿宋_GB2312" w:hAnsi="仿宋_GB2312" w:eastAsia="仿宋_GB2312" w:cs="仿宋_GB2312"/>
          <w:color w:val="000000"/>
          <w:w w:val="100"/>
          <w:kern w:val="0"/>
          <w:sz w:val="32"/>
          <w:szCs w:val="32"/>
          <w:highlight w:val="none"/>
          <w:shd w:val="clear" w:color="auto" w:fill="FFFFFF"/>
          <w:lang w:val="en-US" w:eastAsia="zh-CN"/>
        </w:rPr>
        <w:t>部门严格按要求编制年初部门预算，年初预算编制的科学性和准确性，已编制项目绩效目标要素完整，全年共计17个项目。已编制项目绩效指标细化量化，绩效目标表中编制有数量指标、质量指标、成本指标、效益指标等。</w:t>
      </w:r>
    </w:p>
    <w:p w14:paraId="4C1C5437">
      <w:pPr>
        <w:keepNext w:val="0"/>
        <w:keepLines w:val="0"/>
        <w:pageBreakBefore w:val="0"/>
        <w:widowControl w:val="0"/>
        <w:numPr>
          <w:ilvl w:val="0"/>
          <w:numId w:val="0"/>
        </w:numPr>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color w:val="000000"/>
          <w:w w:val="100"/>
          <w:kern w:val="0"/>
          <w:sz w:val="32"/>
          <w:szCs w:val="32"/>
          <w:highlight w:val="none"/>
          <w:shd w:val="clear" w:color="auto" w:fill="FFFFFF"/>
          <w:lang w:val="zh-CN"/>
        </w:rPr>
      </w:pPr>
      <w:r>
        <w:rPr>
          <w:rFonts w:hint="eastAsia" w:ascii="仿宋_GB2312" w:hAnsi="仿宋_GB2312" w:eastAsia="仿宋_GB2312" w:cs="仿宋_GB2312"/>
          <w:color w:val="000000"/>
          <w:w w:val="100"/>
          <w:kern w:val="0"/>
          <w:sz w:val="32"/>
          <w:szCs w:val="32"/>
          <w:highlight w:val="none"/>
          <w:shd w:val="clear" w:color="auto" w:fill="FFFFFF"/>
          <w:lang w:val="en-US" w:eastAsia="zh-CN"/>
        </w:rPr>
        <w:t>3.</w:t>
      </w:r>
      <w:r>
        <w:rPr>
          <w:rFonts w:hint="eastAsia" w:ascii="仿宋_GB2312" w:hAnsi="仿宋_GB2312" w:eastAsia="仿宋_GB2312" w:cs="仿宋_GB2312"/>
          <w:color w:val="000000"/>
          <w:w w:val="100"/>
          <w:kern w:val="0"/>
          <w:sz w:val="32"/>
          <w:szCs w:val="32"/>
          <w:highlight w:val="none"/>
          <w:shd w:val="clear" w:color="auto" w:fill="FFFFFF"/>
          <w:lang w:val="zh-CN"/>
        </w:rPr>
        <w:t>财务管理。</w:t>
      </w:r>
      <w:r>
        <w:rPr>
          <w:rFonts w:hint="eastAsia" w:ascii="仿宋_GB2312" w:hAnsi="仿宋_GB2312" w:eastAsia="仿宋_GB2312" w:cs="仿宋_GB2312"/>
          <w:color w:val="000000"/>
          <w:w w:val="100"/>
          <w:kern w:val="0"/>
          <w:sz w:val="32"/>
          <w:szCs w:val="32"/>
          <w:highlight w:val="none"/>
          <w:shd w:val="clear" w:color="auto" w:fill="FFFFFF"/>
          <w:lang w:val="en-US" w:eastAsia="zh-CN"/>
        </w:rPr>
        <w:t>自评得分10分。</w:t>
      </w:r>
      <w:r>
        <w:rPr>
          <w:rFonts w:hint="eastAsia" w:ascii="仿宋_GB2312" w:hAnsi="仿宋_GB2312" w:eastAsia="仿宋_GB2312" w:cs="仿宋_GB2312"/>
          <w:color w:val="000000"/>
          <w:w w:val="100"/>
          <w:kern w:val="0"/>
          <w:sz w:val="32"/>
          <w:szCs w:val="32"/>
          <w:highlight w:val="none"/>
          <w:shd w:val="clear" w:color="auto" w:fill="FFFFFF"/>
          <w:lang w:val="zh-CN"/>
        </w:rPr>
        <w:t>财务管理制度</w:t>
      </w:r>
      <w:r>
        <w:rPr>
          <w:rFonts w:hint="eastAsia" w:ascii="仿宋_GB2312" w:hAnsi="仿宋_GB2312" w:eastAsia="仿宋_GB2312" w:cs="仿宋_GB2312"/>
          <w:color w:val="000000"/>
          <w:w w:val="100"/>
          <w:kern w:val="0"/>
          <w:sz w:val="32"/>
          <w:szCs w:val="32"/>
          <w:highlight w:val="none"/>
          <w:shd w:val="clear" w:color="auto" w:fill="FFFFFF"/>
          <w:lang w:val="en-US" w:eastAsia="zh-CN"/>
        </w:rPr>
        <w:t>完善</w:t>
      </w:r>
      <w:r>
        <w:rPr>
          <w:rFonts w:hint="eastAsia" w:ascii="仿宋_GB2312" w:hAnsi="仿宋_GB2312" w:eastAsia="仿宋_GB2312" w:cs="仿宋_GB2312"/>
          <w:color w:val="000000"/>
          <w:w w:val="100"/>
          <w:kern w:val="0"/>
          <w:sz w:val="32"/>
          <w:szCs w:val="32"/>
          <w:highlight w:val="none"/>
          <w:shd w:val="clear" w:color="auto" w:fill="FFFFFF"/>
          <w:lang w:val="zh-CN"/>
        </w:rPr>
        <w:t>、财务岗位</w:t>
      </w:r>
      <w:r>
        <w:rPr>
          <w:rFonts w:hint="eastAsia" w:ascii="仿宋_GB2312" w:hAnsi="仿宋_GB2312" w:eastAsia="仿宋_GB2312" w:cs="仿宋_GB2312"/>
          <w:color w:val="000000"/>
          <w:w w:val="100"/>
          <w:kern w:val="0"/>
          <w:sz w:val="32"/>
          <w:szCs w:val="32"/>
          <w:highlight w:val="none"/>
          <w:shd w:val="clear" w:color="auto" w:fill="FFFFFF"/>
          <w:lang w:val="en-US" w:eastAsia="zh-CN"/>
        </w:rPr>
        <w:t>明确职责权限，并严格实行不相容岗位分离</w:t>
      </w:r>
      <w:r>
        <w:rPr>
          <w:rFonts w:hint="eastAsia" w:ascii="仿宋_GB2312" w:hAnsi="仿宋_GB2312" w:eastAsia="仿宋_GB2312" w:cs="仿宋_GB2312"/>
          <w:color w:val="000000"/>
          <w:w w:val="100"/>
          <w:kern w:val="0"/>
          <w:sz w:val="32"/>
          <w:szCs w:val="32"/>
          <w:highlight w:val="none"/>
          <w:shd w:val="clear" w:color="auto" w:fill="FFFFFF"/>
          <w:lang w:val="zh-CN"/>
        </w:rPr>
        <w:t>、资金使用规范。</w:t>
      </w:r>
    </w:p>
    <w:p w14:paraId="48EA144D">
      <w:pPr>
        <w:keepNext w:val="0"/>
        <w:keepLines w:val="0"/>
        <w:pageBreakBefore w:val="0"/>
        <w:widowControl w:val="0"/>
        <w:numPr>
          <w:ilvl w:val="0"/>
          <w:numId w:val="0"/>
        </w:numPr>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color w:val="000000"/>
          <w:w w:val="100"/>
          <w:kern w:val="0"/>
          <w:sz w:val="32"/>
          <w:szCs w:val="32"/>
          <w:highlight w:val="none"/>
          <w:shd w:val="clear" w:color="auto" w:fill="FFFFFF"/>
          <w:lang w:val="zh-CN"/>
        </w:rPr>
      </w:pPr>
      <w:r>
        <w:rPr>
          <w:rFonts w:hint="eastAsia" w:ascii="仿宋_GB2312" w:hAnsi="仿宋_GB2312" w:eastAsia="仿宋_GB2312" w:cs="仿宋_GB2312"/>
          <w:color w:val="000000"/>
          <w:w w:val="100"/>
          <w:kern w:val="0"/>
          <w:sz w:val="32"/>
          <w:szCs w:val="32"/>
          <w:highlight w:val="none"/>
          <w:shd w:val="clear" w:color="auto" w:fill="FFFFFF"/>
          <w:lang w:val="en-US" w:eastAsia="zh-CN"/>
        </w:rPr>
        <w:t>4.</w:t>
      </w:r>
      <w:r>
        <w:rPr>
          <w:rFonts w:hint="eastAsia" w:ascii="仿宋_GB2312" w:hAnsi="仿宋_GB2312" w:eastAsia="仿宋_GB2312" w:cs="仿宋_GB2312"/>
          <w:color w:val="000000"/>
          <w:w w:val="100"/>
          <w:kern w:val="0"/>
          <w:sz w:val="32"/>
          <w:szCs w:val="32"/>
          <w:highlight w:val="none"/>
          <w:shd w:val="clear" w:color="auto" w:fill="FFFFFF"/>
          <w:lang w:val="zh-CN"/>
        </w:rPr>
        <w:t>资产管理。</w:t>
      </w:r>
      <w:r>
        <w:rPr>
          <w:rFonts w:hint="eastAsia" w:ascii="仿宋_GB2312" w:hAnsi="仿宋_GB2312" w:eastAsia="仿宋_GB2312" w:cs="仿宋_GB2312"/>
          <w:color w:val="000000"/>
          <w:w w:val="100"/>
          <w:kern w:val="0"/>
          <w:sz w:val="32"/>
          <w:szCs w:val="32"/>
          <w:highlight w:val="none"/>
          <w:shd w:val="clear" w:color="auto" w:fill="FFFFFF"/>
          <w:lang w:val="en-US" w:eastAsia="zh-CN"/>
        </w:rPr>
        <w:t>自评得分9分。无闲置资产，资产使用率高</w:t>
      </w:r>
      <w:r>
        <w:rPr>
          <w:rFonts w:hint="eastAsia" w:ascii="仿宋_GB2312" w:hAnsi="仿宋_GB2312" w:eastAsia="仿宋_GB2312" w:cs="仿宋_GB2312"/>
          <w:color w:val="000000"/>
          <w:w w:val="100"/>
          <w:kern w:val="0"/>
          <w:sz w:val="32"/>
          <w:szCs w:val="32"/>
          <w:highlight w:val="none"/>
          <w:shd w:val="clear" w:color="auto" w:fill="FFFFFF"/>
          <w:lang w:val="zh-CN"/>
        </w:rPr>
        <w:t>。</w:t>
      </w:r>
    </w:p>
    <w:p w14:paraId="5B7A4084">
      <w:pPr>
        <w:keepNext w:val="0"/>
        <w:keepLines w:val="0"/>
        <w:pageBreakBefore w:val="0"/>
        <w:widowControl w:val="0"/>
        <w:numPr>
          <w:ilvl w:val="0"/>
          <w:numId w:val="0"/>
        </w:numPr>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default" w:ascii="仿宋_GB2312" w:hAnsi="仿宋_GB2312" w:eastAsia="仿宋_GB2312" w:cs="仿宋_GB2312"/>
          <w:color w:val="000000"/>
          <w:w w:val="100"/>
          <w:kern w:val="0"/>
          <w:sz w:val="32"/>
          <w:szCs w:val="32"/>
          <w:highlight w:val="none"/>
          <w:shd w:val="clear" w:color="auto" w:fill="FFFFFF"/>
          <w:lang w:val="en-US" w:eastAsia="zh-CN"/>
        </w:rPr>
      </w:pPr>
      <w:r>
        <w:rPr>
          <w:rFonts w:hint="eastAsia" w:ascii="仿宋_GB2312" w:hAnsi="仿宋_GB2312" w:eastAsia="仿宋_GB2312" w:cs="仿宋_GB2312"/>
          <w:color w:val="000000"/>
          <w:w w:val="100"/>
          <w:kern w:val="0"/>
          <w:sz w:val="32"/>
          <w:szCs w:val="32"/>
          <w:highlight w:val="none"/>
          <w:shd w:val="clear" w:color="auto" w:fill="FFFFFF"/>
          <w:lang w:val="en-US" w:eastAsia="zh-CN"/>
        </w:rPr>
        <w:t>5.</w:t>
      </w:r>
      <w:r>
        <w:rPr>
          <w:rFonts w:hint="eastAsia" w:ascii="仿宋_GB2312" w:hAnsi="仿宋_GB2312" w:eastAsia="仿宋_GB2312" w:cs="仿宋_GB2312"/>
          <w:color w:val="000000"/>
          <w:w w:val="100"/>
          <w:kern w:val="0"/>
          <w:sz w:val="32"/>
          <w:szCs w:val="32"/>
          <w:highlight w:val="none"/>
          <w:shd w:val="clear" w:color="auto" w:fill="FFFFFF"/>
          <w:lang w:val="zh-CN"/>
        </w:rPr>
        <w:t>采购管理。</w:t>
      </w:r>
      <w:r>
        <w:rPr>
          <w:rFonts w:hint="eastAsia" w:ascii="仿宋_GB2312" w:hAnsi="仿宋_GB2312" w:eastAsia="仿宋_GB2312" w:cs="仿宋_GB2312"/>
          <w:color w:val="000000"/>
          <w:w w:val="100"/>
          <w:kern w:val="0"/>
          <w:sz w:val="32"/>
          <w:szCs w:val="32"/>
          <w:highlight w:val="none"/>
          <w:shd w:val="clear" w:color="auto" w:fill="FFFFFF"/>
          <w:lang w:val="en-US" w:eastAsia="zh-CN"/>
        </w:rPr>
        <w:t>自评得分6分。全年无采购活动。</w:t>
      </w:r>
    </w:p>
    <w:p w14:paraId="4D5D7B79">
      <w:pPr>
        <w:keepNext w:val="0"/>
        <w:keepLines w:val="0"/>
        <w:pageBreakBefore w:val="0"/>
        <w:widowControl w:val="0"/>
        <w:kinsoku/>
        <w:wordWrap/>
        <w:overflowPunct/>
        <w:topLinePunct w:val="0"/>
        <w:autoSpaceDE/>
        <w:autoSpaceDN/>
        <w:bidi w:val="0"/>
        <w:adjustRightInd/>
        <w:snapToGrid/>
        <w:spacing w:line="570" w:lineRule="exact"/>
        <w:ind w:firstLine="640" w:firstLineChars="200"/>
        <w:jc w:val="both"/>
        <w:textAlignment w:val="auto"/>
        <w:rPr>
          <w:rFonts w:hint="eastAsia" w:ascii="楷体_GB2312" w:hAnsi="楷体_GB2312" w:eastAsia="楷体_GB2312" w:cs="楷体_GB2312"/>
          <w:b w:val="0"/>
          <w:bCs w:val="0"/>
          <w:color w:val="000000"/>
          <w:w w:val="100"/>
          <w:kern w:val="0"/>
          <w:sz w:val="32"/>
          <w:szCs w:val="32"/>
          <w:highlight w:val="none"/>
          <w:shd w:val="clear" w:color="auto" w:fill="FFFFFF"/>
          <w:lang w:val="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（二）部门预算项目绩效分析。</w:t>
      </w:r>
    </w:p>
    <w:p w14:paraId="13143C8B">
      <w:pPr>
        <w:ind w:firstLine="640" w:firstLineChars="200"/>
        <w:rPr>
          <w:rFonts w:hint="default" w:ascii="仿宋_GB2312" w:hAnsi="仿宋_GB2312" w:eastAsia="仿宋_GB2312" w:cs="仿宋_GB2312"/>
          <w:color w:val="000000"/>
          <w:w w:val="100"/>
          <w:kern w:val="0"/>
          <w:sz w:val="32"/>
          <w:szCs w:val="32"/>
          <w:highlight w:val="none"/>
          <w:shd w:val="clear" w:color="auto" w:fill="FFFFFF"/>
          <w:lang w:val="en-US" w:eastAsia="zh-CN"/>
        </w:rPr>
      </w:pPr>
      <w:r>
        <w:rPr>
          <w:rFonts w:hint="eastAsia" w:ascii="仿宋_GB2312" w:hAnsi="仿宋_GB2312" w:eastAsia="仿宋_GB2312" w:cs="仿宋_GB2312"/>
          <w:b w:val="0"/>
          <w:bCs w:val="0"/>
          <w:w w:val="100"/>
          <w:sz w:val="32"/>
          <w:szCs w:val="32"/>
          <w:highlight w:val="none"/>
          <w:u w:val="none"/>
          <w:lang w:val="en-US" w:eastAsia="zh-CN"/>
        </w:rPr>
        <w:t>1.</w:t>
      </w:r>
      <w:r>
        <w:rPr>
          <w:rFonts w:hint="eastAsia" w:ascii="仿宋_GB2312" w:hAnsi="仿宋_GB2312" w:eastAsia="仿宋_GB2312" w:cs="仿宋_GB2312"/>
          <w:b w:val="0"/>
          <w:bCs w:val="0"/>
          <w:w w:val="100"/>
          <w:sz w:val="32"/>
          <w:szCs w:val="32"/>
          <w:highlight w:val="none"/>
          <w:u w:val="none"/>
          <w:lang w:val="zh-CN" w:eastAsia="zh-CN"/>
        </w:rPr>
        <w:t>项目决策。</w:t>
      </w:r>
      <w:r>
        <w:rPr>
          <w:rFonts w:hint="eastAsia" w:ascii="仿宋_GB2312" w:hAnsi="仿宋_GB2312" w:eastAsia="仿宋_GB2312" w:cs="仿宋_GB2312"/>
          <w:color w:val="000000"/>
          <w:w w:val="100"/>
          <w:kern w:val="0"/>
          <w:sz w:val="32"/>
          <w:szCs w:val="32"/>
          <w:highlight w:val="none"/>
          <w:shd w:val="clear" w:color="auto" w:fill="FFFFFF"/>
          <w:lang w:val="zh-CN" w:eastAsia="zh-CN"/>
        </w:rPr>
        <w:t>围绕决策程序、目标设置、项目入库进行绩效分析。</w:t>
      </w:r>
      <w:r>
        <w:rPr>
          <w:rFonts w:hint="eastAsia" w:ascii="仿宋_GB2312" w:hAnsi="仿宋_GB2312" w:eastAsia="仿宋_GB2312" w:cs="仿宋_GB2312"/>
          <w:color w:val="000000"/>
          <w:w w:val="100"/>
          <w:kern w:val="0"/>
          <w:sz w:val="32"/>
          <w:szCs w:val="32"/>
          <w:highlight w:val="none"/>
          <w:shd w:val="clear" w:color="auto" w:fill="FFFFFF"/>
          <w:lang w:val="en-US" w:eastAsia="zh-CN"/>
        </w:rPr>
        <w:t>部门预算项目设立按规定履行评估论证、申报程序。自评得分12分。</w:t>
      </w:r>
    </w:p>
    <w:p w14:paraId="189C6766">
      <w:pPr>
        <w:ind w:firstLine="640" w:firstLineChars="200"/>
        <w:rPr>
          <w:rFonts w:hint="eastAsia" w:ascii="仿宋_GB2312" w:hAnsi="仿宋_GB2312" w:eastAsia="仿宋_GB2312" w:cs="仿宋_GB2312"/>
          <w:color w:val="000000"/>
          <w:w w:val="100"/>
          <w:kern w:val="0"/>
          <w:sz w:val="32"/>
          <w:szCs w:val="32"/>
          <w:highlight w:val="none"/>
          <w:shd w:val="clear" w:color="auto" w:fill="FFFFFF"/>
          <w:lang w:val="en-US" w:eastAsia="zh-CN"/>
        </w:rPr>
      </w:pPr>
      <w:r>
        <w:rPr>
          <w:rFonts w:hint="eastAsia" w:ascii="仿宋_GB2312" w:hAnsi="仿宋_GB2312" w:eastAsia="仿宋_GB2312" w:cs="仿宋_GB2312"/>
          <w:b w:val="0"/>
          <w:bCs w:val="0"/>
          <w:w w:val="100"/>
          <w:sz w:val="32"/>
          <w:szCs w:val="32"/>
          <w:highlight w:val="none"/>
          <w:u w:val="none"/>
          <w:lang w:val="en-US" w:eastAsia="zh-CN"/>
        </w:rPr>
        <w:t>2.项目执行</w:t>
      </w:r>
      <w:r>
        <w:rPr>
          <w:rFonts w:hint="eastAsia" w:ascii="仿宋_GB2312" w:hAnsi="仿宋_GB2312" w:eastAsia="仿宋_GB2312" w:cs="仿宋_GB2312"/>
          <w:b w:val="0"/>
          <w:bCs w:val="0"/>
          <w:w w:val="100"/>
          <w:sz w:val="32"/>
          <w:szCs w:val="32"/>
          <w:highlight w:val="none"/>
          <w:u w:val="none"/>
          <w:lang w:val="zh-CN" w:eastAsia="zh-CN"/>
        </w:rPr>
        <w:t>。</w:t>
      </w:r>
      <w:r>
        <w:rPr>
          <w:rFonts w:hint="eastAsia" w:ascii="仿宋_GB2312" w:hAnsi="仿宋_GB2312" w:eastAsia="仿宋_GB2312" w:cs="仿宋_GB2312"/>
          <w:color w:val="000000"/>
          <w:w w:val="100"/>
          <w:kern w:val="0"/>
          <w:sz w:val="32"/>
          <w:szCs w:val="32"/>
          <w:highlight w:val="none"/>
          <w:shd w:val="clear" w:color="auto" w:fill="FFFFFF"/>
          <w:lang w:val="en-US" w:eastAsia="zh-CN"/>
        </w:rPr>
        <w:t>门预算项目绩效目标与计划期内的任务量、预算安排的资金量匹配情况，绩效目标设置较科学合理、规范完整、量化细化、预算与支出匹配。自评得分12分</w:t>
      </w:r>
      <w:r>
        <w:rPr>
          <w:rFonts w:hint="eastAsia" w:ascii="仿宋_GB2312" w:hAnsi="仿宋_GB2312" w:eastAsia="仿宋_GB2312" w:cs="仿宋_GB2312"/>
          <w:color w:val="000000"/>
          <w:w w:val="100"/>
          <w:kern w:val="0"/>
          <w:sz w:val="32"/>
          <w:szCs w:val="32"/>
          <w:highlight w:val="none"/>
          <w:shd w:val="clear" w:color="auto" w:fill="FFFFFF"/>
          <w:lang w:val="zh-CN" w:eastAsia="zh-CN"/>
        </w:rPr>
        <w:t>。</w:t>
      </w:r>
    </w:p>
    <w:p w14:paraId="094B2839">
      <w:pPr>
        <w:ind w:firstLine="640" w:firstLineChars="200"/>
        <w:rPr>
          <w:rFonts w:hint="eastAsia" w:ascii="仿宋_GB2312" w:hAnsi="仿宋_GB2312" w:eastAsia="仿宋_GB2312" w:cs="仿宋_GB2312"/>
          <w:b w:val="0"/>
          <w:bCs w:val="0"/>
          <w:color w:val="333333"/>
          <w:w w:val="100"/>
          <w:sz w:val="32"/>
          <w:szCs w:val="32"/>
          <w:highlight w:val="none"/>
          <w:u w:val="none"/>
          <w:shd w:val="clear" w:color="auto" w:fill="auto"/>
          <w:lang w:bidi="ar"/>
        </w:rPr>
      </w:pPr>
      <w:r>
        <w:rPr>
          <w:rFonts w:hint="eastAsia" w:ascii="仿宋_GB2312" w:hAnsi="仿宋_GB2312" w:eastAsia="仿宋_GB2312" w:cs="仿宋_GB2312"/>
          <w:b w:val="0"/>
          <w:bCs w:val="0"/>
          <w:w w:val="100"/>
          <w:sz w:val="32"/>
          <w:szCs w:val="32"/>
          <w:highlight w:val="none"/>
          <w:u w:val="none"/>
          <w:lang w:val="en-US" w:eastAsia="zh-CN"/>
        </w:rPr>
        <w:t>3.</w:t>
      </w:r>
      <w:r>
        <w:rPr>
          <w:rFonts w:hint="eastAsia" w:ascii="仿宋_GB2312" w:hAnsi="仿宋_GB2312" w:eastAsia="仿宋_GB2312" w:cs="仿宋_GB2312"/>
          <w:b w:val="0"/>
          <w:bCs w:val="0"/>
          <w:w w:val="100"/>
          <w:sz w:val="32"/>
          <w:szCs w:val="32"/>
          <w:highlight w:val="none"/>
          <w:u w:val="none"/>
          <w:lang w:val="zh-CN" w:eastAsia="zh-CN"/>
        </w:rPr>
        <w:t>目标实现。</w:t>
      </w:r>
      <w:r>
        <w:rPr>
          <w:rFonts w:hint="eastAsia" w:ascii="仿宋_GB2312" w:hAnsi="仿宋_GB2312" w:eastAsia="仿宋_GB2312" w:cs="仿宋_GB2312"/>
          <w:color w:val="000000"/>
          <w:w w:val="100"/>
          <w:kern w:val="0"/>
          <w:sz w:val="32"/>
          <w:szCs w:val="32"/>
          <w:highlight w:val="none"/>
          <w:shd w:val="clear" w:color="auto" w:fill="FFFFFF"/>
          <w:lang w:val="en-US" w:eastAsia="zh-CN"/>
        </w:rPr>
        <w:t>部门预算项目在规定时间实现既定目标。自评得分11分。</w:t>
      </w:r>
    </w:p>
    <w:p w14:paraId="6A6C7D1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仿宋_GB2312" w:hAnsi="仿宋_GB2312" w:eastAsia="仿宋_GB2312" w:cs="仿宋_GB2312"/>
          <w:b w:val="0"/>
          <w:bCs w:val="0"/>
          <w:color w:val="000000"/>
          <w:w w:val="100"/>
          <w:kern w:val="0"/>
          <w:sz w:val="32"/>
          <w:szCs w:val="32"/>
          <w:highlight w:val="none"/>
          <w:shd w:val="clear" w:color="auto" w:fill="FFFFFF"/>
          <w:lang w:val="en-US"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（三）</w:t>
      </w:r>
      <w:r>
        <w:rPr>
          <w:rFonts w:hint="eastAsia" w:ascii="楷体_GB2312" w:hAnsi="楷体_GB2312" w:eastAsia="楷体_GB2312" w:cs="楷体_GB2312"/>
          <w:b w:val="0"/>
          <w:bCs w:val="0"/>
          <w:color w:val="000000"/>
          <w:w w:val="100"/>
          <w:kern w:val="0"/>
          <w:sz w:val="32"/>
          <w:szCs w:val="32"/>
          <w:highlight w:val="none"/>
          <w:shd w:val="clear" w:color="auto" w:fill="FFFFFF"/>
          <w:lang w:val="zh-CN" w:eastAsia="zh-CN"/>
        </w:rPr>
        <w:t>重点领域</w:t>
      </w:r>
      <w:r>
        <w:rPr>
          <w:rFonts w:hint="eastAsia" w:ascii="楷体_GB2312" w:hAnsi="楷体_GB2312" w:eastAsia="楷体_GB2312" w:cs="楷体_GB2312"/>
          <w:b w:val="0"/>
          <w:bCs w:val="0"/>
          <w:color w:val="000000"/>
          <w:w w:val="100"/>
          <w:kern w:val="0"/>
          <w:sz w:val="32"/>
          <w:szCs w:val="32"/>
          <w:highlight w:val="none"/>
          <w:shd w:val="clear" w:color="auto" w:fill="FFFFFF"/>
          <w:lang w:val="zh-CN"/>
        </w:rPr>
        <w:t>绩效分析</w:t>
      </w:r>
      <w:r>
        <w:rPr>
          <w:rFonts w:hint="eastAsia" w:ascii="楷体_GB2312" w:hAnsi="楷体_GB2312" w:eastAsia="楷体_GB2312" w:cs="楷体_GB2312"/>
          <w:b w:val="0"/>
          <w:bCs w:val="0"/>
          <w:color w:val="000000"/>
          <w:w w:val="100"/>
          <w:kern w:val="0"/>
          <w:sz w:val="32"/>
          <w:szCs w:val="32"/>
          <w:highlight w:val="none"/>
          <w:shd w:val="clear" w:color="auto" w:fill="FFFFFF"/>
          <w:lang w:val="zh-CN" w:eastAsia="zh-CN"/>
        </w:rPr>
        <w:t>。</w:t>
      </w:r>
      <w:r>
        <w:rPr>
          <w:rFonts w:hint="eastAsia" w:ascii="仿宋_GB2312" w:hAnsi="仿宋_GB2312" w:eastAsia="仿宋_GB2312" w:cs="仿宋_GB2312"/>
          <w:b w:val="0"/>
          <w:bCs w:val="0"/>
          <w:w w:val="100"/>
          <w:sz w:val="32"/>
          <w:szCs w:val="32"/>
          <w:highlight w:val="none"/>
          <w:u w:val="none"/>
        </w:rPr>
        <w:t>部门</w:t>
      </w:r>
      <w:r>
        <w:rPr>
          <w:rFonts w:hint="eastAsia" w:ascii="仿宋_GB2312" w:hAnsi="仿宋_GB2312" w:eastAsia="仿宋_GB2312" w:cs="仿宋_GB2312"/>
          <w:b w:val="0"/>
          <w:bCs w:val="0"/>
          <w:w w:val="100"/>
          <w:sz w:val="32"/>
          <w:szCs w:val="32"/>
          <w:u w:val="none"/>
          <w:lang w:val="en-US" w:eastAsia="zh-CN"/>
        </w:rPr>
        <w:t>2024年度未</w:t>
      </w:r>
      <w:r>
        <w:rPr>
          <w:rFonts w:hint="eastAsia" w:ascii="仿宋_GB2312" w:hAnsi="仿宋_GB2312" w:eastAsia="仿宋_GB2312" w:cs="仿宋_GB2312"/>
          <w:b w:val="0"/>
          <w:bCs w:val="0"/>
          <w:w w:val="100"/>
          <w:sz w:val="32"/>
          <w:szCs w:val="32"/>
          <w:highlight w:val="none"/>
          <w:u w:val="none"/>
        </w:rPr>
        <w:t>涉及国有资本、行政事业性国有资产、债券</w:t>
      </w:r>
      <w:r>
        <w:rPr>
          <w:rFonts w:hint="eastAsia" w:ascii="仿宋_GB2312" w:hAnsi="仿宋_GB2312" w:eastAsia="仿宋_GB2312" w:cs="仿宋_GB2312"/>
          <w:b w:val="0"/>
          <w:bCs w:val="0"/>
          <w:w w:val="100"/>
          <w:sz w:val="32"/>
          <w:szCs w:val="32"/>
          <w:highlight w:val="none"/>
          <w:u w:val="none"/>
          <w:lang w:eastAsia="zh-CN"/>
        </w:rPr>
        <w:t>资金、政府采购和政府购买服务等重点领域</w:t>
      </w:r>
      <w:r>
        <w:rPr>
          <w:rFonts w:hint="eastAsia" w:ascii="仿宋_GB2312" w:hAnsi="仿宋_GB2312" w:eastAsia="仿宋_GB2312" w:cs="仿宋_GB2312"/>
          <w:b w:val="0"/>
          <w:bCs w:val="0"/>
          <w:w w:val="100"/>
          <w:sz w:val="32"/>
          <w:szCs w:val="32"/>
          <w:highlight w:val="none"/>
          <w:u w:val="none"/>
        </w:rPr>
        <w:t>的</w:t>
      </w:r>
      <w:r>
        <w:rPr>
          <w:rFonts w:hint="eastAsia" w:ascii="仿宋_GB2312" w:hAnsi="仿宋_GB2312" w:eastAsia="仿宋_GB2312" w:cs="仿宋_GB2312"/>
          <w:b w:val="0"/>
          <w:bCs w:val="0"/>
          <w:w w:val="100"/>
          <w:sz w:val="32"/>
          <w:szCs w:val="32"/>
          <w:highlight w:val="none"/>
          <w:u w:val="none"/>
          <w:lang w:val="en-US" w:eastAsia="zh-CN"/>
        </w:rPr>
        <w:t>项目</w:t>
      </w:r>
      <w:r>
        <w:rPr>
          <w:rFonts w:hint="eastAsia" w:ascii="仿宋_GB2312" w:hAnsi="仿宋_GB2312" w:eastAsia="仿宋_GB2312" w:cs="仿宋_GB2312"/>
          <w:b w:val="0"/>
          <w:bCs w:val="0"/>
          <w:w w:val="100"/>
          <w:sz w:val="32"/>
          <w:szCs w:val="32"/>
          <w:highlight w:val="none"/>
          <w:u w:val="none"/>
          <w:lang w:eastAsia="zh-CN" w:bidi="ar"/>
        </w:rPr>
        <w:t>。</w:t>
      </w:r>
    </w:p>
    <w:p w14:paraId="75913A1F">
      <w:pPr>
        <w:keepNext w:val="0"/>
        <w:keepLines w:val="0"/>
        <w:pageBreakBefore w:val="0"/>
        <w:widowControl w:val="0"/>
        <w:kinsoku/>
        <w:wordWrap/>
        <w:overflowPunct/>
        <w:topLinePunct w:val="0"/>
        <w:autoSpaceDE/>
        <w:autoSpaceDN/>
        <w:bidi w:val="0"/>
        <w:snapToGrid w:val="0"/>
        <w:spacing w:line="570" w:lineRule="exact"/>
        <w:ind w:firstLine="640" w:firstLineChars="200"/>
        <w:jc w:val="both"/>
        <w:textAlignment w:val="auto"/>
        <w:rPr>
          <w:rFonts w:hint="eastAsia" w:ascii="仿宋_GB2312" w:hAnsi="仿宋_GB2312" w:eastAsia="仿宋_GB2312" w:cs="仿宋_GB2312"/>
          <w:b w:val="0"/>
          <w:bCs w:val="0"/>
          <w:w w:val="100"/>
          <w:sz w:val="32"/>
          <w:szCs w:val="32"/>
          <w:highlight w:val="none"/>
          <w:u w:val="none"/>
          <w:lang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（四）绩效结果应用情况。</w:t>
      </w:r>
      <w:r>
        <w:rPr>
          <w:rFonts w:hint="eastAsia" w:ascii="仿宋_GB2312" w:hAnsi="仿宋_GB2312" w:eastAsia="仿宋_GB2312" w:cs="仿宋_GB2312"/>
          <w:b w:val="0"/>
          <w:bCs w:val="0"/>
          <w:w w:val="100"/>
          <w:sz w:val="32"/>
          <w:szCs w:val="32"/>
          <w:highlight w:val="none"/>
          <w:u w:val="none"/>
          <w:lang w:val="en-US" w:eastAsia="zh-CN"/>
        </w:rPr>
        <w:t>部门整体绩效信息与2024年预算公开。将事前绩效评估结果用于调整预算项目、资金规模、支出方向。绩效目标审核中，重点审核及复审未对本部门绩效目标提出修改建议。通过绩效监控而政策优化、改进管理、预算调整、项目调整等重要依据并组织实施。</w:t>
      </w:r>
    </w:p>
    <w:p w14:paraId="05D3BF97">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contextualSpacing/>
        <w:jc w:val="both"/>
        <w:textAlignment w:val="auto"/>
        <w:outlineLvl w:val="9"/>
        <w:rPr>
          <w:rFonts w:hint="eastAsia" w:ascii="黑体" w:hAnsi="黑体" w:eastAsia="黑体" w:cs="黑体"/>
          <w:b w:val="0"/>
          <w:bCs w:val="0"/>
          <w:color w:val="000000"/>
          <w:w w:val="100"/>
          <w:kern w:val="0"/>
          <w:sz w:val="32"/>
          <w:szCs w:val="32"/>
          <w:highlight w:val="none"/>
          <w:shd w:val="clear" w:color="auto" w:fill="FFFFFF"/>
        </w:rPr>
      </w:pPr>
      <w:r>
        <w:rPr>
          <w:rFonts w:hint="eastAsia" w:ascii="黑体" w:hAnsi="黑体" w:eastAsia="黑体" w:cs="黑体"/>
          <w:b w:val="0"/>
          <w:bCs w:val="0"/>
          <w:color w:val="000000"/>
          <w:w w:val="100"/>
          <w:kern w:val="0"/>
          <w:sz w:val="32"/>
          <w:szCs w:val="32"/>
          <w:highlight w:val="none"/>
          <w:shd w:val="clear" w:color="auto" w:fill="FFFFFF"/>
          <w:lang w:eastAsia="zh-CN"/>
        </w:rPr>
        <w:t>四、</w:t>
      </w:r>
      <w:r>
        <w:rPr>
          <w:rFonts w:hint="eastAsia" w:ascii="黑体" w:hAnsi="黑体" w:eastAsia="黑体" w:cs="黑体"/>
          <w:b w:val="0"/>
          <w:bCs w:val="0"/>
          <w:color w:val="000000"/>
          <w:w w:val="100"/>
          <w:kern w:val="0"/>
          <w:sz w:val="32"/>
          <w:szCs w:val="32"/>
          <w:highlight w:val="none"/>
          <w:shd w:val="clear" w:color="auto" w:fill="FFFFFF"/>
        </w:rPr>
        <w:t>评价结论及建议</w:t>
      </w:r>
    </w:p>
    <w:p w14:paraId="16C29E7A">
      <w:pPr>
        <w:spacing w:line="360" w:lineRule="auto"/>
        <w:ind w:left="-210" w:leftChars="-100" w:right="-210" w:rightChars="-100" w:firstLine="640" w:firstLineChars="200"/>
        <w:rPr>
          <w:rFonts w:hint="default" w:ascii="仿宋_GB2312" w:hAnsi="仿宋_GB2312" w:eastAsia="仿宋_GB2312" w:cs="仿宋_GB2312"/>
          <w:b w:val="0"/>
          <w:bCs w:val="0"/>
          <w:w w:val="100"/>
          <w:sz w:val="32"/>
          <w:szCs w:val="32"/>
          <w:highlight w:val="none"/>
          <w:u w:val="none"/>
          <w:lang w:val="en-US"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（一）评价结论。</w:t>
      </w:r>
      <w:r>
        <w:rPr>
          <w:rFonts w:hint="eastAsia" w:ascii="仿宋_GB2312" w:hAnsi="仿宋_GB2312" w:eastAsia="仿宋_GB2312" w:cs="仿宋_GB2312"/>
          <w:sz w:val="32"/>
          <w:szCs w:val="32"/>
          <w:lang w:val="zh-CN"/>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val="zh-CN"/>
        </w:rPr>
        <w:t>年我单位整体支出效果良好，</w:t>
      </w: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年绩效目标设置明确、预算编制较准确、项目预算执行较好</w:t>
      </w:r>
      <w:r>
        <w:rPr>
          <w:rFonts w:hint="eastAsia" w:ascii="仿宋_GB2312" w:hAnsi="仿宋_GB2312" w:eastAsia="仿宋_GB2312" w:cs="仿宋_GB2312"/>
          <w:sz w:val="32"/>
          <w:szCs w:val="32"/>
          <w:lang w:val="zh-CN"/>
        </w:rPr>
        <w:t>，基本按照计划完成年度工作任务，实现了年度绩效目标，目标设置明确、预算编制较准确。预算执行过程中开展绩效监控，年终开展了绩效自评。预算绩效管理工作取得了明显成效。</w:t>
      </w:r>
    </w:p>
    <w:p w14:paraId="78F52193">
      <w:pPr>
        <w:keepNext w:val="0"/>
        <w:keepLines w:val="0"/>
        <w:pageBreakBefore w:val="0"/>
        <w:numPr>
          <w:ilvl w:val="0"/>
          <w:numId w:val="0"/>
        </w:numPr>
        <w:kinsoku/>
        <w:wordWrap/>
        <w:overflowPunct/>
        <w:topLinePunct w:val="0"/>
        <w:autoSpaceDE/>
        <w:autoSpaceDN/>
        <w:bidi w:val="0"/>
        <w:adjustRightInd/>
        <w:spacing w:line="576" w:lineRule="exact"/>
        <w:ind w:right="-210" w:rightChars="-100" w:firstLine="320" w:firstLineChars="100"/>
        <w:textAlignment w:val="auto"/>
        <w:rPr>
          <w:rFonts w:hint="eastAsia" w:ascii="仿宋_GB2312" w:hAnsi="仿宋_GB2312" w:eastAsia="仿宋_GB2312" w:cs="仿宋_GB2312"/>
          <w:b w:val="0"/>
          <w:bCs w:val="0"/>
          <w:w w:val="100"/>
          <w:sz w:val="32"/>
          <w:szCs w:val="32"/>
          <w:highlight w:val="none"/>
          <w:u w:val="none"/>
          <w:lang w:val="zh-CN"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rPr>
        <w:t>（二）存在问题。</w:t>
      </w:r>
      <w:r>
        <w:rPr>
          <w:rFonts w:hint="eastAsia" w:ascii="仿宋_GB2312" w:hAnsi="仿宋_GB2312" w:eastAsia="仿宋_GB2312" w:cs="仿宋_GB2312"/>
          <w:b w:val="0"/>
          <w:bCs w:val="0"/>
          <w:w w:val="100"/>
          <w:sz w:val="32"/>
          <w:szCs w:val="32"/>
          <w:highlight w:val="none"/>
          <w:u w:val="none"/>
          <w:lang w:val="zh-CN" w:eastAsia="zh-CN"/>
        </w:rPr>
        <w:t>年初</w:t>
      </w:r>
      <w:r>
        <w:rPr>
          <w:rFonts w:hint="eastAsia" w:ascii="仿宋_GB2312" w:hAnsi="仿宋_GB2312" w:eastAsia="仿宋_GB2312" w:cs="仿宋_GB2312"/>
          <w:b w:val="0"/>
          <w:bCs w:val="0"/>
          <w:w w:val="100"/>
          <w:sz w:val="32"/>
          <w:szCs w:val="32"/>
          <w:highlight w:val="none"/>
          <w:u w:val="none"/>
          <w:lang w:val="en-US" w:eastAsia="zh-CN"/>
        </w:rPr>
        <w:t>部门项目预算</w:t>
      </w:r>
      <w:r>
        <w:rPr>
          <w:rFonts w:hint="eastAsia" w:ascii="仿宋_GB2312" w:hAnsi="仿宋_GB2312" w:eastAsia="仿宋_GB2312" w:cs="仿宋_GB2312"/>
          <w:b w:val="0"/>
          <w:bCs w:val="0"/>
          <w:w w:val="100"/>
          <w:sz w:val="32"/>
          <w:szCs w:val="32"/>
          <w:highlight w:val="none"/>
          <w:u w:val="none"/>
          <w:lang w:val="zh-CN" w:eastAsia="zh-CN"/>
        </w:rPr>
        <w:t>与决算</w:t>
      </w:r>
      <w:r>
        <w:rPr>
          <w:rFonts w:hint="eastAsia" w:ascii="仿宋_GB2312" w:hAnsi="仿宋_GB2312" w:eastAsia="仿宋_GB2312" w:cs="仿宋_GB2312"/>
          <w:b w:val="0"/>
          <w:bCs w:val="0"/>
          <w:w w:val="100"/>
          <w:sz w:val="32"/>
          <w:szCs w:val="32"/>
          <w:highlight w:val="none"/>
          <w:u w:val="none"/>
          <w:lang w:val="en-US" w:eastAsia="zh-CN"/>
        </w:rPr>
        <w:t>项目有</w:t>
      </w:r>
      <w:r>
        <w:rPr>
          <w:rFonts w:hint="eastAsia" w:ascii="仿宋_GB2312" w:hAnsi="仿宋_GB2312" w:eastAsia="仿宋_GB2312" w:cs="仿宋_GB2312"/>
          <w:b w:val="0"/>
          <w:bCs w:val="0"/>
          <w:w w:val="100"/>
          <w:sz w:val="32"/>
          <w:szCs w:val="32"/>
          <w:highlight w:val="none"/>
          <w:u w:val="none"/>
          <w:lang w:val="zh-CN" w:eastAsia="zh-CN"/>
        </w:rPr>
        <w:t>偏差。主要是年中新增项目，年初预算编制预估不足。</w:t>
      </w:r>
    </w:p>
    <w:p w14:paraId="041BFDCF">
      <w:pPr>
        <w:keepNext w:val="0"/>
        <w:keepLines w:val="0"/>
        <w:pageBreakBefore w:val="0"/>
        <w:widowControl w:val="0"/>
        <w:kinsoku/>
        <w:wordWrap/>
        <w:overflowPunct/>
        <w:topLinePunct w:val="0"/>
        <w:autoSpaceDE/>
        <w:autoSpaceDN/>
        <w:bidi w:val="0"/>
        <w:adjustRightInd w:val="0"/>
        <w:snapToGrid w:val="0"/>
        <w:spacing w:line="570" w:lineRule="exact"/>
        <w:ind w:firstLine="320" w:firstLineChars="100"/>
        <w:contextualSpacing/>
        <w:jc w:val="both"/>
        <w:textAlignment w:val="auto"/>
        <w:outlineLvl w:val="9"/>
        <w:rPr>
          <w:rFonts w:hint="eastAsia" w:ascii="楷体_GB2312" w:hAnsi="楷体_GB2312" w:eastAsia="楷体_GB2312" w:cs="楷体_GB2312"/>
          <w:b w:val="0"/>
          <w:bCs w:val="0"/>
          <w:color w:val="000000"/>
          <w:w w:val="100"/>
          <w:kern w:val="0"/>
          <w:sz w:val="32"/>
          <w:szCs w:val="32"/>
          <w:highlight w:val="none"/>
          <w:shd w:val="clear" w:color="auto" w:fill="FFFFFF"/>
          <w:lang w:val="zh-CN" w:eastAsia="zh-CN"/>
        </w:rPr>
      </w:pPr>
      <w:r>
        <w:rPr>
          <w:rFonts w:hint="eastAsia" w:ascii="楷体_GB2312" w:hAnsi="楷体_GB2312" w:eastAsia="楷体_GB2312" w:cs="楷体_GB2312"/>
          <w:b w:val="0"/>
          <w:bCs w:val="0"/>
          <w:color w:val="000000"/>
          <w:w w:val="100"/>
          <w:kern w:val="0"/>
          <w:sz w:val="32"/>
          <w:szCs w:val="32"/>
          <w:highlight w:val="none"/>
          <w:shd w:val="clear" w:color="auto" w:fill="FFFFFF"/>
          <w:lang w:val="zh-CN" w:eastAsia="zh-CN"/>
        </w:rPr>
        <w:t>（三）改进建议。</w:t>
      </w:r>
    </w:p>
    <w:p w14:paraId="0DF6A843">
      <w:pPr>
        <w:keepNext w:val="0"/>
        <w:keepLines w:val="0"/>
        <w:pageBreakBefore w:val="0"/>
        <w:kinsoku/>
        <w:wordWrap/>
        <w:overflowPunct/>
        <w:topLinePunct w:val="0"/>
        <w:autoSpaceDE/>
        <w:autoSpaceDN/>
        <w:bidi w:val="0"/>
        <w:adjustRightInd/>
        <w:spacing w:line="576" w:lineRule="exact"/>
        <w:ind w:left="-210" w:leftChars="-100" w:right="-210" w:rightChars="-100" w:firstLine="640" w:firstLineChars="200"/>
        <w:textAlignment w:val="auto"/>
        <w:rPr>
          <w:rFonts w:hint="eastAsia" w:ascii="仿宋_GB2312" w:hAnsi="仿宋_GB2312" w:eastAsia="仿宋_GB2312" w:cs="仿宋_GB2312"/>
          <w:b w:val="0"/>
          <w:bCs w:val="0"/>
          <w:w w:val="100"/>
          <w:sz w:val="32"/>
          <w:szCs w:val="32"/>
          <w:highlight w:val="none"/>
          <w:u w:val="none"/>
          <w:lang w:val="zh-CN" w:eastAsia="zh-CN"/>
        </w:rPr>
      </w:pPr>
      <w:r>
        <w:rPr>
          <w:rFonts w:hint="eastAsia" w:ascii="仿宋_GB2312" w:hAnsi="仿宋_GB2312" w:eastAsia="仿宋_GB2312" w:cs="仿宋_GB2312"/>
          <w:b w:val="0"/>
          <w:bCs w:val="0"/>
          <w:w w:val="100"/>
          <w:sz w:val="32"/>
          <w:szCs w:val="32"/>
          <w:highlight w:val="none"/>
          <w:u w:val="none"/>
          <w:lang w:val="en-US" w:eastAsia="zh-CN"/>
        </w:rPr>
        <w:t>1.</w:t>
      </w:r>
      <w:r>
        <w:rPr>
          <w:rFonts w:hint="eastAsia" w:ascii="仿宋_GB2312" w:hAnsi="仿宋_GB2312" w:eastAsia="仿宋_GB2312" w:cs="仿宋_GB2312"/>
          <w:b w:val="0"/>
          <w:bCs w:val="0"/>
          <w:w w:val="100"/>
          <w:sz w:val="32"/>
          <w:szCs w:val="32"/>
          <w:highlight w:val="none"/>
          <w:u w:val="none"/>
          <w:lang w:val="zh-CN" w:eastAsia="zh-CN"/>
        </w:rPr>
        <w:t>我单位今后编制预算时对于公用经费不仅要参照历史水平，更要结合工作和项目计划，细化量化测算内容，进一步提高预算的准确性和计划性，降低经费预决算偏差。</w:t>
      </w:r>
    </w:p>
    <w:p w14:paraId="175E8A39">
      <w:pPr>
        <w:keepNext w:val="0"/>
        <w:keepLines w:val="0"/>
        <w:pageBreakBefore w:val="0"/>
        <w:kinsoku/>
        <w:wordWrap/>
        <w:overflowPunct/>
        <w:topLinePunct w:val="0"/>
        <w:autoSpaceDE/>
        <w:autoSpaceDN/>
        <w:bidi w:val="0"/>
        <w:adjustRightInd/>
        <w:spacing w:line="576" w:lineRule="exact"/>
        <w:ind w:left="-210" w:leftChars="-100" w:right="-210" w:rightChars="-100" w:firstLine="640" w:firstLineChars="200"/>
        <w:textAlignment w:val="auto"/>
        <w:rPr>
          <w:rFonts w:hint="eastAsia" w:ascii="仿宋_GB2312" w:hAnsi="仿宋_GB2312" w:eastAsia="仿宋_GB2312" w:cs="仿宋_GB2312"/>
          <w:b w:val="0"/>
          <w:bCs w:val="0"/>
          <w:w w:val="100"/>
          <w:sz w:val="32"/>
          <w:szCs w:val="32"/>
          <w:highlight w:val="none"/>
          <w:u w:val="none"/>
          <w:lang w:val="en-US" w:eastAsia="zh-CN"/>
        </w:rPr>
      </w:pPr>
      <w:r>
        <w:rPr>
          <w:rFonts w:hint="eastAsia" w:ascii="仿宋_GB2312" w:hAnsi="仿宋_GB2312" w:eastAsia="仿宋_GB2312" w:cs="仿宋_GB2312"/>
          <w:b w:val="0"/>
          <w:bCs w:val="0"/>
          <w:w w:val="100"/>
          <w:sz w:val="32"/>
          <w:szCs w:val="32"/>
          <w:highlight w:val="none"/>
          <w:u w:val="none"/>
          <w:lang w:val="en-US" w:eastAsia="zh-CN"/>
        </w:rPr>
        <w:t>2.今后建立内部机构绩效考核机制，加大内设机构绩效自评与预算挂钩力度，奖优罚劣，提高财政资金支出绩效。</w:t>
      </w:r>
    </w:p>
    <w:p w14:paraId="45E0C7BA">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1DAAB053">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35432D06">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03E521E5">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0DD9AB81">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522E864B">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5BF3B8A4">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5A58FA83">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068F375C">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0CA40504">
      <w:pPr>
        <w:pStyle w:val="17"/>
        <w:widowControl/>
        <w:spacing w:before="0" w:beforeAutospacing="0" w:after="0" w:afterAutospacing="0" w:line="580" w:lineRule="atLeast"/>
        <w:ind w:firstLine="320" w:firstLineChars="100"/>
        <w:jc w:val="both"/>
        <w:rPr>
          <w:rFonts w:hint="eastAsia" w:ascii="仿宋_GB2312" w:hAnsi="仿宋_GB2312" w:eastAsia="仿宋_GB2312" w:cs="仿宋_GB2312"/>
          <w:color w:val="auto"/>
          <w:kern w:val="2"/>
          <w:sz w:val="32"/>
          <w:szCs w:val="32"/>
          <w:highlight w:val="none"/>
        </w:rPr>
      </w:pPr>
    </w:p>
    <w:p w14:paraId="106EC968">
      <w:pPr>
        <w:spacing w:line="600" w:lineRule="exact"/>
        <w:jc w:val="both"/>
        <w:outlineLvl w:val="9"/>
        <w:rPr>
          <w:rFonts w:hint="eastAsia" w:ascii="黑体" w:hAnsi="黑体" w:eastAsia="黑体"/>
          <w:color w:val="auto"/>
          <w:sz w:val="44"/>
          <w:szCs w:val="44"/>
          <w:highlight w:val="none"/>
        </w:rPr>
      </w:pPr>
    </w:p>
    <w:p w14:paraId="5A01F96F">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bookmarkStart w:id="85" w:name="_Toc28289"/>
    </w:p>
    <w:p w14:paraId="6D605060">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0B4B60F4">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0FD19639">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70B7AD16">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10A76ED1">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24AA3EB8">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0DC1FB25">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tbl>
      <w:tblPr>
        <w:tblStyle w:val="1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32" w:type="dxa"/>
          <w:left w:w="64" w:type="dxa"/>
          <w:bottom w:w="32" w:type="dxa"/>
          <w:right w:w="64" w:type="dxa"/>
        </w:tblCellMar>
      </w:tblPr>
      <w:tblGrid>
        <w:gridCol w:w="635"/>
        <w:gridCol w:w="690"/>
        <w:gridCol w:w="760"/>
        <w:gridCol w:w="970"/>
        <w:gridCol w:w="351"/>
        <w:gridCol w:w="668"/>
        <w:gridCol w:w="352"/>
        <w:gridCol w:w="795"/>
        <w:gridCol w:w="399"/>
        <w:gridCol w:w="399"/>
        <w:gridCol w:w="2954"/>
      </w:tblGrid>
      <w:tr w14:paraId="1558D9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3129300">
            <w:pPr>
              <w:keepNext w:val="0"/>
              <w:keepLines w:val="0"/>
              <w:widowControl/>
              <w:suppressLineNumbers w:val="0"/>
              <w:snapToGrid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242AA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32566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02BA7D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51088924T000011574034-2024年下西现代产城融合园攻坚指挥部工作经费</w:t>
            </w:r>
          </w:p>
        </w:tc>
      </w:tr>
      <w:tr w14:paraId="7A9D9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B38A7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E46E0E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68013A5E">
            <w:pPr>
              <w:keepNext w:val="0"/>
              <w:keepLines w:val="0"/>
              <w:widowControl/>
              <w:suppressLineNumbers w:val="0"/>
              <w:snapToGrid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EACF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24A66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215BB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C9C3B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40EB6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A678A17">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69C7F5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2C0C21">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2CE335">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877804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完成招商引资项目3个，服务园区企业，保障下西产成融合园指挥部正常运行</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9424CD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全年入库项目9个，总投资10亿元；全年共培育5家四上企业；</w:t>
            </w:r>
          </w:p>
        </w:tc>
      </w:tr>
      <w:tr w14:paraId="4C9B9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1BC77A">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FA5B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1DC2D9C">
            <w:pPr>
              <w:snapToGrid w:val="0"/>
              <w:rPr>
                <w:rFonts w:hint="eastAsia" w:ascii="宋体" w:hAnsi="宋体" w:eastAsia="宋体" w:cs="宋体"/>
                <w:i w:val="0"/>
                <w:iCs w:val="0"/>
                <w:color w:val="000000"/>
                <w:sz w:val="18"/>
                <w:szCs w:val="18"/>
                <w:u w:val="none"/>
              </w:rPr>
            </w:pPr>
          </w:p>
        </w:tc>
      </w:tr>
      <w:tr w14:paraId="1220FA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0A65C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735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AD8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570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7F82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833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E90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CD4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83E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667A7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A64B3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636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E2C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B2F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901E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FB0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506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F37B3">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536E77">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3557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2D1FC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F69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ABC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0EF8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2A84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7AC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B33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2AB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69026F">
            <w:pPr>
              <w:snapToGrid w:val="0"/>
              <w:rPr>
                <w:rFonts w:hint="eastAsia" w:ascii="黑体" w:hAnsi="黑体" w:eastAsia="黑体" w:cs="黑体"/>
                <w:i/>
                <w:iCs/>
                <w:color w:val="000000"/>
                <w:sz w:val="18"/>
                <w:szCs w:val="18"/>
                <w:u w:val="none"/>
              </w:rPr>
            </w:pPr>
          </w:p>
        </w:tc>
      </w:tr>
      <w:tr w14:paraId="176BE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F812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E2DF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FCF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0425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B757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EFB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399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7AC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7C67C9">
            <w:pPr>
              <w:snapToGrid w:val="0"/>
              <w:rPr>
                <w:rFonts w:hint="eastAsia" w:ascii="黑体" w:hAnsi="黑体" w:eastAsia="黑体" w:cs="黑体"/>
                <w:i/>
                <w:iCs/>
                <w:color w:val="000000"/>
                <w:sz w:val="18"/>
                <w:szCs w:val="18"/>
                <w:u w:val="none"/>
              </w:rPr>
            </w:pPr>
          </w:p>
        </w:tc>
      </w:tr>
      <w:tr w14:paraId="28013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C823F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B09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A83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084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ED2E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2A2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DF1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41A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93FB37">
            <w:pPr>
              <w:snapToGrid w:val="0"/>
              <w:rPr>
                <w:rFonts w:hint="eastAsia" w:ascii="黑体" w:hAnsi="黑体" w:eastAsia="黑体" w:cs="黑体"/>
                <w:i/>
                <w:iCs/>
                <w:color w:val="000000"/>
                <w:sz w:val="18"/>
                <w:szCs w:val="18"/>
                <w:u w:val="none"/>
              </w:rPr>
            </w:pPr>
          </w:p>
        </w:tc>
      </w:tr>
      <w:tr w14:paraId="631DF3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9851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309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BF667">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BCE39">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3BD0B0">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37F6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114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9DA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6AEA58">
            <w:pPr>
              <w:snapToGrid w:val="0"/>
              <w:rPr>
                <w:rFonts w:hint="eastAsia" w:ascii="黑体" w:hAnsi="黑体" w:eastAsia="黑体" w:cs="黑体"/>
                <w:i/>
                <w:iCs/>
                <w:color w:val="000000"/>
                <w:sz w:val="18"/>
                <w:szCs w:val="18"/>
                <w:u w:val="none"/>
              </w:rPr>
            </w:pPr>
          </w:p>
        </w:tc>
      </w:tr>
      <w:tr w14:paraId="7B019A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2DE7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AF0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AA7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AD2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C1F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D7E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537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C19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E71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FA0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7DD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39A8C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286BF">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086B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A8C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CEF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完成招商引资项目.</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D64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173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8B6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BD50C">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0B0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3AE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1B46E">
            <w:pPr>
              <w:snapToGrid w:val="0"/>
              <w:jc w:val="center"/>
              <w:rPr>
                <w:rFonts w:hint="eastAsia" w:ascii="微软雅黑" w:hAnsi="微软雅黑" w:eastAsia="微软雅黑" w:cs="微软雅黑"/>
                <w:i/>
                <w:iCs/>
                <w:color w:val="000000"/>
                <w:sz w:val="16"/>
                <w:szCs w:val="16"/>
                <w:u w:val="none"/>
              </w:rPr>
            </w:pPr>
          </w:p>
        </w:tc>
      </w:tr>
      <w:tr w14:paraId="35565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BBF19">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97B44C">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554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3209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当年落地资金.</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7BA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DBB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D7F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57B5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206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734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E75F0">
            <w:pPr>
              <w:snapToGrid w:val="0"/>
              <w:jc w:val="center"/>
              <w:rPr>
                <w:rFonts w:hint="eastAsia" w:ascii="微软雅黑" w:hAnsi="微软雅黑" w:eastAsia="微软雅黑" w:cs="微软雅黑"/>
                <w:i/>
                <w:iCs/>
                <w:color w:val="000000"/>
                <w:sz w:val="16"/>
                <w:szCs w:val="16"/>
                <w:u w:val="none"/>
              </w:rPr>
            </w:pPr>
          </w:p>
        </w:tc>
      </w:tr>
      <w:tr w14:paraId="7956D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A17DD9">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38A97E">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F6C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175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CD4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1E1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6A9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4C5A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A1F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88C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265B4">
            <w:pPr>
              <w:snapToGrid w:val="0"/>
              <w:jc w:val="center"/>
              <w:rPr>
                <w:rFonts w:hint="eastAsia" w:ascii="微软雅黑" w:hAnsi="微软雅黑" w:eastAsia="微软雅黑" w:cs="微软雅黑"/>
                <w:i/>
                <w:iCs/>
                <w:color w:val="000000"/>
                <w:sz w:val="16"/>
                <w:szCs w:val="16"/>
                <w:u w:val="none"/>
              </w:rPr>
            </w:pPr>
          </w:p>
        </w:tc>
      </w:tr>
      <w:tr w14:paraId="0F8A2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519B99">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4256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6F5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D49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土地出让租金.</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743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A2D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AA2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067B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426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E6C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E0E27">
            <w:pPr>
              <w:snapToGrid w:val="0"/>
              <w:jc w:val="center"/>
              <w:rPr>
                <w:rFonts w:hint="eastAsia" w:ascii="微软雅黑" w:hAnsi="微软雅黑" w:eastAsia="微软雅黑" w:cs="微软雅黑"/>
                <w:i/>
                <w:iCs/>
                <w:color w:val="000000"/>
                <w:sz w:val="16"/>
                <w:szCs w:val="16"/>
                <w:u w:val="none"/>
              </w:rPr>
            </w:pPr>
          </w:p>
        </w:tc>
      </w:tr>
      <w:tr w14:paraId="4EB055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1ED00E">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54562">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78B7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0EA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新增就业岗位.</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814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D55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BCF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0227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4B6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25B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3EDC5">
            <w:pPr>
              <w:snapToGrid w:val="0"/>
              <w:jc w:val="center"/>
              <w:rPr>
                <w:rFonts w:hint="eastAsia" w:ascii="微软雅黑" w:hAnsi="微软雅黑" w:eastAsia="微软雅黑" w:cs="微软雅黑"/>
                <w:i/>
                <w:iCs/>
                <w:color w:val="000000"/>
                <w:sz w:val="16"/>
                <w:szCs w:val="16"/>
                <w:u w:val="none"/>
              </w:rPr>
            </w:pPr>
          </w:p>
        </w:tc>
      </w:tr>
      <w:tr w14:paraId="71F16D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9279D4">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7E51F">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96D30">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CD2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固定资产投资增长率.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290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24F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1CD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9428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C62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88E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C6678">
            <w:pPr>
              <w:snapToGrid w:val="0"/>
              <w:jc w:val="center"/>
              <w:rPr>
                <w:rFonts w:hint="eastAsia" w:ascii="微软雅黑" w:hAnsi="微软雅黑" w:eastAsia="微软雅黑" w:cs="微软雅黑"/>
                <w:i/>
                <w:iCs/>
                <w:color w:val="000000"/>
                <w:sz w:val="16"/>
                <w:szCs w:val="16"/>
                <w:u w:val="none"/>
              </w:rPr>
            </w:pPr>
          </w:p>
        </w:tc>
      </w:tr>
      <w:tr w14:paraId="5922C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5045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D9B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03C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C9D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辖区企业服务满意度.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96A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9C54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6C0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2554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2DC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41C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5663C">
            <w:pPr>
              <w:snapToGrid w:val="0"/>
              <w:jc w:val="center"/>
              <w:rPr>
                <w:rFonts w:hint="eastAsia" w:ascii="微软雅黑" w:hAnsi="微软雅黑" w:eastAsia="微软雅黑" w:cs="微软雅黑"/>
                <w:i/>
                <w:iCs/>
                <w:color w:val="000000"/>
                <w:sz w:val="16"/>
                <w:szCs w:val="16"/>
                <w:u w:val="none"/>
              </w:rPr>
            </w:pPr>
          </w:p>
        </w:tc>
      </w:tr>
      <w:tr w14:paraId="0196C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164545">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7691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BFCC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E5D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招商及协调费.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CEA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E81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67C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844E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697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0B1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4AAD8">
            <w:pPr>
              <w:snapToGrid w:val="0"/>
              <w:jc w:val="center"/>
              <w:rPr>
                <w:rFonts w:hint="eastAsia" w:ascii="微软雅黑" w:hAnsi="微软雅黑" w:eastAsia="微软雅黑" w:cs="微软雅黑"/>
                <w:i/>
                <w:iCs/>
                <w:color w:val="000000"/>
                <w:sz w:val="16"/>
                <w:szCs w:val="16"/>
                <w:u w:val="none"/>
              </w:rPr>
            </w:pPr>
          </w:p>
        </w:tc>
      </w:tr>
      <w:tr w14:paraId="3AE0B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F0907">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A3D6B9">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7DC866">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6E8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办公费用.</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51A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5DF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6FC1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F183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7469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CA1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4791E">
            <w:pPr>
              <w:snapToGrid w:val="0"/>
              <w:jc w:val="center"/>
              <w:rPr>
                <w:rFonts w:hint="eastAsia" w:ascii="微软雅黑" w:hAnsi="微软雅黑" w:eastAsia="微软雅黑" w:cs="微软雅黑"/>
                <w:i/>
                <w:iCs/>
                <w:color w:val="000000"/>
                <w:sz w:val="16"/>
                <w:szCs w:val="16"/>
                <w:u w:val="none"/>
              </w:rPr>
            </w:pPr>
          </w:p>
        </w:tc>
      </w:tr>
      <w:tr w14:paraId="78B14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5580D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847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50B16">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F6D16">
            <w:pPr>
              <w:snapToGrid w:val="0"/>
              <w:rPr>
                <w:rFonts w:hint="eastAsia" w:ascii="宋体" w:hAnsi="宋体" w:eastAsia="宋体" w:cs="宋体"/>
                <w:i w:val="0"/>
                <w:iCs w:val="0"/>
                <w:color w:val="000000"/>
                <w:sz w:val="18"/>
                <w:szCs w:val="18"/>
                <w:u w:val="none"/>
              </w:rPr>
            </w:pPr>
          </w:p>
        </w:tc>
      </w:tr>
      <w:tr w14:paraId="51B04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5E2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F36F6FA">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年初目标完成，但缺高质量企业。自评得分98分</w:t>
            </w:r>
          </w:p>
        </w:tc>
      </w:tr>
      <w:tr w14:paraId="1A268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001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7B60C07">
            <w:pPr>
              <w:snapToGrid w:val="0"/>
              <w:rPr>
                <w:rFonts w:hint="eastAsia" w:ascii="微软雅黑" w:hAnsi="微软雅黑" w:eastAsia="微软雅黑" w:cs="微软雅黑"/>
                <w:i/>
                <w:iCs/>
                <w:color w:val="000000"/>
                <w:sz w:val="16"/>
                <w:szCs w:val="16"/>
                <w:u w:val="none"/>
              </w:rPr>
            </w:pPr>
          </w:p>
        </w:tc>
      </w:tr>
      <w:tr w14:paraId="254E7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001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EB10FBA">
            <w:pPr>
              <w:snapToGrid w:val="0"/>
              <w:rPr>
                <w:rFonts w:hint="eastAsia" w:ascii="微软雅黑" w:hAnsi="微软雅黑" w:eastAsia="微软雅黑" w:cs="微软雅黑"/>
                <w:i/>
                <w:iCs/>
                <w:color w:val="000000"/>
                <w:sz w:val="16"/>
                <w:szCs w:val="16"/>
                <w:u w:val="none"/>
              </w:rPr>
            </w:pPr>
          </w:p>
        </w:tc>
      </w:tr>
      <w:tr w14:paraId="66833C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C16CCF9">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项目负责人：刘亚玲</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5C4CFB5">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3999E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65619963">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7608A223">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683740E8">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6811930D">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15A33D8">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7DEB603D">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5E368EC4">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28E6B247">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3252ED0A">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3BFCC86E">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5F7C2647">
            <w:pPr>
              <w:snapToGrid w:val="0"/>
              <w:rPr>
                <w:rFonts w:hint="eastAsia" w:ascii="宋体" w:hAnsi="宋体" w:eastAsia="宋体" w:cs="宋体"/>
                <w:i w:val="0"/>
                <w:iCs w:val="0"/>
                <w:color w:val="000000"/>
                <w:sz w:val="18"/>
                <w:szCs w:val="18"/>
                <w:u w:val="none"/>
              </w:rPr>
            </w:pPr>
          </w:p>
        </w:tc>
      </w:tr>
      <w:tr w14:paraId="459AC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A36EF1E">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07E38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F2437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FCAB59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51088924T000011659714-下西2024年伙食补助</w:t>
            </w:r>
          </w:p>
        </w:tc>
      </w:tr>
      <w:tr w14:paraId="2A838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DFC35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FC0B6E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5189DCD5">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66C7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660BE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AEA33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629D3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A2107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285D1E0">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20EA9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14A05">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954F40">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8840DC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保障职工后勤</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3D5840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保障了40余人工作日中午用餐，提升员工工作效率。职工满意度好。</w:t>
            </w:r>
          </w:p>
        </w:tc>
      </w:tr>
      <w:tr w14:paraId="5C143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812B41">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4FAE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2221DEA">
            <w:pPr>
              <w:snapToGrid w:val="0"/>
              <w:rPr>
                <w:rFonts w:hint="eastAsia" w:ascii="宋体" w:hAnsi="宋体" w:eastAsia="宋体" w:cs="宋体"/>
                <w:i w:val="0"/>
                <w:iCs w:val="0"/>
                <w:color w:val="000000"/>
                <w:sz w:val="18"/>
                <w:szCs w:val="18"/>
                <w:u w:val="none"/>
              </w:rPr>
            </w:pPr>
          </w:p>
        </w:tc>
      </w:tr>
      <w:tr w14:paraId="71313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74F5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E27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6E7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5BF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5C8D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EF5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E01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52E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C1F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72325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43EA4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D96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CA2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D24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00DB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99B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6B7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44183">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FCE8DD">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C851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1B28C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CA7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88C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D5B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62BF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AEA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6DC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7FD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30170">
            <w:pPr>
              <w:snapToGrid w:val="0"/>
              <w:rPr>
                <w:rFonts w:hint="eastAsia" w:ascii="黑体" w:hAnsi="黑体" w:eastAsia="黑体" w:cs="黑体"/>
                <w:i/>
                <w:iCs/>
                <w:color w:val="000000"/>
                <w:sz w:val="18"/>
                <w:szCs w:val="18"/>
                <w:u w:val="none"/>
              </w:rPr>
            </w:pPr>
          </w:p>
        </w:tc>
      </w:tr>
      <w:tr w14:paraId="0705C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5435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FF9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8E1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58F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88D7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45A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FC2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E8F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BF8D29">
            <w:pPr>
              <w:snapToGrid w:val="0"/>
              <w:rPr>
                <w:rFonts w:hint="eastAsia" w:ascii="黑体" w:hAnsi="黑体" w:eastAsia="黑体" w:cs="黑体"/>
                <w:i/>
                <w:iCs/>
                <w:color w:val="000000"/>
                <w:sz w:val="18"/>
                <w:szCs w:val="18"/>
                <w:u w:val="none"/>
              </w:rPr>
            </w:pPr>
          </w:p>
        </w:tc>
      </w:tr>
      <w:tr w14:paraId="4AAAE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4EF95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932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414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790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7D46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6E6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F4A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063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90441F">
            <w:pPr>
              <w:snapToGrid w:val="0"/>
              <w:rPr>
                <w:rFonts w:hint="eastAsia" w:ascii="黑体" w:hAnsi="黑体" w:eastAsia="黑体" w:cs="黑体"/>
                <w:i/>
                <w:iCs/>
                <w:color w:val="000000"/>
                <w:sz w:val="18"/>
                <w:szCs w:val="18"/>
                <w:u w:val="none"/>
              </w:rPr>
            </w:pPr>
          </w:p>
        </w:tc>
      </w:tr>
      <w:tr w14:paraId="032DF0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3AB4D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C5C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C6EC5">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1ED58">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F31070">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AC1CD">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E9B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26D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58C628">
            <w:pPr>
              <w:snapToGrid w:val="0"/>
              <w:rPr>
                <w:rFonts w:hint="eastAsia" w:ascii="黑体" w:hAnsi="黑体" w:eastAsia="黑体" w:cs="黑体"/>
                <w:i/>
                <w:iCs/>
                <w:color w:val="000000"/>
                <w:sz w:val="18"/>
                <w:szCs w:val="18"/>
                <w:u w:val="none"/>
              </w:rPr>
            </w:pPr>
          </w:p>
        </w:tc>
      </w:tr>
      <w:tr w14:paraId="035F50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82BA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DC1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4F2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FBF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402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A2C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14D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E2A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869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6B6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973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E616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5F1F41">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0C0D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775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91F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保障人数.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7A5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905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DB5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F4A95">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F3F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88B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AC823">
            <w:pPr>
              <w:snapToGrid w:val="0"/>
              <w:jc w:val="center"/>
              <w:rPr>
                <w:rFonts w:hint="eastAsia" w:ascii="微软雅黑" w:hAnsi="微软雅黑" w:eastAsia="微软雅黑" w:cs="微软雅黑"/>
                <w:i/>
                <w:iCs/>
                <w:color w:val="000000"/>
                <w:sz w:val="16"/>
                <w:szCs w:val="16"/>
                <w:u w:val="none"/>
              </w:rPr>
            </w:pPr>
          </w:p>
        </w:tc>
      </w:tr>
      <w:tr w14:paraId="4035AA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7574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C80586">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F30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C53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职工就餐率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F4D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470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35B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6DD25">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B94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E8B1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2E991">
            <w:pPr>
              <w:snapToGrid w:val="0"/>
              <w:jc w:val="center"/>
              <w:rPr>
                <w:rFonts w:hint="eastAsia" w:ascii="微软雅黑" w:hAnsi="微软雅黑" w:eastAsia="微软雅黑" w:cs="微软雅黑"/>
                <w:i/>
                <w:iCs/>
                <w:color w:val="000000"/>
                <w:sz w:val="16"/>
                <w:szCs w:val="16"/>
                <w:u w:val="none"/>
              </w:rPr>
            </w:pPr>
          </w:p>
        </w:tc>
      </w:tr>
      <w:tr w14:paraId="7458C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D3A89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B07867">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D2D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C28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66A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6A3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9F2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5D67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0C8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80F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10E10">
            <w:pPr>
              <w:snapToGrid w:val="0"/>
              <w:jc w:val="center"/>
              <w:rPr>
                <w:rFonts w:hint="eastAsia" w:ascii="微软雅黑" w:hAnsi="微软雅黑" w:eastAsia="微软雅黑" w:cs="微软雅黑"/>
                <w:i/>
                <w:iCs/>
                <w:color w:val="000000"/>
                <w:sz w:val="16"/>
                <w:szCs w:val="16"/>
                <w:u w:val="none"/>
              </w:rPr>
            </w:pPr>
          </w:p>
        </w:tc>
      </w:tr>
      <w:tr w14:paraId="145EC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189A1C">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5FA8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1621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E562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后勤保障</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ABA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4BF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D41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级</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2ACF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C26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802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008DA">
            <w:pPr>
              <w:snapToGrid w:val="0"/>
              <w:jc w:val="center"/>
              <w:rPr>
                <w:rFonts w:hint="eastAsia" w:ascii="微软雅黑" w:hAnsi="微软雅黑" w:eastAsia="微软雅黑" w:cs="微软雅黑"/>
                <w:i/>
                <w:iCs/>
                <w:color w:val="000000"/>
                <w:sz w:val="16"/>
                <w:szCs w:val="16"/>
                <w:u w:val="none"/>
              </w:rPr>
            </w:pPr>
          </w:p>
        </w:tc>
      </w:tr>
      <w:tr w14:paraId="6F896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26AA38">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73EE8A">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A8DAB2">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2C0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人均减少通勤时间（天）</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A53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AE4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14A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小时</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5878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F52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0ED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94F28">
            <w:pPr>
              <w:snapToGrid w:val="0"/>
              <w:jc w:val="center"/>
              <w:rPr>
                <w:rFonts w:hint="eastAsia" w:ascii="微软雅黑" w:hAnsi="微软雅黑" w:eastAsia="微软雅黑" w:cs="微软雅黑"/>
                <w:i/>
                <w:iCs/>
                <w:color w:val="000000"/>
                <w:sz w:val="16"/>
                <w:szCs w:val="16"/>
                <w:u w:val="none"/>
              </w:rPr>
            </w:pPr>
          </w:p>
        </w:tc>
      </w:tr>
      <w:tr w14:paraId="1518A1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0F8DF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07C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95F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203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就餐职工满意度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166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5CE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F41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324C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9E8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33B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90AA3">
            <w:pPr>
              <w:snapToGrid w:val="0"/>
              <w:jc w:val="center"/>
              <w:rPr>
                <w:rFonts w:hint="eastAsia" w:ascii="微软雅黑" w:hAnsi="微软雅黑" w:eastAsia="微软雅黑" w:cs="微软雅黑"/>
                <w:i/>
                <w:iCs/>
                <w:color w:val="000000"/>
                <w:sz w:val="16"/>
                <w:szCs w:val="16"/>
                <w:u w:val="none"/>
              </w:rPr>
            </w:pPr>
          </w:p>
        </w:tc>
      </w:tr>
      <w:tr w14:paraId="41182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6127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CF6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E7E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B45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人均标准</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3F7E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BF3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43A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元/月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43FF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F9F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534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59375">
            <w:pPr>
              <w:snapToGrid w:val="0"/>
              <w:jc w:val="center"/>
              <w:rPr>
                <w:rFonts w:hint="eastAsia" w:ascii="微软雅黑" w:hAnsi="微软雅黑" w:eastAsia="微软雅黑" w:cs="微软雅黑"/>
                <w:i/>
                <w:iCs/>
                <w:color w:val="000000"/>
                <w:sz w:val="16"/>
                <w:szCs w:val="16"/>
                <w:u w:val="none"/>
              </w:rPr>
            </w:pPr>
          </w:p>
        </w:tc>
      </w:tr>
      <w:tr w14:paraId="15CE0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4EA09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B06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52ABE">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5C096">
            <w:pPr>
              <w:snapToGrid w:val="0"/>
              <w:rPr>
                <w:rFonts w:hint="eastAsia" w:ascii="宋体" w:hAnsi="宋体" w:eastAsia="宋体" w:cs="宋体"/>
                <w:i w:val="0"/>
                <w:iCs w:val="0"/>
                <w:color w:val="000000"/>
                <w:sz w:val="18"/>
                <w:szCs w:val="18"/>
                <w:u w:val="none"/>
              </w:rPr>
            </w:pPr>
          </w:p>
        </w:tc>
      </w:tr>
      <w:tr w14:paraId="3005B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E66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4D1B15C">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项目保障街道工作正常开展。自评得分100分。</w:t>
            </w:r>
          </w:p>
        </w:tc>
      </w:tr>
      <w:tr w14:paraId="29805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F40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4B3EE21">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保障人员伙食团经费存在缺口。</w:t>
            </w:r>
          </w:p>
        </w:tc>
      </w:tr>
      <w:tr w14:paraId="56B7D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5AF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EAF7663">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厉行节约，加强成本核算。</w:t>
            </w:r>
          </w:p>
        </w:tc>
      </w:tr>
      <w:tr w14:paraId="5B21D8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C2199E">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项目负责人：张雯</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3B7A52A">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0968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2DF9CD8F">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0D89E1EE">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09B8B17C">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307A01AD">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3ED323D6">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7BD6F3A6">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6969750">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46C73D10">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7A57E555">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61A60952">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12FF9162">
            <w:pPr>
              <w:snapToGrid w:val="0"/>
              <w:rPr>
                <w:rFonts w:hint="eastAsia" w:ascii="宋体" w:hAnsi="宋体" w:eastAsia="宋体" w:cs="宋体"/>
                <w:i w:val="0"/>
                <w:iCs w:val="0"/>
                <w:color w:val="000000"/>
                <w:sz w:val="18"/>
                <w:szCs w:val="18"/>
                <w:u w:val="none"/>
              </w:rPr>
            </w:pPr>
          </w:p>
        </w:tc>
      </w:tr>
      <w:tr w14:paraId="376668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FF01861">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5FA6A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3C527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AAFBFD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51088924T000011659733-下西2024年信访维稳经费</w:t>
            </w:r>
          </w:p>
        </w:tc>
      </w:tr>
      <w:tr w14:paraId="4FC2E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CC947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056E82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730A575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80DF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2ADEA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13DE1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09791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32A9A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CE128EE">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9001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048B29">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C925FD">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0938F7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完成辖区信访维稳等工作</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198C82B">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全年化解矛盾纠纷10余次。发放宣传资料4000余份，办结信访70余件。办结率100%。群众满意度良好。</w:t>
            </w:r>
          </w:p>
        </w:tc>
      </w:tr>
      <w:tr w14:paraId="5F5A57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399CC">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60A8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729C59A">
            <w:pPr>
              <w:snapToGrid w:val="0"/>
              <w:rPr>
                <w:rFonts w:hint="eastAsia" w:ascii="宋体" w:hAnsi="宋体" w:eastAsia="宋体" w:cs="宋体"/>
                <w:i w:val="0"/>
                <w:iCs w:val="0"/>
                <w:color w:val="000000"/>
                <w:sz w:val="18"/>
                <w:szCs w:val="18"/>
                <w:u w:val="none"/>
              </w:rPr>
            </w:pPr>
          </w:p>
        </w:tc>
      </w:tr>
      <w:tr w14:paraId="5EE133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B4A7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51E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72F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F60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8D99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0CB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4CC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2E6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FB3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1B9065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73167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457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CAD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18.00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CBA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18.00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8AE9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18.00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90D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E1A9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5E937">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ED4AA8">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9E75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22D2B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7C2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88E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18.00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0A9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18.00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5D55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18.00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8AD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F7F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678F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8A9FA">
            <w:pPr>
              <w:snapToGrid w:val="0"/>
              <w:rPr>
                <w:rFonts w:hint="eastAsia" w:ascii="黑体" w:hAnsi="黑体" w:eastAsia="黑体" w:cs="黑体"/>
                <w:i/>
                <w:iCs/>
                <w:color w:val="000000"/>
                <w:sz w:val="18"/>
                <w:szCs w:val="18"/>
                <w:u w:val="none"/>
              </w:rPr>
            </w:pPr>
          </w:p>
        </w:tc>
      </w:tr>
      <w:tr w14:paraId="1FFF6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D448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F24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60D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9D9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6890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B9D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FF3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F1A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0AFCC6">
            <w:pPr>
              <w:snapToGrid w:val="0"/>
              <w:rPr>
                <w:rFonts w:hint="eastAsia" w:ascii="黑体" w:hAnsi="黑体" w:eastAsia="黑体" w:cs="黑体"/>
                <w:i/>
                <w:iCs/>
                <w:color w:val="000000"/>
                <w:sz w:val="18"/>
                <w:szCs w:val="18"/>
                <w:u w:val="none"/>
              </w:rPr>
            </w:pPr>
          </w:p>
        </w:tc>
      </w:tr>
      <w:tr w14:paraId="73EAD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63398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2CC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2A2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A65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1E23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DF2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452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EF7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C0A340">
            <w:pPr>
              <w:snapToGrid w:val="0"/>
              <w:rPr>
                <w:rFonts w:hint="eastAsia" w:ascii="黑体" w:hAnsi="黑体" w:eastAsia="黑体" w:cs="黑体"/>
                <w:i/>
                <w:iCs/>
                <w:color w:val="000000"/>
                <w:sz w:val="18"/>
                <w:szCs w:val="18"/>
                <w:u w:val="none"/>
              </w:rPr>
            </w:pPr>
          </w:p>
        </w:tc>
      </w:tr>
      <w:tr w14:paraId="4AF6D3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D40C3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C1E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BE6F1">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E6B08">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6633C0">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345E9">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9AE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05C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7643B0">
            <w:pPr>
              <w:snapToGrid w:val="0"/>
              <w:rPr>
                <w:rFonts w:hint="eastAsia" w:ascii="黑体" w:hAnsi="黑体" w:eastAsia="黑体" w:cs="黑体"/>
                <w:i/>
                <w:iCs/>
                <w:color w:val="000000"/>
                <w:sz w:val="18"/>
                <w:szCs w:val="18"/>
                <w:u w:val="none"/>
              </w:rPr>
            </w:pPr>
          </w:p>
        </w:tc>
      </w:tr>
      <w:tr w14:paraId="1F299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0A7A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6A9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6B7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C45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BC1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754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6B6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10F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625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1AF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1DE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2DF89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CF3EB3">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17A6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9ACC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F7C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走访次数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B99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EC29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4EA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A0ED5">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22D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E46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A831D">
            <w:pPr>
              <w:snapToGrid w:val="0"/>
              <w:jc w:val="center"/>
              <w:rPr>
                <w:rFonts w:hint="eastAsia" w:ascii="微软雅黑" w:hAnsi="微软雅黑" w:eastAsia="微软雅黑" w:cs="微软雅黑"/>
                <w:i/>
                <w:iCs/>
                <w:color w:val="000000"/>
                <w:sz w:val="16"/>
                <w:szCs w:val="16"/>
                <w:u w:val="none"/>
              </w:rPr>
            </w:pPr>
          </w:p>
        </w:tc>
      </w:tr>
      <w:tr w14:paraId="35BC0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DD969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B7F33">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669804">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AC9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宣传活动</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8E5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357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19D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场</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77609">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213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899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F4D4B">
            <w:pPr>
              <w:snapToGrid w:val="0"/>
              <w:jc w:val="center"/>
              <w:rPr>
                <w:rFonts w:hint="eastAsia" w:ascii="微软雅黑" w:hAnsi="微软雅黑" w:eastAsia="微软雅黑" w:cs="微软雅黑"/>
                <w:i/>
                <w:iCs/>
                <w:color w:val="000000"/>
                <w:sz w:val="16"/>
                <w:szCs w:val="16"/>
                <w:u w:val="none"/>
              </w:rPr>
            </w:pPr>
          </w:p>
        </w:tc>
      </w:tr>
      <w:tr w14:paraId="534AC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C37235">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761F60">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A21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D5C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A7B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5B9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CCF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10E9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C41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BEA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C1E6B">
            <w:pPr>
              <w:snapToGrid w:val="0"/>
              <w:jc w:val="center"/>
              <w:rPr>
                <w:rFonts w:hint="eastAsia" w:ascii="微软雅黑" w:hAnsi="微软雅黑" w:eastAsia="微软雅黑" w:cs="微软雅黑"/>
                <w:i/>
                <w:iCs/>
                <w:color w:val="000000"/>
                <w:sz w:val="16"/>
                <w:szCs w:val="16"/>
                <w:u w:val="none"/>
              </w:rPr>
            </w:pPr>
          </w:p>
        </w:tc>
      </w:tr>
      <w:tr w14:paraId="59DF00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4E563C">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D17845">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46B8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32B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9E5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B99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5AB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6B06D">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278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F74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F54CA">
            <w:pPr>
              <w:snapToGrid w:val="0"/>
              <w:jc w:val="center"/>
              <w:rPr>
                <w:rFonts w:hint="eastAsia" w:ascii="微软雅黑" w:hAnsi="微软雅黑" w:eastAsia="微软雅黑" w:cs="微软雅黑"/>
                <w:i/>
                <w:iCs/>
                <w:color w:val="000000"/>
                <w:sz w:val="16"/>
                <w:szCs w:val="16"/>
                <w:u w:val="none"/>
              </w:rPr>
            </w:pPr>
          </w:p>
        </w:tc>
      </w:tr>
      <w:tr w14:paraId="39857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1BC56">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389C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03CC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23C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重大案件降低率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B67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366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586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438B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D91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BA1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B188A">
            <w:pPr>
              <w:snapToGrid w:val="0"/>
              <w:jc w:val="center"/>
              <w:rPr>
                <w:rFonts w:hint="eastAsia" w:ascii="微软雅黑" w:hAnsi="微软雅黑" w:eastAsia="微软雅黑" w:cs="微软雅黑"/>
                <w:i/>
                <w:iCs/>
                <w:color w:val="000000"/>
                <w:sz w:val="16"/>
                <w:szCs w:val="16"/>
                <w:u w:val="none"/>
              </w:rPr>
            </w:pPr>
          </w:p>
        </w:tc>
      </w:tr>
      <w:tr w14:paraId="7BD97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07101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4E951B">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546EEB">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D23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信访举报处置率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7EF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341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276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4EDF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7B3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081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226FC">
            <w:pPr>
              <w:snapToGrid w:val="0"/>
              <w:jc w:val="center"/>
              <w:rPr>
                <w:rFonts w:hint="eastAsia" w:ascii="微软雅黑" w:hAnsi="微软雅黑" w:eastAsia="微软雅黑" w:cs="微软雅黑"/>
                <w:i/>
                <w:iCs/>
                <w:color w:val="000000"/>
                <w:sz w:val="16"/>
                <w:szCs w:val="16"/>
                <w:u w:val="none"/>
              </w:rPr>
            </w:pPr>
          </w:p>
        </w:tc>
      </w:tr>
      <w:tr w14:paraId="7F1337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D0B85">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236123">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5F695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742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禁毒站运行保障</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C20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FA7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04B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级</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9EF7C">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B53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1EB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B3245">
            <w:pPr>
              <w:snapToGrid w:val="0"/>
              <w:jc w:val="center"/>
              <w:rPr>
                <w:rFonts w:hint="eastAsia" w:ascii="微软雅黑" w:hAnsi="微软雅黑" w:eastAsia="微软雅黑" w:cs="微软雅黑"/>
                <w:i/>
                <w:iCs/>
                <w:color w:val="000000"/>
                <w:sz w:val="16"/>
                <w:szCs w:val="16"/>
                <w:u w:val="none"/>
              </w:rPr>
            </w:pPr>
          </w:p>
        </w:tc>
      </w:tr>
      <w:tr w14:paraId="21F854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BE37C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3D212">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9821E0">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018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重大群体事件</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052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BB8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D56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7FBC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2C0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712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B654D">
            <w:pPr>
              <w:snapToGrid w:val="0"/>
              <w:jc w:val="center"/>
              <w:rPr>
                <w:rFonts w:hint="eastAsia" w:ascii="微软雅黑" w:hAnsi="微软雅黑" w:eastAsia="微软雅黑" w:cs="微软雅黑"/>
                <w:i/>
                <w:iCs/>
                <w:color w:val="000000"/>
                <w:sz w:val="16"/>
                <w:szCs w:val="16"/>
                <w:u w:val="none"/>
              </w:rPr>
            </w:pPr>
          </w:p>
        </w:tc>
      </w:tr>
      <w:tr w14:paraId="59EC9A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A2946D">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19B5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0936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40A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办公费、劳务费等</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891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C5E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EE8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A726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5C0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597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7C9E3">
            <w:pPr>
              <w:snapToGrid w:val="0"/>
              <w:jc w:val="center"/>
              <w:rPr>
                <w:rFonts w:hint="eastAsia" w:ascii="微软雅黑" w:hAnsi="微软雅黑" w:eastAsia="微软雅黑" w:cs="微软雅黑"/>
                <w:i/>
                <w:iCs/>
                <w:color w:val="000000"/>
                <w:sz w:val="16"/>
                <w:szCs w:val="16"/>
                <w:u w:val="none"/>
              </w:rPr>
            </w:pPr>
          </w:p>
        </w:tc>
      </w:tr>
      <w:tr w14:paraId="05B3E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6A830">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4E6947">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7FA8F">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267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33A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321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A1D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F1ED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582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829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E93E9">
            <w:pPr>
              <w:snapToGrid w:val="0"/>
              <w:jc w:val="center"/>
              <w:rPr>
                <w:rFonts w:hint="eastAsia" w:ascii="微软雅黑" w:hAnsi="微软雅黑" w:eastAsia="微软雅黑" w:cs="微软雅黑"/>
                <w:i/>
                <w:iCs/>
                <w:color w:val="000000"/>
                <w:sz w:val="16"/>
                <w:szCs w:val="16"/>
                <w:u w:val="none"/>
              </w:rPr>
            </w:pPr>
          </w:p>
        </w:tc>
      </w:tr>
      <w:tr w14:paraId="01F3D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82ADE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221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20AFB">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BFCD6">
            <w:pPr>
              <w:snapToGrid w:val="0"/>
              <w:rPr>
                <w:rFonts w:hint="eastAsia" w:ascii="宋体" w:hAnsi="宋体" w:eastAsia="宋体" w:cs="宋体"/>
                <w:i w:val="0"/>
                <w:iCs w:val="0"/>
                <w:color w:val="000000"/>
                <w:sz w:val="18"/>
                <w:szCs w:val="18"/>
                <w:u w:val="none"/>
              </w:rPr>
            </w:pPr>
          </w:p>
        </w:tc>
      </w:tr>
      <w:tr w14:paraId="03274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305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09FB419">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项目基本按年初目标实施，基本达成目标。自评得分99分。</w:t>
            </w:r>
          </w:p>
        </w:tc>
      </w:tr>
      <w:tr w14:paraId="0CFCB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BDE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21E587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成本预算略有偏差。</w:t>
            </w:r>
          </w:p>
        </w:tc>
      </w:tr>
      <w:tr w14:paraId="08017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A2A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186CC4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成本预算更精细化。</w:t>
            </w:r>
          </w:p>
        </w:tc>
      </w:tr>
      <w:tr w14:paraId="46B7AB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269D631">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项目负责人：贯小春</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FCDEFA2">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D31D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13BE5E29">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0651CB1D">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558D82F4">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4D5A7657">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096C8D46">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12CA0D31">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319552A8">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47101B9C">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50BAC01C">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78E0A42C">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6EE7AB78">
            <w:pPr>
              <w:snapToGrid w:val="0"/>
              <w:rPr>
                <w:rFonts w:hint="eastAsia" w:ascii="宋体" w:hAnsi="宋体" w:eastAsia="宋体" w:cs="宋体"/>
                <w:i w:val="0"/>
                <w:iCs w:val="0"/>
                <w:color w:val="000000"/>
                <w:sz w:val="18"/>
                <w:szCs w:val="18"/>
                <w:u w:val="none"/>
              </w:rPr>
            </w:pPr>
          </w:p>
        </w:tc>
      </w:tr>
      <w:tr w14:paraId="333CD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69AC1F7">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4D3D9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65B2F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32EB12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51088924T000011659767-下西2024文明城市创建工作经费</w:t>
            </w:r>
          </w:p>
        </w:tc>
      </w:tr>
      <w:tr w14:paraId="6FA0D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DB34F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2958FF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3081AAE1">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E89D4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4D934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B7B61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7A4E0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5C6DD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B77DA1A">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74CC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BA390">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78CA3E">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1C342A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印制宣传册200册，专项宣传3次，完成创建文明城市目标任务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90B42F2">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印制宣传册500余份、知识讲座培训、宣传教育活动5次</w:t>
            </w:r>
          </w:p>
        </w:tc>
      </w:tr>
      <w:tr w14:paraId="32CA5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DD9BDF">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3AF2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F3140F9">
            <w:pPr>
              <w:snapToGrid w:val="0"/>
              <w:rPr>
                <w:rFonts w:hint="eastAsia" w:ascii="宋体" w:hAnsi="宋体" w:eastAsia="宋体" w:cs="宋体"/>
                <w:i w:val="0"/>
                <w:iCs w:val="0"/>
                <w:color w:val="000000"/>
                <w:sz w:val="18"/>
                <w:szCs w:val="18"/>
                <w:u w:val="none"/>
              </w:rPr>
            </w:pPr>
          </w:p>
        </w:tc>
      </w:tr>
      <w:tr w14:paraId="2B126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8C0A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AD6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013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363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17CE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311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E69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FE5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2B4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3B8C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95827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BD1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65A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857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0E20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234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60E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07A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B44DED">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1EAC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E1620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B01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FD3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84F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2626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22A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BF8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34F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6815CE">
            <w:pPr>
              <w:snapToGrid w:val="0"/>
              <w:rPr>
                <w:rFonts w:hint="eastAsia" w:ascii="黑体" w:hAnsi="黑体" w:eastAsia="黑体" w:cs="黑体"/>
                <w:i/>
                <w:iCs/>
                <w:color w:val="000000"/>
                <w:sz w:val="18"/>
                <w:szCs w:val="18"/>
                <w:u w:val="none"/>
              </w:rPr>
            </w:pPr>
          </w:p>
        </w:tc>
      </w:tr>
      <w:tr w14:paraId="2F5EB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4432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878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9D4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75A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3824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7F4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D18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BC0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E73E7E">
            <w:pPr>
              <w:snapToGrid w:val="0"/>
              <w:rPr>
                <w:rFonts w:hint="eastAsia" w:ascii="黑体" w:hAnsi="黑体" w:eastAsia="黑体" w:cs="黑体"/>
                <w:i/>
                <w:iCs/>
                <w:color w:val="000000"/>
                <w:sz w:val="18"/>
                <w:szCs w:val="18"/>
                <w:u w:val="none"/>
              </w:rPr>
            </w:pPr>
          </w:p>
        </w:tc>
      </w:tr>
      <w:tr w14:paraId="70E3E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F5971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793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B9A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EF6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B92B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6DC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630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FD42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1F17C1">
            <w:pPr>
              <w:snapToGrid w:val="0"/>
              <w:rPr>
                <w:rFonts w:hint="eastAsia" w:ascii="黑体" w:hAnsi="黑体" w:eastAsia="黑体" w:cs="黑体"/>
                <w:i/>
                <w:iCs/>
                <w:color w:val="000000"/>
                <w:sz w:val="18"/>
                <w:szCs w:val="18"/>
                <w:u w:val="none"/>
              </w:rPr>
            </w:pPr>
          </w:p>
        </w:tc>
      </w:tr>
      <w:tr w14:paraId="0BE45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08053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A9C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86B4F">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71742">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424838">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F693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DF3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E8F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A7DE1">
            <w:pPr>
              <w:snapToGrid w:val="0"/>
              <w:rPr>
                <w:rFonts w:hint="eastAsia" w:ascii="黑体" w:hAnsi="黑体" w:eastAsia="黑体" w:cs="黑体"/>
                <w:i/>
                <w:iCs/>
                <w:color w:val="000000"/>
                <w:sz w:val="18"/>
                <w:szCs w:val="18"/>
                <w:u w:val="none"/>
              </w:rPr>
            </w:pPr>
          </w:p>
        </w:tc>
      </w:tr>
      <w:tr w14:paraId="7A1DD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CC0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BBB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CF1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076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7C5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5BA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6EB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20C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5E5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7ED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A49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4413B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1E1F60">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34843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A4B4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BA7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印制宣传册.</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51A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AF3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E49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册</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3195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F4D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999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449C3">
            <w:pPr>
              <w:snapToGrid w:val="0"/>
              <w:jc w:val="center"/>
              <w:rPr>
                <w:rFonts w:hint="eastAsia" w:ascii="微软雅黑" w:hAnsi="微软雅黑" w:eastAsia="微软雅黑" w:cs="微软雅黑"/>
                <w:i/>
                <w:iCs/>
                <w:color w:val="000000"/>
                <w:sz w:val="16"/>
                <w:szCs w:val="16"/>
                <w:u w:val="none"/>
              </w:rPr>
            </w:pPr>
          </w:p>
        </w:tc>
      </w:tr>
      <w:tr w14:paraId="3BDC1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B2832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FEA485">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A1AD45">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948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专项宣传活动</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52C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06F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058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F1DF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616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289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D71FA">
            <w:pPr>
              <w:snapToGrid w:val="0"/>
              <w:jc w:val="center"/>
              <w:rPr>
                <w:rFonts w:hint="eastAsia" w:ascii="微软雅黑" w:hAnsi="微软雅黑" w:eastAsia="微软雅黑" w:cs="微软雅黑"/>
                <w:i/>
                <w:iCs/>
                <w:color w:val="000000"/>
                <w:sz w:val="16"/>
                <w:szCs w:val="16"/>
                <w:u w:val="none"/>
              </w:rPr>
            </w:pPr>
          </w:p>
        </w:tc>
      </w:tr>
      <w:tr w14:paraId="64428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B89689">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9B9802">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4AF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27A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05D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0CE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D75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79129">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9AB2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BFD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993C6">
            <w:pPr>
              <w:snapToGrid w:val="0"/>
              <w:jc w:val="center"/>
              <w:rPr>
                <w:rFonts w:hint="eastAsia" w:ascii="微软雅黑" w:hAnsi="微软雅黑" w:eastAsia="微软雅黑" w:cs="微软雅黑"/>
                <w:i/>
                <w:iCs/>
                <w:color w:val="000000"/>
                <w:sz w:val="16"/>
                <w:szCs w:val="16"/>
                <w:u w:val="none"/>
              </w:rPr>
            </w:pPr>
          </w:p>
        </w:tc>
      </w:tr>
      <w:tr w14:paraId="63650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4ECD34">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4ADB19">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5D5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85C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C02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2F7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368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D3C9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826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B37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D6EAB">
            <w:pPr>
              <w:snapToGrid w:val="0"/>
              <w:jc w:val="center"/>
              <w:rPr>
                <w:rFonts w:hint="eastAsia" w:ascii="微软雅黑" w:hAnsi="微软雅黑" w:eastAsia="微软雅黑" w:cs="微软雅黑"/>
                <w:i/>
                <w:iCs/>
                <w:color w:val="000000"/>
                <w:sz w:val="16"/>
                <w:szCs w:val="16"/>
                <w:u w:val="none"/>
              </w:rPr>
            </w:pPr>
          </w:p>
        </w:tc>
      </w:tr>
      <w:tr w14:paraId="47D2E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5E0C6">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8EAC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7957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0A2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市民知晓率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76C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D9A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B9D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6352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727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4BD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13</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B5677">
            <w:pPr>
              <w:snapToGrid w:val="0"/>
              <w:jc w:val="center"/>
              <w:rPr>
                <w:rFonts w:hint="eastAsia" w:ascii="微软雅黑" w:hAnsi="微软雅黑" w:eastAsia="微软雅黑" w:cs="微软雅黑"/>
                <w:i/>
                <w:iCs/>
                <w:color w:val="000000"/>
                <w:sz w:val="16"/>
                <w:szCs w:val="16"/>
                <w:u w:val="none"/>
              </w:rPr>
            </w:pPr>
          </w:p>
        </w:tc>
      </w:tr>
      <w:tr w14:paraId="4FF0B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5B9002">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786376">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82F3E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90D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检查通过率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8A7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3DB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1BB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16B3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2E3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80F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6D6A0">
            <w:pPr>
              <w:snapToGrid w:val="0"/>
              <w:jc w:val="center"/>
              <w:rPr>
                <w:rFonts w:hint="eastAsia" w:ascii="微软雅黑" w:hAnsi="微软雅黑" w:eastAsia="微软雅黑" w:cs="微软雅黑"/>
                <w:i/>
                <w:iCs/>
                <w:color w:val="000000"/>
                <w:sz w:val="16"/>
                <w:szCs w:val="16"/>
                <w:u w:val="none"/>
              </w:rPr>
            </w:pPr>
          </w:p>
        </w:tc>
      </w:tr>
      <w:tr w14:paraId="7C9CB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D831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3EE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702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CC3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9EE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8F4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880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8B3E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7BE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360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2523E">
            <w:pPr>
              <w:snapToGrid w:val="0"/>
              <w:jc w:val="center"/>
              <w:rPr>
                <w:rFonts w:hint="eastAsia" w:ascii="微软雅黑" w:hAnsi="微软雅黑" w:eastAsia="微软雅黑" w:cs="微软雅黑"/>
                <w:i/>
                <w:iCs/>
                <w:color w:val="000000"/>
                <w:sz w:val="16"/>
                <w:szCs w:val="16"/>
                <w:u w:val="none"/>
              </w:rPr>
            </w:pPr>
          </w:p>
        </w:tc>
      </w:tr>
      <w:tr w14:paraId="5DA10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63AD5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7FB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41A77">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1C404">
            <w:pPr>
              <w:snapToGrid w:val="0"/>
              <w:rPr>
                <w:rFonts w:hint="eastAsia" w:ascii="宋体" w:hAnsi="宋体" w:eastAsia="宋体" w:cs="宋体"/>
                <w:i w:val="0"/>
                <w:iCs w:val="0"/>
                <w:color w:val="000000"/>
                <w:sz w:val="18"/>
                <w:szCs w:val="18"/>
                <w:u w:val="none"/>
              </w:rPr>
            </w:pPr>
          </w:p>
        </w:tc>
      </w:tr>
      <w:tr w14:paraId="36910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3D0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nil"/>
              <w:left w:val="single" w:color="000000" w:sz="4" w:space="0"/>
              <w:bottom w:val="single" w:color="000000" w:sz="4" w:space="0"/>
              <w:right w:val="single" w:color="000000" w:sz="4" w:space="0"/>
            </w:tcBorders>
            <w:shd w:val="clear" w:color="auto" w:fill="auto"/>
            <w:vAlign w:val="center"/>
          </w:tcPr>
          <w:p w14:paraId="3382CBB1">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4D060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1EE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4DA4DB2">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08FC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70F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29CA47C">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0096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71DB8D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项目负责人：向雨虹</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40BD805">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6A558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051016BF">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0850D447">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6E6642A9">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2E1251D0">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7FEF1A58">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1B159E11">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AE6B53F">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1D240A99">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3EEEB937">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20275790">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3FC9327B">
            <w:pPr>
              <w:snapToGrid w:val="0"/>
              <w:rPr>
                <w:rFonts w:hint="eastAsia" w:ascii="宋体" w:hAnsi="宋体" w:eastAsia="宋体" w:cs="宋体"/>
                <w:i w:val="0"/>
                <w:iCs w:val="0"/>
                <w:color w:val="000000"/>
                <w:sz w:val="18"/>
                <w:szCs w:val="18"/>
                <w:u w:val="none"/>
              </w:rPr>
            </w:pPr>
          </w:p>
        </w:tc>
      </w:tr>
      <w:tr w14:paraId="684AF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E8214B8">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3A38B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BEAA5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66D208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51088924T000011659809-下西2024年应急车辆运行经费</w:t>
            </w:r>
          </w:p>
        </w:tc>
      </w:tr>
      <w:tr w14:paraId="06FDB4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4D556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3DF30E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0CAEA54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BE5D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4D88CF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C1457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BE58B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E76E3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F1DAC66">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051B4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CB466A">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2520A6">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B25588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应急车辆一辆日常运行</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3F13B33">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全年应急车辆运行常、交通事故0起。应急用车保障100%。</w:t>
            </w:r>
          </w:p>
        </w:tc>
      </w:tr>
      <w:tr w14:paraId="0174AB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FC83F1">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1A52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3A5CED2">
            <w:pPr>
              <w:snapToGrid w:val="0"/>
              <w:rPr>
                <w:rFonts w:hint="eastAsia" w:ascii="宋体" w:hAnsi="宋体" w:eastAsia="宋体" w:cs="宋体"/>
                <w:i w:val="0"/>
                <w:iCs w:val="0"/>
                <w:color w:val="000000"/>
                <w:sz w:val="18"/>
                <w:szCs w:val="18"/>
                <w:u w:val="none"/>
              </w:rPr>
            </w:pPr>
          </w:p>
        </w:tc>
      </w:tr>
      <w:tr w14:paraId="2B28C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CD3F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647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BBE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2B6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ACE0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70B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443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B7B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E5C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6FB5C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30D0A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850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E3F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BDA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E067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A65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2E8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179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BEE614">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864E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3A257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955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DFB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C38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AAFA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F6E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8F9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C46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45565">
            <w:pPr>
              <w:snapToGrid w:val="0"/>
              <w:rPr>
                <w:rFonts w:hint="eastAsia" w:ascii="黑体" w:hAnsi="黑体" w:eastAsia="黑体" w:cs="黑体"/>
                <w:i/>
                <w:iCs/>
                <w:color w:val="000000"/>
                <w:sz w:val="18"/>
                <w:szCs w:val="18"/>
                <w:u w:val="none"/>
              </w:rPr>
            </w:pPr>
          </w:p>
        </w:tc>
      </w:tr>
      <w:tr w14:paraId="0924B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2E81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9E3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491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B9E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420A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34A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DD3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1B3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22AC3E">
            <w:pPr>
              <w:snapToGrid w:val="0"/>
              <w:rPr>
                <w:rFonts w:hint="eastAsia" w:ascii="黑体" w:hAnsi="黑体" w:eastAsia="黑体" w:cs="黑体"/>
                <w:i/>
                <w:iCs/>
                <w:color w:val="000000"/>
                <w:sz w:val="18"/>
                <w:szCs w:val="18"/>
                <w:u w:val="none"/>
              </w:rPr>
            </w:pPr>
          </w:p>
        </w:tc>
      </w:tr>
      <w:tr w14:paraId="3BB27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8B75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997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12E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C2A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FD92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1F5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B8C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350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4104D7">
            <w:pPr>
              <w:snapToGrid w:val="0"/>
              <w:rPr>
                <w:rFonts w:hint="eastAsia" w:ascii="黑体" w:hAnsi="黑体" w:eastAsia="黑体" w:cs="黑体"/>
                <w:i/>
                <w:iCs/>
                <w:color w:val="000000"/>
                <w:sz w:val="18"/>
                <w:szCs w:val="18"/>
                <w:u w:val="none"/>
              </w:rPr>
            </w:pPr>
          </w:p>
        </w:tc>
      </w:tr>
      <w:tr w14:paraId="69705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C04FA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507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CDFF8">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47E71">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217CD8">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BEC7C">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CD3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7E4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E1F60B">
            <w:pPr>
              <w:snapToGrid w:val="0"/>
              <w:rPr>
                <w:rFonts w:hint="eastAsia" w:ascii="黑体" w:hAnsi="黑体" w:eastAsia="黑体" w:cs="黑体"/>
                <w:i/>
                <w:iCs/>
                <w:color w:val="000000"/>
                <w:sz w:val="18"/>
                <w:szCs w:val="18"/>
                <w:u w:val="none"/>
              </w:rPr>
            </w:pPr>
          </w:p>
        </w:tc>
      </w:tr>
      <w:tr w14:paraId="318C8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D6D3C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1BC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D8B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652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27A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CFE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1E2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A08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640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3B6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3EE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118E8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FA17D7">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CF388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61F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DAF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应急用车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FC8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AB2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338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辆</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CC27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8C9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C87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B5A33">
            <w:pPr>
              <w:snapToGrid w:val="0"/>
              <w:jc w:val="center"/>
              <w:rPr>
                <w:rFonts w:hint="eastAsia" w:ascii="微软雅黑" w:hAnsi="微软雅黑" w:eastAsia="微软雅黑" w:cs="微软雅黑"/>
                <w:i/>
                <w:iCs/>
                <w:color w:val="000000"/>
                <w:sz w:val="16"/>
                <w:szCs w:val="16"/>
                <w:u w:val="none"/>
              </w:rPr>
            </w:pPr>
          </w:p>
        </w:tc>
      </w:tr>
      <w:tr w14:paraId="72625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37F30E">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2CF038">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EF59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EC1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车辆正常运行率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2D8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EAD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1D6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83AF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C2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9C04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72A17">
            <w:pPr>
              <w:snapToGrid w:val="0"/>
              <w:jc w:val="center"/>
              <w:rPr>
                <w:rFonts w:hint="eastAsia" w:ascii="微软雅黑" w:hAnsi="微软雅黑" w:eastAsia="微软雅黑" w:cs="微软雅黑"/>
                <w:i/>
                <w:iCs/>
                <w:color w:val="000000"/>
                <w:sz w:val="16"/>
                <w:szCs w:val="16"/>
                <w:u w:val="none"/>
              </w:rPr>
            </w:pPr>
          </w:p>
        </w:tc>
      </w:tr>
      <w:tr w14:paraId="229C7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4D34C3">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2639E">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D2648">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375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重大交通安全事故</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F91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FDC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49A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D74A5">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F6D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C8D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415AB">
            <w:pPr>
              <w:snapToGrid w:val="0"/>
              <w:jc w:val="center"/>
              <w:rPr>
                <w:rFonts w:hint="eastAsia" w:ascii="微软雅黑" w:hAnsi="微软雅黑" w:eastAsia="微软雅黑" w:cs="微软雅黑"/>
                <w:i/>
                <w:iCs/>
                <w:color w:val="000000"/>
                <w:sz w:val="16"/>
                <w:szCs w:val="16"/>
                <w:u w:val="none"/>
              </w:rPr>
            </w:pPr>
          </w:p>
        </w:tc>
      </w:tr>
      <w:tr w14:paraId="5EF72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4318B">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557DF5">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DF2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FDF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391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537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2D2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8696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A65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12B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44A31">
            <w:pPr>
              <w:snapToGrid w:val="0"/>
              <w:jc w:val="center"/>
              <w:rPr>
                <w:rFonts w:hint="eastAsia" w:ascii="微软雅黑" w:hAnsi="微软雅黑" w:eastAsia="微软雅黑" w:cs="微软雅黑"/>
                <w:i/>
                <w:iCs/>
                <w:color w:val="000000"/>
                <w:sz w:val="16"/>
                <w:szCs w:val="16"/>
                <w:u w:val="none"/>
              </w:rPr>
            </w:pPr>
          </w:p>
        </w:tc>
      </w:tr>
      <w:tr w14:paraId="5E9D3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4F34C">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E015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F334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616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应急事件处置率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219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651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CA5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184BD">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5F9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C7D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FE502">
            <w:pPr>
              <w:snapToGrid w:val="0"/>
              <w:jc w:val="center"/>
              <w:rPr>
                <w:rFonts w:hint="eastAsia" w:ascii="微软雅黑" w:hAnsi="微软雅黑" w:eastAsia="微软雅黑" w:cs="微软雅黑"/>
                <w:i/>
                <w:iCs/>
                <w:color w:val="000000"/>
                <w:sz w:val="16"/>
                <w:szCs w:val="16"/>
                <w:u w:val="none"/>
              </w:rPr>
            </w:pPr>
          </w:p>
        </w:tc>
      </w:tr>
      <w:tr w14:paraId="28953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6090E">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879231">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384A03">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C56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应急用车保障率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176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E12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9BE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829A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F8D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64B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DC641">
            <w:pPr>
              <w:snapToGrid w:val="0"/>
              <w:jc w:val="center"/>
              <w:rPr>
                <w:rFonts w:hint="eastAsia" w:ascii="微软雅黑" w:hAnsi="微软雅黑" w:eastAsia="微软雅黑" w:cs="微软雅黑"/>
                <w:i/>
                <w:iCs/>
                <w:color w:val="000000"/>
                <w:sz w:val="16"/>
                <w:szCs w:val="16"/>
                <w:u w:val="none"/>
              </w:rPr>
            </w:pPr>
          </w:p>
        </w:tc>
      </w:tr>
      <w:tr w14:paraId="2B17F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EE7D5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E62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66C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2D7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运行维护费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22D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A9C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AAB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6938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C13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7558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7F90E">
            <w:pPr>
              <w:snapToGrid w:val="0"/>
              <w:jc w:val="center"/>
              <w:rPr>
                <w:rFonts w:hint="eastAsia" w:ascii="微软雅黑" w:hAnsi="微软雅黑" w:eastAsia="微软雅黑" w:cs="微软雅黑"/>
                <w:i/>
                <w:iCs/>
                <w:color w:val="000000"/>
                <w:sz w:val="16"/>
                <w:szCs w:val="16"/>
                <w:u w:val="none"/>
              </w:rPr>
            </w:pPr>
          </w:p>
        </w:tc>
      </w:tr>
      <w:tr w14:paraId="6845C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11F3F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2B0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54F9C">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B3024">
            <w:pPr>
              <w:snapToGrid w:val="0"/>
              <w:rPr>
                <w:rFonts w:hint="eastAsia" w:ascii="宋体" w:hAnsi="宋体" w:eastAsia="宋体" w:cs="宋体"/>
                <w:i w:val="0"/>
                <w:iCs w:val="0"/>
                <w:color w:val="000000"/>
                <w:sz w:val="18"/>
                <w:szCs w:val="18"/>
                <w:u w:val="none"/>
              </w:rPr>
            </w:pPr>
          </w:p>
        </w:tc>
      </w:tr>
      <w:tr w14:paraId="05093A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FAD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B74C325">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项目规范管理，加强车辆监管，保障应急事件处理效率。自评得分99分。</w:t>
            </w:r>
          </w:p>
        </w:tc>
      </w:tr>
      <w:tr w14:paraId="10247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4E3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ABD6E5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加强应急车辆监管，落实专人驾驶。</w:t>
            </w:r>
          </w:p>
        </w:tc>
      </w:tr>
      <w:tr w14:paraId="03EBCD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EF3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25BD6BD">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加强制度建设。和出行台账登记工作。</w:t>
            </w:r>
          </w:p>
        </w:tc>
      </w:tr>
      <w:tr w14:paraId="2BEFA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E9D2E7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项目负责人：雍鹏飞</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25E08F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A79C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39735E66">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5CC35B21">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4802C9ED">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4AFE306E">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5FE7C1C6">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32138928">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E9DA3DA">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5643AC5E">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4032C539">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2E090765">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678DA7AA">
            <w:pPr>
              <w:snapToGrid w:val="0"/>
              <w:rPr>
                <w:rFonts w:hint="eastAsia" w:ascii="宋体" w:hAnsi="宋体" w:eastAsia="宋体" w:cs="宋体"/>
                <w:i w:val="0"/>
                <w:iCs w:val="0"/>
                <w:color w:val="000000"/>
                <w:sz w:val="18"/>
                <w:szCs w:val="18"/>
                <w:u w:val="none"/>
              </w:rPr>
            </w:pPr>
          </w:p>
        </w:tc>
      </w:tr>
      <w:tr w14:paraId="2D7AD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B6BD1F0">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6C3962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B2C91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E933CA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51088924T000011659833-下西2024年党建经费</w:t>
            </w:r>
          </w:p>
        </w:tc>
      </w:tr>
      <w:tr w14:paraId="179D22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3260F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CFE4E1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2E94F7B2">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4F1AB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6D994E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16420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C600E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71636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2AECE06">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47252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0D8C5">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ECC428">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0813D9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完成党建工作目标任务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0ACFFC8">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全年开展各种党建活动10余次，发放宣传单5000余份，订阅报刊40余份，提升基层党建引领。</w:t>
            </w:r>
          </w:p>
        </w:tc>
      </w:tr>
      <w:tr w14:paraId="3E77C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F8535">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FDFE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067964F">
            <w:pPr>
              <w:snapToGrid w:val="0"/>
              <w:rPr>
                <w:rFonts w:hint="eastAsia" w:ascii="宋体" w:hAnsi="宋体" w:eastAsia="宋体" w:cs="宋体"/>
                <w:i w:val="0"/>
                <w:iCs w:val="0"/>
                <w:color w:val="000000"/>
                <w:sz w:val="18"/>
                <w:szCs w:val="18"/>
                <w:u w:val="none"/>
              </w:rPr>
            </w:pPr>
          </w:p>
        </w:tc>
      </w:tr>
      <w:tr w14:paraId="323A2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324B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EEC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377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D00E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BEA8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089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113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82A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E72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5009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55B4C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DE8E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872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F03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9A3F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FC8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418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521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2F5EE2">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36644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2B9B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5CA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197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1D4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15EE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235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DF5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D7D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832BEB">
            <w:pPr>
              <w:snapToGrid w:val="0"/>
              <w:rPr>
                <w:rFonts w:hint="eastAsia" w:ascii="黑体" w:hAnsi="黑体" w:eastAsia="黑体" w:cs="黑体"/>
                <w:i/>
                <w:iCs/>
                <w:color w:val="000000"/>
                <w:sz w:val="18"/>
                <w:szCs w:val="18"/>
                <w:u w:val="none"/>
              </w:rPr>
            </w:pPr>
          </w:p>
        </w:tc>
      </w:tr>
      <w:tr w14:paraId="132D27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7D631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814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153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C3B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AD92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F8D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39D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A44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ACE9BD">
            <w:pPr>
              <w:snapToGrid w:val="0"/>
              <w:rPr>
                <w:rFonts w:hint="eastAsia" w:ascii="黑体" w:hAnsi="黑体" w:eastAsia="黑体" w:cs="黑体"/>
                <w:i/>
                <w:iCs/>
                <w:color w:val="000000"/>
                <w:sz w:val="18"/>
                <w:szCs w:val="18"/>
                <w:u w:val="none"/>
              </w:rPr>
            </w:pPr>
          </w:p>
        </w:tc>
      </w:tr>
      <w:tr w14:paraId="66A98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EF28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B9A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7F4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C1C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5C37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FA9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B4B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2E2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116E33">
            <w:pPr>
              <w:snapToGrid w:val="0"/>
              <w:rPr>
                <w:rFonts w:hint="eastAsia" w:ascii="黑体" w:hAnsi="黑体" w:eastAsia="黑体" w:cs="黑体"/>
                <w:i/>
                <w:iCs/>
                <w:color w:val="000000"/>
                <w:sz w:val="18"/>
                <w:szCs w:val="18"/>
                <w:u w:val="none"/>
              </w:rPr>
            </w:pPr>
          </w:p>
        </w:tc>
      </w:tr>
      <w:tr w14:paraId="052E5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2F882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645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8A593">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32454">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97C8C1">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951F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ED8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5EE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C7A11A">
            <w:pPr>
              <w:snapToGrid w:val="0"/>
              <w:rPr>
                <w:rFonts w:hint="eastAsia" w:ascii="黑体" w:hAnsi="黑体" w:eastAsia="黑体" w:cs="黑体"/>
                <w:i/>
                <w:iCs/>
                <w:color w:val="000000"/>
                <w:sz w:val="18"/>
                <w:szCs w:val="18"/>
                <w:u w:val="none"/>
              </w:rPr>
            </w:pPr>
          </w:p>
        </w:tc>
      </w:tr>
      <w:tr w14:paraId="0F772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A7EB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FCB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001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5DC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E2FE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340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00F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1CC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395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01D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71C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CABA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8515E0">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6527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CAF6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FC7C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宣传活动.</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39A5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A1F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5BC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60285">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0774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B06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7C126">
            <w:pPr>
              <w:snapToGrid w:val="0"/>
              <w:jc w:val="center"/>
              <w:rPr>
                <w:rFonts w:hint="eastAsia" w:ascii="微软雅黑" w:hAnsi="微软雅黑" w:eastAsia="微软雅黑" w:cs="微软雅黑"/>
                <w:i/>
                <w:iCs/>
                <w:color w:val="000000"/>
                <w:sz w:val="16"/>
                <w:szCs w:val="16"/>
                <w:u w:val="none"/>
              </w:rPr>
            </w:pPr>
          </w:p>
        </w:tc>
      </w:tr>
      <w:tr w14:paraId="0DA87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868050">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A12F19">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02630">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235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印制宣传册.</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C76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917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6922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册</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B367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07A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1552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6D2BA">
            <w:pPr>
              <w:snapToGrid w:val="0"/>
              <w:jc w:val="center"/>
              <w:rPr>
                <w:rFonts w:hint="eastAsia" w:ascii="微软雅黑" w:hAnsi="微软雅黑" w:eastAsia="微软雅黑" w:cs="微软雅黑"/>
                <w:i/>
                <w:iCs/>
                <w:color w:val="000000"/>
                <w:sz w:val="16"/>
                <w:szCs w:val="16"/>
                <w:u w:val="none"/>
              </w:rPr>
            </w:pPr>
          </w:p>
        </w:tc>
      </w:tr>
      <w:tr w14:paraId="709AB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8379E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F0B981">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07A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901E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基层党建覆盖率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F26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589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95C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9944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6BE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360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17987">
            <w:pPr>
              <w:snapToGrid w:val="0"/>
              <w:jc w:val="center"/>
              <w:rPr>
                <w:rFonts w:hint="eastAsia" w:ascii="微软雅黑" w:hAnsi="微软雅黑" w:eastAsia="微软雅黑" w:cs="微软雅黑"/>
                <w:i/>
                <w:iCs/>
                <w:color w:val="000000"/>
                <w:sz w:val="16"/>
                <w:szCs w:val="16"/>
                <w:u w:val="none"/>
              </w:rPr>
            </w:pPr>
          </w:p>
        </w:tc>
      </w:tr>
      <w:tr w14:paraId="11262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67A730">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55E0FF">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8E9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C9C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完成时效.</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35F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99B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2A9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A025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BFB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5E8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AA2E4">
            <w:pPr>
              <w:snapToGrid w:val="0"/>
              <w:jc w:val="center"/>
              <w:rPr>
                <w:rFonts w:hint="eastAsia" w:ascii="微软雅黑" w:hAnsi="微软雅黑" w:eastAsia="微软雅黑" w:cs="微软雅黑"/>
                <w:i/>
                <w:iCs/>
                <w:color w:val="000000"/>
                <w:sz w:val="16"/>
                <w:szCs w:val="16"/>
                <w:u w:val="none"/>
              </w:rPr>
            </w:pPr>
          </w:p>
        </w:tc>
      </w:tr>
      <w:tr w14:paraId="3C9BF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C7865F">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BF5B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6BC8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829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党员规范作用</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E53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A0B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91A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级</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CA6C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2D4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D0E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95B1D">
            <w:pPr>
              <w:snapToGrid w:val="0"/>
              <w:jc w:val="center"/>
              <w:rPr>
                <w:rFonts w:hint="eastAsia" w:ascii="微软雅黑" w:hAnsi="微软雅黑" w:eastAsia="微软雅黑" w:cs="微软雅黑"/>
                <w:i/>
                <w:iCs/>
                <w:color w:val="000000"/>
                <w:sz w:val="16"/>
                <w:szCs w:val="16"/>
                <w:u w:val="none"/>
              </w:rPr>
            </w:pPr>
          </w:p>
        </w:tc>
      </w:tr>
      <w:tr w14:paraId="74B52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3F957">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DC8C10">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B828A2">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5E3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基层党建规范率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177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836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888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6A80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7D8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AE3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91ADF">
            <w:pPr>
              <w:snapToGrid w:val="0"/>
              <w:jc w:val="center"/>
              <w:rPr>
                <w:rFonts w:hint="eastAsia" w:ascii="微软雅黑" w:hAnsi="微软雅黑" w:eastAsia="微软雅黑" w:cs="微软雅黑"/>
                <w:i/>
                <w:iCs/>
                <w:color w:val="000000"/>
                <w:sz w:val="16"/>
                <w:szCs w:val="16"/>
                <w:u w:val="none"/>
              </w:rPr>
            </w:pPr>
          </w:p>
        </w:tc>
      </w:tr>
      <w:tr w14:paraId="10A98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6C910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106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47D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3E4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项目成本</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A5E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025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04A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75A5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6F2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0C2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BBAEE">
            <w:pPr>
              <w:snapToGrid w:val="0"/>
              <w:jc w:val="center"/>
              <w:rPr>
                <w:rFonts w:hint="eastAsia" w:ascii="微软雅黑" w:hAnsi="微软雅黑" w:eastAsia="微软雅黑" w:cs="微软雅黑"/>
                <w:i/>
                <w:iCs/>
                <w:color w:val="000000"/>
                <w:sz w:val="16"/>
                <w:szCs w:val="16"/>
                <w:u w:val="none"/>
              </w:rPr>
            </w:pPr>
          </w:p>
        </w:tc>
      </w:tr>
      <w:tr w14:paraId="333F2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7197F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5C0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0F866">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97</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7C834">
            <w:pPr>
              <w:snapToGrid w:val="0"/>
              <w:rPr>
                <w:rFonts w:hint="eastAsia" w:ascii="宋体" w:hAnsi="宋体" w:eastAsia="宋体" w:cs="宋体"/>
                <w:i w:val="0"/>
                <w:iCs w:val="0"/>
                <w:color w:val="000000"/>
                <w:sz w:val="18"/>
                <w:szCs w:val="18"/>
                <w:u w:val="none"/>
              </w:rPr>
            </w:pPr>
          </w:p>
        </w:tc>
      </w:tr>
      <w:tr w14:paraId="64ADA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2F8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BA6F982">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基本完成年初目标。基层党组织党建工作，助力基层党建工作，推进党建工作科学化、规范化、制度化，激励各党组织、广大党员发挥模范作用。自评得分97分。</w:t>
            </w:r>
          </w:p>
        </w:tc>
      </w:tr>
      <w:tr w14:paraId="73C2B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1B4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A13D646">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预算经济分类需更加细化。更加精准。</w:t>
            </w:r>
          </w:p>
        </w:tc>
      </w:tr>
      <w:tr w14:paraId="0386C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C66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D9B476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AA5E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AA7D12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项目负责人：杨丽弘</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8058D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0CA18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7E821B43">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59A95A9B">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376EEDAB">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62649DB1">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6B6B2F5">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293021CE">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3963EE19">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10BF87C9">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1B19C2BA">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337A6674">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4F746BC5">
            <w:pPr>
              <w:snapToGrid w:val="0"/>
              <w:rPr>
                <w:rFonts w:hint="eastAsia" w:ascii="宋体" w:hAnsi="宋体" w:eastAsia="宋体" w:cs="宋体"/>
                <w:i w:val="0"/>
                <w:iCs w:val="0"/>
                <w:color w:val="000000"/>
                <w:sz w:val="18"/>
                <w:szCs w:val="18"/>
                <w:u w:val="none"/>
              </w:rPr>
            </w:pPr>
          </w:p>
        </w:tc>
      </w:tr>
      <w:tr w14:paraId="1226C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2598B1F">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4CFDF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9A8BC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DA52BA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51088924T000011659866-下西2024年森林防火经费</w:t>
            </w:r>
          </w:p>
        </w:tc>
      </w:tr>
      <w:tr w14:paraId="78C52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4464F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8BCA84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0D52875E">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6653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7DB8B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CD66E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AA38F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5219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B0741C9">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54A7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6C6D47">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7A597A">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0D3E5B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防火宣传4次，日常检查，确保辖区全年无重大安全火灾事故</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7024EAD">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全年防火检查50余次，共计100余人次。未造成火灾损失。</w:t>
            </w:r>
          </w:p>
        </w:tc>
      </w:tr>
      <w:tr w14:paraId="2DC16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51F445">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EF62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A7476AE">
            <w:pPr>
              <w:snapToGrid w:val="0"/>
              <w:rPr>
                <w:rFonts w:hint="eastAsia" w:ascii="宋体" w:hAnsi="宋体" w:eastAsia="宋体" w:cs="宋体"/>
                <w:i w:val="0"/>
                <w:iCs w:val="0"/>
                <w:color w:val="000000"/>
                <w:sz w:val="18"/>
                <w:szCs w:val="18"/>
                <w:u w:val="none"/>
              </w:rPr>
            </w:pPr>
          </w:p>
        </w:tc>
      </w:tr>
      <w:tr w14:paraId="7A6B9E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AC12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5E1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587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B9A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314C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378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19D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0A0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8CC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F084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FD651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282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1A1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E75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CAF9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967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C43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D6F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1F16F1">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EDC43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6B532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460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267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0A5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D87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83B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E5A4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960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70B01B">
            <w:pPr>
              <w:snapToGrid w:val="0"/>
              <w:rPr>
                <w:rFonts w:hint="eastAsia" w:ascii="黑体" w:hAnsi="黑体" w:eastAsia="黑体" w:cs="黑体"/>
                <w:i/>
                <w:iCs/>
                <w:color w:val="000000"/>
                <w:sz w:val="18"/>
                <w:szCs w:val="18"/>
                <w:u w:val="none"/>
              </w:rPr>
            </w:pPr>
          </w:p>
        </w:tc>
      </w:tr>
      <w:tr w14:paraId="0AF191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E346B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607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72C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7F3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132B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D9D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972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FDA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D8E0A5">
            <w:pPr>
              <w:snapToGrid w:val="0"/>
              <w:rPr>
                <w:rFonts w:hint="eastAsia" w:ascii="黑体" w:hAnsi="黑体" w:eastAsia="黑体" w:cs="黑体"/>
                <w:i/>
                <w:iCs/>
                <w:color w:val="000000"/>
                <w:sz w:val="18"/>
                <w:szCs w:val="18"/>
                <w:u w:val="none"/>
              </w:rPr>
            </w:pPr>
          </w:p>
        </w:tc>
      </w:tr>
      <w:tr w14:paraId="1E8E8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83D32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6DC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0084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689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2590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9D7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208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1EE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09D8C3">
            <w:pPr>
              <w:snapToGrid w:val="0"/>
              <w:rPr>
                <w:rFonts w:hint="eastAsia" w:ascii="黑体" w:hAnsi="黑体" w:eastAsia="黑体" w:cs="黑体"/>
                <w:i/>
                <w:iCs/>
                <w:color w:val="000000"/>
                <w:sz w:val="18"/>
                <w:szCs w:val="18"/>
                <w:u w:val="none"/>
              </w:rPr>
            </w:pPr>
          </w:p>
        </w:tc>
      </w:tr>
      <w:tr w14:paraId="06DDF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A3D82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946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EE80A">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7B586">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E91A3A">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2DCB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582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003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582ECB">
            <w:pPr>
              <w:snapToGrid w:val="0"/>
              <w:rPr>
                <w:rFonts w:hint="eastAsia" w:ascii="黑体" w:hAnsi="黑体" w:eastAsia="黑体" w:cs="黑体"/>
                <w:i/>
                <w:iCs/>
                <w:color w:val="000000"/>
                <w:sz w:val="18"/>
                <w:szCs w:val="18"/>
                <w:u w:val="none"/>
              </w:rPr>
            </w:pPr>
          </w:p>
        </w:tc>
      </w:tr>
      <w:tr w14:paraId="66B51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5800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7DE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941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DFA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4B4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A76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DC5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DC0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565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6E7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42C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04572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C04D0C">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1565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598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A2E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防火宣传活动次数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A89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B83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F4B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607A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B48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116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548BE">
            <w:pPr>
              <w:snapToGrid w:val="0"/>
              <w:jc w:val="center"/>
              <w:rPr>
                <w:rFonts w:hint="eastAsia" w:ascii="微软雅黑" w:hAnsi="微软雅黑" w:eastAsia="微软雅黑" w:cs="微软雅黑"/>
                <w:i/>
                <w:iCs/>
                <w:color w:val="000000"/>
                <w:sz w:val="16"/>
                <w:szCs w:val="16"/>
                <w:u w:val="none"/>
              </w:rPr>
            </w:pPr>
          </w:p>
        </w:tc>
      </w:tr>
      <w:tr w14:paraId="7DA8C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963CE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4C4206">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09C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5D4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公众知晓率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076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D3C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350D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8FAF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07F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F69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D4340">
            <w:pPr>
              <w:snapToGrid w:val="0"/>
              <w:jc w:val="center"/>
              <w:rPr>
                <w:rFonts w:hint="eastAsia" w:ascii="微软雅黑" w:hAnsi="微软雅黑" w:eastAsia="微软雅黑" w:cs="微软雅黑"/>
                <w:i/>
                <w:iCs/>
                <w:color w:val="000000"/>
                <w:sz w:val="16"/>
                <w:szCs w:val="16"/>
                <w:u w:val="none"/>
              </w:rPr>
            </w:pPr>
          </w:p>
        </w:tc>
      </w:tr>
      <w:tr w14:paraId="5E82F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BD55C7">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30DAA2">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DE0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790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765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997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863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6848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CEF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F16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912B3">
            <w:pPr>
              <w:snapToGrid w:val="0"/>
              <w:jc w:val="center"/>
              <w:rPr>
                <w:rFonts w:hint="eastAsia" w:ascii="微软雅黑" w:hAnsi="微软雅黑" w:eastAsia="微软雅黑" w:cs="微软雅黑"/>
                <w:i/>
                <w:iCs/>
                <w:color w:val="000000"/>
                <w:sz w:val="16"/>
                <w:szCs w:val="16"/>
                <w:u w:val="none"/>
              </w:rPr>
            </w:pPr>
          </w:p>
        </w:tc>
      </w:tr>
      <w:tr w14:paraId="28F442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C33F00">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EA14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96D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89A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森林火灾损失率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219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9CE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AD4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FA5D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573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7E4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53AE6">
            <w:pPr>
              <w:snapToGrid w:val="0"/>
              <w:jc w:val="center"/>
              <w:rPr>
                <w:rFonts w:hint="eastAsia" w:ascii="微软雅黑" w:hAnsi="微软雅黑" w:eastAsia="微软雅黑" w:cs="微软雅黑"/>
                <w:i/>
                <w:iCs/>
                <w:color w:val="000000"/>
                <w:sz w:val="16"/>
                <w:szCs w:val="16"/>
                <w:u w:val="none"/>
              </w:rPr>
            </w:pPr>
          </w:p>
        </w:tc>
      </w:tr>
      <w:tr w14:paraId="767D7B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EFD6C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1AAADD">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60B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生态效益指标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8D6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森林火灾事故</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57C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949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F41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4302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32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BDC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13ED8">
            <w:pPr>
              <w:snapToGrid w:val="0"/>
              <w:jc w:val="center"/>
              <w:rPr>
                <w:rFonts w:hint="eastAsia" w:ascii="微软雅黑" w:hAnsi="微软雅黑" w:eastAsia="微软雅黑" w:cs="微软雅黑"/>
                <w:i/>
                <w:iCs/>
                <w:color w:val="000000"/>
                <w:sz w:val="16"/>
                <w:szCs w:val="16"/>
                <w:u w:val="none"/>
              </w:rPr>
            </w:pPr>
          </w:p>
        </w:tc>
      </w:tr>
      <w:tr w14:paraId="71ACF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FEC7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2AB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DE8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910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项目成本</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617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E0C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C8D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6BC7D">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329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D77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E386C">
            <w:pPr>
              <w:snapToGrid w:val="0"/>
              <w:jc w:val="center"/>
              <w:rPr>
                <w:rFonts w:hint="eastAsia" w:ascii="微软雅黑" w:hAnsi="微软雅黑" w:eastAsia="微软雅黑" w:cs="微软雅黑"/>
                <w:i/>
                <w:iCs/>
                <w:color w:val="000000"/>
                <w:sz w:val="16"/>
                <w:szCs w:val="16"/>
                <w:u w:val="none"/>
              </w:rPr>
            </w:pPr>
          </w:p>
        </w:tc>
      </w:tr>
      <w:tr w14:paraId="03710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6A35CB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BD4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4F239">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D0A22">
            <w:pPr>
              <w:snapToGrid w:val="0"/>
              <w:rPr>
                <w:rFonts w:hint="eastAsia" w:ascii="宋体" w:hAnsi="宋体" w:eastAsia="宋体" w:cs="宋体"/>
                <w:i w:val="0"/>
                <w:iCs w:val="0"/>
                <w:color w:val="000000"/>
                <w:sz w:val="18"/>
                <w:szCs w:val="18"/>
                <w:u w:val="none"/>
              </w:rPr>
            </w:pPr>
          </w:p>
        </w:tc>
      </w:tr>
      <w:tr w14:paraId="0D6C9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398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D12887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保障辖区内森林防火工作正常有序开展，完成年初目标。自评得分100分。</w:t>
            </w:r>
          </w:p>
        </w:tc>
      </w:tr>
      <w:tr w14:paraId="6514A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82FB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0DE3D87">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因辖区森林面积广，检查范围还存在涉及不到的地方。</w:t>
            </w:r>
          </w:p>
        </w:tc>
      </w:tr>
      <w:tr w14:paraId="19AFE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F7E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20C1C23">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建议对街道、村、及护林员加强培训，提升防火意识。</w:t>
            </w:r>
          </w:p>
        </w:tc>
      </w:tr>
      <w:tr w14:paraId="4F6E08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51F8809">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项目负责人：刘海</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71761F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7543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7D618F0D">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7A611522">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014828F7">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5336BEF3">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0F33963F">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62281427">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0EAE3B57">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4FB010BE">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60010FB0">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0CDAF8E2">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50B0AC6C">
            <w:pPr>
              <w:snapToGrid w:val="0"/>
              <w:rPr>
                <w:rFonts w:hint="eastAsia" w:ascii="宋体" w:hAnsi="宋体" w:eastAsia="宋体" w:cs="宋体"/>
                <w:i w:val="0"/>
                <w:iCs w:val="0"/>
                <w:color w:val="000000"/>
                <w:sz w:val="18"/>
                <w:szCs w:val="18"/>
                <w:u w:val="none"/>
              </w:rPr>
            </w:pPr>
          </w:p>
        </w:tc>
      </w:tr>
      <w:tr w14:paraId="05970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47D5901">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03BFE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ED83D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B50931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51088924T000011659885-下西2024年防汛经费</w:t>
            </w:r>
          </w:p>
        </w:tc>
      </w:tr>
      <w:tr w14:paraId="6C137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D39C3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5E4FB4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63912CBA">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CEB2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63927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672DD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F298E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60C55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8BDFEC9">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74AF0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767A2F">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3EEDFC">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FF3160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购买防汛物资10件，汛期值守150天，及时排查险情，完成防汛工作目标任务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713C082">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防汛值班150余天，检查20余次，完善应急物质储备。</w:t>
            </w:r>
          </w:p>
        </w:tc>
      </w:tr>
      <w:tr w14:paraId="33E3F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75390">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C969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1DED369">
            <w:pPr>
              <w:snapToGrid w:val="0"/>
              <w:rPr>
                <w:rFonts w:hint="eastAsia" w:ascii="宋体" w:hAnsi="宋体" w:eastAsia="宋体" w:cs="宋体"/>
                <w:i w:val="0"/>
                <w:iCs w:val="0"/>
                <w:color w:val="000000"/>
                <w:sz w:val="18"/>
                <w:szCs w:val="18"/>
                <w:u w:val="none"/>
              </w:rPr>
            </w:pPr>
          </w:p>
        </w:tc>
      </w:tr>
      <w:tr w14:paraId="500EB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5E60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2CF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9C9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F23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7304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54F5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131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E80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0F7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47322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9F6BE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E84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45E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378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E93D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A26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ED1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1E2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16F08E">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A7813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6D854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B3E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601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E8B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D7B8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B92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FA6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9F3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B591B9">
            <w:pPr>
              <w:snapToGrid w:val="0"/>
              <w:rPr>
                <w:rFonts w:hint="eastAsia" w:ascii="黑体" w:hAnsi="黑体" w:eastAsia="黑体" w:cs="黑体"/>
                <w:i/>
                <w:iCs/>
                <w:color w:val="000000"/>
                <w:sz w:val="18"/>
                <w:szCs w:val="18"/>
                <w:u w:val="none"/>
              </w:rPr>
            </w:pPr>
          </w:p>
        </w:tc>
      </w:tr>
      <w:tr w14:paraId="648E6C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FB75C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533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239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F6C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0364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263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2B9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885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255AE">
            <w:pPr>
              <w:snapToGrid w:val="0"/>
              <w:rPr>
                <w:rFonts w:hint="eastAsia" w:ascii="黑体" w:hAnsi="黑体" w:eastAsia="黑体" w:cs="黑体"/>
                <w:i/>
                <w:iCs/>
                <w:color w:val="000000"/>
                <w:sz w:val="18"/>
                <w:szCs w:val="18"/>
                <w:u w:val="none"/>
              </w:rPr>
            </w:pPr>
          </w:p>
        </w:tc>
      </w:tr>
      <w:tr w14:paraId="35589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86A6D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AE1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2E9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784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7819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2F0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385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ACA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A2F9D9">
            <w:pPr>
              <w:snapToGrid w:val="0"/>
              <w:rPr>
                <w:rFonts w:hint="eastAsia" w:ascii="黑体" w:hAnsi="黑体" w:eastAsia="黑体" w:cs="黑体"/>
                <w:i/>
                <w:iCs/>
                <w:color w:val="000000"/>
                <w:sz w:val="18"/>
                <w:szCs w:val="18"/>
                <w:u w:val="none"/>
              </w:rPr>
            </w:pPr>
          </w:p>
        </w:tc>
      </w:tr>
      <w:tr w14:paraId="76F35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D7F19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0D16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F3065">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D3AAC">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DF6A30">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8C4F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891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E6A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800801">
            <w:pPr>
              <w:snapToGrid w:val="0"/>
              <w:rPr>
                <w:rFonts w:hint="eastAsia" w:ascii="黑体" w:hAnsi="黑体" w:eastAsia="黑体" w:cs="黑体"/>
                <w:i/>
                <w:iCs/>
                <w:color w:val="000000"/>
                <w:sz w:val="18"/>
                <w:szCs w:val="18"/>
                <w:u w:val="none"/>
              </w:rPr>
            </w:pPr>
          </w:p>
        </w:tc>
      </w:tr>
      <w:tr w14:paraId="5E278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EADB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E4D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39B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AFF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A29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3B2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A6A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729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E52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3CA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AA4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2242D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5BD695">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7373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3A11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940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购买防汛物资.</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96B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C35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231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件</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B7DA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DFA1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421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5A71F">
            <w:pPr>
              <w:snapToGrid w:val="0"/>
              <w:jc w:val="center"/>
              <w:rPr>
                <w:rFonts w:hint="eastAsia" w:ascii="微软雅黑" w:hAnsi="微软雅黑" w:eastAsia="微软雅黑" w:cs="微软雅黑"/>
                <w:i/>
                <w:iCs/>
                <w:color w:val="000000"/>
                <w:sz w:val="16"/>
                <w:szCs w:val="16"/>
                <w:u w:val="none"/>
              </w:rPr>
            </w:pPr>
          </w:p>
        </w:tc>
      </w:tr>
      <w:tr w14:paraId="16F05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BB858B">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52EF2D">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BB7F45">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BDF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汛期值守天数.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1C0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176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77F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天</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1840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741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E17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DB2C5">
            <w:pPr>
              <w:snapToGrid w:val="0"/>
              <w:jc w:val="center"/>
              <w:rPr>
                <w:rFonts w:hint="eastAsia" w:ascii="微软雅黑" w:hAnsi="微软雅黑" w:eastAsia="微软雅黑" w:cs="微软雅黑"/>
                <w:i/>
                <w:iCs/>
                <w:color w:val="000000"/>
                <w:sz w:val="16"/>
                <w:szCs w:val="16"/>
                <w:u w:val="none"/>
              </w:rPr>
            </w:pPr>
          </w:p>
        </w:tc>
      </w:tr>
      <w:tr w14:paraId="2D109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785225">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29402">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E4CD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98F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EE3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0308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A51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7E94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2B0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946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E736E">
            <w:pPr>
              <w:snapToGrid w:val="0"/>
              <w:jc w:val="center"/>
              <w:rPr>
                <w:rFonts w:hint="eastAsia" w:ascii="微软雅黑" w:hAnsi="微软雅黑" w:eastAsia="微软雅黑" w:cs="微软雅黑"/>
                <w:i/>
                <w:iCs/>
                <w:color w:val="000000"/>
                <w:sz w:val="16"/>
                <w:szCs w:val="16"/>
                <w:u w:val="none"/>
              </w:rPr>
            </w:pPr>
          </w:p>
        </w:tc>
      </w:tr>
      <w:tr w14:paraId="0A48E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81245C">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BA719E">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02281D">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7E1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防汛值班在岗率.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386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3A3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336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4271C">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0B0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27A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56E40">
            <w:pPr>
              <w:snapToGrid w:val="0"/>
              <w:jc w:val="center"/>
              <w:rPr>
                <w:rFonts w:hint="eastAsia" w:ascii="微软雅黑" w:hAnsi="微软雅黑" w:eastAsia="微软雅黑" w:cs="微软雅黑"/>
                <w:i/>
                <w:iCs/>
                <w:color w:val="000000"/>
                <w:sz w:val="16"/>
                <w:szCs w:val="16"/>
                <w:u w:val="none"/>
              </w:rPr>
            </w:pPr>
          </w:p>
        </w:tc>
      </w:tr>
      <w:tr w14:paraId="0AAF38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CB1A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42997">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BAF4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542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防汛时间.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3B9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313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566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3E4D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7C8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449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C4D2F">
            <w:pPr>
              <w:snapToGrid w:val="0"/>
              <w:jc w:val="center"/>
              <w:rPr>
                <w:rFonts w:hint="eastAsia" w:ascii="微软雅黑" w:hAnsi="微软雅黑" w:eastAsia="微软雅黑" w:cs="微软雅黑"/>
                <w:i/>
                <w:iCs/>
                <w:color w:val="000000"/>
                <w:sz w:val="16"/>
                <w:szCs w:val="16"/>
                <w:u w:val="none"/>
              </w:rPr>
            </w:pPr>
          </w:p>
        </w:tc>
      </w:tr>
      <w:tr w14:paraId="7E8AA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34B822">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7A05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D1D2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A10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重大洪灾事故.</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67E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5C4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BAF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5301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658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B2A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99123">
            <w:pPr>
              <w:snapToGrid w:val="0"/>
              <w:jc w:val="center"/>
              <w:rPr>
                <w:rFonts w:hint="eastAsia" w:ascii="微软雅黑" w:hAnsi="微软雅黑" w:eastAsia="微软雅黑" w:cs="微软雅黑"/>
                <w:i/>
                <w:iCs/>
                <w:color w:val="000000"/>
                <w:sz w:val="16"/>
                <w:szCs w:val="16"/>
                <w:u w:val="none"/>
              </w:rPr>
            </w:pPr>
          </w:p>
        </w:tc>
      </w:tr>
      <w:tr w14:paraId="464FD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CC2E4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560BCB">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21BCD4">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537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火灾损失降低率.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B5F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2FD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606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712C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D18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7C1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BFFF0">
            <w:pPr>
              <w:snapToGrid w:val="0"/>
              <w:jc w:val="center"/>
              <w:rPr>
                <w:rFonts w:hint="eastAsia" w:ascii="微软雅黑" w:hAnsi="微软雅黑" w:eastAsia="微软雅黑" w:cs="微软雅黑"/>
                <w:i/>
                <w:iCs/>
                <w:color w:val="000000"/>
                <w:sz w:val="16"/>
                <w:szCs w:val="16"/>
                <w:u w:val="none"/>
              </w:rPr>
            </w:pPr>
          </w:p>
        </w:tc>
      </w:tr>
      <w:tr w14:paraId="2C9E0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97984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38B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CE3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1B0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项目成本.</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FFE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E52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9EE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D458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4AC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D91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3DF02">
            <w:pPr>
              <w:snapToGrid w:val="0"/>
              <w:jc w:val="center"/>
              <w:rPr>
                <w:rFonts w:hint="eastAsia" w:ascii="微软雅黑" w:hAnsi="微软雅黑" w:eastAsia="微软雅黑" w:cs="微软雅黑"/>
                <w:i/>
                <w:iCs/>
                <w:color w:val="000000"/>
                <w:sz w:val="16"/>
                <w:szCs w:val="16"/>
                <w:u w:val="none"/>
              </w:rPr>
            </w:pPr>
          </w:p>
        </w:tc>
      </w:tr>
      <w:tr w14:paraId="0B05C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8CECC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694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C7DFF">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5EBEA">
            <w:pPr>
              <w:snapToGrid w:val="0"/>
              <w:rPr>
                <w:rFonts w:hint="eastAsia" w:ascii="宋体" w:hAnsi="宋体" w:eastAsia="宋体" w:cs="宋体"/>
                <w:i w:val="0"/>
                <w:iCs w:val="0"/>
                <w:color w:val="000000"/>
                <w:sz w:val="18"/>
                <w:szCs w:val="18"/>
                <w:u w:val="none"/>
              </w:rPr>
            </w:pPr>
          </w:p>
        </w:tc>
      </w:tr>
      <w:tr w14:paraId="32553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501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E541343">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完成年初目标。自评得分100分.</w:t>
            </w:r>
          </w:p>
        </w:tc>
      </w:tr>
      <w:tr w14:paraId="0B4A5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7E7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AAD6E9D">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D58A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7BE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390436A">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4990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DF37302">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项目负责人：刘海</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8B8B047">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0045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3BB6294A">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67B19FB4">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5E4A933B">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5AD2A307">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E8DE250">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75F2CA0D">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E146F99">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7D01B833">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5ABC12BE">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5B598582">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0890825F">
            <w:pPr>
              <w:snapToGrid w:val="0"/>
              <w:rPr>
                <w:rFonts w:hint="eastAsia" w:ascii="宋体" w:hAnsi="宋体" w:eastAsia="宋体" w:cs="宋体"/>
                <w:i w:val="0"/>
                <w:iCs w:val="0"/>
                <w:color w:val="000000"/>
                <w:sz w:val="18"/>
                <w:szCs w:val="18"/>
                <w:u w:val="none"/>
              </w:rPr>
            </w:pPr>
          </w:p>
        </w:tc>
      </w:tr>
      <w:tr w14:paraId="12182A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26D20B8">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2240B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2EEBE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015842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51088924T000011659921-下西2024年法制经费</w:t>
            </w:r>
          </w:p>
        </w:tc>
      </w:tr>
      <w:tr w14:paraId="22D07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AF5BF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A6FC56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30FC78D8">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3871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30491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F68A0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3D31B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75F62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3358AF3">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3290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583AD6">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AA9800">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868A77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制作宣传展板2副，宣传2次，完成法制工作目标任务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AC0760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长期聘请法律顾问一名，规避法律风险较好，完成目标。</w:t>
            </w:r>
          </w:p>
        </w:tc>
      </w:tr>
      <w:tr w14:paraId="44578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55D485">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38D8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1059645">
            <w:pPr>
              <w:snapToGrid w:val="0"/>
              <w:rPr>
                <w:rFonts w:hint="eastAsia" w:ascii="宋体" w:hAnsi="宋体" w:eastAsia="宋体" w:cs="宋体"/>
                <w:i w:val="0"/>
                <w:iCs w:val="0"/>
                <w:color w:val="000000"/>
                <w:sz w:val="18"/>
                <w:szCs w:val="18"/>
                <w:u w:val="none"/>
              </w:rPr>
            </w:pPr>
          </w:p>
        </w:tc>
      </w:tr>
      <w:tr w14:paraId="7B018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EB87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2771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795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1F6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3E2E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067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04A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58C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72A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1C570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95FF1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814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7D5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8CF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74E08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D6A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0DF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E1AC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00083A">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9CDA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470E4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0BD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DB8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BD2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1E09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D534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740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940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12A199">
            <w:pPr>
              <w:snapToGrid w:val="0"/>
              <w:rPr>
                <w:rFonts w:hint="eastAsia" w:ascii="黑体" w:hAnsi="黑体" w:eastAsia="黑体" w:cs="黑体"/>
                <w:i/>
                <w:iCs/>
                <w:color w:val="000000"/>
                <w:sz w:val="18"/>
                <w:szCs w:val="18"/>
                <w:u w:val="none"/>
              </w:rPr>
            </w:pPr>
          </w:p>
        </w:tc>
      </w:tr>
      <w:tr w14:paraId="3C969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2942C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6B2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086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A5A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C404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EF7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AFE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311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BFA62">
            <w:pPr>
              <w:snapToGrid w:val="0"/>
              <w:rPr>
                <w:rFonts w:hint="eastAsia" w:ascii="黑体" w:hAnsi="黑体" w:eastAsia="黑体" w:cs="黑体"/>
                <w:i/>
                <w:iCs/>
                <w:color w:val="000000"/>
                <w:sz w:val="18"/>
                <w:szCs w:val="18"/>
                <w:u w:val="none"/>
              </w:rPr>
            </w:pPr>
          </w:p>
        </w:tc>
      </w:tr>
      <w:tr w14:paraId="068E6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8C1C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DCF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5A0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FDD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25DC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6AD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B7E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C97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6A25B6">
            <w:pPr>
              <w:snapToGrid w:val="0"/>
              <w:rPr>
                <w:rFonts w:hint="eastAsia" w:ascii="黑体" w:hAnsi="黑体" w:eastAsia="黑体" w:cs="黑体"/>
                <w:i/>
                <w:iCs/>
                <w:color w:val="000000"/>
                <w:sz w:val="18"/>
                <w:szCs w:val="18"/>
                <w:u w:val="none"/>
              </w:rPr>
            </w:pPr>
          </w:p>
        </w:tc>
      </w:tr>
      <w:tr w14:paraId="03A73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112EF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201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EE8EE">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4E5BF">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0074C9">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D265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0BD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17F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8938E">
            <w:pPr>
              <w:snapToGrid w:val="0"/>
              <w:rPr>
                <w:rFonts w:hint="eastAsia" w:ascii="黑体" w:hAnsi="黑体" w:eastAsia="黑体" w:cs="黑体"/>
                <w:i/>
                <w:iCs/>
                <w:color w:val="000000"/>
                <w:sz w:val="18"/>
                <w:szCs w:val="18"/>
                <w:u w:val="none"/>
              </w:rPr>
            </w:pPr>
          </w:p>
        </w:tc>
      </w:tr>
      <w:tr w14:paraId="38235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B15AE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3AB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453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C04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003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C68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F1B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57D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993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3C2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897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6F54B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9C53F7">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1B4D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A373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150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制作宣传展板</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07A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A88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606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幅</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8737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A32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59C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04D8C">
            <w:pPr>
              <w:snapToGrid w:val="0"/>
              <w:jc w:val="center"/>
              <w:rPr>
                <w:rFonts w:hint="eastAsia" w:ascii="微软雅黑" w:hAnsi="微软雅黑" w:eastAsia="微软雅黑" w:cs="微软雅黑"/>
                <w:i/>
                <w:iCs/>
                <w:color w:val="000000"/>
                <w:sz w:val="16"/>
                <w:szCs w:val="16"/>
                <w:u w:val="none"/>
              </w:rPr>
            </w:pPr>
          </w:p>
        </w:tc>
      </w:tr>
      <w:tr w14:paraId="238B1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DB573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9C523">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E26A80">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D39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法制宣传次数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B79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2DE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058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42BA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A709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273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A5244">
            <w:pPr>
              <w:snapToGrid w:val="0"/>
              <w:jc w:val="center"/>
              <w:rPr>
                <w:rFonts w:hint="eastAsia" w:ascii="微软雅黑" w:hAnsi="微软雅黑" w:eastAsia="微软雅黑" w:cs="微软雅黑"/>
                <w:i/>
                <w:iCs/>
                <w:color w:val="000000"/>
                <w:sz w:val="16"/>
                <w:szCs w:val="16"/>
                <w:u w:val="none"/>
              </w:rPr>
            </w:pPr>
          </w:p>
        </w:tc>
      </w:tr>
      <w:tr w14:paraId="1C880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81519">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E68032">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288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215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法制宣传覆盖率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258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7AB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4B5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65D9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655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9F3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81290">
            <w:pPr>
              <w:snapToGrid w:val="0"/>
              <w:jc w:val="center"/>
              <w:rPr>
                <w:rFonts w:hint="eastAsia" w:ascii="微软雅黑" w:hAnsi="微软雅黑" w:eastAsia="微软雅黑" w:cs="微软雅黑"/>
                <w:i/>
                <w:iCs/>
                <w:color w:val="000000"/>
                <w:sz w:val="16"/>
                <w:szCs w:val="16"/>
                <w:u w:val="none"/>
              </w:rPr>
            </w:pPr>
          </w:p>
        </w:tc>
      </w:tr>
      <w:tr w14:paraId="3A674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354F05">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A9F4A1">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A9B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497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04D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A65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D82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58F49">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675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AF4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0939C">
            <w:pPr>
              <w:snapToGrid w:val="0"/>
              <w:jc w:val="center"/>
              <w:rPr>
                <w:rFonts w:hint="eastAsia" w:ascii="微软雅黑" w:hAnsi="微软雅黑" w:eastAsia="微软雅黑" w:cs="微软雅黑"/>
                <w:i/>
                <w:iCs/>
                <w:color w:val="000000"/>
                <w:sz w:val="16"/>
                <w:szCs w:val="16"/>
                <w:u w:val="none"/>
              </w:rPr>
            </w:pPr>
          </w:p>
        </w:tc>
      </w:tr>
      <w:tr w14:paraId="61D75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5F9F8E">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075B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B5A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7A6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法制知识知晓率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FA3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3E2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FFF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1B71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28F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A34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08240">
            <w:pPr>
              <w:snapToGrid w:val="0"/>
              <w:jc w:val="center"/>
              <w:rPr>
                <w:rFonts w:hint="eastAsia" w:ascii="微软雅黑" w:hAnsi="微软雅黑" w:eastAsia="微软雅黑" w:cs="微软雅黑"/>
                <w:i/>
                <w:iCs/>
                <w:color w:val="000000"/>
                <w:sz w:val="16"/>
                <w:szCs w:val="16"/>
                <w:u w:val="none"/>
              </w:rPr>
            </w:pPr>
          </w:p>
        </w:tc>
      </w:tr>
      <w:tr w14:paraId="3492C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F73018">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70E9C">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4C5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46A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依法办事</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CF0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9856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长期</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2C5CC">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6C90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062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344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7657E">
            <w:pPr>
              <w:snapToGrid w:val="0"/>
              <w:jc w:val="center"/>
              <w:rPr>
                <w:rFonts w:hint="eastAsia" w:ascii="微软雅黑" w:hAnsi="微软雅黑" w:eastAsia="微软雅黑" w:cs="微软雅黑"/>
                <w:i/>
                <w:iCs/>
                <w:color w:val="000000"/>
                <w:sz w:val="16"/>
                <w:szCs w:val="16"/>
                <w:u w:val="none"/>
              </w:rPr>
            </w:pPr>
          </w:p>
        </w:tc>
      </w:tr>
      <w:tr w14:paraId="01F13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C5559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92E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8A0B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EAA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346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DB5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571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21D5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75A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6A5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5DC0C">
            <w:pPr>
              <w:snapToGrid w:val="0"/>
              <w:jc w:val="center"/>
              <w:rPr>
                <w:rFonts w:hint="eastAsia" w:ascii="微软雅黑" w:hAnsi="微软雅黑" w:eastAsia="微软雅黑" w:cs="微软雅黑"/>
                <w:i/>
                <w:iCs/>
                <w:color w:val="000000"/>
                <w:sz w:val="16"/>
                <w:szCs w:val="16"/>
                <w:u w:val="none"/>
              </w:rPr>
            </w:pPr>
          </w:p>
        </w:tc>
      </w:tr>
      <w:tr w14:paraId="1DF56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7A785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5B3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C1F3F">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F6263">
            <w:pPr>
              <w:snapToGrid w:val="0"/>
              <w:rPr>
                <w:rFonts w:hint="eastAsia" w:ascii="宋体" w:hAnsi="宋体" w:eastAsia="宋体" w:cs="宋体"/>
                <w:i w:val="0"/>
                <w:iCs w:val="0"/>
                <w:color w:val="000000"/>
                <w:sz w:val="18"/>
                <w:szCs w:val="18"/>
                <w:u w:val="none"/>
              </w:rPr>
            </w:pPr>
          </w:p>
        </w:tc>
      </w:tr>
      <w:tr w14:paraId="38F0F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D12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4B77009">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年初目标完成，执行进度略缓，自评得分100分</w:t>
            </w:r>
          </w:p>
        </w:tc>
      </w:tr>
      <w:tr w14:paraId="159CD2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604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83DA2AB">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1CEF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20D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FFA890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EBC2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F2E48D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项目负责人：贯小春</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B2E96A">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3AF26D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0EAF026A">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3725CADA">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598F4B03">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10EE4A2D">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48172B09">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1E25CD68">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78A7DC42">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5D0E1AEC">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6B29BDC7">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1FE8C7D8">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7128FF13">
            <w:pPr>
              <w:snapToGrid w:val="0"/>
              <w:rPr>
                <w:rFonts w:hint="eastAsia" w:ascii="宋体" w:hAnsi="宋体" w:eastAsia="宋体" w:cs="宋体"/>
                <w:i w:val="0"/>
                <w:iCs w:val="0"/>
                <w:color w:val="000000"/>
                <w:sz w:val="18"/>
                <w:szCs w:val="18"/>
                <w:u w:val="none"/>
              </w:rPr>
            </w:pPr>
          </w:p>
        </w:tc>
      </w:tr>
      <w:tr w14:paraId="7DE47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838B034">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1F447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F6BCD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BD2927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51088924T000011659936-下西2024年纪委、监察工作经费</w:t>
            </w:r>
          </w:p>
        </w:tc>
      </w:tr>
      <w:tr w14:paraId="188523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93DDE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20B603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5041BC5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63D2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634018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9791C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E9996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7C8D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4D168FC">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AAC0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5F7CB6">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B33AF">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39B257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调查4次，审查立案2次，完成下达工作目标任务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07858B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全年督查辖区村社30余次，解决群众急难愁盼问题39件。政治生态良好。</w:t>
            </w:r>
          </w:p>
        </w:tc>
      </w:tr>
      <w:tr w14:paraId="5C092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B0272E">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7B58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D05E13E">
            <w:pPr>
              <w:snapToGrid w:val="0"/>
              <w:rPr>
                <w:rFonts w:hint="eastAsia" w:ascii="宋体" w:hAnsi="宋体" w:eastAsia="宋体" w:cs="宋体"/>
                <w:i w:val="0"/>
                <w:iCs w:val="0"/>
                <w:color w:val="000000"/>
                <w:sz w:val="18"/>
                <w:szCs w:val="18"/>
                <w:u w:val="none"/>
              </w:rPr>
            </w:pPr>
          </w:p>
        </w:tc>
      </w:tr>
      <w:tr w14:paraId="5D102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4478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119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40F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433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465D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06F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EB6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831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1A6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5DD9F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BEAB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BEE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88B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B94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326D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463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CDA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7EF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7FC6E7">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3AC01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9345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CB9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288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2BD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BC61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001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EEB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82C5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25C070">
            <w:pPr>
              <w:snapToGrid w:val="0"/>
              <w:rPr>
                <w:rFonts w:hint="eastAsia" w:ascii="黑体" w:hAnsi="黑体" w:eastAsia="黑体" w:cs="黑体"/>
                <w:i/>
                <w:iCs/>
                <w:color w:val="000000"/>
                <w:sz w:val="18"/>
                <w:szCs w:val="18"/>
                <w:u w:val="none"/>
              </w:rPr>
            </w:pPr>
          </w:p>
        </w:tc>
      </w:tr>
      <w:tr w14:paraId="6DF47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D7216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60B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18D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1A1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C7BF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8B5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466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25D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619C13">
            <w:pPr>
              <w:snapToGrid w:val="0"/>
              <w:rPr>
                <w:rFonts w:hint="eastAsia" w:ascii="黑体" w:hAnsi="黑体" w:eastAsia="黑体" w:cs="黑体"/>
                <w:i/>
                <w:iCs/>
                <w:color w:val="000000"/>
                <w:sz w:val="18"/>
                <w:szCs w:val="18"/>
                <w:u w:val="none"/>
              </w:rPr>
            </w:pPr>
          </w:p>
        </w:tc>
      </w:tr>
      <w:tr w14:paraId="49B24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F5A3F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E3A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6AA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DDA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51AF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D8B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094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FD1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4DA01">
            <w:pPr>
              <w:snapToGrid w:val="0"/>
              <w:rPr>
                <w:rFonts w:hint="eastAsia" w:ascii="黑体" w:hAnsi="黑体" w:eastAsia="黑体" w:cs="黑体"/>
                <w:i/>
                <w:iCs/>
                <w:color w:val="000000"/>
                <w:sz w:val="18"/>
                <w:szCs w:val="18"/>
                <w:u w:val="none"/>
              </w:rPr>
            </w:pPr>
          </w:p>
        </w:tc>
      </w:tr>
      <w:tr w14:paraId="20193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EE865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E10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0F0AD">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AB509">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39490A">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3CA2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C6A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193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EA2EE7">
            <w:pPr>
              <w:snapToGrid w:val="0"/>
              <w:rPr>
                <w:rFonts w:hint="eastAsia" w:ascii="黑体" w:hAnsi="黑体" w:eastAsia="黑体" w:cs="黑体"/>
                <w:i/>
                <w:iCs/>
                <w:color w:val="000000"/>
                <w:sz w:val="18"/>
                <w:szCs w:val="18"/>
                <w:u w:val="none"/>
              </w:rPr>
            </w:pPr>
          </w:p>
        </w:tc>
      </w:tr>
      <w:tr w14:paraId="65082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A826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BC6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014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FBC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956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D91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D40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022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598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60C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32C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3ED5F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92FCE1">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AECE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91CE6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01FD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调查次数.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F65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E88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17D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7A8F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70E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170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F97B7">
            <w:pPr>
              <w:snapToGrid w:val="0"/>
              <w:jc w:val="center"/>
              <w:rPr>
                <w:rFonts w:hint="eastAsia" w:ascii="微软雅黑" w:hAnsi="微软雅黑" w:eastAsia="微软雅黑" w:cs="微软雅黑"/>
                <w:i/>
                <w:iCs/>
                <w:color w:val="000000"/>
                <w:sz w:val="16"/>
                <w:szCs w:val="16"/>
                <w:u w:val="none"/>
              </w:rPr>
            </w:pPr>
          </w:p>
        </w:tc>
      </w:tr>
      <w:tr w14:paraId="523B7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4E33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431AF9">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CD608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778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审查立案次数.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C42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1B3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5E1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6A39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F09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E7E4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7C951">
            <w:pPr>
              <w:snapToGrid w:val="0"/>
              <w:jc w:val="center"/>
              <w:rPr>
                <w:rFonts w:hint="eastAsia" w:ascii="微软雅黑" w:hAnsi="微软雅黑" w:eastAsia="微软雅黑" w:cs="微软雅黑"/>
                <w:i/>
                <w:iCs/>
                <w:color w:val="000000"/>
                <w:sz w:val="16"/>
                <w:szCs w:val="16"/>
                <w:u w:val="none"/>
              </w:rPr>
            </w:pPr>
          </w:p>
        </w:tc>
      </w:tr>
      <w:tr w14:paraId="22552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1BAD7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4AEEF6">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1415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F77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问题线索处置率.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34E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738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7AE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1497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5B0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34A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4F318">
            <w:pPr>
              <w:snapToGrid w:val="0"/>
              <w:jc w:val="center"/>
              <w:rPr>
                <w:rFonts w:hint="eastAsia" w:ascii="微软雅黑" w:hAnsi="微软雅黑" w:eastAsia="微软雅黑" w:cs="微软雅黑"/>
                <w:i/>
                <w:iCs/>
                <w:color w:val="000000"/>
                <w:sz w:val="16"/>
                <w:szCs w:val="16"/>
                <w:u w:val="none"/>
              </w:rPr>
            </w:pPr>
          </w:p>
        </w:tc>
      </w:tr>
      <w:tr w14:paraId="57E43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41D207">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2F6E1">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62D562">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34D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立案及时率.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E66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08D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31B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480D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F6B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E81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D923A">
            <w:pPr>
              <w:snapToGrid w:val="0"/>
              <w:jc w:val="center"/>
              <w:rPr>
                <w:rFonts w:hint="eastAsia" w:ascii="微软雅黑" w:hAnsi="微软雅黑" w:eastAsia="微软雅黑" w:cs="微软雅黑"/>
                <w:i/>
                <w:iCs/>
                <w:color w:val="000000"/>
                <w:sz w:val="16"/>
                <w:szCs w:val="16"/>
                <w:u w:val="none"/>
              </w:rPr>
            </w:pPr>
          </w:p>
        </w:tc>
      </w:tr>
      <w:tr w14:paraId="323873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93107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FA369">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410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77C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案件上报时限</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7FF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925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025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天</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0D32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A11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2C4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6E422">
            <w:pPr>
              <w:snapToGrid w:val="0"/>
              <w:jc w:val="center"/>
              <w:rPr>
                <w:rFonts w:hint="eastAsia" w:ascii="微软雅黑" w:hAnsi="微软雅黑" w:eastAsia="微软雅黑" w:cs="微软雅黑"/>
                <w:i/>
                <w:iCs/>
                <w:color w:val="000000"/>
                <w:sz w:val="16"/>
                <w:szCs w:val="16"/>
                <w:u w:val="none"/>
              </w:rPr>
            </w:pPr>
          </w:p>
        </w:tc>
      </w:tr>
      <w:tr w14:paraId="50007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CD8BA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C80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B48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C07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违纪线索查处率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0BC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6C5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E10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DC20D">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6D4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418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6C552">
            <w:pPr>
              <w:snapToGrid w:val="0"/>
              <w:jc w:val="center"/>
              <w:rPr>
                <w:rFonts w:hint="eastAsia" w:ascii="微软雅黑" w:hAnsi="微软雅黑" w:eastAsia="微软雅黑" w:cs="微软雅黑"/>
                <w:i/>
                <w:iCs/>
                <w:color w:val="000000"/>
                <w:sz w:val="16"/>
                <w:szCs w:val="16"/>
                <w:u w:val="none"/>
              </w:rPr>
            </w:pPr>
          </w:p>
        </w:tc>
      </w:tr>
      <w:tr w14:paraId="01EE0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16030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672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961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5C5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项目成本</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092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6A74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3B9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5A36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4A6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5BA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A40A3">
            <w:pPr>
              <w:snapToGrid w:val="0"/>
              <w:jc w:val="center"/>
              <w:rPr>
                <w:rFonts w:hint="eastAsia" w:ascii="微软雅黑" w:hAnsi="微软雅黑" w:eastAsia="微软雅黑" w:cs="微软雅黑"/>
                <w:i/>
                <w:iCs/>
                <w:color w:val="000000"/>
                <w:sz w:val="16"/>
                <w:szCs w:val="16"/>
                <w:u w:val="none"/>
              </w:rPr>
            </w:pPr>
          </w:p>
        </w:tc>
      </w:tr>
      <w:tr w14:paraId="5A390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E72AA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044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62FDE">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08D67">
            <w:pPr>
              <w:snapToGrid w:val="0"/>
              <w:rPr>
                <w:rFonts w:hint="eastAsia" w:ascii="宋体" w:hAnsi="宋体" w:eastAsia="宋体" w:cs="宋体"/>
                <w:i w:val="0"/>
                <w:iCs w:val="0"/>
                <w:color w:val="000000"/>
                <w:sz w:val="18"/>
                <w:szCs w:val="18"/>
                <w:u w:val="none"/>
              </w:rPr>
            </w:pPr>
          </w:p>
        </w:tc>
      </w:tr>
      <w:tr w14:paraId="738A48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7D2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FAADF36">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完成预期目标，自评得分98分。</w:t>
            </w:r>
          </w:p>
        </w:tc>
      </w:tr>
      <w:tr w14:paraId="47B4A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912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2A87FD1">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3432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6B0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838587D">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61D1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2638B6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项目负责人：杨丽弘</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C7C8A0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29C72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33B57924">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708DCB2A">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6FF876EE">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66AE3AC2">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75BD2B0A">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4EFAE369">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54EACE5E">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154D1E2B">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0566949F">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4CAD4899">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76A3D0DB">
            <w:pPr>
              <w:snapToGrid w:val="0"/>
              <w:rPr>
                <w:rFonts w:hint="eastAsia" w:ascii="宋体" w:hAnsi="宋体" w:eastAsia="宋体" w:cs="宋体"/>
                <w:i w:val="0"/>
                <w:iCs w:val="0"/>
                <w:color w:val="000000"/>
                <w:sz w:val="18"/>
                <w:szCs w:val="18"/>
                <w:u w:val="none"/>
              </w:rPr>
            </w:pPr>
          </w:p>
        </w:tc>
      </w:tr>
      <w:tr w14:paraId="6FC2D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7B4AE16">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0F247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35A17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7EF09D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51088924T000011659947-下西2024年安全生产、应急管理工作经费</w:t>
            </w:r>
          </w:p>
        </w:tc>
      </w:tr>
      <w:tr w14:paraId="5FF67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740A0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2531C8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13C9A6AA">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894E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44A26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6CE53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E293A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4EC27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64FB4C8">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2546E0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E3F31E">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9438BB">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F4F47F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安全生产工作</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989A5C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全年安全检查20余次以上。</w:t>
            </w:r>
          </w:p>
        </w:tc>
      </w:tr>
      <w:tr w14:paraId="3AB48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97082E">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1791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6A24008">
            <w:pPr>
              <w:snapToGrid w:val="0"/>
              <w:rPr>
                <w:rFonts w:hint="eastAsia" w:ascii="宋体" w:hAnsi="宋体" w:eastAsia="宋体" w:cs="宋体"/>
                <w:i w:val="0"/>
                <w:iCs w:val="0"/>
                <w:color w:val="000000"/>
                <w:sz w:val="18"/>
                <w:szCs w:val="18"/>
                <w:u w:val="none"/>
              </w:rPr>
            </w:pPr>
          </w:p>
        </w:tc>
      </w:tr>
      <w:tr w14:paraId="49760F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F807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3FB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D63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385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6CB9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86D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2FC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AA4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446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3FE4E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BFEFD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AF3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28F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2A7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0B75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554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AA2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C5C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431286">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DD68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2579F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249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29F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36C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59BE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40F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21B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2A8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A020B3">
            <w:pPr>
              <w:snapToGrid w:val="0"/>
              <w:rPr>
                <w:rFonts w:hint="eastAsia" w:ascii="黑体" w:hAnsi="黑体" w:eastAsia="黑体" w:cs="黑体"/>
                <w:i/>
                <w:iCs/>
                <w:color w:val="000000"/>
                <w:sz w:val="18"/>
                <w:szCs w:val="18"/>
                <w:u w:val="none"/>
              </w:rPr>
            </w:pPr>
          </w:p>
        </w:tc>
      </w:tr>
      <w:tr w14:paraId="21B39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D3A88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09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4B1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FD0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85AA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382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980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997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BCD16">
            <w:pPr>
              <w:snapToGrid w:val="0"/>
              <w:rPr>
                <w:rFonts w:hint="eastAsia" w:ascii="黑体" w:hAnsi="黑体" w:eastAsia="黑体" w:cs="黑体"/>
                <w:i/>
                <w:iCs/>
                <w:color w:val="000000"/>
                <w:sz w:val="18"/>
                <w:szCs w:val="18"/>
                <w:u w:val="none"/>
              </w:rPr>
            </w:pPr>
          </w:p>
        </w:tc>
      </w:tr>
      <w:tr w14:paraId="777DD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83724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3F8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71B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889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2F2A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BBF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2B7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F29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65E7EF">
            <w:pPr>
              <w:snapToGrid w:val="0"/>
              <w:rPr>
                <w:rFonts w:hint="eastAsia" w:ascii="黑体" w:hAnsi="黑体" w:eastAsia="黑体" w:cs="黑体"/>
                <w:i/>
                <w:iCs/>
                <w:color w:val="000000"/>
                <w:sz w:val="18"/>
                <w:szCs w:val="18"/>
                <w:u w:val="none"/>
              </w:rPr>
            </w:pPr>
          </w:p>
        </w:tc>
      </w:tr>
      <w:tr w14:paraId="13BCE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7F5E5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9631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875FE">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D29AA">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61080A">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2776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DF7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2C7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3ED156">
            <w:pPr>
              <w:snapToGrid w:val="0"/>
              <w:rPr>
                <w:rFonts w:hint="eastAsia" w:ascii="黑体" w:hAnsi="黑体" w:eastAsia="黑体" w:cs="黑体"/>
                <w:i/>
                <w:iCs/>
                <w:color w:val="000000"/>
                <w:sz w:val="18"/>
                <w:szCs w:val="18"/>
                <w:u w:val="none"/>
              </w:rPr>
            </w:pPr>
          </w:p>
        </w:tc>
      </w:tr>
      <w:tr w14:paraId="5D3B8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A974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D2C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835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A04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985E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6A8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E99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F12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4CC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916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29C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0E7FE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D21EFC">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6ED1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2263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3F4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采购物资批次.</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6F3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12D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7FE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批</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B55A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33B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D64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3FE58">
            <w:pPr>
              <w:snapToGrid w:val="0"/>
              <w:jc w:val="center"/>
              <w:rPr>
                <w:rFonts w:hint="eastAsia" w:ascii="微软雅黑" w:hAnsi="微软雅黑" w:eastAsia="微软雅黑" w:cs="微软雅黑"/>
                <w:i/>
                <w:iCs/>
                <w:color w:val="000000"/>
                <w:sz w:val="16"/>
                <w:szCs w:val="16"/>
                <w:u w:val="none"/>
              </w:rPr>
            </w:pPr>
          </w:p>
        </w:tc>
      </w:tr>
      <w:tr w14:paraId="0C5F9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9F662C">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756ED7">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5AE16">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591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E18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7C0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02A8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FCDE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006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46C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D7E97">
            <w:pPr>
              <w:snapToGrid w:val="0"/>
              <w:jc w:val="center"/>
              <w:rPr>
                <w:rFonts w:hint="eastAsia" w:ascii="微软雅黑" w:hAnsi="微软雅黑" w:eastAsia="微软雅黑" w:cs="微软雅黑"/>
                <w:i/>
                <w:iCs/>
                <w:color w:val="000000"/>
                <w:sz w:val="16"/>
                <w:szCs w:val="16"/>
                <w:u w:val="none"/>
              </w:rPr>
            </w:pPr>
          </w:p>
        </w:tc>
      </w:tr>
      <w:tr w14:paraId="47EAA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CE104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925B7D">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AC2EF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3B9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宣传活动.</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766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68E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383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6802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63F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58C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F4D0A">
            <w:pPr>
              <w:snapToGrid w:val="0"/>
              <w:jc w:val="center"/>
              <w:rPr>
                <w:rFonts w:hint="eastAsia" w:ascii="微软雅黑" w:hAnsi="微软雅黑" w:eastAsia="微软雅黑" w:cs="微软雅黑"/>
                <w:i/>
                <w:iCs/>
                <w:color w:val="000000"/>
                <w:sz w:val="16"/>
                <w:szCs w:val="16"/>
                <w:u w:val="none"/>
              </w:rPr>
            </w:pPr>
          </w:p>
        </w:tc>
      </w:tr>
      <w:tr w14:paraId="3B127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463AC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5FBB2D">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13AF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743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22A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9F8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C1E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725E5">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463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5CA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B3C40">
            <w:pPr>
              <w:snapToGrid w:val="0"/>
              <w:jc w:val="center"/>
              <w:rPr>
                <w:rFonts w:hint="eastAsia" w:ascii="微软雅黑" w:hAnsi="微软雅黑" w:eastAsia="微软雅黑" w:cs="微软雅黑"/>
                <w:i/>
                <w:iCs/>
                <w:color w:val="000000"/>
                <w:sz w:val="16"/>
                <w:szCs w:val="16"/>
                <w:u w:val="none"/>
              </w:rPr>
            </w:pPr>
          </w:p>
        </w:tc>
      </w:tr>
      <w:tr w14:paraId="6D293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FEB56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FBDEE4">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ADA5EF">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DD9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物资验收合格率.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C24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463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A18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B0F9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98C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BB0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0EF28">
            <w:pPr>
              <w:snapToGrid w:val="0"/>
              <w:jc w:val="center"/>
              <w:rPr>
                <w:rFonts w:hint="eastAsia" w:ascii="微软雅黑" w:hAnsi="微软雅黑" w:eastAsia="微软雅黑" w:cs="微软雅黑"/>
                <w:i/>
                <w:iCs/>
                <w:color w:val="000000"/>
                <w:sz w:val="16"/>
                <w:szCs w:val="16"/>
                <w:u w:val="none"/>
              </w:rPr>
            </w:pPr>
          </w:p>
        </w:tc>
      </w:tr>
      <w:tr w14:paraId="60C72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C09B20">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0FAEC3">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974F56">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06E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F28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4EA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5AA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2D6C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C61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C9B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4EF21">
            <w:pPr>
              <w:snapToGrid w:val="0"/>
              <w:jc w:val="center"/>
              <w:rPr>
                <w:rFonts w:hint="eastAsia" w:ascii="微软雅黑" w:hAnsi="微软雅黑" w:eastAsia="微软雅黑" w:cs="微软雅黑"/>
                <w:i/>
                <w:iCs/>
                <w:color w:val="000000"/>
                <w:sz w:val="16"/>
                <w:szCs w:val="16"/>
                <w:u w:val="none"/>
              </w:rPr>
            </w:pPr>
          </w:p>
        </w:tc>
      </w:tr>
      <w:tr w14:paraId="0047F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74AE0">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DA780A">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B7BE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7F3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32A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0913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F05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2042C">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266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8FE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98591">
            <w:pPr>
              <w:snapToGrid w:val="0"/>
              <w:jc w:val="center"/>
              <w:rPr>
                <w:rFonts w:hint="eastAsia" w:ascii="微软雅黑" w:hAnsi="微软雅黑" w:eastAsia="微软雅黑" w:cs="微软雅黑"/>
                <w:i/>
                <w:iCs/>
                <w:color w:val="000000"/>
                <w:sz w:val="16"/>
                <w:szCs w:val="16"/>
                <w:u w:val="none"/>
              </w:rPr>
            </w:pPr>
          </w:p>
        </w:tc>
      </w:tr>
      <w:tr w14:paraId="4BBBA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28317">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B0E9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DECA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5EE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隐患排查率.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EB2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798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272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F22C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EB1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5B6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FC888">
            <w:pPr>
              <w:snapToGrid w:val="0"/>
              <w:jc w:val="center"/>
              <w:rPr>
                <w:rFonts w:hint="eastAsia" w:ascii="微软雅黑" w:hAnsi="微软雅黑" w:eastAsia="微软雅黑" w:cs="微软雅黑"/>
                <w:i/>
                <w:iCs/>
                <w:color w:val="000000"/>
                <w:sz w:val="16"/>
                <w:szCs w:val="16"/>
                <w:u w:val="none"/>
              </w:rPr>
            </w:pPr>
          </w:p>
        </w:tc>
      </w:tr>
      <w:tr w14:paraId="47761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914519">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063787">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BB044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2A7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重大安全事故.</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E8E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FFA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026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0EFA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9E2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FA4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FB490">
            <w:pPr>
              <w:snapToGrid w:val="0"/>
              <w:jc w:val="center"/>
              <w:rPr>
                <w:rFonts w:hint="eastAsia" w:ascii="微软雅黑" w:hAnsi="微软雅黑" w:eastAsia="微软雅黑" w:cs="微软雅黑"/>
                <w:i/>
                <w:iCs/>
                <w:color w:val="000000"/>
                <w:sz w:val="16"/>
                <w:szCs w:val="16"/>
                <w:u w:val="none"/>
              </w:rPr>
            </w:pPr>
          </w:p>
        </w:tc>
      </w:tr>
      <w:tr w14:paraId="05341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9AC939">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2D56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D2D0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24D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物资费.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1EA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F18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DB8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F6A6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DB0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9BC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F840B">
            <w:pPr>
              <w:snapToGrid w:val="0"/>
              <w:jc w:val="center"/>
              <w:rPr>
                <w:rFonts w:hint="eastAsia" w:ascii="微软雅黑" w:hAnsi="微软雅黑" w:eastAsia="微软雅黑" w:cs="微软雅黑"/>
                <w:i/>
                <w:iCs/>
                <w:color w:val="000000"/>
                <w:sz w:val="16"/>
                <w:szCs w:val="16"/>
                <w:u w:val="none"/>
              </w:rPr>
            </w:pPr>
          </w:p>
        </w:tc>
      </w:tr>
      <w:tr w14:paraId="6F318A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A74A6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F178C9">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B4EDF">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2A8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5F0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B78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E3A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5380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821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1C7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5A514">
            <w:pPr>
              <w:snapToGrid w:val="0"/>
              <w:jc w:val="center"/>
              <w:rPr>
                <w:rFonts w:hint="eastAsia" w:ascii="微软雅黑" w:hAnsi="微软雅黑" w:eastAsia="微软雅黑" w:cs="微软雅黑"/>
                <w:i/>
                <w:iCs/>
                <w:color w:val="000000"/>
                <w:sz w:val="16"/>
                <w:szCs w:val="16"/>
                <w:u w:val="none"/>
              </w:rPr>
            </w:pPr>
          </w:p>
        </w:tc>
      </w:tr>
      <w:tr w14:paraId="36ADB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F51683">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2FF553">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863B4A">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432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235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7CE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780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9F8C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AA8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9F2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0739F">
            <w:pPr>
              <w:snapToGrid w:val="0"/>
              <w:jc w:val="center"/>
              <w:rPr>
                <w:rFonts w:hint="eastAsia" w:ascii="微软雅黑" w:hAnsi="微软雅黑" w:eastAsia="微软雅黑" w:cs="微软雅黑"/>
                <w:i/>
                <w:iCs/>
                <w:color w:val="000000"/>
                <w:sz w:val="16"/>
                <w:szCs w:val="16"/>
                <w:u w:val="none"/>
              </w:rPr>
            </w:pPr>
          </w:p>
        </w:tc>
      </w:tr>
      <w:tr w14:paraId="3A722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5620E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0E2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9B6E7">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EA0A4">
            <w:pPr>
              <w:snapToGrid w:val="0"/>
              <w:rPr>
                <w:rFonts w:hint="eastAsia" w:ascii="宋体" w:hAnsi="宋体" w:eastAsia="宋体" w:cs="宋体"/>
                <w:i w:val="0"/>
                <w:iCs w:val="0"/>
                <w:color w:val="000000"/>
                <w:sz w:val="18"/>
                <w:szCs w:val="18"/>
                <w:u w:val="none"/>
              </w:rPr>
            </w:pPr>
          </w:p>
        </w:tc>
      </w:tr>
      <w:tr w14:paraId="664B7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ACF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A10CBF1">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项目完成了预期计划、实现了预期目标。自评得分98分</w:t>
            </w:r>
          </w:p>
        </w:tc>
      </w:tr>
      <w:tr w14:paraId="63B79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C82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9D3B80B">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安全检查覆盖率还未达到100%，工作人员专业知识还需加强。</w:t>
            </w:r>
          </w:p>
        </w:tc>
      </w:tr>
      <w:tr w14:paraId="1A302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525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6A410A5">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加强工作人员专业知识培训。</w:t>
            </w:r>
          </w:p>
        </w:tc>
      </w:tr>
      <w:tr w14:paraId="12F26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57BFB8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项目负责人：黄爱民</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40007E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3B4D4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73A09941">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4BBD9CCD">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7629F223">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6CF05E2F">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2E2AF13D">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2F0CB3BC">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4FAEB07C">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26346514">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10E16242">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6D65E9F0">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1552FB61">
            <w:pPr>
              <w:snapToGrid w:val="0"/>
              <w:rPr>
                <w:rFonts w:hint="eastAsia" w:ascii="宋体" w:hAnsi="宋体" w:eastAsia="宋体" w:cs="宋体"/>
                <w:i w:val="0"/>
                <w:iCs w:val="0"/>
                <w:color w:val="000000"/>
                <w:sz w:val="18"/>
                <w:szCs w:val="18"/>
                <w:u w:val="none"/>
              </w:rPr>
            </w:pPr>
          </w:p>
        </w:tc>
      </w:tr>
      <w:tr w14:paraId="73931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866B150">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6D687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D5F4B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08C7DC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51088924T000011659980-下西2024年城乡环境综合治理经费</w:t>
            </w:r>
          </w:p>
        </w:tc>
      </w:tr>
      <w:tr w14:paraId="120EA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1451D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8C2506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453C9803">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0B19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050D6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19929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787BA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D372F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242F732">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7CCFA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4E903">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4AB504">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51A8B5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印制宣传册500册，购买消杀药物及工具100件，环境整治10次，完成城乡环境综合治理目标任务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C0A19C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全年发放传传单5000余份，开展环境整治30余次。</w:t>
            </w:r>
          </w:p>
        </w:tc>
      </w:tr>
      <w:tr w14:paraId="63D552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061350">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9373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A33F352">
            <w:pPr>
              <w:snapToGrid w:val="0"/>
              <w:rPr>
                <w:rFonts w:hint="eastAsia" w:ascii="宋体" w:hAnsi="宋体" w:eastAsia="宋体" w:cs="宋体"/>
                <w:i w:val="0"/>
                <w:iCs w:val="0"/>
                <w:color w:val="000000"/>
                <w:sz w:val="18"/>
                <w:szCs w:val="18"/>
                <w:u w:val="none"/>
              </w:rPr>
            </w:pPr>
          </w:p>
        </w:tc>
      </w:tr>
      <w:tr w14:paraId="364C8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02BB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719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468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40E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17AB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49E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19EC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59E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12F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62E133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0310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A46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8DB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E3F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D20B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742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46D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4BE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40C1EF">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C4005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2DABD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0AE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1CE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9C4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0913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9E4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092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AC1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2D8DA">
            <w:pPr>
              <w:snapToGrid w:val="0"/>
              <w:rPr>
                <w:rFonts w:hint="eastAsia" w:ascii="黑体" w:hAnsi="黑体" w:eastAsia="黑体" w:cs="黑体"/>
                <w:i/>
                <w:iCs/>
                <w:color w:val="000000"/>
                <w:sz w:val="18"/>
                <w:szCs w:val="18"/>
                <w:u w:val="none"/>
              </w:rPr>
            </w:pPr>
          </w:p>
        </w:tc>
      </w:tr>
      <w:tr w14:paraId="6E473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6BE18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3A2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7A2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E29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48BB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610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538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E44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F6C50">
            <w:pPr>
              <w:snapToGrid w:val="0"/>
              <w:rPr>
                <w:rFonts w:hint="eastAsia" w:ascii="黑体" w:hAnsi="黑体" w:eastAsia="黑体" w:cs="黑体"/>
                <w:i/>
                <w:iCs/>
                <w:color w:val="000000"/>
                <w:sz w:val="18"/>
                <w:szCs w:val="18"/>
                <w:u w:val="none"/>
              </w:rPr>
            </w:pPr>
          </w:p>
        </w:tc>
      </w:tr>
      <w:tr w14:paraId="2CF42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786E3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F88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F51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9C7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15A4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D51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03B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E82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95E8C3">
            <w:pPr>
              <w:snapToGrid w:val="0"/>
              <w:rPr>
                <w:rFonts w:hint="eastAsia" w:ascii="黑体" w:hAnsi="黑体" w:eastAsia="黑体" w:cs="黑体"/>
                <w:i/>
                <w:iCs/>
                <w:color w:val="000000"/>
                <w:sz w:val="18"/>
                <w:szCs w:val="18"/>
                <w:u w:val="none"/>
              </w:rPr>
            </w:pPr>
          </w:p>
        </w:tc>
      </w:tr>
      <w:tr w14:paraId="07919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AD65F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B8E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7BA14">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B459D">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DEBB6">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77FB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BCCE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293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451C7">
            <w:pPr>
              <w:snapToGrid w:val="0"/>
              <w:rPr>
                <w:rFonts w:hint="eastAsia" w:ascii="黑体" w:hAnsi="黑体" w:eastAsia="黑体" w:cs="黑体"/>
                <w:i/>
                <w:iCs/>
                <w:color w:val="000000"/>
                <w:sz w:val="18"/>
                <w:szCs w:val="18"/>
                <w:u w:val="none"/>
              </w:rPr>
            </w:pPr>
          </w:p>
        </w:tc>
      </w:tr>
      <w:tr w14:paraId="3863D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EB8D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9C0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BF1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268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500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68B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B95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30A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F7E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5EC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1DA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7FEF9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727B25">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320E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885A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F10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购买消杀药物、工具.</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325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073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A36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件</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EFAC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E8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DF1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E3920">
            <w:pPr>
              <w:snapToGrid w:val="0"/>
              <w:jc w:val="center"/>
              <w:rPr>
                <w:rFonts w:hint="eastAsia" w:ascii="微软雅黑" w:hAnsi="微软雅黑" w:eastAsia="微软雅黑" w:cs="微软雅黑"/>
                <w:i/>
                <w:iCs/>
                <w:color w:val="000000"/>
                <w:sz w:val="16"/>
                <w:szCs w:val="16"/>
                <w:u w:val="none"/>
              </w:rPr>
            </w:pPr>
          </w:p>
        </w:tc>
      </w:tr>
      <w:tr w14:paraId="45FBB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C92DDF">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D8167">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1FB6F">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964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环境整治次数.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EDB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367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1FB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DD09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967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307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218F9">
            <w:pPr>
              <w:snapToGrid w:val="0"/>
              <w:jc w:val="center"/>
              <w:rPr>
                <w:rFonts w:hint="eastAsia" w:ascii="微软雅黑" w:hAnsi="微软雅黑" w:eastAsia="微软雅黑" w:cs="微软雅黑"/>
                <w:i/>
                <w:iCs/>
                <w:color w:val="000000"/>
                <w:sz w:val="16"/>
                <w:szCs w:val="16"/>
                <w:u w:val="none"/>
              </w:rPr>
            </w:pPr>
          </w:p>
        </w:tc>
      </w:tr>
      <w:tr w14:paraId="5D26E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B7CF37">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D2A643">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4A49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B56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ED3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498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89B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D978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847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596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71F95">
            <w:pPr>
              <w:snapToGrid w:val="0"/>
              <w:jc w:val="center"/>
              <w:rPr>
                <w:rFonts w:hint="eastAsia" w:ascii="微软雅黑" w:hAnsi="微软雅黑" w:eastAsia="微软雅黑" w:cs="微软雅黑"/>
                <w:i/>
                <w:iCs/>
                <w:color w:val="000000"/>
                <w:sz w:val="16"/>
                <w:szCs w:val="16"/>
                <w:u w:val="none"/>
              </w:rPr>
            </w:pPr>
          </w:p>
        </w:tc>
      </w:tr>
      <w:tr w14:paraId="7E06AB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8E78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05EDA5">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2689C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CFA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卫生检查覆盖率.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F87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BAD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6DFC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E0B0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3E4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FA3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5D0A6">
            <w:pPr>
              <w:snapToGrid w:val="0"/>
              <w:jc w:val="center"/>
              <w:rPr>
                <w:rFonts w:hint="eastAsia" w:ascii="微软雅黑" w:hAnsi="微软雅黑" w:eastAsia="微软雅黑" w:cs="微软雅黑"/>
                <w:i/>
                <w:iCs/>
                <w:color w:val="000000"/>
                <w:sz w:val="16"/>
                <w:szCs w:val="16"/>
                <w:u w:val="none"/>
              </w:rPr>
            </w:pPr>
          </w:p>
        </w:tc>
      </w:tr>
      <w:tr w14:paraId="3F51C9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AE11F">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1A1406">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D7F7E6">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460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消杀药物、工具合格.率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8C4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B45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AB0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1270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856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EE3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1989E">
            <w:pPr>
              <w:snapToGrid w:val="0"/>
              <w:jc w:val="center"/>
              <w:rPr>
                <w:rFonts w:hint="eastAsia" w:ascii="微软雅黑" w:hAnsi="微软雅黑" w:eastAsia="微软雅黑" w:cs="微软雅黑"/>
                <w:i/>
                <w:iCs/>
                <w:color w:val="000000"/>
                <w:sz w:val="16"/>
                <w:szCs w:val="16"/>
                <w:u w:val="none"/>
              </w:rPr>
            </w:pPr>
          </w:p>
        </w:tc>
      </w:tr>
      <w:tr w14:paraId="2FEFAB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3B4F74">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461BA4">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B3E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673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2C6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06E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2C9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06D2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E7F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EBAD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04629">
            <w:pPr>
              <w:snapToGrid w:val="0"/>
              <w:jc w:val="center"/>
              <w:rPr>
                <w:rFonts w:hint="eastAsia" w:ascii="微软雅黑" w:hAnsi="微软雅黑" w:eastAsia="微软雅黑" w:cs="微软雅黑"/>
                <w:i/>
                <w:iCs/>
                <w:color w:val="000000"/>
                <w:sz w:val="16"/>
                <w:szCs w:val="16"/>
                <w:u w:val="none"/>
              </w:rPr>
            </w:pPr>
          </w:p>
        </w:tc>
      </w:tr>
      <w:tr w14:paraId="2B881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3D435F">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B956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59A31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生态效益指标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BBF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大气优良率.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7FE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EED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40E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0E86C">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190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227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A6089">
            <w:pPr>
              <w:snapToGrid w:val="0"/>
              <w:jc w:val="center"/>
              <w:rPr>
                <w:rFonts w:hint="eastAsia" w:ascii="微软雅黑" w:hAnsi="微软雅黑" w:eastAsia="微软雅黑" w:cs="微软雅黑"/>
                <w:i/>
                <w:iCs/>
                <w:color w:val="000000"/>
                <w:sz w:val="16"/>
                <w:szCs w:val="16"/>
                <w:u w:val="none"/>
              </w:rPr>
            </w:pPr>
          </w:p>
        </w:tc>
      </w:tr>
      <w:tr w14:paraId="3EFF56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2A111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F1897">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09B810">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514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垃圾处理及时率.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020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F1B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C253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2080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F99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35E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AE6A1">
            <w:pPr>
              <w:snapToGrid w:val="0"/>
              <w:jc w:val="center"/>
              <w:rPr>
                <w:rFonts w:hint="eastAsia" w:ascii="微软雅黑" w:hAnsi="微软雅黑" w:eastAsia="微软雅黑" w:cs="微软雅黑"/>
                <w:i/>
                <w:iCs/>
                <w:color w:val="000000"/>
                <w:sz w:val="16"/>
                <w:szCs w:val="16"/>
                <w:u w:val="none"/>
              </w:rPr>
            </w:pPr>
          </w:p>
        </w:tc>
      </w:tr>
      <w:tr w14:paraId="46C19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E455B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E6B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CD8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097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010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D80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4C0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5EFB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D3F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9A3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885E3">
            <w:pPr>
              <w:snapToGrid w:val="0"/>
              <w:jc w:val="center"/>
              <w:rPr>
                <w:rFonts w:hint="eastAsia" w:ascii="微软雅黑" w:hAnsi="微软雅黑" w:eastAsia="微软雅黑" w:cs="微软雅黑"/>
                <w:i/>
                <w:iCs/>
                <w:color w:val="000000"/>
                <w:sz w:val="16"/>
                <w:szCs w:val="16"/>
                <w:u w:val="none"/>
              </w:rPr>
            </w:pPr>
          </w:p>
        </w:tc>
      </w:tr>
      <w:tr w14:paraId="2D0C5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592EC4">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0BC5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DEBF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11E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宣传费等.</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704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137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85C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F60F9">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A499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5F5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92936">
            <w:pPr>
              <w:snapToGrid w:val="0"/>
              <w:jc w:val="center"/>
              <w:rPr>
                <w:rFonts w:hint="eastAsia" w:ascii="微软雅黑" w:hAnsi="微软雅黑" w:eastAsia="微软雅黑" w:cs="微软雅黑"/>
                <w:i/>
                <w:iCs/>
                <w:color w:val="000000"/>
                <w:sz w:val="16"/>
                <w:szCs w:val="16"/>
                <w:u w:val="none"/>
              </w:rPr>
            </w:pPr>
          </w:p>
        </w:tc>
      </w:tr>
      <w:tr w14:paraId="7149F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AD04B">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EE593B">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33CFEE">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DEF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购物资.</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CCE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1BA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461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E2DD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E5D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DEC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989BF">
            <w:pPr>
              <w:snapToGrid w:val="0"/>
              <w:jc w:val="center"/>
              <w:rPr>
                <w:rFonts w:hint="eastAsia" w:ascii="微软雅黑" w:hAnsi="微软雅黑" w:eastAsia="微软雅黑" w:cs="微软雅黑"/>
                <w:i/>
                <w:iCs/>
                <w:color w:val="000000"/>
                <w:sz w:val="16"/>
                <w:szCs w:val="16"/>
                <w:u w:val="none"/>
              </w:rPr>
            </w:pPr>
          </w:p>
        </w:tc>
      </w:tr>
      <w:tr w14:paraId="545027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DAD97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7BD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6D0A5">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2B2E1">
            <w:pPr>
              <w:snapToGrid w:val="0"/>
              <w:rPr>
                <w:rFonts w:hint="eastAsia" w:ascii="宋体" w:hAnsi="宋体" w:eastAsia="宋体" w:cs="宋体"/>
                <w:i w:val="0"/>
                <w:iCs w:val="0"/>
                <w:color w:val="000000"/>
                <w:sz w:val="18"/>
                <w:szCs w:val="18"/>
                <w:u w:val="none"/>
              </w:rPr>
            </w:pPr>
          </w:p>
        </w:tc>
      </w:tr>
      <w:tr w14:paraId="0FE55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831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B41203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基本完成年初目标，自评得分98分。</w:t>
            </w:r>
          </w:p>
        </w:tc>
      </w:tr>
      <w:tr w14:paraId="45E8B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3EE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16759C7">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农村偏远地区垃圾存在私下处理情况</w:t>
            </w:r>
          </w:p>
        </w:tc>
      </w:tr>
      <w:tr w14:paraId="3D09F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33E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9617D35">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增加偏远地区环境管理及宣传工作。</w:t>
            </w:r>
          </w:p>
        </w:tc>
      </w:tr>
      <w:tr w14:paraId="11E2B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A34529">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项目负责人：聂炳枝</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C0879C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3C38D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1256C280">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5A8586BF">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7F8DDF77">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39C3D7C2">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5F64D991">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7BA5BD9F">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D32DBC6">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66074F3A">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26E00A6A">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26073F39">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0B8DA748">
            <w:pPr>
              <w:snapToGrid w:val="0"/>
              <w:rPr>
                <w:rFonts w:hint="eastAsia" w:ascii="宋体" w:hAnsi="宋体" w:eastAsia="宋体" w:cs="宋体"/>
                <w:i w:val="0"/>
                <w:iCs w:val="0"/>
                <w:color w:val="000000"/>
                <w:sz w:val="18"/>
                <w:szCs w:val="18"/>
                <w:u w:val="none"/>
              </w:rPr>
            </w:pPr>
          </w:p>
        </w:tc>
      </w:tr>
      <w:tr w14:paraId="6E6F9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72B8F56">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15A39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7ED02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52D903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51088924T000011660057-下西2024年食品安全城市创建工作经费</w:t>
            </w:r>
          </w:p>
        </w:tc>
      </w:tr>
      <w:tr w14:paraId="6F30D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56A62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F8E212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1355EE53">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D61B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0D783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75848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28A61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2A567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4868392">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651C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2AE74A">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7777BD">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EB2F19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食品安全印制手册100份，宣传4次，培训1次，确保食品安全</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3B50E5B">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食品安全印制手册100份，宣传4次，培训1次，确保食品安全</w:t>
            </w:r>
          </w:p>
        </w:tc>
      </w:tr>
      <w:tr w14:paraId="4CB85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9A0BB">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0B6A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E1AB56F">
            <w:pPr>
              <w:snapToGrid w:val="0"/>
              <w:rPr>
                <w:rFonts w:hint="eastAsia" w:ascii="宋体" w:hAnsi="宋体" w:eastAsia="宋体" w:cs="宋体"/>
                <w:i w:val="0"/>
                <w:iCs w:val="0"/>
                <w:color w:val="000000"/>
                <w:sz w:val="18"/>
                <w:szCs w:val="18"/>
                <w:u w:val="none"/>
              </w:rPr>
            </w:pPr>
          </w:p>
        </w:tc>
      </w:tr>
      <w:tr w14:paraId="16CEB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DB3D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D396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653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D86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89DD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637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BE6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5BA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872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4FA4D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EBEF4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A26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0B4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AC3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8CA4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F73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284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408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C096E2">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088D5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84F6D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F0C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4B6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D24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C50F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28C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ED7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B11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E138BB">
            <w:pPr>
              <w:snapToGrid w:val="0"/>
              <w:rPr>
                <w:rFonts w:hint="eastAsia" w:ascii="黑体" w:hAnsi="黑体" w:eastAsia="黑体" w:cs="黑体"/>
                <w:i/>
                <w:iCs/>
                <w:color w:val="000000"/>
                <w:sz w:val="18"/>
                <w:szCs w:val="18"/>
                <w:u w:val="none"/>
              </w:rPr>
            </w:pPr>
          </w:p>
        </w:tc>
      </w:tr>
      <w:tr w14:paraId="19E38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29A78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7F9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3B8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7F1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9100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FC5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5E3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E93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1BA412">
            <w:pPr>
              <w:snapToGrid w:val="0"/>
              <w:rPr>
                <w:rFonts w:hint="eastAsia" w:ascii="黑体" w:hAnsi="黑体" w:eastAsia="黑体" w:cs="黑体"/>
                <w:i/>
                <w:iCs/>
                <w:color w:val="000000"/>
                <w:sz w:val="18"/>
                <w:szCs w:val="18"/>
                <w:u w:val="none"/>
              </w:rPr>
            </w:pPr>
          </w:p>
        </w:tc>
      </w:tr>
      <w:tr w14:paraId="72839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7DF75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A82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558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6AE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D99B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E02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CEE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DF7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7D62F9">
            <w:pPr>
              <w:snapToGrid w:val="0"/>
              <w:rPr>
                <w:rFonts w:hint="eastAsia" w:ascii="黑体" w:hAnsi="黑体" w:eastAsia="黑体" w:cs="黑体"/>
                <w:i/>
                <w:iCs/>
                <w:color w:val="000000"/>
                <w:sz w:val="18"/>
                <w:szCs w:val="18"/>
                <w:u w:val="none"/>
              </w:rPr>
            </w:pPr>
          </w:p>
        </w:tc>
      </w:tr>
      <w:tr w14:paraId="001FA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FC820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776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24263">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9C12C">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6CF0ED">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3C44D">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FD0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B8A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E7D329">
            <w:pPr>
              <w:snapToGrid w:val="0"/>
              <w:rPr>
                <w:rFonts w:hint="eastAsia" w:ascii="黑体" w:hAnsi="黑体" w:eastAsia="黑体" w:cs="黑体"/>
                <w:i/>
                <w:iCs/>
                <w:color w:val="000000"/>
                <w:sz w:val="18"/>
                <w:szCs w:val="18"/>
                <w:u w:val="none"/>
              </w:rPr>
            </w:pPr>
          </w:p>
        </w:tc>
      </w:tr>
      <w:tr w14:paraId="5CC01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8CDC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3E8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49EC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70F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EEA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430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7C01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D04C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AA2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0E3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9C5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DBC5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F0DDA">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58E8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0633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A53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安全知识宣传</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17C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D64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BCE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3EE09">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8A11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2DC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7D36C">
            <w:pPr>
              <w:snapToGrid w:val="0"/>
              <w:jc w:val="center"/>
              <w:rPr>
                <w:rFonts w:hint="eastAsia" w:ascii="微软雅黑" w:hAnsi="微软雅黑" w:eastAsia="微软雅黑" w:cs="微软雅黑"/>
                <w:i/>
                <w:iCs/>
                <w:color w:val="000000"/>
                <w:sz w:val="16"/>
                <w:szCs w:val="16"/>
                <w:u w:val="none"/>
              </w:rPr>
            </w:pPr>
          </w:p>
        </w:tc>
      </w:tr>
      <w:tr w14:paraId="61E4B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05837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3AABCC">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EDE874">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861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安全知识培训</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4D0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A48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ECF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4526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F05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5AB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C2B31">
            <w:pPr>
              <w:snapToGrid w:val="0"/>
              <w:jc w:val="center"/>
              <w:rPr>
                <w:rFonts w:hint="eastAsia" w:ascii="微软雅黑" w:hAnsi="微软雅黑" w:eastAsia="微软雅黑" w:cs="微软雅黑"/>
                <w:i/>
                <w:iCs/>
                <w:color w:val="000000"/>
                <w:sz w:val="16"/>
                <w:szCs w:val="16"/>
                <w:u w:val="none"/>
              </w:rPr>
            </w:pPr>
          </w:p>
        </w:tc>
      </w:tr>
      <w:tr w14:paraId="4A599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5483D3">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6F5737">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072FAE">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9A3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安全手册印制</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222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C0E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7B6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份</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03BE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CFD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F9D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94BBB">
            <w:pPr>
              <w:snapToGrid w:val="0"/>
              <w:jc w:val="center"/>
              <w:rPr>
                <w:rFonts w:hint="eastAsia" w:ascii="微软雅黑" w:hAnsi="微软雅黑" w:eastAsia="微软雅黑" w:cs="微软雅黑"/>
                <w:i/>
                <w:iCs/>
                <w:color w:val="000000"/>
                <w:sz w:val="16"/>
                <w:szCs w:val="16"/>
                <w:u w:val="none"/>
              </w:rPr>
            </w:pPr>
          </w:p>
        </w:tc>
      </w:tr>
      <w:tr w14:paraId="15649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ACC95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E3A53B">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AD22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065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重大安全事故</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065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8EB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58C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6A4C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826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244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91EA0">
            <w:pPr>
              <w:snapToGrid w:val="0"/>
              <w:jc w:val="center"/>
              <w:rPr>
                <w:rFonts w:hint="eastAsia" w:ascii="微软雅黑" w:hAnsi="微软雅黑" w:eastAsia="微软雅黑" w:cs="微软雅黑"/>
                <w:i/>
                <w:iCs/>
                <w:color w:val="000000"/>
                <w:sz w:val="16"/>
                <w:szCs w:val="16"/>
                <w:u w:val="none"/>
              </w:rPr>
            </w:pPr>
          </w:p>
        </w:tc>
      </w:tr>
      <w:tr w14:paraId="60709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A71E1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89E29E">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63A60B">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9EC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DF8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2E5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74E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0F0E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498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47A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B422E">
            <w:pPr>
              <w:snapToGrid w:val="0"/>
              <w:jc w:val="center"/>
              <w:rPr>
                <w:rFonts w:hint="eastAsia" w:ascii="微软雅黑" w:hAnsi="微软雅黑" w:eastAsia="微软雅黑" w:cs="微软雅黑"/>
                <w:i/>
                <w:iCs/>
                <w:color w:val="000000"/>
                <w:sz w:val="16"/>
                <w:szCs w:val="16"/>
                <w:u w:val="none"/>
              </w:rPr>
            </w:pPr>
          </w:p>
        </w:tc>
      </w:tr>
      <w:tr w14:paraId="1F04A7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AEAA4">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A68C0D">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5CC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787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39A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720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534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220A2">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E0C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6D6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BE8CF">
            <w:pPr>
              <w:snapToGrid w:val="0"/>
              <w:jc w:val="center"/>
              <w:rPr>
                <w:rFonts w:hint="eastAsia" w:ascii="微软雅黑" w:hAnsi="微软雅黑" w:eastAsia="微软雅黑" w:cs="微软雅黑"/>
                <w:i/>
                <w:iCs/>
                <w:color w:val="000000"/>
                <w:sz w:val="16"/>
                <w:szCs w:val="16"/>
                <w:u w:val="none"/>
              </w:rPr>
            </w:pPr>
          </w:p>
        </w:tc>
      </w:tr>
      <w:tr w14:paraId="3F1B9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D0928">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D4E1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78E1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89E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食品安全事故</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FFC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5D7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3D0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A330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A11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F9C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B845E">
            <w:pPr>
              <w:snapToGrid w:val="0"/>
              <w:jc w:val="center"/>
              <w:rPr>
                <w:rFonts w:hint="eastAsia" w:ascii="微软雅黑" w:hAnsi="微软雅黑" w:eastAsia="微软雅黑" w:cs="微软雅黑"/>
                <w:i/>
                <w:iCs/>
                <w:color w:val="000000"/>
                <w:sz w:val="16"/>
                <w:szCs w:val="16"/>
                <w:u w:val="none"/>
              </w:rPr>
            </w:pPr>
          </w:p>
        </w:tc>
      </w:tr>
      <w:tr w14:paraId="457A5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1EBC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50F490">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56E0AD">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BB6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生产食品合格率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404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EE8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C08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49C9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098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F9E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059CD">
            <w:pPr>
              <w:snapToGrid w:val="0"/>
              <w:jc w:val="center"/>
              <w:rPr>
                <w:rFonts w:hint="eastAsia" w:ascii="微软雅黑" w:hAnsi="微软雅黑" w:eastAsia="微软雅黑" w:cs="微软雅黑"/>
                <w:i/>
                <w:iCs/>
                <w:color w:val="000000"/>
                <w:sz w:val="16"/>
                <w:szCs w:val="16"/>
                <w:u w:val="none"/>
              </w:rPr>
            </w:pPr>
          </w:p>
        </w:tc>
      </w:tr>
      <w:tr w14:paraId="4D84B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5781B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A1B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631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E85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市民食品安全满意度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9DF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58E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34C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C22E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371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0EC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3488B">
            <w:pPr>
              <w:snapToGrid w:val="0"/>
              <w:jc w:val="center"/>
              <w:rPr>
                <w:rFonts w:hint="eastAsia" w:ascii="微软雅黑" w:hAnsi="微软雅黑" w:eastAsia="微软雅黑" w:cs="微软雅黑"/>
                <w:i/>
                <w:iCs/>
                <w:color w:val="000000"/>
                <w:sz w:val="16"/>
                <w:szCs w:val="16"/>
                <w:u w:val="none"/>
              </w:rPr>
            </w:pPr>
          </w:p>
        </w:tc>
      </w:tr>
      <w:tr w14:paraId="5D2D0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1B8F6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5F64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F62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AB6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宣传费等</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1D62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C96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FF7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BC9B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E44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3DE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DCCF4">
            <w:pPr>
              <w:snapToGrid w:val="0"/>
              <w:jc w:val="center"/>
              <w:rPr>
                <w:rFonts w:hint="eastAsia" w:ascii="微软雅黑" w:hAnsi="微软雅黑" w:eastAsia="微软雅黑" w:cs="微软雅黑"/>
                <w:i/>
                <w:iCs/>
                <w:color w:val="000000"/>
                <w:sz w:val="16"/>
                <w:szCs w:val="16"/>
                <w:u w:val="none"/>
              </w:rPr>
            </w:pPr>
          </w:p>
        </w:tc>
      </w:tr>
      <w:tr w14:paraId="43B69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1E0D8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769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D4E02">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95664">
            <w:pPr>
              <w:snapToGrid w:val="0"/>
              <w:rPr>
                <w:rFonts w:hint="eastAsia" w:ascii="宋体" w:hAnsi="宋体" w:eastAsia="宋体" w:cs="宋体"/>
                <w:i w:val="0"/>
                <w:iCs w:val="0"/>
                <w:color w:val="000000"/>
                <w:sz w:val="18"/>
                <w:szCs w:val="18"/>
                <w:u w:val="none"/>
              </w:rPr>
            </w:pPr>
          </w:p>
        </w:tc>
      </w:tr>
      <w:tr w14:paraId="2B18D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0EA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904DB72">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基本完成年初目标，自评得分98分。</w:t>
            </w:r>
          </w:p>
        </w:tc>
      </w:tr>
      <w:tr w14:paraId="637FB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0BB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4B788AD">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256F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82D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FC52096">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1469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B2D860B">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项目负责人：聂炳枝</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6A71951">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20785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1AC37EFA">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5F96BDAD">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084843B6">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774C935B">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00B7C806">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4AF3091C">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7ED4FE67">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6503C9E9">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3119F887">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4BF89804">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4B755FE0">
            <w:pPr>
              <w:snapToGrid w:val="0"/>
              <w:rPr>
                <w:rFonts w:hint="eastAsia" w:ascii="宋体" w:hAnsi="宋体" w:eastAsia="宋体" w:cs="宋体"/>
                <w:i w:val="0"/>
                <w:iCs w:val="0"/>
                <w:color w:val="000000"/>
                <w:sz w:val="18"/>
                <w:szCs w:val="18"/>
                <w:u w:val="none"/>
              </w:rPr>
            </w:pPr>
          </w:p>
        </w:tc>
      </w:tr>
      <w:tr w14:paraId="678E3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7A06A00">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7BB5E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2928F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404DCA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51088924T000011660069-下西2024年武装部工作经费</w:t>
            </w:r>
          </w:p>
        </w:tc>
      </w:tr>
      <w:tr w14:paraId="3761E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D7B28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5D0E2E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617ACAF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C347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160DB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45D96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2A570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CB066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1CACC6F">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3DDC1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2ADFF8">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015EB">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37198A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开展征兵宣传工作，完成武装工作目标任务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7D6BC95">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开展征兵宣传10余次</w:t>
            </w:r>
          </w:p>
        </w:tc>
      </w:tr>
      <w:tr w14:paraId="0D012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B74EE8">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158E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32642DB">
            <w:pPr>
              <w:snapToGrid w:val="0"/>
              <w:rPr>
                <w:rFonts w:hint="eastAsia" w:ascii="宋体" w:hAnsi="宋体" w:eastAsia="宋体" w:cs="宋体"/>
                <w:i w:val="0"/>
                <w:iCs w:val="0"/>
                <w:color w:val="000000"/>
                <w:sz w:val="18"/>
                <w:szCs w:val="18"/>
                <w:u w:val="none"/>
              </w:rPr>
            </w:pPr>
          </w:p>
        </w:tc>
      </w:tr>
      <w:tr w14:paraId="7C4C5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CA4B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AD9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4AC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A61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B6338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F78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058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CBB4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938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6060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C709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B6B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090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4E1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CB0A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5F7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3D3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F4A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05BE0B">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5E69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AB407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B4F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B30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ADC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B302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F1B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190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281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89E9FB">
            <w:pPr>
              <w:snapToGrid w:val="0"/>
              <w:rPr>
                <w:rFonts w:hint="eastAsia" w:ascii="黑体" w:hAnsi="黑体" w:eastAsia="黑体" w:cs="黑体"/>
                <w:i/>
                <w:iCs/>
                <w:color w:val="000000"/>
                <w:sz w:val="18"/>
                <w:szCs w:val="18"/>
                <w:u w:val="none"/>
              </w:rPr>
            </w:pPr>
          </w:p>
        </w:tc>
      </w:tr>
      <w:tr w14:paraId="53A4D1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F9D5E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D54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155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C23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C50E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B05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882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3C5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7CC08D">
            <w:pPr>
              <w:snapToGrid w:val="0"/>
              <w:rPr>
                <w:rFonts w:hint="eastAsia" w:ascii="黑体" w:hAnsi="黑体" w:eastAsia="黑体" w:cs="黑体"/>
                <w:i/>
                <w:iCs/>
                <w:color w:val="000000"/>
                <w:sz w:val="18"/>
                <w:szCs w:val="18"/>
                <w:u w:val="none"/>
              </w:rPr>
            </w:pPr>
          </w:p>
        </w:tc>
      </w:tr>
      <w:tr w14:paraId="2BF28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4D6D5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79D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D70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035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7907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CE9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B6A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B80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1AC84E">
            <w:pPr>
              <w:snapToGrid w:val="0"/>
              <w:rPr>
                <w:rFonts w:hint="eastAsia" w:ascii="黑体" w:hAnsi="黑体" w:eastAsia="黑体" w:cs="黑体"/>
                <w:i/>
                <w:iCs/>
                <w:color w:val="000000"/>
                <w:sz w:val="18"/>
                <w:szCs w:val="18"/>
                <w:u w:val="none"/>
              </w:rPr>
            </w:pPr>
          </w:p>
        </w:tc>
      </w:tr>
      <w:tr w14:paraId="673C20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9B15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A21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9453E">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C217B">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F114E7">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53DB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118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5BB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6FFAF7">
            <w:pPr>
              <w:snapToGrid w:val="0"/>
              <w:rPr>
                <w:rFonts w:hint="eastAsia" w:ascii="黑体" w:hAnsi="黑体" w:eastAsia="黑体" w:cs="黑体"/>
                <w:i/>
                <w:iCs/>
                <w:color w:val="000000"/>
                <w:sz w:val="18"/>
                <w:szCs w:val="18"/>
                <w:u w:val="none"/>
              </w:rPr>
            </w:pPr>
          </w:p>
        </w:tc>
      </w:tr>
      <w:tr w14:paraId="01B14F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4167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9B9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EBC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1EF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BFF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6EF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683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F3D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F51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C47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304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04B03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9C9BF">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121F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EF0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069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征兵宣传次数.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DAA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8DD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4FA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8902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971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AE8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A368B">
            <w:pPr>
              <w:snapToGrid w:val="0"/>
              <w:jc w:val="center"/>
              <w:rPr>
                <w:rFonts w:hint="eastAsia" w:ascii="微软雅黑" w:hAnsi="微软雅黑" w:eastAsia="微软雅黑" w:cs="微软雅黑"/>
                <w:i/>
                <w:iCs/>
                <w:color w:val="000000"/>
                <w:sz w:val="16"/>
                <w:szCs w:val="16"/>
                <w:u w:val="none"/>
              </w:rPr>
            </w:pPr>
          </w:p>
        </w:tc>
      </w:tr>
      <w:tr w14:paraId="4D4EF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B3859">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68ED1B">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012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00A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征兵宣传覆盖率.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6C2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80D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1B8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18A1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DCC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0B4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2ABE9">
            <w:pPr>
              <w:snapToGrid w:val="0"/>
              <w:jc w:val="center"/>
              <w:rPr>
                <w:rFonts w:hint="eastAsia" w:ascii="微软雅黑" w:hAnsi="微软雅黑" w:eastAsia="微软雅黑" w:cs="微软雅黑"/>
                <w:i/>
                <w:iCs/>
                <w:color w:val="000000"/>
                <w:sz w:val="16"/>
                <w:szCs w:val="16"/>
                <w:u w:val="none"/>
              </w:rPr>
            </w:pPr>
          </w:p>
        </w:tc>
      </w:tr>
      <w:tr w14:paraId="007FA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62290B">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BF50A6">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84A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A19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完成时效.</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154C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7A52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7EF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D493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3D7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935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98345">
            <w:pPr>
              <w:snapToGrid w:val="0"/>
              <w:jc w:val="center"/>
              <w:rPr>
                <w:rFonts w:hint="eastAsia" w:ascii="微软雅黑" w:hAnsi="微软雅黑" w:eastAsia="微软雅黑" w:cs="微软雅黑"/>
                <w:i/>
                <w:iCs/>
                <w:color w:val="000000"/>
                <w:sz w:val="16"/>
                <w:szCs w:val="16"/>
                <w:u w:val="none"/>
              </w:rPr>
            </w:pPr>
          </w:p>
        </w:tc>
      </w:tr>
      <w:tr w14:paraId="2D2B9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E57E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9E1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F1F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0E2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征兵任务完成率.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CD1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3C2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CBE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4A29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504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43B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DA349">
            <w:pPr>
              <w:snapToGrid w:val="0"/>
              <w:jc w:val="center"/>
              <w:rPr>
                <w:rFonts w:hint="eastAsia" w:ascii="微软雅黑" w:hAnsi="微软雅黑" w:eastAsia="微软雅黑" w:cs="微软雅黑"/>
                <w:i/>
                <w:iCs/>
                <w:color w:val="000000"/>
                <w:sz w:val="16"/>
                <w:szCs w:val="16"/>
                <w:u w:val="none"/>
              </w:rPr>
            </w:pPr>
          </w:p>
        </w:tc>
      </w:tr>
      <w:tr w14:paraId="260CD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1E96F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9D36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4A8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C49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项目成本.</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2D3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D57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9EA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CEEF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EA1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C5F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06B07">
            <w:pPr>
              <w:snapToGrid w:val="0"/>
              <w:jc w:val="center"/>
              <w:rPr>
                <w:rFonts w:hint="eastAsia" w:ascii="微软雅黑" w:hAnsi="微软雅黑" w:eastAsia="微软雅黑" w:cs="微软雅黑"/>
                <w:i/>
                <w:iCs/>
                <w:color w:val="000000"/>
                <w:sz w:val="16"/>
                <w:szCs w:val="16"/>
                <w:u w:val="none"/>
              </w:rPr>
            </w:pPr>
          </w:p>
        </w:tc>
      </w:tr>
      <w:tr w14:paraId="769B80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9FD7F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BD4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7E6A9">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A2D77">
            <w:pPr>
              <w:snapToGrid w:val="0"/>
              <w:rPr>
                <w:rFonts w:hint="eastAsia" w:ascii="宋体" w:hAnsi="宋体" w:eastAsia="宋体" w:cs="宋体"/>
                <w:i w:val="0"/>
                <w:iCs w:val="0"/>
                <w:color w:val="000000"/>
                <w:sz w:val="18"/>
                <w:szCs w:val="18"/>
                <w:u w:val="none"/>
              </w:rPr>
            </w:pPr>
          </w:p>
        </w:tc>
      </w:tr>
      <w:tr w14:paraId="25933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515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0D6ED2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基本完成年初目标，自评得分100分。</w:t>
            </w:r>
          </w:p>
        </w:tc>
      </w:tr>
      <w:tr w14:paraId="429C8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C18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50A3530">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51A5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523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DD6F1D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817E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DFF6F18">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项目负责人：王宇</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B6D17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65FC1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00917E0B">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5B2709F4">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08902BEF">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230B11FA">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4F7DBCA4">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0364E563">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3A25EECA">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1E5C1E1C">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20536826">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3A4052BE">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2D0E6CBF">
            <w:pPr>
              <w:snapToGrid w:val="0"/>
              <w:rPr>
                <w:rFonts w:hint="eastAsia" w:ascii="宋体" w:hAnsi="宋体" w:eastAsia="宋体" w:cs="宋体"/>
                <w:i w:val="0"/>
                <w:iCs w:val="0"/>
                <w:color w:val="000000"/>
                <w:sz w:val="18"/>
                <w:szCs w:val="18"/>
                <w:u w:val="none"/>
              </w:rPr>
            </w:pPr>
          </w:p>
        </w:tc>
      </w:tr>
      <w:tr w14:paraId="533C6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279D37D">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73119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37D2D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8F8D85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51088924Y000011335325-村社运行经费（2024）</w:t>
            </w:r>
          </w:p>
        </w:tc>
      </w:tr>
      <w:tr w14:paraId="30D93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CC8AF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438638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5426BE4E">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732B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71F733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54823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97B0F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49ADA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15EE62C">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7A69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9C201B">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E0D30">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425B07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村社运行经费</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BF0CCB9">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九个社区工作经费保障，保障基层组织运行。</w:t>
            </w:r>
          </w:p>
        </w:tc>
      </w:tr>
      <w:tr w14:paraId="4E3A1E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FA8BC9">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FD99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79C6B02">
            <w:pPr>
              <w:snapToGrid w:val="0"/>
              <w:rPr>
                <w:rFonts w:hint="eastAsia" w:ascii="宋体" w:hAnsi="宋体" w:eastAsia="宋体" w:cs="宋体"/>
                <w:i w:val="0"/>
                <w:iCs w:val="0"/>
                <w:color w:val="000000"/>
                <w:sz w:val="18"/>
                <w:szCs w:val="18"/>
                <w:u w:val="none"/>
              </w:rPr>
            </w:pPr>
          </w:p>
        </w:tc>
      </w:tr>
      <w:tr w14:paraId="1D159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8F67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ACE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7B7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8F5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1048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E76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5B3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A44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EDC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7DF84B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78EEA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092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66C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E65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C4FB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4C0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D0C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F40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4EBF1F">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A01F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8534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640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C5F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162.00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A0D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162.00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5722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162.00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B28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0A3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884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77D610">
            <w:pPr>
              <w:snapToGrid w:val="0"/>
              <w:rPr>
                <w:rFonts w:hint="eastAsia" w:ascii="黑体" w:hAnsi="黑体" w:eastAsia="黑体" w:cs="黑体"/>
                <w:i/>
                <w:iCs/>
                <w:color w:val="000000"/>
                <w:sz w:val="18"/>
                <w:szCs w:val="18"/>
                <w:u w:val="none"/>
              </w:rPr>
            </w:pPr>
          </w:p>
        </w:tc>
      </w:tr>
      <w:tr w14:paraId="739E4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7A79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2B3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A93C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82A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A59B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E9C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522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422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5BDFE">
            <w:pPr>
              <w:snapToGrid w:val="0"/>
              <w:rPr>
                <w:rFonts w:hint="eastAsia" w:ascii="黑体" w:hAnsi="黑体" w:eastAsia="黑体" w:cs="黑体"/>
                <w:i/>
                <w:iCs/>
                <w:color w:val="000000"/>
                <w:sz w:val="18"/>
                <w:szCs w:val="18"/>
                <w:u w:val="none"/>
              </w:rPr>
            </w:pPr>
          </w:p>
        </w:tc>
      </w:tr>
      <w:tr w14:paraId="13C1BC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06D1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EF1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4C6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251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9C0D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567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F57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D00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A01D91">
            <w:pPr>
              <w:snapToGrid w:val="0"/>
              <w:rPr>
                <w:rFonts w:hint="eastAsia" w:ascii="黑体" w:hAnsi="黑体" w:eastAsia="黑体" w:cs="黑体"/>
                <w:i/>
                <w:iCs/>
                <w:color w:val="000000"/>
                <w:sz w:val="18"/>
                <w:szCs w:val="18"/>
                <w:u w:val="none"/>
              </w:rPr>
            </w:pPr>
          </w:p>
        </w:tc>
      </w:tr>
      <w:tr w14:paraId="72FF9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0B3AF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680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1ED97">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BA7F7">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F5E149">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EA961">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86F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146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DDD18C">
            <w:pPr>
              <w:snapToGrid w:val="0"/>
              <w:rPr>
                <w:rFonts w:hint="eastAsia" w:ascii="黑体" w:hAnsi="黑体" w:eastAsia="黑体" w:cs="黑体"/>
                <w:i/>
                <w:iCs/>
                <w:color w:val="000000"/>
                <w:sz w:val="18"/>
                <w:szCs w:val="18"/>
                <w:u w:val="none"/>
              </w:rPr>
            </w:pPr>
          </w:p>
        </w:tc>
      </w:tr>
      <w:tr w14:paraId="3DD2F4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33C7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623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CD1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253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967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B25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025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B02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48D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184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976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B79C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A6EC2A">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D09D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6DE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381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实施项目个数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DF9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C08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D8B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463F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10F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081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E9820">
            <w:pPr>
              <w:snapToGrid w:val="0"/>
              <w:jc w:val="center"/>
              <w:rPr>
                <w:rFonts w:hint="eastAsia" w:ascii="微软雅黑" w:hAnsi="微软雅黑" w:eastAsia="微软雅黑" w:cs="微软雅黑"/>
                <w:i/>
                <w:iCs/>
                <w:color w:val="000000"/>
                <w:sz w:val="16"/>
                <w:szCs w:val="16"/>
                <w:u w:val="none"/>
              </w:rPr>
            </w:pPr>
          </w:p>
        </w:tc>
      </w:tr>
      <w:tr w14:paraId="63F3A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9BF3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AD0ECE">
            <w:pPr>
              <w:snapToGrid w:val="0"/>
              <w:jc w:val="center"/>
              <w:rPr>
                <w:rFonts w:hint="eastAsia" w:ascii="宋体" w:hAnsi="宋体" w:eastAsia="宋体" w:cs="宋体"/>
                <w:i w:val="0"/>
                <w:iCs w:val="0"/>
                <w:color w:val="000000"/>
                <w:sz w:val="18"/>
                <w:szCs w:val="18"/>
                <w:u w:val="none"/>
              </w:rPr>
            </w:pP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ABBA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9A4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支付及时率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C4D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BD9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68C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6F8E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355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990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4A1C5">
            <w:pPr>
              <w:snapToGrid w:val="0"/>
              <w:jc w:val="center"/>
              <w:rPr>
                <w:rFonts w:hint="eastAsia" w:ascii="微软雅黑" w:hAnsi="微软雅黑" w:eastAsia="微软雅黑" w:cs="微软雅黑"/>
                <w:i/>
                <w:iCs/>
                <w:color w:val="000000"/>
                <w:sz w:val="16"/>
                <w:szCs w:val="16"/>
                <w:u w:val="none"/>
              </w:rPr>
            </w:pPr>
          </w:p>
        </w:tc>
      </w:tr>
      <w:tr w14:paraId="5BFA8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2870CA">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B24AA">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9F8ED4">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C24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项目验收合格率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E34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2DA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56C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3D0AD">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0ED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7E65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91AFB">
            <w:pPr>
              <w:snapToGrid w:val="0"/>
              <w:jc w:val="center"/>
              <w:rPr>
                <w:rFonts w:hint="eastAsia" w:ascii="微软雅黑" w:hAnsi="微软雅黑" w:eastAsia="微软雅黑" w:cs="微软雅黑"/>
                <w:i/>
                <w:iCs/>
                <w:color w:val="000000"/>
                <w:sz w:val="16"/>
                <w:szCs w:val="16"/>
                <w:u w:val="none"/>
              </w:rPr>
            </w:pPr>
          </w:p>
        </w:tc>
      </w:tr>
      <w:tr w14:paraId="74EF4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9DE97C">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2DABBE">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350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527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052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BB2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FAC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8A68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F77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F29C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F60B9">
            <w:pPr>
              <w:snapToGrid w:val="0"/>
              <w:jc w:val="center"/>
              <w:rPr>
                <w:rFonts w:hint="eastAsia" w:ascii="微软雅黑" w:hAnsi="微软雅黑" w:eastAsia="微软雅黑" w:cs="微软雅黑"/>
                <w:i/>
                <w:iCs/>
                <w:color w:val="000000"/>
                <w:sz w:val="16"/>
                <w:szCs w:val="16"/>
                <w:u w:val="none"/>
              </w:rPr>
            </w:pPr>
          </w:p>
        </w:tc>
      </w:tr>
      <w:tr w14:paraId="7D7469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C738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E8D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910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687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经费成本</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868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0A8B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45D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8494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E7E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372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0B4BD">
            <w:pPr>
              <w:snapToGrid w:val="0"/>
              <w:jc w:val="center"/>
              <w:rPr>
                <w:rFonts w:hint="eastAsia" w:ascii="微软雅黑" w:hAnsi="微软雅黑" w:eastAsia="微软雅黑" w:cs="微软雅黑"/>
                <w:i/>
                <w:iCs/>
                <w:color w:val="000000"/>
                <w:sz w:val="16"/>
                <w:szCs w:val="16"/>
                <w:u w:val="none"/>
              </w:rPr>
            </w:pPr>
          </w:p>
        </w:tc>
      </w:tr>
      <w:tr w14:paraId="18E1D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DEAEC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2CA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EB469">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7ACCE">
            <w:pPr>
              <w:snapToGrid w:val="0"/>
              <w:rPr>
                <w:rFonts w:hint="eastAsia" w:ascii="宋体" w:hAnsi="宋体" w:eastAsia="宋体" w:cs="宋体"/>
                <w:i w:val="0"/>
                <w:iCs w:val="0"/>
                <w:color w:val="000000"/>
                <w:sz w:val="18"/>
                <w:szCs w:val="18"/>
                <w:u w:val="none"/>
              </w:rPr>
            </w:pPr>
          </w:p>
        </w:tc>
      </w:tr>
      <w:tr w14:paraId="0D68A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8B4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C502210">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完成预算目标、自评得分100分。</w:t>
            </w:r>
          </w:p>
        </w:tc>
      </w:tr>
      <w:tr w14:paraId="2A494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529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A68E163">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8946A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65C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6BE1C65">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02FAA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1CB5C3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项目负责人：杨丽弘</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CFD318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618A5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00A73CD4">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48B0DF93">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653A66A6">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09F00EC7">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5A09A121">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7006449A">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752D8ED">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3B16BD61">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3F0EE95E">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30BE7085">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6166B146">
            <w:pPr>
              <w:snapToGrid w:val="0"/>
              <w:rPr>
                <w:rFonts w:hint="eastAsia" w:ascii="宋体" w:hAnsi="宋体" w:eastAsia="宋体" w:cs="宋体"/>
                <w:i w:val="0"/>
                <w:iCs w:val="0"/>
                <w:color w:val="000000"/>
                <w:sz w:val="18"/>
                <w:szCs w:val="18"/>
                <w:u w:val="none"/>
              </w:rPr>
            </w:pPr>
          </w:p>
        </w:tc>
      </w:tr>
      <w:tr w14:paraId="440C7F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D6FFD2C">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65C7F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C1782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EC5CBF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51088924Y000011335364-村社干部报酬、保险、绩效（2024）</w:t>
            </w:r>
          </w:p>
        </w:tc>
      </w:tr>
      <w:tr w14:paraId="558D3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3CBE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2B6A1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2DBAEFA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A093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667F7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D9E01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4D5DF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0E9AD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14F37F2">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ABE7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4D943">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647443">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E46BD6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村社干部工资</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A288481">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保障社区正常运行</w:t>
            </w:r>
          </w:p>
        </w:tc>
      </w:tr>
      <w:tr w14:paraId="68234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0A2684">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487D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82D0AFB">
            <w:pPr>
              <w:snapToGrid w:val="0"/>
              <w:rPr>
                <w:rFonts w:hint="eastAsia" w:ascii="宋体" w:hAnsi="宋体" w:eastAsia="宋体" w:cs="宋体"/>
                <w:i w:val="0"/>
                <w:iCs w:val="0"/>
                <w:color w:val="000000"/>
                <w:sz w:val="18"/>
                <w:szCs w:val="18"/>
                <w:u w:val="none"/>
              </w:rPr>
            </w:pPr>
          </w:p>
        </w:tc>
      </w:tr>
      <w:tr w14:paraId="4DE72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DE6B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701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6C2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A59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3A1D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D54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0FE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775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0A8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09122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6CE3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B12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153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448.69</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DE2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455.85</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45EA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455.85</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1F5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E5E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BDF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19600">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6F83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5C223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A7A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E7B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448.69</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47DC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455.85</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2930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455.85</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AB3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6C9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895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2F5E7">
            <w:pPr>
              <w:snapToGrid w:val="0"/>
              <w:rPr>
                <w:rFonts w:hint="eastAsia" w:ascii="黑体" w:hAnsi="黑体" w:eastAsia="黑体" w:cs="黑体"/>
                <w:i/>
                <w:iCs/>
                <w:color w:val="000000"/>
                <w:sz w:val="18"/>
                <w:szCs w:val="18"/>
                <w:u w:val="none"/>
              </w:rPr>
            </w:pPr>
          </w:p>
        </w:tc>
      </w:tr>
      <w:tr w14:paraId="211F1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F910A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1DD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577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7E6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23B5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8448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40B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3D1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61F58">
            <w:pPr>
              <w:snapToGrid w:val="0"/>
              <w:rPr>
                <w:rFonts w:hint="eastAsia" w:ascii="黑体" w:hAnsi="黑体" w:eastAsia="黑体" w:cs="黑体"/>
                <w:i/>
                <w:iCs/>
                <w:color w:val="000000"/>
                <w:sz w:val="18"/>
                <w:szCs w:val="18"/>
                <w:u w:val="none"/>
              </w:rPr>
            </w:pPr>
          </w:p>
        </w:tc>
      </w:tr>
      <w:tr w14:paraId="48444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AF78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221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FD0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15E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084C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6E9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466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54D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9F21C2">
            <w:pPr>
              <w:snapToGrid w:val="0"/>
              <w:rPr>
                <w:rFonts w:hint="eastAsia" w:ascii="黑体" w:hAnsi="黑体" w:eastAsia="黑体" w:cs="黑体"/>
                <w:i/>
                <w:iCs/>
                <w:color w:val="000000"/>
                <w:sz w:val="18"/>
                <w:szCs w:val="18"/>
                <w:u w:val="none"/>
              </w:rPr>
            </w:pPr>
          </w:p>
        </w:tc>
      </w:tr>
      <w:tr w14:paraId="22452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117D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002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C9112">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65456">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901E1E">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695D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5D3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A2B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3FB8AA">
            <w:pPr>
              <w:snapToGrid w:val="0"/>
              <w:rPr>
                <w:rFonts w:hint="eastAsia" w:ascii="黑体" w:hAnsi="黑体" w:eastAsia="黑体" w:cs="黑体"/>
                <w:i/>
                <w:iCs/>
                <w:color w:val="000000"/>
                <w:sz w:val="18"/>
                <w:szCs w:val="18"/>
                <w:u w:val="none"/>
              </w:rPr>
            </w:pPr>
          </w:p>
        </w:tc>
      </w:tr>
      <w:tr w14:paraId="2F567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4F3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85B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03E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42F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A6D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843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891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332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08B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0DF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123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744ACF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EC3AA2">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584C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735E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4E4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发放人数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649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23C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A40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96AE7">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1CD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021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D35A9">
            <w:pPr>
              <w:snapToGrid w:val="0"/>
              <w:jc w:val="center"/>
              <w:rPr>
                <w:rFonts w:hint="eastAsia" w:ascii="微软雅黑" w:hAnsi="微软雅黑" w:eastAsia="微软雅黑" w:cs="微软雅黑"/>
                <w:i/>
                <w:iCs/>
                <w:color w:val="000000"/>
                <w:sz w:val="16"/>
                <w:szCs w:val="16"/>
                <w:u w:val="none"/>
              </w:rPr>
            </w:pPr>
          </w:p>
        </w:tc>
      </w:tr>
      <w:tr w14:paraId="00E88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366B07">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93D4C0">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B89599">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A20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2BD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2C0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035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447F4">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CE0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852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FA2FB">
            <w:pPr>
              <w:snapToGrid w:val="0"/>
              <w:jc w:val="center"/>
              <w:rPr>
                <w:rFonts w:hint="eastAsia" w:ascii="微软雅黑" w:hAnsi="微软雅黑" w:eastAsia="微软雅黑" w:cs="微软雅黑"/>
                <w:i/>
                <w:iCs/>
                <w:color w:val="000000"/>
                <w:sz w:val="16"/>
                <w:szCs w:val="16"/>
                <w:u w:val="none"/>
              </w:rPr>
            </w:pPr>
          </w:p>
        </w:tc>
      </w:tr>
      <w:tr w14:paraId="20218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579ABB">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9BAAE7">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BFE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F6E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队伍稳定率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71A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0988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7C8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FEBA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D35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408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72F14">
            <w:pPr>
              <w:snapToGrid w:val="0"/>
              <w:jc w:val="center"/>
              <w:rPr>
                <w:rFonts w:hint="eastAsia" w:ascii="微软雅黑" w:hAnsi="微软雅黑" w:eastAsia="微软雅黑" w:cs="微软雅黑"/>
                <w:i/>
                <w:iCs/>
                <w:color w:val="000000"/>
                <w:sz w:val="16"/>
                <w:szCs w:val="16"/>
                <w:u w:val="none"/>
              </w:rPr>
            </w:pPr>
          </w:p>
        </w:tc>
      </w:tr>
      <w:tr w14:paraId="2A7FC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E08C51">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4384FE">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587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3942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334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818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C69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2326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91F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6BE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911AC">
            <w:pPr>
              <w:snapToGrid w:val="0"/>
              <w:jc w:val="center"/>
              <w:rPr>
                <w:rFonts w:hint="eastAsia" w:ascii="微软雅黑" w:hAnsi="微软雅黑" w:eastAsia="微软雅黑" w:cs="微软雅黑"/>
                <w:i/>
                <w:iCs/>
                <w:color w:val="000000"/>
                <w:sz w:val="16"/>
                <w:szCs w:val="16"/>
                <w:u w:val="none"/>
              </w:rPr>
            </w:pPr>
          </w:p>
        </w:tc>
      </w:tr>
      <w:tr w14:paraId="18FA6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7DFAA9">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2152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32B8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142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村组运转保障率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7B4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407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326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6EEF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0CA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8D7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EDEA2">
            <w:pPr>
              <w:snapToGrid w:val="0"/>
              <w:jc w:val="center"/>
              <w:rPr>
                <w:rFonts w:hint="eastAsia" w:ascii="微软雅黑" w:hAnsi="微软雅黑" w:eastAsia="微软雅黑" w:cs="微软雅黑"/>
                <w:i/>
                <w:iCs/>
                <w:color w:val="000000"/>
                <w:sz w:val="16"/>
                <w:szCs w:val="16"/>
                <w:u w:val="none"/>
              </w:rPr>
            </w:pPr>
          </w:p>
        </w:tc>
      </w:tr>
      <w:tr w14:paraId="00ADC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79BEC">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0FA1D5">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BE5FD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395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2B0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AD1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1FD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5941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AD7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75B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AF5E4">
            <w:pPr>
              <w:snapToGrid w:val="0"/>
              <w:jc w:val="center"/>
              <w:rPr>
                <w:rFonts w:hint="eastAsia" w:ascii="微软雅黑" w:hAnsi="微软雅黑" w:eastAsia="微软雅黑" w:cs="微软雅黑"/>
                <w:i/>
                <w:iCs/>
                <w:color w:val="000000"/>
                <w:sz w:val="16"/>
                <w:szCs w:val="16"/>
                <w:u w:val="none"/>
              </w:rPr>
            </w:pPr>
          </w:p>
        </w:tc>
      </w:tr>
      <w:tr w14:paraId="7908C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46DCE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AE4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24B26">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9E6FC">
            <w:pPr>
              <w:snapToGrid w:val="0"/>
              <w:rPr>
                <w:rFonts w:hint="eastAsia" w:ascii="宋体" w:hAnsi="宋体" w:eastAsia="宋体" w:cs="宋体"/>
                <w:i w:val="0"/>
                <w:iCs w:val="0"/>
                <w:color w:val="000000"/>
                <w:sz w:val="18"/>
                <w:szCs w:val="18"/>
                <w:u w:val="none"/>
              </w:rPr>
            </w:pPr>
          </w:p>
        </w:tc>
      </w:tr>
      <w:tr w14:paraId="7ADB0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767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0EC6E2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完成预算目标、自评得分100分。</w:t>
            </w:r>
          </w:p>
        </w:tc>
      </w:tr>
      <w:tr w14:paraId="00C01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1284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E52977D">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DEA8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C52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41A6C85">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EEDE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6F3C64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项目负责人：杨丽弘</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17CFF8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7AF9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36B7B426">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4AD9656F">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7ACB01CC">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6FC35CE6">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07438E28">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46FCD743">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3539924D">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3C0BF09A">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4E4E1362">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4BA53E68">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1FD07D16">
            <w:pPr>
              <w:snapToGrid w:val="0"/>
              <w:rPr>
                <w:rFonts w:hint="eastAsia" w:ascii="宋体" w:hAnsi="宋体" w:eastAsia="宋体" w:cs="宋体"/>
                <w:i w:val="0"/>
                <w:iCs w:val="0"/>
                <w:color w:val="000000"/>
                <w:sz w:val="18"/>
                <w:szCs w:val="18"/>
                <w:u w:val="none"/>
              </w:rPr>
            </w:pPr>
          </w:p>
        </w:tc>
      </w:tr>
      <w:tr w14:paraId="1F1FA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1EC92C9">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5D43A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1E0A2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95547B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51088925T000012165190-下西纪检监察工作经费2</w:t>
            </w:r>
          </w:p>
        </w:tc>
      </w:tr>
      <w:tr w14:paraId="20929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9094D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B50AAA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6023213E">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49E1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3B482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B9C80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104F3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2A4B5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E4F0D36">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0FCA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2D9B2A">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7DC3E1">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02188A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完成纪检监察年初目标任务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0B83C4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收集各类问题线索216个，推动解决民生实事201件</w:t>
            </w:r>
          </w:p>
        </w:tc>
      </w:tr>
      <w:tr w14:paraId="390D9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89C91A">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542B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12C4BA1">
            <w:pPr>
              <w:snapToGrid w:val="0"/>
              <w:rPr>
                <w:rFonts w:hint="eastAsia" w:ascii="宋体" w:hAnsi="宋体" w:eastAsia="宋体" w:cs="宋体"/>
                <w:i w:val="0"/>
                <w:iCs w:val="0"/>
                <w:color w:val="000000"/>
                <w:sz w:val="18"/>
                <w:szCs w:val="18"/>
                <w:u w:val="none"/>
              </w:rPr>
            </w:pPr>
          </w:p>
        </w:tc>
      </w:tr>
      <w:tr w14:paraId="6516F9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9950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2DE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410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A00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0DA9B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165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55D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CD4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4AC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71C52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B3D80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4D3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DD5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C8F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0421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9122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8BF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0DA0B">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AFC4AF">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D61A1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E4834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CA9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719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57B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B879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329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3095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EC9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4AA21">
            <w:pPr>
              <w:snapToGrid w:val="0"/>
              <w:rPr>
                <w:rFonts w:hint="eastAsia" w:ascii="黑体" w:hAnsi="黑体" w:eastAsia="黑体" w:cs="黑体"/>
                <w:i/>
                <w:iCs/>
                <w:color w:val="000000"/>
                <w:sz w:val="18"/>
                <w:szCs w:val="18"/>
                <w:u w:val="none"/>
              </w:rPr>
            </w:pPr>
          </w:p>
        </w:tc>
      </w:tr>
      <w:tr w14:paraId="79255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BC68E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892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DBE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2B7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299E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94D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740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383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B5736B">
            <w:pPr>
              <w:snapToGrid w:val="0"/>
              <w:rPr>
                <w:rFonts w:hint="eastAsia" w:ascii="黑体" w:hAnsi="黑体" w:eastAsia="黑体" w:cs="黑体"/>
                <w:i/>
                <w:iCs/>
                <w:color w:val="000000"/>
                <w:sz w:val="18"/>
                <w:szCs w:val="18"/>
                <w:u w:val="none"/>
              </w:rPr>
            </w:pPr>
          </w:p>
        </w:tc>
      </w:tr>
      <w:tr w14:paraId="742E1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3C166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592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616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F83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337C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12F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C4B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518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E5B529">
            <w:pPr>
              <w:snapToGrid w:val="0"/>
              <w:rPr>
                <w:rFonts w:hint="eastAsia" w:ascii="黑体" w:hAnsi="黑体" w:eastAsia="黑体" w:cs="黑体"/>
                <w:i/>
                <w:iCs/>
                <w:color w:val="000000"/>
                <w:sz w:val="18"/>
                <w:szCs w:val="18"/>
                <w:u w:val="none"/>
              </w:rPr>
            </w:pPr>
          </w:p>
        </w:tc>
      </w:tr>
      <w:tr w14:paraId="6D857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3EBF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433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C508A">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D9703">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14FE77">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FB5F6">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FAB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F6E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DBC3D">
            <w:pPr>
              <w:snapToGrid w:val="0"/>
              <w:rPr>
                <w:rFonts w:hint="eastAsia" w:ascii="黑体" w:hAnsi="黑体" w:eastAsia="黑体" w:cs="黑体"/>
                <w:i/>
                <w:iCs/>
                <w:color w:val="000000"/>
                <w:sz w:val="18"/>
                <w:szCs w:val="18"/>
                <w:u w:val="none"/>
              </w:rPr>
            </w:pPr>
          </w:p>
        </w:tc>
      </w:tr>
      <w:tr w14:paraId="13795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941E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CF5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ECFE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9C6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001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054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6BF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659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D7F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B43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FCDF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48978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E7782C">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8ECE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A27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764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完成对村居常规督查</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6FF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64D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3C2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14528">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7</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CAF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D0D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69512">
            <w:pPr>
              <w:snapToGrid w:val="0"/>
              <w:jc w:val="center"/>
              <w:rPr>
                <w:rFonts w:hint="eastAsia" w:ascii="微软雅黑" w:hAnsi="微软雅黑" w:eastAsia="微软雅黑" w:cs="微软雅黑"/>
                <w:i/>
                <w:iCs/>
                <w:color w:val="000000"/>
                <w:sz w:val="16"/>
                <w:szCs w:val="16"/>
                <w:u w:val="none"/>
              </w:rPr>
            </w:pPr>
          </w:p>
        </w:tc>
      </w:tr>
      <w:tr w14:paraId="29A82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53D47">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7AFFD2">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556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305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对辖区村居监督覆盖率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C89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DE9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131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4DC75">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371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A7A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E57EB">
            <w:pPr>
              <w:snapToGrid w:val="0"/>
              <w:jc w:val="center"/>
              <w:rPr>
                <w:rFonts w:hint="eastAsia" w:ascii="微软雅黑" w:hAnsi="微软雅黑" w:eastAsia="微软雅黑" w:cs="微软雅黑"/>
                <w:i/>
                <w:iCs/>
                <w:color w:val="000000"/>
                <w:sz w:val="16"/>
                <w:szCs w:val="16"/>
                <w:u w:val="none"/>
              </w:rPr>
            </w:pPr>
          </w:p>
        </w:tc>
      </w:tr>
      <w:tr w14:paraId="3DDAD7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9CE8C">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F50516">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5978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C39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结合工作开展情况完成项目支出计划</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8EF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BCC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FB9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01D3E">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6</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EF5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379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196F3">
            <w:pPr>
              <w:snapToGrid w:val="0"/>
              <w:jc w:val="center"/>
              <w:rPr>
                <w:rFonts w:hint="eastAsia" w:ascii="微软雅黑" w:hAnsi="微软雅黑" w:eastAsia="微软雅黑" w:cs="微软雅黑"/>
                <w:i/>
                <w:iCs/>
                <w:color w:val="000000"/>
                <w:sz w:val="16"/>
                <w:szCs w:val="16"/>
                <w:u w:val="none"/>
              </w:rPr>
            </w:pPr>
          </w:p>
        </w:tc>
      </w:tr>
      <w:tr w14:paraId="4E2B3B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43C6C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A8A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434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1FB6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有力提升监督质效</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49E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778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好</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DC6FE">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BD81E">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好</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E88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9D5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2C44F">
            <w:pPr>
              <w:snapToGrid w:val="0"/>
              <w:jc w:val="center"/>
              <w:rPr>
                <w:rFonts w:hint="eastAsia" w:ascii="微软雅黑" w:hAnsi="微软雅黑" w:eastAsia="微软雅黑" w:cs="微软雅黑"/>
                <w:i/>
                <w:iCs/>
                <w:color w:val="000000"/>
                <w:sz w:val="16"/>
                <w:szCs w:val="16"/>
                <w:u w:val="none"/>
              </w:rPr>
            </w:pPr>
          </w:p>
        </w:tc>
      </w:tr>
      <w:tr w14:paraId="36805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624B8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861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AE0D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5AD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人民群众满意度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DD9F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1CC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4DD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D9AD1">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073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3C4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03D1B">
            <w:pPr>
              <w:snapToGrid w:val="0"/>
              <w:jc w:val="center"/>
              <w:rPr>
                <w:rFonts w:hint="eastAsia" w:ascii="微软雅黑" w:hAnsi="微软雅黑" w:eastAsia="微软雅黑" w:cs="微软雅黑"/>
                <w:i/>
                <w:iCs/>
                <w:color w:val="000000"/>
                <w:sz w:val="16"/>
                <w:szCs w:val="16"/>
                <w:u w:val="none"/>
              </w:rPr>
            </w:pPr>
          </w:p>
        </w:tc>
      </w:tr>
      <w:tr w14:paraId="5095E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286FCF">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DAFD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32CE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6A4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办公费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9A8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8BB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E0C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3943E">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40C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AEF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5C775">
            <w:pPr>
              <w:snapToGrid w:val="0"/>
              <w:jc w:val="center"/>
              <w:rPr>
                <w:rFonts w:hint="eastAsia" w:ascii="微软雅黑" w:hAnsi="微软雅黑" w:eastAsia="微软雅黑" w:cs="微软雅黑"/>
                <w:i/>
                <w:iCs/>
                <w:color w:val="000000"/>
                <w:sz w:val="16"/>
                <w:szCs w:val="16"/>
                <w:u w:val="none"/>
              </w:rPr>
            </w:pPr>
          </w:p>
        </w:tc>
      </w:tr>
      <w:tr w14:paraId="20FAE7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FBC984">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7495F2">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E5BA1">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499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差旅费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3B3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33C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CE0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20E29">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01C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073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10960">
            <w:pPr>
              <w:snapToGrid w:val="0"/>
              <w:jc w:val="center"/>
              <w:rPr>
                <w:rFonts w:hint="eastAsia" w:ascii="微软雅黑" w:hAnsi="微软雅黑" w:eastAsia="微软雅黑" w:cs="微软雅黑"/>
                <w:i/>
                <w:iCs/>
                <w:color w:val="000000"/>
                <w:sz w:val="16"/>
                <w:szCs w:val="16"/>
                <w:u w:val="none"/>
              </w:rPr>
            </w:pPr>
          </w:p>
        </w:tc>
      </w:tr>
      <w:tr w14:paraId="13F85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EFE0F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157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94EAD">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76957">
            <w:pPr>
              <w:snapToGrid w:val="0"/>
              <w:rPr>
                <w:rFonts w:hint="eastAsia" w:ascii="宋体" w:hAnsi="宋体" w:eastAsia="宋体" w:cs="宋体"/>
                <w:i w:val="0"/>
                <w:iCs w:val="0"/>
                <w:color w:val="000000"/>
                <w:sz w:val="18"/>
                <w:szCs w:val="18"/>
                <w:u w:val="none"/>
              </w:rPr>
            </w:pPr>
          </w:p>
        </w:tc>
      </w:tr>
      <w:tr w14:paraId="78662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F11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CEB6404">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完成预期目标，自评得分100分。</w:t>
            </w:r>
          </w:p>
        </w:tc>
      </w:tr>
      <w:tr w14:paraId="61821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CEE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1AB49B3">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7C2F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BFC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37CA75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3181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806174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项目负责人：杨丽弘</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AB401E1">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41F32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4A7F1BCD">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0487B3C8">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64D84B52">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283489A1">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26B46A40">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677CEE67">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B63EA80">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274F6535">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555991B4">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57143FEA">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40CFCA73">
            <w:pPr>
              <w:snapToGrid w:val="0"/>
              <w:rPr>
                <w:rFonts w:hint="eastAsia" w:ascii="宋体" w:hAnsi="宋体" w:eastAsia="宋体" w:cs="宋体"/>
                <w:i w:val="0"/>
                <w:iCs w:val="0"/>
                <w:color w:val="000000"/>
                <w:sz w:val="18"/>
                <w:szCs w:val="18"/>
                <w:u w:val="none"/>
              </w:rPr>
            </w:pPr>
          </w:p>
        </w:tc>
      </w:tr>
      <w:tr w14:paraId="3974E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77D306E">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4E202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546E1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5CF01A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51088925T000012306967-2024年第一批交通专项资金</w:t>
            </w:r>
          </w:p>
        </w:tc>
      </w:tr>
      <w:tr w14:paraId="7A532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A38F3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63FF1E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6B2A4D9E">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FE81F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2A60E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071A9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60286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F12E4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EF5222A">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37F9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828D8A">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D9B41F">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7B7126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完成南陵社区205线征地拆迁任务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B5DA95A">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已完成205线拆迁任务</w:t>
            </w:r>
          </w:p>
        </w:tc>
      </w:tr>
      <w:tr w14:paraId="40250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B3D896">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F0C4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FD7EE33">
            <w:pPr>
              <w:snapToGrid w:val="0"/>
              <w:rPr>
                <w:rFonts w:hint="eastAsia" w:ascii="宋体" w:hAnsi="宋体" w:eastAsia="宋体" w:cs="宋体"/>
                <w:i w:val="0"/>
                <w:iCs w:val="0"/>
                <w:color w:val="000000"/>
                <w:sz w:val="18"/>
                <w:szCs w:val="18"/>
                <w:u w:val="none"/>
              </w:rPr>
            </w:pPr>
          </w:p>
        </w:tc>
      </w:tr>
      <w:tr w14:paraId="79490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F76C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E2A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222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299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19BB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433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78F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9A5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20E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767AED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E423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4B3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18B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4AB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239A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384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8E3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16A48">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2CD18B">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A6C1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EC181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227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532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F6B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A77F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97A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3DB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7E29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FB1F90">
            <w:pPr>
              <w:snapToGrid w:val="0"/>
              <w:rPr>
                <w:rFonts w:hint="eastAsia" w:ascii="黑体" w:hAnsi="黑体" w:eastAsia="黑体" w:cs="黑体"/>
                <w:i/>
                <w:iCs/>
                <w:color w:val="000000"/>
                <w:sz w:val="18"/>
                <w:szCs w:val="18"/>
                <w:u w:val="none"/>
              </w:rPr>
            </w:pPr>
          </w:p>
        </w:tc>
      </w:tr>
      <w:tr w14:paraId="21E99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6221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AF0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793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9C9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3AB9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765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55B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D3D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0B8886">
            <w:pPr>
              <w:snapToGrid w:val="0"/>
              <w:rPr>
                <w:rFonts w:hint="eastAsia" w:ascii="黑体" w:hAnsi="黑体" w:eastAsia="黑体" w:cs="黑体"/>
                <w:i/>
                <w:iCs/>
                <w:color w:val="000000"/>
                <w:sz w:val="18"/>
                <w:szCs w:val="18"/>
                <w:u w:val="none"/>
              </w:rPr>
            </w:pPr>
          </w:p>
        </w:tc>
      </w:tr>
      <w:tr w14:paraId="2F72D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215E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3CF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7EF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ADA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8292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2B9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24A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179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87F8AF">
            <w:pPr>
              <w:snapToGrid w:val="0"/>
              <w:rPr>
                <w:rFonts w:hint="eastAsia" w:ascii="黑体" w:hAnsi="黑体" w:eastAsia="黑体" w:cs="黑体"/>
                <w:i/>
                <w:iCs/>
                <w:color w:val="000000"/>
                <w:sz w:val="18"/>
                <w:szCs w:val="18"/>
                <w:u w:val="none"/>
              </w:rPr>
            </w:pPr>
          </w:p>
        </w:tc>
      </w:tr>
      <w:tr w14:paraId="12C3E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BEB1E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3A1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6C946">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1676C">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89BDF7">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A03AA">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A9F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AD1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C0B71">
            <w:pPr>
              <w:snapToGrid w:val="0"/>
              <w:rPr>
                <w:rFonts w:hint="eastAsia" w:ascii="黑体" w:hAnsi="黑体" w:eastAsia="黑体" w:cs="黑体"/>
                <w:i/>
                <w:iCs/>
                <w:color w:val="000000"/>
                <w:sz w:val="18"/>
                <w:szCs w:val="18"/>
                <w:u w:val="none"/>
              </w:rPr>
            </w:pPr>
          </w:p>
        </w:tc>
      </w:tr>
      <w:tr w14:paraId="201C9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7B41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783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435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EA5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0BB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3D5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458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EEE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614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E97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88B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25A12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8415D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397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1A3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8D0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拆迁款发放及时率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0BE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1ED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F91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52C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562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F31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0D7B9">
            <w:pPr>
              <w:snapToGrid w:val="0"/>
              <w:jc w:val="center"/>
              <w:rPr>
                <w:rFonts w:hint="eastAsia" w:ascii="微软雅黑" w:hAnsi="微软雅黑" w:eastAsia="微软雅黑" w:cs="微软雅黑"/>
                <w:i/>
                <w:iCs/>
                <w:color w:val="000000"/>
                <w:sz w:val="16"/>
                <w:szCs w:val="16"/>
                <w:u w:val="none"/>
              </w:rPr>
            </w:pPr>
          </w:p>
        </w:tc>
      </w:tr>
      <w:tr w14:paraId="0A139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C282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C2A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3F5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A78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拆迁款发放准确率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F5F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1F1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DC5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BDE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002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9C0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54C18">
            <w:pPr>
              <w:snapToGrid w:val="0"/>
              <w:jc w:val="center"/>
              <w:rPr>
                <w:rFonts w:hint="eastAsia" w:ascii="微软雅黑" w:hAnsi="微软雅黑" w:eastAsia="微软雅黑" w:cs="微软雅黑"/>
                <w:i/>
                <w:iCs/>
                <w:color w:val="000000"/>
                <w:sz w:val="16"/>
                <w:szCs w:val="16"/>
                <w:u w:val="none"/>
              </w:rPr>
            </w:pPr>
          </w:p>
        </w:tc>
      </w:tr>
      <w:tr w14:paraId="5FD7F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A1E8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B6F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6F7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9B4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拆迁工作进度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9C0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FED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E1F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64F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2CF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0E4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08838">
            <w:pPr>
              <w:snapToGrid w:val="0"/>
              <w:jc w:val="center"/>
              <w:rPr>
                <w:rFonts w:hint="eastAsia" w:ascii="微软雅黑" w:hAnsi="微软雅黑" w:eastAsia="微软雅黑" w:cs="微软雅黑"/>
                <w:i/>
                <w:iCs/>
                <w:color w:val="000000"/>
                <w:sz w:val="16"/>
                <w:szCs w:val="16"/>
                <w:u w:val="none"/>
              </w:rPr>
            </w:pPr>
          </w:p>
        </w:tc>
      </w:tr>
      <w:tr w14:paraId="34CBE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4A2C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F5C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A9A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93A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推动当地各项发展</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18A8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0D1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291CC">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8DC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542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6A0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D0C50">
            <w:pPr>
              <w:snapToGrid w:val="0"/>
              <w:jc w:val="center"/>
              <w:rPr>
                <w:rFonts w:hint="eastAsia" w:ascii="微软雅黑" w:hAnsi="微软雅黑" w:eastAsia="微软雅黑" w:cs="微软雅黑"/>
                <w:i/>
                <w:iCs/>
                <w:color w:val="000000"/>
                <w:sz w:val="16"/>
                <w:szCs w:val="16"/>
                <w:u w:val="none"/>
              </w:rPr>
            </w:pPr>
          </w:p>
        </w:tc>
      </w:tr>
      <w:tr w14:paraId="1149E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D4E6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EBD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C56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088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拆迁资金</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DC0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70A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F56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7EA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A6B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427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06A2E">
            <w:pPr>
              <w:snapToGrid w:val="0"/>
              <w:jc w:val="center"/>
              <w:rPr>
                <w:rFonts w:hint="eastAsia" w:ascii="微软雅黑" w:hAnsi="微软雅黑" w:eastAsia="微软雅黑" w:cs="微软雅黑"/>
                <w:i/>
                <w:iCs/>
                <w:color w:val="000000"/>
                <w:sz w:val="16"/>
                <w:szCs w:val="16"/>
                <w:u w:val="none"/>
              </w:rPr>
            </w:pPr>
          </w:p>
        </w:tc>
      </w:tr>
      <w:tr w14:paraId="6CCE4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AA07F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8883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85B72">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1FE4E">
            <w:pPr>
              <w:snapToGrid w:val="0"/>
              <w:rPr>
                <w:rFonts w:hint="eastAsia" w:ascii="宋体" w:hAnsi="宋体" w:eastAsia="宋体" w:cs="宋体"/>
                <w:i w:val="0"/>
                <w:iCs w:val="0"/>
                <w:color w:val="000000"/>
                <w:sz w:val="18"/>
                <w:szCs w:val="18"/>
                <w:u w:val="none"/>
              </w:rPr>
            </w:pPr>
          </w:p>
        </w:tc>
      </w:tr>
      <w:tr w14:paraId="48F898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B64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BF0695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完成预期目标，自评得分98分。</w:t>
            </w:r>
          </w:p>
        </w:tc>
      </w:tr>
      <w:tr w14:paraId="745F5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EF3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93FF479">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41F0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611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0FC9227">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545B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909A02E">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项目负责人：王春芳</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C9B96D">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123E2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00ECD645">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6226CE60">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7F29E4F5">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6C9202A2">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7B741BE">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070D19BF">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7F486B4">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657BF922">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1BB37F27">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6111FB1B">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4CDBBCE9">
            <w:pPr>
              <w:snapToGrid w:val="0"/>
              <w:rPr>
                <w:rFonts w:hint="eastAsia" w:ascii="宋体" w:hAnsi="宋体" w:eastAsia="宋体" w:cs="宋体"/>
                <w:i w:val="0"/>
                <w:iCs w:val="0"/>
                <w:color w:val="000000"/>
                <w:sz w:val="18"/>
                <w:szCs w:val="18"/>
                <w:u w:val="none"/>
              </w:rPr>
            </w:pPr>
          </w:p>
        </w:tc>
      </w:tr>
      <w:tr w14:paraId="75A09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9C239D0">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5DF77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2C8C6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62598C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51088925T000012321550-下西2023年度考核优秀奖励资金</w:t>
            </w:r>
          </w:p>
        </w:tc>
      </w:tr>
      <w:tr w14:paraId="09685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CDA6D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FA594A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7F94826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B58A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5DB710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EED72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55468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893A1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3CF73AE">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15866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2DB73">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57E02">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D07F253">
            <w:pPr>
              <w:snapToGrid w:val="0"/>
              <w:rPr>
                <w:rFonts w:hint="eastAsia" w:ascii="宋体" w:hAnsi="宋体" w:eastAsia="宋体" w:cs="宋体"/>
                <w:i w:val="0"/>
                <w:iCs w:val="0"/>
                <w:color w:val="000000"/>
                <w:sz w:val="18"/>
                <w:szCs w:val="18"/>
                <w:u w:val="none"/>
              </w:rPr>
            </w:pP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78DD1E9">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优秀干部3人，提升了干部职工积极性。</w:t>
            </w:r>
          </w:p>
        </w:tc>
      </w:tr>
      <w:tr w14:paraId="14BA7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B22F47">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66E5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30BA40D">
            <w:pPr>
              <w:snapToGrid w:val="0"/>
              <w:rPr>
                <w:rFonts w:hint="eastAsia" w:ascii="宋体" w:hAnsi="宋体" w:eastAsia="宋体" w:cs="宋体"/>
                <w:i w:val="0"/>
                <w:iCs w:val="0"/>
                <w:color w:val="000000"/>
                <w:sz w:val="18"/>
                <w:szCs w:val="18"/>
                <w:u w:val="none"/>
              </w:rPr>
            </w:pPr>
          </w:p>
        </w:tc>
      </w:tr>
      <w:tr w14:paraId="2ED6F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8F07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34E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F845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373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6F28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110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F749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8E5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F0F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00F8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4E31E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C4B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AED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BB1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0.45</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1AD8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0.45</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0AB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CB3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63E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724451">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A1BC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D6AB8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306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ADB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B4A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0.45</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49EC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0.45</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F3C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8EB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642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EA6B0D">
            <w:pPr>
              <w:snapToGrid w:val="0"/>
              <w:rPr>
                <w:rFonts w:hint="eastAsia" w:ascii="黑体" w:hAnsi="黑体" w:eastAsia="黑体" w:cs="黑体"/>
                <w:i/>
                <w:iCs/>
                <w:color w:val="000000"/>
                <w:sz w:val="18"/>
                <w:szCs w:val="18"/>
                <w:u w:val="none"/>
              </w:rPr>
            </w:pPr>
          </w:p>
        </w:tc>
      </w:tr>
      <w:tr w14:paraId="70369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3C814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26C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782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E8B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36F7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DA1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321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15A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6F0FE1">
            <w:pPr>
              <w:snapToGrid w:val="0"/>
              <w:rPr>
                <w:rFonts w:hint="eastAsia" w:ascii="黑体" w:hAnsi="黑体" w:eastAsia="黑体" w:cs="黑体"/>
                <w:i/>
                <w:iCs/>
                <w:color w:val="000000"/>
                <w:sz w:val="18"/>
                <w:szCs w:val="18"/>
                <w:u w:val="none"/>
              </w:rPr>
            </w:pPr>
          </w:p>
        </w:tc>
      </w:tr>
      <w:tr w14:paraId="57885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9B695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A3F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BF2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EC7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CA3E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232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E98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0A8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07180F">
            <w:pPr>
              <w:snapToGrid w:val="0"/>
              <w:rPr>
                <w:rFonts w:hint="eastAsia" w:ascii="黑体" w:hAnsi="黑体" w:eastAsia="黑体" w:cs="黑体"/>
                <w:i/>
                <w:iCs/>
                <w:color w:val="000000"/>
                <w:sz w:val="18"/>
                <w:szCs w:val="18"/>
                <w:u w:val="none"/>
              </w:rPr>
            </w:pPr>
          </w:p>
        </w:tc>
      </w:tr>
      <w:tr w14:paraId="76D800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D6EB0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923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4D80D">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F75BC">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40F395">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38E8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A60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965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9B0DD0">
            <w:pPr>
              <w:snapToGrid w:val="0"/>
              <w:rPr>
                <w:rFonts w:hint="eastAsia" w:ascii="黑体" w:hAnsi="黑体" w:eastAsia="黑体" w:cs="黑体"/>
                <w:i/>
                <w:iCs/>
                <w:color w:val="000000"/>
                <w:sz w:val="18"/>
                <w:szCs w:val="18"/>
                <w:u w:val="none"/>
              </w:rPr>
            </w:pPr>
          </w:p>
        </w:tc>
      </w:tr>
      <w:tr w14:paraId="36D73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59EAB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1E1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01B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C3B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6C6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5F0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35C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35A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5E8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E93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14F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768BC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A43720">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BE72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4A3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1F9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优秀人数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CFF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C919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443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6178E">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3C6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4A9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40C0F">
            <w:pPr>
              <w:snapToGrid w:val="0"/>
              <w:jc w:val="center"/>
              <w:rPr>
                <w:rFonts w:hint="eastAsia" w:ascii="微软雅黑" w:hAnsi="微软雅黑" w:eastAsia="微软雅黑" w:cs="微软雅黑"/>
                <w:i/>
                <w:iCs/>
                <w:color w:val="000000"/>
                <w:sz w:val="16"/>
                <w:szCs w:val="16"/>
                <w:u w:val="none"/>
              </w:rPr>
            </w:pPr>
          </w:p>
        </w:tc>
      </w:tr>
      <w:tr w14:paraId="0383AB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F7369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8F989E">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C55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DCC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优秀率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BCA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98B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46BF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8C2C3">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5F7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F60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2E35A">
            <w:pPr>
              <w:snapToGrid w:val="0"/>
              <w:jc w:val="center"/>
              <w:rPr>
                <w:rFonts w:hint="eastAsia" w:ascii="微软雅黑" w:hAnsi="微软雅黑" w:eastAsia="微软雅黑" w:cs="微软雅黑"/>
                <w:i/>
                <w:iCs/>
                <w:color w:val="000000"/>
                <w:sz w:val="16"/>
                <w:szCs w:val="16"/>
                <w:u w:val="none"/>
              </w:rPr>
            </w:pPr>
          </w:p>
        </w:tc>
      </w:tr>
      <w:tr w14:paraId="25FCD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4E4843">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9D73C5">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B94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143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091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888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7E2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6B6BF">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6EC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F569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D1048">
            <w:pPr>
              <w:snapToGrid w:val="0"/>
              <w:jc w:val="center"/>
              <w:rPr>
                <w:rFonts w:hint="eastAsia" w:ascii="微软雅黑" w:hAnsi="微软雅黑" w:eastAsia="微软雅黑" w:cs="微软雅黑"/>
                <w:i/>
                <w:iCs/>
                <w:color w:val="000000"/>
                <w:sz w:val="16"/>
                <w:szCs w:val="16"/>
                <w:u w:val="none"/>
              </w:rPr>
            </w:pPr>
          </w:p>
        </w:tc>
      </w:tr>
      <w:tr w14:paraId="2C56F4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B377E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D4B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617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F2F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增加干部积极性，服务群众激情提高</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904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29C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737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1B251">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00A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B03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B1202">
            <w:pPr>
              <w:snapToGrid w:val="0"/>
              <w:jc w:val="center"/>
              <w:rPr>
                <w:rFonts w:hint="eastAsia" w:ascii="微软雅黑" w:hAnsi="微软雅黑" w:eastAsia="微软雅黑" w:cs="微软雅黑"/>
                <w:i/>
                <w:iCs/>
                <w:color w:val="000000"/>
                <w:sz w:val="16"/>
                <w:szCs w:val="16"/>
                <w:u w:val="none"/>
              </w:rPr>
            </w:pPr>
          </w:p>
        </w:tc>
      </w:tr>
      <w:tr w14:paraId="25EB9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7E6DD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A9F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89F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F80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干部满意度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CA2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004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好</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AEA63">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B90A3">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好</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272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487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E82C2">
            <w:pPr>
              <w:snapToGrid w:val="0"/>
              <w:jc w:val="center"/>
              <w:rPr>
                <w:rFonts w:hint="eastAsia" w:ascii="微软雅黑" w:hAnsi="微软雅黑" w:eastAsia="微软雅黑" w:cs="微软雅黑"/>
                <w:i/>
                <w:iCs/>
                <w:color w:val="000000"/>
                <w:sz w:val="16"/>
                <w:szCs w:val="16"/>
                <w:u w:val="none"/>
              </w:rPr>
            </w:pPr>
          </w:p>
        </w:tc>
      </w:tr>
      <w:tr w14:paraId="19B8D1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7B187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BA4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30A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E5D8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奖励金额</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EC87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D7C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0.75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38D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47D6C">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0.75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8F2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C24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6D473">
            <w:pPr>
              <w:snapToGrid w:val="0"/>
              <w:jc w:val="center"/>
              <w:rPr>
                <w:rFonts w:hint="eastAsia" w:ascii="微软雅黑" w:hAnsi="微软雅黑" w:eastAsia="微软雅黑" w:cs="微软雅黑"/>
                <w:i/>
                <w:iCs/>
                <w:color w:val="000000"/>
                <w:sz w:val="16"/>
                <w:szCs w:val="16"/>
                <w:u w:val="none"/>
              </w:rPr>
            </w:pPr>
          </w:p>
        </w:tc>
      </w:tr>
      <w:tr w14:paraId="1DA548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FD4281">
            <w:pPr>
              <w:snapToGrid w:val="0"/>
              <w:jc w:val="center"/>
              <w:rPr>
                <w:rFonts w:hint="eastAsia" w:ascii="宋体" w:hAnsi="宋体" w:eastAsia="宋体" w:cs="宋体"/>
                <w:i w:val="0"/>
                <w:iCs w:val="0"/>
                <w:color w:val="000000"/>
                <w:sz w:val="18"/>
                <w:szCs w:val="18"/>
                <w:u w:val="none"/>
              </w:rPr>
            </w:pPr>
          </w:p>
        </w:tc>
        <w:tc>
          <w:tcPr>
            <w:tcW w:w="278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670F4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E8C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1ED89">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r>
      <w:tr w14:paraId="00607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15B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3BDB3F8">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完成预期目标，自评得分100分。</w:t>
            </w:r>
          </w:p>
        </w:tc>
      </w:tr>
      <w:tr w14:paraId="64DBE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F2E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EE001A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57F1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271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3DBC048">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D270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0D0AB6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项目负责人：杨丽弘</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3F7A8A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765A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31FA594F">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61EF3085">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400C6FC5">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57FF55C1">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7E5B2142">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4BDE0754">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2FAA58E6">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78BEF36C">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59DC7564">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15D9B9B7">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4E2F9EEA">
            <w:pPr>
              <w:snapToGrid w:val="0"/>
              <w:rPr>
                <w:rFonts w:hint="eastAsia" w:ascii="宋体" w:hAnsi="宋体" w:eastAsia="宋体" w:cs="宋体"/>
                <w:i w:val="0"/>
                <w:iCs w:val="0"/>
                <w:color w:val="000000"/>
                <w:sz w:val="18"/>
                <w:szCs w:val="18"/>
                <w:u w:val="none"/>
              </w:rPr>
            </w:pPr>
          </w:p>
        </w:tc>
      </w:tr>
      <w:tr w14:paraId="527050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FD489C8">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0232A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D0806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9145AC0">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51088925T000012490870-下西老旧小区改造资金</w:t>
            </w:r>
          </w:p>
        </w:tc>
      </w:tr>
      <w:tr w14:paraId="3286D7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E44F1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4814A7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3BD7ADD7">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2219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5B397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2D5C1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95A2E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75E31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B0E166D">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153DB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311ADE">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CD76A6">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698B0C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完成铁路老旧小区改造，进一步改善群众居住条件</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B9A4CD9">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完成铁路社区群众基础生活配套设施建设项目</w:t>
            </w:r>
          </w:p>
        </w:tc>
      </w:tr>
      <w:tr w14:paraId="5897E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64B9E">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2E3A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512865A">
            <w:pPr>
              <w:snapToGrid w:val="0"/>
              <w:rPr>
                <w:rFonts w:hint="eastAsia" w:ascii="宋体" w:hAnsi="宋体" w:eastAsia="宋体" w:cs="宋体"/>
                <w:i w:val="0"/>
                <w:iCs w:val="0"/>
                <w:color w:val="000000"/>
                <w:sz w:val="18"/>
                <w:szCs w:val="18"/>
                <w:u w:val="none"/>
              </w:rPr>
            </w:pPr>
          </w:p>
        </w:tc>
      </w:tr>
      <w:tr w14:paraId="28A37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C427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A48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F1C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F0E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0C75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8EB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018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24F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749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02940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A32D6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90F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A58F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B04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6688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56E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E5E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D1315">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CDAE04">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322B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60ECF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5DE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1F9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CBB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29043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10E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95A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27D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F7FA99">
            <w:pPr>
              <w:snapToGrid w:val="0"/>
              <w:rPr>
                <w:rFonts w:hint="eastAsia" w:ascii="黑体" w:hAnsi="黑体" w:eastAsia="黑体" w:cs="黑体"/>
                <w:i/>
                <w:iCs/>
                <w:color w:val="000000"/>
                <w:sz w:val="18"/>
                <w:szCs w:val="18"/>
                <w:u w:val="none"/>
              </w:rPr>
            </w:pPr>
          </w:p>
        </w:tc>
      </w:tr>
      <w:tr w14:paraId="45D43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16F90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6713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BBD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6A9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8244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0ED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639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E6E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E4ACA7">
            <w:pPr>
              <w:snapToGrid w:val="0"/>
              <w:rPr>
                <w:rFonts w:hint="eastAsia" w:ascii="黑体" w:hAnsi="黑体" w:eastAsia="黑体" w:cs="黑体"/>
                <w:i/>
                <w:iCs/>
                <w:color w:val="000000"/>
                <w:sz w:val="18"/>
                <w:szCs w:val="18"/>
                <w:u w:val="none"/>
              </w:rPr>
            </w:pPr>
          </w:p>
        </w:tc>
      </w:tr>
      <w:tr w14:paraId="03EE0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8435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5C0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1FF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7CF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59CBB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6E7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43A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77D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F4DAD0">
            <w:pPr>
              <w:snapToGrid w:val="0"/>
              <w:rPr>
                <w:rFonts w:hint="eastAsia" w:ascii="黑体" w:hAnsi="黑体" w:eastAsia="黑体" w:cs="黑体"/>
                <w:i/>
                <w:iCs/>
                <w:color w:val="000000"/>
                <w:sz w:val="18"/>
                <w:szCs w:val="18"/>
                <w:u w:val="none"/>
              </w:rPr>
            </w:pPr>
          </w:p>
        </w:tc>
      </w:tr>
      <w:tr w14:paraId="7F568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46EE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1A0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DD5AE">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D6A6A">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530A0A">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CAC50">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A59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958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BEB1C6">
            <w:pPr>
              <w:snapToGrid w:val="0"/>
              <w:rPr>
                <w:rFonts w:hint="eastAsia" w:ascii="黑体" w:hAnsi="黑体" w:eastAsia="黑体" w:cs="黑体"/>
                <w:i/>
                <w:iCs/>
                <w:color w:val="000000"/>
                <w:sz w:val="18"/>
                <w:szCs w:val="18"/>
                <w:u w:val="none"/>
              </w:rPr>
            </w:pPr>
          </w:p>
        </w:tc>
      </w:tr>
      <w:tr w14:paraId="483826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CCEB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7C3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415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AEE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C684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A70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AB85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E76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0C5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2BB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068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67FDC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30C0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76F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3E8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E99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改造面积</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14E5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0E65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CB5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平方米</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A75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824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620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E570B">
            <w:pPr>
              <w:snapToGrid w:val="0"/>
              <w:jc w:val="center"/>
              <w:rPr>
                <w:rFonts w:hint="eastAsia" w:ascii="微软雅黑" w:hAnsi="微软雅黑" w:eastAsia="微软雅黑" w:cs="微软雅黑"/>
                <w:i/>
                <w:iCs/>
                <w:color w:val="000000"/>
                <w:sz w:val="16"/>
                <w:szCs w:val="16"/>
                <w:u w:val="none"/>
              </w:rPr>
            </w:pPr>
          </w:p>
        </w:tc>
      </w:tr>
      <w:tr w14:paraId="6B076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E91A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3E05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E07F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91C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改造小区数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057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955D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0B4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6D3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9CB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2AC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7E3D4">
            <w:pPr>
              <w:snapToGrid w:val="0"/>
              <w:jc w:val="center"/>
              <w:rPr>
                <w:rFonts w:hint="eastAsia" w:ascii="微软雅黑" w:hAnsi="微软雅黑" w:eastAsia="微软雅黑" w:cs="微软雅黑"/>
                <w:i/>
                <w:iCs/>
                <w:color w:val="000000"/>
                <w:sz w:val="16"/>
                <w:szCs w:val="16"/>
                <w:u w:val="none"/>
              </w:rPr>
            </w:pPr>
          </w:p>
        </w:tc>
      </w:tr>
      <w:tr w14:paraId="0DAAB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6154B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002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370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0B9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验收合格率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AB8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08E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10F0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15C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409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C38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0155E">
            <w:pPr>
              <w:snapToGrid w:val="0"/>
              <w:jc w:val="center"/>
              <w:rPr>
                <w:rFonts w:hint="eastAsia" w:ascii="微软雅黑" w:hAnsi="微软雅黑" w:eastAsia="微软雅黑" w:cs="微软雅黑"/>
                <w:i/>
                <w:iCs/>
                <w:color w:val="000000"/>
                <w:sz w:val="16"/>
                <w:szCs w:val="16"/>
                <w:u w:val="none"/>
              </w:rPr>
            </w:pPr>
          </w:p>
        </w:tc>
      </w:tr>
      <w:tr w14:paraId="5FC65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B68AD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5DF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35B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04E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开工目标完成率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D50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A5A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6A0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F42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039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6F2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09177">
            <w:pPr>
              <w:snapToGrid w:val="0"/>
              <w:jc w:val="center"/>
              <w:rPr>
                <w:rFonts w:hint="eastAsia" w:ascii="微软雅黑" w:hAnsi="微软雅黑" w:eastAsia="微软雅黑" w:cs="微软雅黑"/>
                <w:i/>
                <w:iCs/>
                <w:color w:val="000000"/>
                <w:sz w:val="16"/>
                <w:szCs w:val="16"/>
                <w:u w:val="none"/>
              </w:rPr>
            </w:pPr>
          </w:p>
        </w:tc>
      </w:tr>
      <w:tr w14:paraId="66617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22474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A5C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BBF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294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群众居住条件</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3C6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F22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有效改善</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09EEE">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FA6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有效改善</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B17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402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D5A9E">
            <w:pPr>
              <w:snapToGrid w:val="0"/>
              <w:jc w:val="center"/>
              <w:rPr>
                <w:rFonts w:hint="eastAsia" w:ascii="微软雅黑" w:hAnsi="微软雅黑" w:eastAsia="微软雅黑" w:cs="微软雅黑"/>
                <w:i/>
                <w:iCs/>
                <w:color w:val="000000"/>
                <w:sz w:val="16"/>
                <w:szCs w:val="16"/>
                <w:u w:val="none"/>
              </w:rPr>
            </w:pPr>
          </w:p>
        </w:tc>
      </w:tr>
      <w:tr w14:paraId="4CA31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DD052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C18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83B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1D6C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本次投入</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FB5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2C0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501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796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5C3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82B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3C40A">
            <w:pPr>
              <w:snapToGrid w:val="0"/>
              <w:jc w:val="center"/>
              <w:rPr>
                <w:rFonts w:hint="eastAsia" w:ascii="微软雅黑" w:hAnsi="微软雅黑" w:eastAsia="微软雅黑" w:cs="微软雅黑"/>
                <w:i/>
                <w:iCs/>
                <w:color w:val="000000"/>
                <w:sz w:val="16"/>
                <w:szCs w:val="16"/>
                <w:u w:val="none"/>
              </w:rPr>
            </w:pPr>
          </w:p>
        </w:tc>
      </w:tr>
      <w:tr w14:paraId="46EDC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ACB6E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9F5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D6FED">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70A76">
            <w:pPr>
              <w:snapToGrid w:val="0"/>
              <w:rPr>
                <w:rFonts w:hint="eastAsia" w:ascii="宋体" w:hAnsi="宋体" w:eastAsia="宋体" w:cs="宋体"/>
                <w:i w:val="0"/>
                <w:iCs w:val="0"/>
                <w:color w:val="000000"/>
                <w:sz w:val="18"/>
                <w:szCs w:val="18"/>
                <w:u w:val="none"/>
              </w:rPr>
            </w:pPr>
          </w:p>
        </w:tc>
      </w:tr>
      <w:tr w14:paraId="055CE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85E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0915959">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完成预期目标，自评得分98分。</w:t>
            </w:r>
          </w:p>
        </w:tc>
      </w:tr>
      <w:tr w14:paraId="7960D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A14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B839BE3">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111AC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53D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882E2F0">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A7F3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F3B3717">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项目负责人：祖祥照</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754D72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5D13C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7FA329AF">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412C3348">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1939EC89">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16BA2A22">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E68DB96">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7272A6CF">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B7D79ED">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59571658">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63513E99">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15F6EEC4">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77272EE0">
            <w:pPr>
              <w:snapToGrid w:val="0"/>
              <w:rPr>
                <w:rFonts w:hint="eastAsia" w:ascii="宋体" w:hAnsi="宋体" w:eastAsia="宋体" w:cs="宋体"/>
                <w:i w:val="0"/>
                <w:iCs w:val="0"/>
                <w:color w:val="000000"/>
                <w:sz w:val="18"/>
                <w:szCs w:val="18"/>
                <w:u w:val="none"/>
              </w:rPr>
            </w:pPr>
          </w:p>
        </w:tc>
      </w:tr>
      <w:tr w14:paraId="0700C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F03448A">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061B1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6CD10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D726A8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51088925T000012653834-下西防返贫监测帮扶村级网格员补助</w:t>
            </w:r>
          </w:p>
        </w:tc>
      </w:tr>
      <w:tr w14:paraId="2A29F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CFCAD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D2C33A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7CB8EA9D">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DBF4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42039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96EF8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D56C7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F9597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250CCB8">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7885DE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CF8D2C">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93EA1D">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9CE72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完成防返贫监测帮扶村级网格员补助</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AC8339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已全部发放补助</w:t>
            </w:r>
          </w:p>
        </w:tc>
      </w:tr>
      <w:tr w14:paraId="4E1C2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F77F16">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EDFC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0A1C2E5">
            <w:pPr>
              <w:snapToGrid w:val="0"/>
              <w:rPr>
                <w:rFonts w:hint="eastAsia" w:ascii="宋体" w:hAnsi="宋体" w:eastAsia="宋体" w:cs="宋体"/>
                <w:i w:val="0"/>
                <w:iCs w:val="0"/>
                <w:color w:val="000000"/>
                <w:sz w:val="18"/>
                <w:szCs w:val="18"/>
                <w:u w:val="none"/>
              </w:rPr>
            </w:pPr>
          </w:p>
        </w:tc>
      </w:tr>
      <w:tr w14:paraId="2BA31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3BA5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6A4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1AB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1EB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4AC7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F7DC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C74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847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3B4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CEB5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8A3F9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7D1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AD6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522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B34C0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4DDE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12AE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6BA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9E5AE8">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3A04F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CEA16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E7A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4C6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12D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5614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1.26</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B02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CF2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0E4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A470C5">
            <w:pPr>
              <w:snapToGrid w:val="0"/>
              <w:rPr>
                <w:rFonts w:hint="eastAsia" w:ascii="黑体" w:hAnsi="黑体" w:eastAsia="黑体" w:cs="黑体"/>
                <w:i/>
                <w:iCs/>
                <w:color w:val="000000"/>
                <w:sz w:val="18"/>
                <w:szCs w:val="18"/>
                <w:u w:val="none"/>
              </w:rPr>
            </w:pPr>
          </w:p>
        </w:tc>
      </w:tr>
      <w:tr w14:paraId="5B2BE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BC28F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0DF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7E5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B80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4D3C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558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607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A56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CF7A5">
            <w:pPr>
              <w:snapToGrid w:val="0"/>
              <w:rPr>
                <w:rFonts w:hint="eastAsia" w:ascii="黑体" w:hAnsi="黑体" w:eastAsia="黑体" w:cs="黑体"/>
                <w:i/>
                <w:iCs/>
                <w:color w:val="000000"/>
                <w:sz w:val="18"/>
                <w:szCs w:val="18"/>
                <w:u w:val="none"/>
              </w:rPr>
            </w:pPr>
          </w:p>
        </w:tc>
      </w:tr>
      <w:tr w14:paraId="3D97C1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D9F28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1A3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B50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969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A331E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279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1D4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22E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1E9681">
            <w:pPr>
              <w:snapToGrid w:val="0"/>
              <w:rPr>
                <w:rFonts w:hint="eastAsia" w:ascii="黑体" w:hAnsi="黑体" w:eastAsia="黑体" w:cs="黑体"/>
                <w:i/>
                <w:iCs/>
                <w:color w:val="000000"/>
                <w:sz w:val="18"/>
                <w:szCs w:val="18"/>
                <w:u w:val="none"/>
              </w:rPr>
            </w:pPr>
          </w:p>
        </w:tc>
      </w:tr>
      <w:tr w14:paraId="0DE98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B8551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6EE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0820E">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4A1AD">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1636B4">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B69D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BF3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404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96827D">
            <w:pPr>
              <w:snapToGrid w:val="0"/>
              <w:rPr>
                <w:rFonts w:hint="eastAsia" w:ascii="黑体" w:hAnsi="黑体" w:eastAsia="黑体" w:cs="黑体"/>
                <w:i/>
                <w:iCs/>
                <w:color w:val="000000"/>
                <w:sz w:val="18"/>
                <w:szCs w:val="18"/>
                <w:u w:val="none"/>
              </w:rPr>
            </w:pPr>
          </w:p>
        </w:tc>
      </w:tr>
      <w:tr w14:paraId="1B8F0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0DCE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90E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C21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478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AC2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F46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CDA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E7E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42C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182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25F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36593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358D3">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2C2C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B3E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0D1C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监测小组</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89F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FA7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C79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9A89C">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890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270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D2490">
            <w:pPr>
              <w:snapToGrid w:val="0"/>
              <w:jc w:val="center"/>
              <w:rPr>
                <w:rFonts w:hint="eastAsia" w:ascii="微软雅黑" w:hAnsi="微软雅黑" w:eastAsia="微软雅黑" w:cs="微软雅黑"/>
                <w:i/>
                <w:iCs/>
                <w:color w:val="000000"/>
                <w:sz w:val="16"/>
                <w:szCs w:val="16"/>
                <w:u w:val="none"/>
              </w:rPr>
            </w:pPr>
          </w:p>
        </w:tc>
      </w:tr>
      <w:tr w14:paraId="085A5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CC6E8">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7FD4A1">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B75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07A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网格员工作考核合格率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338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462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0CB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902B7">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1C9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8A0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E153E">
            <w:pPr>
              <w:snapToGrid w:val="0"/>
              <w:jc w:val="center"/>
              <w:rPr>
                <w:rFonts w:hint="eastAsia" w:ascii="微软雅黑" w:hAnsi="微软雅黑" w:eastAsia="微软雅黑" w:cs="微软雅黑"/>
                <w:i/>
                <w:iCs/>
                <w:color w:val="000000"/>
                <w:sz w:val="16"/>
                <w:szCs w:val="16"/>
                <w:u w:val="none"/>
              </w:rPr>
            </w:pPr>
          </w:p>
        </w:tc>
      </w:tr>
      <w:tr w14:paraId="4D2F3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50AA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9A4814">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9E4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790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D71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A1C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BC8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E7039">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A61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293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41F13">
            <w:pPr>
              <w:snapToGrid w:val="0"/>
              <w:jc w:val="center"/>
              <w:rPr>
                <w:rFonts w:hint="eastAsia" w:ascii="微软雅黑" w:hAnsi="微软雅黑" w:eastAsia="微软雅黑" w:cs="微软雅黑"/>
                <w:i/>
                <w:iCs/>
                <w:color w:val="000000"/>
                <w:sz w:val="16"/>
                <w:szCs w:val="16"/>
                <w:u w:val="none"/>
              </w:rPr>
            </w:pPr>
          </w:p>
        </w:tc>
      </w:tr>
      <w:tr w14:paraId="5CD9C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295CB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570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0FE1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6B5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网格员服务提升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C511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DD0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好</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DC3A4">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9665D">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好</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DD2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92C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29F66">
            <w:pPr>
              <w:snapToGrid w:val="0"/>
              <w:jc w:val="center"/>
              <w:rPr>
                <w:rFonts w:hint="eastAsia" w:ascii="微软雅黑" w:hAnsi="微软雅黑" w:eastAsia="微软雅黑" w:cs="微软雅黑"/>
                <w:i/>
                <w:iCs/>
                <w:color w:val="000000"/>
                <w:sz w:val="16"/>
                <w:szCs w:val="16"/>
                <w:u w:val="none"/>
              </w:rPr>
            </w:pPr>
          </w:p>
        </w:tc>
      </w:tr>
      <w:tr w14:paraId="43858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9A30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761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834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帮扶对象满意度指标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DCC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被监测人员满意度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60D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EE9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5A7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C2631">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FE1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945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A8895">
            <w:pPr>
              <w:snapToGrid w:val="0"/>
              <w:jc w:val="center"/>
              <w:rPr>
                <w:rFonts w:hint="eastAsia" w:ascii="微软雅黑" w:hAnsi="微软雅黑" w:eastAsia="微软雅黑" w:cs="微软雅黑"/>
                <w:i/>
                <w:iCs/>
                <w:color w:val="000000"/>
                <w:sz w:val="16"/>
                <w:szCs w:val="16"/>
                <w:u w:val="none"/>
              </w:rPr>
            </w:pPr>
          </w:p>
        </w:tc>
      </w:tr>
      <w:tr w14:paraId="2A7CC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CFC70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B7F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5F6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17F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考核补助标准</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42C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2FD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13200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7A1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5F415">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13200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A78C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856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CF092">
            <w:pPr>
              <w:snapToGrid w:val="0"/>
              <w:jc w:val="center"/>
              <w:rPr>
                <w:rFonts w:hint="eastAsia" w:ascii="微软雅黑" w:hAnsi="微软雅黑" w:eastAsia="微软雅黑" w:cs="微软雅黑"/>
                <w:i/>
                <w:iCs/>
                <w:color w:val="000000"/>
                <w:sz w:val="16"/>
                <w:szCs w:val="16"/>
                <w:u w:val="none"/>
              </w:rPr>
            </w:pPr>
          </w:p>
        </w:tc>
      </w:tr>
      <w:tr w14:paraId="4814C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00FFE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4A5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1DDA2">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57025">
            <w:pPr>
              <w:snapToGrid w:val="0"/>
              <w:rPr>
                <w:rFonts w:hint="eastAsia" w:ascii="宋体" w:hAnsi="宋体" w:eastAsia="宋体" w:cs="宋体"/>
                <w:i w:val="0"/>
                <w:iCs w:val="0"/>
                <w:color w:val="000000"/>
                <w:sz w:val="18"/>
                <w:szCs w:val="18"/>
                <w:u w:val="none"/>
              </w:rPr>
            </w:pPr>
          </w:p>
        </w:tc>
      </w:tr>
      <w:tr w14:paraId="22F4D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0887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C0F3A9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完成预期目标，自评得分100分。</w:t>
            </w:r>
          </w:p>
        </w:tc>
      </w:tr>
      <w:tr w14:paraId="28014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B5A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92711B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C9F27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108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F22DB1A">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C655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DDF55E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项目负责人：刘海</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5CAD66">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21B8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73E39529">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68C01611">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331B336D">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490FF05D">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4765F718">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37EBFFB9">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07709B7F">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629F3CED">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10864CD6">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455F0305">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2CAC020E">
            <w:pPr>
              <w:snapToGrid w:val="0"/>
              <w:rPr>
                <w:rFonts w:hint="eastAsia" w:ascii="宋体" w:hAnsi="宋体" w:eastAsia="宋体" w:cs="宋体"/>
                <w:i w:val="0"/>
                <w:iCs w:val="0"/>
                <w:color w:val="000000"/>
                <w:sz w:val="18"/>
                <w:szCs w:val="18"/>
                <w:u w:val="none"/>
              </w:rPr>
            </w:pPr>
          </w:p>
        </w:tc>
      </w:tr>
      <w:tr w14:paraId="5142C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7B4D980">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295AB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B7117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EE72A6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51088925T000012860208-下西“拼经济、比发展”财政激励资金</w:t>
            </w:r>
          </w:p>
        </w:tc>
      </w:tr>
      <w:tr w14:paraId="5BFC0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1E7FB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F77C7B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7626908C">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5DF4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44536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638865">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213BB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ACCE7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D631B9A">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7D39F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4FD7B3">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77C580">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4821C5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完成“拼经济、比发展”目标任务</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6CEB0E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按年初目标完成。</w:t>
            </w:r>
          </w:p>
        </w:tc>
      </w:tr>
      <w:tr w14:paraId="01DB6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71C2CA">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DE00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15AD493">
            <w:pPr>
              <w:snapToGrid w:val="0"/>
              <w:rPr>
                <w:rFonts w:hint="eastAsia" w:ascii="宋体" w:hAnsi="宋体" w:eastAsia="宋体" w:cs="宋体"/>
                <w:i w:val="0"/>
                <w:iCs w:val="0"/>
                <w:color w:val="000000"/>
                <w:sz w:val="18"/>
                <w:szCs w:val="18"/>
                <w:u w:val="none"/>
              </w:rPr>
            </w:pPr>
          </w:p>
        </w:tc>
      </w:tr>
      <w:tr w14:paraId="5B922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116D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27C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260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528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615E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4E9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511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AF8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149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94D1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B191B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351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27D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7A0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48.00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073B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48.00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747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72D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C14D8">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18B046">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E1E6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7DE7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CE0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6BC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F68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48.00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D4D6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48.00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1FC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BD7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1CB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BADF3A">
            <w:pPr>
              <w:snapToGrid w:val="0"/>
              <w:rPr>
                <w:rFonts w:hint="eastAsia" w:ascii="黑体" w:hAnsi="黑体" w:eastAsia="黑体" w:cs="黑体"/>
                <w:i/>
                <w:iCs/>
                <w:color w:val="000000"/>
                <w:sz w:val="18"/>
                <w:szCs w:val="18"/>
                <w:u w:val="none"/>
              </w:rPr>
            </w:pPr>
          </w:p>
        </w:tc>
      </w:tr>
      <w:tr w14:paraId="5D5773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60D6C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D7F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C9A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760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CAC8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2EAD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694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164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99E18C">
            <w:pPr>
              <w:snapToGrid w:val="0"/>
              <w:rPr>
                <w:rFonts w:hint="eastAsia" w:ascii="黑体" w:hAnsi="黑体" w:eastAsia="黑体" w:cs="黑体"/>
                <w:i/>
                <w:iCs/>
                <w:color w:val="000000"/>
                <w:sz w:val="18"/>
                <w:szCs w:val="18"/>
                <w:u w:val="none"/>
              </w:rPr>
            </w:pPr>
          </w:p>
        </w:tc>
      </w:tr>
      <w:tr w14:paraId="7EDAB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3D17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598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410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9EF4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A10D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E97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0A2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958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1537D2">
            <w:pPr>
              <w:snapToGrid w:val="0"/>
              <w:rPr>
                <w:rFonts w:hint="eastAsia" w:ascii="黑体" w:hAnsi="黑体" w:eastAsia="黑体" w:cs="黑体"/>
                <w:i/>
                <w:iCs/>
                <w:color w:val="000000"/>
                <w:sz w:val="18"/>
                <w:szCs w:val="18"/>
                <w:u w:val="none"/>
              </w:rPr>
            </w:pPr>
          </w:p>
        </w:tc>
      </w:tr>
      <w:tr w14:paraId="619D9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3808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2C7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194DA">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B6AAC">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1A0D02">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93178">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9D7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F37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4E9E66">
            <w:pPr>
              <w:snapToGrid w:val="0"/>
              <w:rPr>
                <w:rFonts w:hint="eastAsia" w:ascii="黑体" w:hAnsi="黑体" w:eastAsia="黑体" w:cs="黑体"/>
                <w:i/>
                <w:iCs/>
                <w:color w:val="000000"/>
                <w:sz w:val="18"/>
                <w:szCs w:val="18"/>
                <w:u w:val="none"/>
              </w:rPr>
            </w:pPr>
          </w:p>
        </w:tc>
      </w:tr>
      <w:tr w14:paraId="2C25D2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E2EE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5A8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D93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5BF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D96C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138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8C7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7E8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9F3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8FC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06A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1FE3E6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F2D464">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3439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8A58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8C2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钻探井</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A93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A0D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DCF1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米</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A6230">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02C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F1E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C8305">
            <w:pPr>
              <w:snapToGrid w:val="0"/>
              <w:jc w:val="center"/>
              <w:rPr>
                <w:rFonts w:hint="eastAsia" w:ascii="宋体" w:hAnsi="宋体" w:eastAsia="宋体" w:cs="宋体"/>
                <w:i w:val="0"/>
                <w:iCs w:val="0"/>
                <w:color w:val="000000"/>
                <w:sz w:val="18"/>
                <w:szCs w:val="18"/>
                <w:u w:val="none"/>
              </w:rPr>
            </w:pPr>
          </w:p>
        </w:tc>
      </w:tr>
      <w:tr w14:paraId="1CA8A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DC78A8">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A6A221">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0E8CC8">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51F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投资申报项目保障</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44C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EDF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9CD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92575">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C6D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FC1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933E9">
            <w:pPr>
              <w:snapToGrid w:val="0"/>
              <w:jc w:val="center"/>
              <w:rPr>
                <w:rFonts w:hint="eastAsia" w:ascii="宋体" w:hAnsi="宋体" w:eastAsia="宋体" w:cs="宋体"/>
                <w:i w:val="0"/>
                <w:iCs w:val="0"/>
                <w:color w:val="000000"/>
                <w:sz w:val="18"/>
                <w:szCs w:val="18"/>
                <w:u w:val="none"/>
              </w:rPr>
            </w:pPr>
          </w:p>
        </w:tc>
      </w:tr>
      <w:tr w14:paraId="4135C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6769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754DA9">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E56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663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达到国家相关标准</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B40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59D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2ACB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65CE0">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7B5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658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EE698">
            <w:pPr>
              <w:snapToGrid w:val="0"/>
              <w:jc w:val="center"/>
              <w:rPr>
                <w:rFonts w:hint="eastAsia" w:ascii="宋体" w:hAnsi="宋体" w:eastAsia="宋体" w:cs="宋体"/>
                <w:i w:val="0"/>
                <w:iCs w:val="0"/>
                <w:color w:val="000000"/>
                <w:sz w:val="18"/>
                <w:szCs w:val="18"/>
                <w:u w:val="none"/>
              </w:rPr>
            </w:pPr>
          </w:p>
        </w:tc>
      </w:tr>
      <w:tr w14:paraId="1CC9D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B7F5B9">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30E1B5">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794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EAC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4D8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6A9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A11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天</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9FC6F">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A3C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5DF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E222A">
            <w:pPr>
              <w:snapToGrid w:val="0"/>
              <w:jc w:val="center"/>
              <w:rPr>
                <w:rFonts w:hint="eastAsia" w:ascii="宋体" w:hAnsi="宋体" w:eastAsia="宋体" w:cs="宋体"/>
                <w:i w:val="0"/>
                <w:iCs w:val="0"/>
                <w:color w:val="000000"/>
                <w:sz w:val="18"/>
                <w:szCs w:val="18"/>
                <w:u w:val="none"/>
              </w:rPr>
            </w:pPr>
          </w:p>
        </w:tc>
      </w:tr>
      <w:tr w14:paraId="7FABD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7E494D">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0DC5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0E2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FD3F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促进园区发展</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E8E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BCD8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D27FA">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F8932">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优</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87D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E4F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D7453">
            <w:pPr>
              <w:snapToGrid w:val="0"/>
              <w:jc w:val="center"/>
              <w:rPr>
                <w:rFonts w:hint="eastAsia" w:ascii="宋体" w:hAnsi="宋体" w:eastAsia="宋体" w:cs="宋体"/>
                <w:i w:val="0"/>
                <w:iCs w:val="0"/>
                <w:color w:val="000000"/>
                <w:sz w:val="18"/>
                <w:szCs w:val="18"/>
                <w:u w:val="none"/>
              </w:rPr>
            </w:pPr>
          </w:p>
        </w:tc>
      </w:tr>
      <w:tr w14:paraId="0FF95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0A440D">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DB0E0">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489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生态效益指标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B3A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维护生态系统的平衡合合理性</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448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39A8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良</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8F94C">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48E3C">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74D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FD6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EF8B1">
            <w:pPr>
              <w:snapToGrid w:val="0"/>
              <w:jc w:val="center"/>
              <w:rPr>
                <w:rFonts w:hint="eastAsia" w:ascii="宋体" w:hAnsi="宋体" w:eastAsia="宋体" w:cs="宋体"/>
                <w:i w:val="0"/>
                <w:iCs w:val="0"/>
                <w:color w:val="000000"/>
                <w:sz w:val="18"/>
                <w:szCs w:val="18"/>
                <w:u w:val="none"/>
              </w:rPr>
            </w:pPr>
          </w:p>
        </w:tc>
      </w:tr>
      <w:tr w14:paraId="21FB2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2BFC4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6B6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5C9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444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FAB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727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3C5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C8C50">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557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D13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E8A3F">
            <w:pPr>
              <w:snapToGrid w:val="0"/>
              <w:jc w:val="center"/>
              <w:rPr>
                <w:rFonts w:hint="eastAsia" w:ascii="宋体" w:hAnsi="宋体" w:eastAsia="宋体" w:cs="宋体"/>
                <w:i w:val="0"/>
                <w:iCs w:val="0"/>
                <w:color w:val="000000"/>
                <w:sz w:val="18"/>
                <w:szCs w:val="18"/>
                <w:u w:val="none"/>
              </w:rPr>
            </w:pPr>
          </w:p>
        </w:tc>
      </w:tr>
      <w:tr w14:paraId="77CF6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64BAF">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9739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3016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0D9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广告制作经费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C5C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640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D0E2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A460C">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7B2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C38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5C52D">
            <w:pPr>
              <w:snapToGrid w:val="0"/>
              <w:jc w:val="center"/>
              <w:rPr>
                <w:rFonts w:hint="eastAsia" w:ascii="宋体" w:hAnsi="宋体" w:eastAsia="宋体" w:cs="宋体"/>
                <w:i w:val="0"/>
                <w:iCs w:val="0"/>
                <w:color w:val="000000"/>
                <w:sz w:val="18"/>
                <w:szCs w:val="18"/>
                <w:u w:val="none"/>
              </w:rPr>
            </w:pPr>
          </w:p>
        </w:tc>
      </w:tr>
      <w:tr w14:paraId="7F2C1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9B4555">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ECD518">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6FD87">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660E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办公费等</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700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B84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DBD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AAD7C">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6E1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F10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5DA44">
            <w:pPr>
              <w:snapToGrid w:val="0"/>
              <w:jc w:val="center"/>
              <w:rPr>
                <w:rFonts w:hint="eastAsia" w:ascii="宋体" w:hAnsi="宋体" w:eastAsia="宋体" w:cs="宋体"/>
                <w:i w:val="0"/>
                <w:iCs w:val="0"/>
                <w:color w:val="000000"/>
                <w:sz w:val="18"/>
                <w:szCs w:val="18"/>
                <w:u w:val="none"/>
              </w:rPr>
            </w:pPr>
          </w:p>
        </w:tc>
      </w:tr>
      <w:tr w14:paraId="24495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38E9CB">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BB9FDC">
            <w:pPr>
              <w:snapToGrid w:val="0"/>
              <w:jc w:val="center"/>
              <w:rPr>
                <w:rFonts w:hint="eastAsia" w:ascii="宋体" w:hAnsi="宋体" w:eastAsia="宋体" w:cs="宋体"/>
                <w:i w:val="0"/>
                <w:iCs w:val="0"/>
                <w:color w:val="000000"/>
                <w:sz w:val="18"/>
                <w:szCs w:val="18"/>
                <w:u w:val="none"/>
              </w:rPr>
            </w:pPr>
          </w:p>
        </w:tc>
        <w:tc>
          <w:tcPr>
            <w:tcW w:w="4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ADE5DC">
            <w:pPr>
              <w:snapToGrid w:val="0"/>
              <w:jc w:val="center"/>
              <w:rPr>
                <w:rFonts w:hint="eastAsia" w:ascii="宋体" w:hAnsi="宋体" w:eastAsia="宋体" w:cs="宋体"/>
                <w:i w:val="0"/>
                <w:iCs w:val="0"/>
                <w:color w:val="000000"/>
                <w:sz w:val="18"/>
                <w:szCs w:val="18"/>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B03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技术服务费</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9C5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964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27</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AED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18B3F">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26.8</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EEC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F523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F1457">
            <w:pPr>
              <w:snapToGrid w:val="0"/>
              <w:jc w:val="center"/>
              <w:rPr>
                <w:rFonts w:hint="eastAsia" w:ascii="宋体" w:hAnsi="宋体" w:eastAsia="宋体" w:cs="宋体"/>
                <w:i w:val="0"/>
                <w:iCs w:val="0"/>
                <w:color w:val="000000"/>
                <w:sz w:val="18"/>
                <w:szCs w:val="18"/>
                <w:u w:val="none"/>
              </w:rPr>
            </w:pPr>
          </w:p>
        </w:tc>
      </w:tr>
      <w:tr w14:paraId="665FF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8DA1DC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C01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76A7A">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8AA2E">
            <w:pPr>
              <w:snapToGrid w:val="0"/>
              <w:rPr>
                <w:rFonts w:hint="eastAsia" w:ascii="宋体" w:hAnsi="宋体" w:eastAsia="宋体" w:cs="宋体"/>
                <w:i w:val="0"/>
                <w:iCs w:val="0"/>
                <w:color w:val="000000"/>
                <w:sz w:val="18"/>
                <w:szCs w:val="18"/>
                <w:u w:val="none"/>
              </w:rPr>
            </w:pPr>
          </w:p>
        </w:tc>
      </w:tr>
      <w:tr w14:paraId="7FC80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9BD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998EE87">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完成预期目标，自评得分100分。</w:t>
            </w:r>
          </w:p>
        </w:tc>
      </w:tr>
      <w:tr w14:paraId="38F78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25E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BC09DB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D0F4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4A9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B6B4C21">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2E07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78BD52A">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项目负责人：刘海</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3BE57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0147D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061755EC">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23FEC86E">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5D35E156">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195C5DD5">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39F00042">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0927DBD2">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94D459F">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4DB446D6">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4A42FE9E">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02EDC98B">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1969B4AF">
            <w:pPr>
              <w:snapToGrid w:val="0"/>
              <w:rPr>
                <w:rFonts w:hint="eastAsia" w:ascii="宋体" w:hAnsi="宋体" w:eastAsia="宋体" w:cs="宋体"/>
                <w:i w:val="0"/>
                <w:iCs w:val="0"/>
                <w:color w:val="000000"/>
                <w:sz w:val="18"/>
                <w:szCs w:val="18"/>
                <w:u w:val="none"/>
              </w:rPr>
            </w:pPr>
          </w:p>
        </w:tc>
      </w:tr>
      <w:tr w14:paraId="54BCE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406B3C8">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66F0B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65C2F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BD6655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51088925T000012993170-圆梦家园北侧地块失地农民失业补偿金</w:t>
            </w:r>
          </w:p>
        </w:tc>
      </w:tr>
      <w:tr w14:paraId="7D0D3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89F87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8A0B7D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51ACFE8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24B2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08730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8D0A1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05DA8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E88CA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7F824AA">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0093D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A09C6">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1BD125">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80BFA6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完成20人失地农民失业补偿金发放</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54BFDC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已全部发放</w:t>
            </w:r>
          </w:p>
        </w:tc>
      </w:tr>
      <w:tr w14:paraId="22200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239DCF">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2543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A38617D">
            <w:pPr>
              <w:snapToGrid w:val="0"/>
              <w:rPr>
                <w:rFonts w:hint="eastAsia" w:ascii="宋体" w:hAnsi="宋体" w:eastAsia="宋体" w:cs="宋体"/>
                <w:i w:val="0"/>
                <w:iCs w:val="0"/>
                <w:color w:val="000000"/>
                <w:sz w:val="18"/>
                <w:szCs w:val="18"/>
                <w:u w:val="none"/>
              </w:rPr>
            </w:pPr>
          </w:p>
        </w:tc>
      </w:tr>
      <w:tr w14:paraId="2315BB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1CF27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FDE1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D6BE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E6E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6465B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D52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696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6FB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D19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2EEEE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DA8AF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148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438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DD3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37.28</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C0CE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37.28</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13B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2D6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8F20E">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0A3CBE">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16E6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71F99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B7C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DB4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B1FE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37.28</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F6A1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37.28</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C47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A8C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4F7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E81E7">
            <w:pPr>
              <w:snapToGrid w:val="0"/>
              <w:rPr>
                <w:rFonts w:hint="eastAsia" w:ascii="黑体" w:hAnsi="黑体" w:eastAsia="黑体" w:cs="黑体"/>
                <w:i/>
                <w:iCs/>
                <w:color w:val="000000"/>
                <w:sz w:val="18"/>
                <w:szCs w:val="18"/>
                <w:u w:val="none"/>
              </w:rPr>
            </w:pPr>
          </w:p>
        </w:tc>
      </w:tr>
      <w:tr w14:paraId="0D429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E3CA3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A8E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0BE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FE2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B015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4C2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FC6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32C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713BF">
            <w:pPr>
              <w:snapToGrid w:val="0"/>
              <w:rPr>
                <w:rFonts w:hint="eastAsia" w:ascii="黑体" w:hAnsi="黑体" w:eastAsia="黑体" w:cs="黑体"/>
                <w:i/>
                <w:iCs/>
                <w:color w:val="000000"/>
                <w:sz w:val="18"/>
                <w:szCs w:val="18"/>
                <w:u w:val="none"/>
              </w:rPr>
            </w:pPr>
          </w:p>
        </w:tc>
      </w:tr>
      <w:tr w14:paraId="5EA427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BE22A6">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692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202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045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03088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223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C62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440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6DC0F">
            <w:pPr>
              <w:snapToGrid w:val="0"/>
              <w:rPr>
                <w:rFonts w:hint="eastAsia" w:ascii="黑体" w:hAnsi="黑体" w:eastAsia="黑体" w:cs="黑体"/>
                <w:i/>
                <w:iCs/>
                <w:color w:val="000000"/>
                <w:sz w:val="18"/>
                <w:szCs w:val="18"/>
                <w:u w:val="none"/>
              </w:rPr>
            </w:pPr>
          </w:p>
        </w:tc>
      </w:tr>
      <w:tr w14:paraId="44D97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0BCE6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7BF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F441A">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F6188">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E4F24B">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9B06E">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424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A8B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E6466C">
            <w:pPr>
              <w:snapToGrid w:val="0"/>
              <w:rPr>
                <w:rFonts w:hint="eastAsia" w:ascii="黑体" w:hAnsi="黑体" w:eastAsia="黑体" w:cs="黑体"/>
                <w:i/>
                <w:iCs/>
                <w:color w:val="000000"/>
                <w:sz w:val="18"/>
                <w:szCs w:val="18"/>
                <w:u w:val="none"/>
              </w:rPr>
            </w:pPr>
          </w:p>
        </w:tc>
      </w:tr>
      <w:tr w14:paraId="61482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202A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6B4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3A4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52B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DF8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E1E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508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D23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885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5EE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B5D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6EE40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F246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70A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A49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B24F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发放时效</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FF7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D01D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及时发放</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E3F63">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015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及时发放</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141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5A1A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D0AE2">
            <w:pPr>
              <w:snapToGrid w:val="0"/>
              <w:jc w:val="center"/>
              <w:rPr>
                <w:rFonts w:hint="eastAsia" w:ascii="宋体" w:hAnsi="宋体" w:eastAsia="宋体" w:cs="宋体"/>
                <w:i w:val="0"/>
                <w:iCs w:val="0"/>
                <w:color w:val="000000"/>
                <w:sz w:val="18"/>
                <w:szCs w:val="18"/>
                <w:u w:val="none"/>
              </w:rPr>
            </w:pPr>
          </w:p>
        </w:tc>
      </w:tr>
      <w:tr w14:paraId="596D55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B4294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BDE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1C7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4A5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领取人数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64D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02DF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795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F3D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246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BDF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C1F04">
            <w:pPr>
              <w:snapToGrid w:val="0"/>
              <w:jc w:val="center"/>
              <w:rPr>
                <w:rFonts w:hint="eastAsia" w:ascii="宋体" w:hAnsi="宋体" w:eastAsia="宋体" w:cs="宋体"/>
                <w:i w:val="0"/>
                <w:iCs w:val="0"/>
                <w:color w:val="000000"/>
                <w:sz w:val="18"/>
                <w:szCs w:val="18"/>
                <w:u w:val="none"/>
              </w:rPr>
            </w:pPr>
          </w:p>
        </w:tc>
      </w:tr>
      <w:tr w14:paraId="1F81AD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04339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855D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BD7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970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发放完成率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E05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70C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A31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F61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F54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915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74158">
            <w:pPr>
              <w:snapToGrid w:val="0"/>
              <w:jc w:val="center"/>
              <w:rPr>
                <w:rFonts w:hint="eastAsia" w:ascii="宋体" w:hAnsi="宋体" w:eastAsia="宋体" w:cs="宋体"/>
                <w:i w:val="0"/>
                <w:iCs w:val="0"/>
                <w:color w:val="000000"/>
                <w:sz w:val="18"/>
                <w:szCs w:val="18"/>
                <w:u w:val="none"/>
              </w:rPr>
            </w:pPr>
          </w:p>
        </w:tc>
      </w:tr>
      <w:tr w14:paraId="69916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EAC9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372D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B4D2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64A0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维护社会稳定</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B63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EB8E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较高</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D1207">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04F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较高</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C9E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4137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B1530">
            <w:pPr>
              <w:snapToGrid w:val="0"/>
              <w:jc w:val="center"/>
              <w:rPr>
                <w:rFonts w:hint="eastAsia" w:ascii="宋体" w:hAnsi="宋体" w:eastAsia="宋体" w:cs="宋体"/>
                <w:i w:val="0"/>
                <w:iCs w:val="0"/>
                <w:color w:val="000000"/>
                <w:sz w:val="18"/>
                <w:szCs w:val="18"/>
                <w:u w:val="none"/>
              </w:rPr>
            </w:pPr>
          </w:p>
        </w:tc>
      </w:tr>
      <w:tr w14:paraId="59E8A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A0407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9C6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91C5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CF9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群众对工作满意度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07B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5BB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186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B4B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71DD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83D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1A724">
            <w:pPr>
              <w:snapToGrid w:val="0"/>
              <w:jc w:val="center"/>
              <w:rPr>
                <w:rFonts w:hint="eastAsia" w:ascii="宋体" w:hAnsi="宋体" w:eastAsia="宋体" w:cs="宋体"/>
                <w:i w:val="0"/>
                <w:iCs w:val="0"/>
                <w:color w:val="000000"/>
                <w:sz w:val="18"/>
                <w:szCs w:val="18"/>
                <w:u w:val="none"/>
              </w:rPr>
            </w:pPr>
          </w:p>
        </w:tc>
      </w:tr>
      <w:tr w14:paraId="268AD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097E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179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7E1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84D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项目总费用</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02C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087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372824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9DD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B174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372824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5DB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2F9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BD60F">
            <w:pPr>
              <w:snapToGrid w:val="0"/>
              <w:jc w:val="center"/>
              <w:rPr>
                <w:rFonts w:hint="eastAsia" w:ascii="宋体" w:hAnsi="宋体" w:eastAsia="宋体" w:cs="宋体"/>
                <w:i w:val="0"/>
                <w:iCs w:val="0"/>
                <w:color w:val="000000"/>
                <w:sz w:val="18"/>
                <w:szCs w:val="18"/>
                <w:u w:val="none"/>
              </w:rPr>
            </w:pPr>
          </w:p>
        </w:tc>
      </w:tr>
      <w:tr w14:paraId="2C5D8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A3C5E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8509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6B9EA">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A9E37">
            <w:pPr>
              <w:snapToGrid w:val="0"/>
              <w:rPr>
                <w:rFonts w:hint="eastAsia" w:ascii="宋体" w:hAnsi="宋体" w:eastAsia="宋体" w:cs="宋体"/>
                <w:i w:val="0"/>
                <w:iCs w:val="0"/>
                <w:color w:val="000000"/>
                <w:sz w:val="18"/>
                <w:szCs w:val="18"/>
                <w:u w:val="none"/>
              </w:rPr>
            </w:pPr>
          </w:p>
        </w:tc>
      </w:tr>
      <w:tr w14:paraId="1E231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DDEC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30F010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完成预期目标，自评得分100分。</w:t>
            </w:r>
          </w:p>
        </w:tc>
      </w:tr>
      <w:tr w14:paraId="7F2C9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17E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6A897BE">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E727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DA5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DBB1CBC">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D8B0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276AB18">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项目负责人：王春芳</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1CE86B5">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4FBBB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4091D9D5">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0245CCD7">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1AAB77D3">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406190BA">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07E530DD">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16D3C41F">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4E2D2AE8">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2FC11CF8">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4E466F12">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34834368">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0E10F6E6">
            <w:pPr>
              <w:snapToGrid w:val="0"/>
              <w:rPr>
                <w:rFonts w:hint="eastAsia" w:ascii="宋体" w:hAnsi="宋体" w:eastAsia="宋体" w:cs="宋体"/>
                <w:i w:val="0"/>
                <w:iCs w:val="0"/>
                <w:color w:val="000000"/>
                <w:sz w:val="18"/>
                <w:szCs w:val="18"/>
                <w:u w:val="none"/>
              </w:rPr>
            </w:pPr>
          </w:p>
        </w:tc>
      </w:tr>
      <w:tr w14:paraId="6050E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C9CD88B">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505E5E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6517A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AB7C06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51088925T000013075199-下西2024年国有企业退休人员社会化管理补助资金</w:t>
            </w:r>
          </w:p>
        </w:tc>
      </w:tr>
      <w:tr w14:paraId="66F59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FC0D1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EDF4A3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29038488">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F49E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333C3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36741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1DC57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A6DF5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59D08DB">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004C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CF3F5">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88811B">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1D32B1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完成2024年国有企业退休人员社会化管理补助资金</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6210607">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已拨付至铁路社区开展项目实施</w:t>
            </w:r>
          </w:p>
        </w:tc>
      </w:tr>
      <w:tr w14:paraId="3A143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C78E3A">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9A9F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C5A10CE">
            <w:pPr>
              <w:snapToGrid w:val="0"/>
              <w:rPr>
                <w:rFonts w:hint="eastAsia" w:ascii="宋体" w:hAnsi="宋体" w:eastAsia="宋体" w:cs="宋体"/>
                <w:i w:val="0"/>
                <w:iCs w:val="0"/>
                <w:color w:val="000000"/>
                <w:sz w:val="18"/>
                <w:szCs w:val="18"/>
                <w:u w:val="none"/>
              </w:rPr>
            </w:pPr>
          </w:p>
        </w:tc>
      </w:tr>
      <w:tr w14:paraId="3AC01D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9AB7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2188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CDC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12F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C49A6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4A4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9D69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3D71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515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1161D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77AD5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B0C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C84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2A7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43D5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01B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DA2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37BEB">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C38128">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07036D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2F4EE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C96F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7AD1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F68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A214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18C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C828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970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DA565C">
            <w:pPr>
              <w:snapToGrid w:val="0"/>
              <w:rPr>
                <w:rFonts w:hint="eastAsia" w:ascii="黑体" w:hAnsi="黑体" w:eastAsia="黑体" w:cs="黑体"/>
                <w:i/>
                <w:iCs/>
                <w:color w:val="000000"/>
                <w:sz w:val="18"/>
                <w:szCs w:val="18"/>
                <w:u w:val="none"/>
              </w:rPr>
            </w:pPr>
          </w:p>
        </w:tc>
      </w:tr>
      <w:tr w14:paraId="60C81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3C059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BE4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1F9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2E2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33F8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DF6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A48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A44B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1B46F1">
            <w:pPr>
              <w:snapToGrid w:val="0"/>
              <w:rPr>
                <w:rFonts w:hint="eastAsia" w:ascii="黑体" w:hAnsi="黑体" w:eastAsia="黑体" w:cs="黑体"/>
                <w:i/>
                <w:iCs/>
                <w:color w:val="000000"/>
                <w:sz w:val="18"/>
                <w:szCs w:val="18"/>
                <w:u w:val="none"/>
              </w:rPr>
            </w:pPr>
          </w:p>
        </w:tc>
      </w:tr>
      <w:tr w14:paraId="640E66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85BEC">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82FE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0E0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D09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E8C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085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A91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505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BAA01">
            <w:pPr>
              <w:snapToGrid w:val="0"/>
              <w:rPr>
                <w:rFonts w:hint="eastAsia" w:ascii="黑体" w:hAnsi="黑体" w:eastAsia="黑体" w:cs="黑体"/>
                <w:i/>
                <w:iCs/>
                <w:color w:val="000000"/>
                <w:sz w:val="18"/>
                <w:szCs w:val="18"/>
                <w:u w:val="none"/>
              </w:rPr>
            </w:pPr>
          </w:p>
        </w:tc>
      </w:tr>
      <w:tr w14:paraId="675C3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B18508">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87F7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2772E">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B105D">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7B3DE2">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BB56B">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1FF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62C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C82779">
            <w:pPr>
              <w:snapToGrid w:val="0"/>
              <w:rPr>
                <w:rFonts w:hint="eastAsia" w:ascii="黑体" w:hAnsi="黑体" w:eastAsia="黑体" w:cs="黑体"/>
                <w:i/>
                <w:iCs/>
                <w:color w:val="000000"/>
                <w:sz w:val="18"/>
                <w:szCs w:val="18"/>
                <w:u w:val="none"/>
              </w:rPr>
            </w:pPr>
          </w:p>
        </w:tc>
      </w:tr>
      <w:tr w14:paraId="23F6A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49CA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CD4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415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FB6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C3F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B23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9D48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87A5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2AAE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9E39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A30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66884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F6C70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446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661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03D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国有企业退休人员档案转交率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4E9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AA1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BF4C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C0B2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CC5B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E65E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9238D">
            <w:pPr>
              <w:snapToGrid w:val="0"/>
              <w:jc w:val="center"/>
              <w:rPr>
                <w:rFonts w:hint="eastAsia" w:ascii="微软雅黑" w:hAnsi="微软雅黑" w:eastAsia="微软雅黑" w:cs="微软雅黑"/>
                <w:i/>
                <w:iCs/>
                <w:color w:val="000000"/>
                <w:sz w:val="16"/>
                <w:szCs w:val="16"/>
                <w:u w:val="none"/>
              </w:rPr>
            </w:pPr>
          </w:p>
        </w:tc>
      </w:tr>
      <w:tr w14:paraId="0F42D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A12D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849E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176D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FAF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资金规范化管理</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64F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5F7C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FAA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4B3B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BEC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1B3A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DB32B">
            <w:pPr>
              <w:snapToGrid w:val="0"/>
              <w:jc w:val="center"/>
              <w:rPr>
                <w:rFonts w:hint="eastAsia" w:ascii="微软雅黑" w:hAnsi="微软雅黑" w:eastAsia="微软雅黑" w:cs="微软雅黑"/>
                <w:i/>
                <w:iCs/>
                <w:color w:val="000000"/>
                <w:sz w:val="16"/>
                <w:szCs w:val="16"/>
                <w:u w:val="none"/>
              </w:rPr>
            </w:pPr>
          </w:p>
        </w:tc>
      </w:tr>
      <w:tr w14:paraId="1EF32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4D07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486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999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0D7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减轻国有企业负担</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2BC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71FB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3BA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2E4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6A0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E29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84C0C">
            <w:pPr>
              <w:snapToGrid w:val="0"/>
              <w:jc w:val="center"/>
              <w:rPr>
                <w:rFonts w:hint="eastAsia" w:ascii="微软雅黑" w:hAnsi="微软雅黑" w:eastAsia="微软雅黑" w:cs="微软雅黑"/>
                <w:i/>
                <w:iCs/>
                <w:color w:val="000000"/>
                <w:sz w:val="16"/>
                <w:szCs w:val="16"/>
                <w:u w:val="none"/>
              </w:rPr>
            </w:pPr>
          </w:p>
        </w:tc>
      </w:tr>
      <w:tr w14:paraId="5D884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9485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17A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9C0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F3A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退休人员综合满意率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2A6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4AC8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A6D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EB64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904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2A9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08F4A">
            <w:pPr>
              <w:snapToGrid w:val="0"/>
              <w:jc w:val="center"/>
              <w:rPr>
                <w:rFonts w:hint="eastAsia" w:ascii="微软雅黑" w:hAnsi="微软雅黑" w:eastAsia="微软雅黑" w:cs="微软雅黑"/>
                <w:i/>
                <w:iCs/>
                <w:color w:val="000000"/>
                <w:sz w:val="16"/>
                <w:szCs w:val="16"/>
                <w:u w:val="none"/>
              </w:rPr>
            </w:pPr>
          </w:p>
        </w:tc>
      </w:tr>
      <w:tr w14:paraId="4408E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489B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5A1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766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9CE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到位资金</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946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BFD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F94D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251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699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FDA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25496">
            <w:pPr>
              <w:snapToGrid w:val="0"/>
              <w:jc w:val="center"/>
              <w:rPr>
                <w:rFonts w:hint="eastAsia" w:ascii="微软雅黑" w:hAnsi="微软雅黑" w:eastAsia="微软雅黑" w:cs="微软雅黑"/>
                <w:i/>
                <w:iCs/>
                <w:color w:val="000000"/>
                <w:sz w:val="16"/>
                <w:szCs w:val="16"/>
                <w:u w:val="none"/>
              </w:rPr>
            </w:pPr>
          </w:p>
        </w:tc>
      </w:tr>
      <w:tr w14:paraId="7696B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13F5D8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794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145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74075">
            <w:pPr>
              <w:snapToGrid w:val="0"/>
              <w:rPr>
                <w:rFonts w:hint="eastAsia" w:ascii="宋体" w:hAnsi="宋体" w:eastAsia="宋体" w:cs="宋体"/>
                <w:i w:val="0"/>
                <w:iCs w:val="0"/>
                <w:color w:val="000000"/>
                <w:sz w:val="18"/>
                <w:szCs w:val="18"/>
                <w:u w:val="none"/>
              </w:rPr>
            </w:pPr>
          </w:p>
        </w:tc>
      </w:tr>
      <w:tr w14:paraId="582D1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0E35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F8FED85">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完成预期目标，自评得分100分。</w:t>
            </w:r>
          </w:p>
        </w:tc>
      </w:tr>
      <w:tr w14:paraId="3A519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3DB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D3557A4">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D93E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438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5A08650">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C01E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6C4F6E8">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项目负责人：祖祥照</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B29F37">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182E3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77F05B88">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5032EAA2">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64AC6958">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37AE03E9">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7DD95AB7">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6DA447FD">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12BA1360">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165009C8">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22F1A818">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4BBB857A">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1D81BFCD">
            <w:pPr>
              <w:snapToGrid w:val="0"/>
              <w:rPr>
                <w:rFonts w:hint="eastAsia" w:ascii="宋体" w:hAnsi="宋体" w:eastAsia="宋体" w:cs="宋体"/>
                <w:i w:val="0"/>
                <w:iCs w:val="0"/>
                <w:color w:val="000000"/>
                <w:sz w:val="18"/>
                <w:szCs w:val="18"/>
                <w:u w:val="none"/>
              </w:rPr>
            </w:pPr>
          </w:p>
        </w:tc>
      </w:tr>
      <w:tr w14:paraId="64CF3A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38721A5">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1E4FE6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458F1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0FD8E0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51088925T000013083566-下西2023年土地进出平衡整治项目补助</w:t>
            </w:r>
          </w:p>
        </w:tc>
      </w:tr>
      <w:tr w14:paraId="534F4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2315A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080FD2F">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159881DD">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D282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40E8A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DD509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77C9E7">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43FFDD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B75D742">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8D97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17E3F1">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DBE0C9">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5C5AFC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完成2023年土地进出平衡整治项目补助项目</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FF6166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完成116亩土地整理</w:t>
            </w:r>
          </w:p>
        </w:tc>
      </w:tr>
      <w:tr w14:paraId="1C81A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01C951">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A334E">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0010E22">
            <w:pPr>
              <w:snapToGrid w:val="0"/>
              <w:rPr>
                <w:rFonts w:hint="eastAsia" w:ascii="宋体" w:hAnsi="宋体" w:eastAsia="宋体" w:cs="宋体"/>
                <w:i w:val="0"/>
                <w:iCs w:val="0"/>
                <w:color w:val="000000"/>
                <w:sz w:val="18"/>
                <w:szCs w:val="18"/>
                <w:u w:val="none"/>
              </w:rPr>
            </w:pPr>
          </w:p>
        </w:tc>
      </w:tr>
      <w:tr w14:paraId="2ACC3C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43BC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DB8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FF91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149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DDE6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A32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CD8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ED7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696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5486E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B6D83">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D712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F4B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00B3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34.19</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839E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34.19</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743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1AF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1321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AD4AF2">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D538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396CE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230F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D84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95D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34.19</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809DF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34.19</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61B3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CB8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6FD1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1DCD25">
            <w:pPr>
              <w:snapToGrid w:val="0"/>
              <w:rPr>
                <w:rFonts w:hint="eastAsia" w:ascii="黑体" w:hAnsi="黑体" w:eastAsia="黑体" w:cs="黑体"/>
                <w:i/>
                <w:iCs/>
                <w:color w:val="000000"/>
                <w:sz w:val="18"/>
                <w:szCs w:val="18"/>
                <w:u w:val="none"/>
              </w:rPr>
            </w:pPr>
          </w:p>
        </w:tc>
      </w:tr>
      <w:tr w14:paraId="6DF679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EB8FC2">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940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3F2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C1A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23B1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027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1A9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A13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27417">
            <w:pPr>
              <w:snapToGrid w:val="0"/>
              <w:rPr>
                <w:rFonts w:hint="eastAsia" w:ascii="黑体" w:hAnsi="黑体" w:eastAsia="黑体" w:cs="黑体"/>
                <w:i/>
                <w:iCs/>
                <w:color w:val="000000"/>
                <w:sz w:val="18"/>
                <w:szCs w:val="18"/>
                <w:u w:val="none"/>
              </w:rPr>
            </w:pPr>
          </w:p>
        </w:tc>
      </w:tr>
      <w:tr w14:paraId="5AFD9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9D0D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DD3C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DD2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439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E6232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7A4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C521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3862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A4FCF5">
            <w:pPr>
              <w:snapToGrid w:val="0"/>
              <w:rPr>
                <w:rFonts w:hint="eastAsia" w:ascii="黑体" w:hAnsi="黑体" w:eastAsia="黑体" w:cs="黑体"/>
                <w:i/>
                <w:iCs/>
                <w:color w:val="000000"/>
                <w:sz w:val="18"/>
                <w:szCs w:val="18"/>
                <w:u w:val="none"/>
              </w:rPr>
            </w:pPr>
          </w:p>
        </w:tc>
      </w:tr>
      <w:tr w14:paraId="26205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40CB0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F5CD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FEB14">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FEFD4">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2F75F7">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48203">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DE6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35FB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31DA95">
            <w:pPr>
              <w:snapToGrid w:val="0"/>
              <w:rPr>
                <w:rFonts w:hint="eastAsia" w:ascii="黑体" w:hAnsi="黑体" w:eastAsia="黑体" w:cs="黑体"/>
                <w:i/>
                <w:iCs/>
                <w:color w:val="000000"/>
                <w:sz w:val="18"/>
                <w:szCs w:val="18"/>
                <w:u w:val="none"/>
              </w:rPr>
            </w:pPr>
          </w:p>
        </w:tc>
      </w:tr>
      <w:tr w14:paraId="0DC986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9B99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049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E4B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69C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7F2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37F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708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3CB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365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6BF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687C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171DE8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A535C7">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C3DF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49E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5EF8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平衡土地项目面积</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E65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23A0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D5A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亩</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15B30">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260.63</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E65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024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DEFAA">
            <w:pPr>
              <w:snapToGrid w:val="0"/>
              <w:jc w:val="center"/>
              <w:rPr>
                <w:rFonts w:hint="eastAsia" w:ascii="宋体" w:hAnsi="宋体" w:eastAsia="宋体" w:cs="宋体"/>
                <w:i w:val="0"/>
                <w:iCs w:val="0"/>
                <w:color w:val="000000"/>
                <w:sz w:val="18"/>
                <w:szCs w:val="18"/>
                <w:u w:val="none"/>
              </w:rPr>
            </w:pPr>
          </w:p>
        </w:tc>
      </w:tr>
      <w:tr w14:paraId="09DE7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08EC66">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B011FF">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A0FB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5A6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新增耕地投入使用率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1C85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8BE7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071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7E673">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6C2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2EA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42271">
            <w:pPr>
              <w:snapToGrid w:val="0"/>
              <w:jc w:val="center"/>
              <w:rPr>
                <w:rFonts w:hint="eastAsia" w:ascii="宋体" w:hAnsi="宋体" w:eastAsia="宋体" w:cs="宋体"/>
                <w:i w:val="0"/>
                <w:iCs w:val="0"/>
                <w:color w:val="000000"/>
                <w:sz w:val="18"/>
                <w:szCs w:val="18"/>
                <w:u w:val="none"/>
              </w:rPr>
            </w:pPr>
          </w:p>
        </w:tc>
      </w:tr>
      <w:tr w14:paraId="272A90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DC5EB5">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B85044">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33C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538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270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C31A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84B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C9079">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671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428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78F7B">
            <w:pPr>
              <w:snapToGrid w:val="0"/>
              <w:jc w:val="center"/>
              <w:rPr>
                <w:rFonts w:hint="eastAsia" w:ascii="宋体" w:hAnsi="宋体" w:eastAsia="宋体" w:cs="宋体"/>
                <w:i w:val="0"/>
                <w:iCs w:val="0"/>
                <w:color w:val="000000"/>
                <w:sz w:val="18"/>
                <w:szCs w:val="18"/>
                <w:u w:val="none"/>
              </w:rPr>
            </w:pPr>
          </w:p>
        </w:tc>
      </w:tr>
      <w:tr w14:paraId="5AB63A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F75A2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4D3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6AA3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生态效益指标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1453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解决耕地非粮化、非农化，保护耕地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1C3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D84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好</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8D5DE">
            <w:pPr>
              <w:snapToGrid w:val="0"/>
              <w:jc w:val="center"/>
              <w:rPr>
                <w:rFonts w:hint="eastAsia" w:ascii="宋体" w:hAnsi="宋体" w:eastAsia="宋体" w:cs="宋体"/>
                <w:i w:val="0"/>
                <w:iCs w:val="0"/>
                <w:color w:val="000000"/>
                <w:sz w:val="18"/>
                <w:szCs w:val="18"/>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8B771">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好</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AE83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171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1C559">
            <w:pPr>
              <w:snapToGrid w:val="0"/>
              <w:jc w:val="center"/>
              <w:rPr>
                <w:rFonts w:hint="eastAsia" w:ascii="宋体" w:hAnsi="宋体" w:eastAsia="宋体" w:cs="宋体"/>
                <w:i w:val="0"/>
                <w:iCs w:val="0"/>
                <w:color w:val="000000"/>
                <w:sz w:val="18"/>
                <w:szCs w:val="18"/>
                <w:u w:val="none"/>
              </w:rPr>
            </w:pPr>
          </w:p>
        </w:tc>
      </w:tr>
      <w:tr w14:paraId="7BB8B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67F4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4055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9746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2D20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5AF8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608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050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CA7B6">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5609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78B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B7CF5">
            <w:pPr>
              <w:snapToGrid w:val="0"/>
              <w:jc w:val="center"/>
              <w:rPr>
                <w:rFonts w:hint="eastAsia" w:ascii="宋体" w:hAnsi="宋体" w:eastAsia="宋体" w:cs="宋体"/>
                <w:i w:val="0"/>
                <w:iCs w:val="0"/>
                <w:color w:val="000000"/>
                <w:sz w:val="18"/>
                <w:szCs w:val="18"/>
                <w:u w:val="none"/>
              </w:rPr>
            </w:pPr>
          </w:p>
        </w:tc>
      </w:tr>
      <w:tr w14:paraId="319DF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0CED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04D3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B76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6205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补助金</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DD5D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40C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80F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392F8">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101.6</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ABC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5C37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3A5B7">
            <w:pPr>
              <w:snapToGrid w:val="0"/>
              <w:jc w:val="center"/>
              <w:rPr>
                <w:rFonts w:hint="eastAsia" w:ascii="宋体" w:hAnsi="宋体" w:eastAsia="宋体" w:cs="宋体"/>
                <w:i w:val="0"/>
                <w:iCs w:val="0"/>
                <w:color w:val="000000"/>
                <w:sz w:val="18"/>
                <w:szCs w:val="18"/>
                <w:u w:val="none"/>
              </w:rPr>
            </w:pPr>
          </w:p>
        </w:tc>
      </w:tr>
      <w:tr w14:paraId="7023C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901B00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5AB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71C0F">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CEA37">
            <w:pPr>
              <w:snapToGrid w:val="0"/>
              <w:rPr>
                <w:rFonts w:hint="eastAsia" w:ascii="宋体" w:hAnsi="宋体" w:eastAsia="宋体" w:cs="宋体"/>
                <w:i w:val="0"/>
                <w:iCs w:val="0"/>
                <w:color w:val="000000"/>
                <w:sz w:val="18"/>
                <w:szCs w:val="18"/>
                <w:u w:val="none"/>
              </w:rPr>
            </w:pPr>
          </w:p>
        </w:tc>
      </w:tr>
      <w:tr w14:paraId="77C11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90D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B81D668">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土体整理面积超额完成预期目标，因社会发展，农村土地存在种地人数少的情况。自评得分98分。</w:t>
            </w:r>
          </w:p>
        </w:tc>
      </w:tr>
      <w:tr w14:paraId="092DE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C0C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32DDFC7">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FFCE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687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0061E49">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774E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0A5A76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项目负责人：刘海</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E7DF34B">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7A533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1AD55712">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18E4FDC1">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35092BFC">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07DD168C">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38B7DDF">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06B04D7B">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55D023E9">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4508F2FC">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314FC0D0">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4C1F3C8E">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73D80F4D">
            <w:pPr>
              <w:snapToGrid w:val="0"/>
              <w:rPr>
                <w:rFonts w:hint="eastAsia" w:ascii="宋体" w:hAnsi="宋体" w:eastAsia="宋体" w:cs="宋体"/>
                <w:i w:val="0"/>
                <w:iCs w:val="0"/>
                <w:color w:val="000000"/>
                <w:sz w:val="18"/>
                <w:szCs w:val="18"/>
                <w:u w:val="none"/>
              </w:rPr>
            </w:pPr>
          </w:p>
        </w:tc>
      </w:tr>
      <w:tr w14:paraId="1A94E5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F305A40">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7C70A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761B96">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67404A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51088925T000013247888-下西2023年民生项目资金</w:t>
            </w:r>
          </w:p>
        </w:tc>
      </w:tr>
      <w:tr w14:paraId="551F7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8FEC9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E593FA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6FF3A5A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5C72F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3BBD9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8EEE0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BF6118">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DE6A87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69A5C64">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7BCDD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6569F">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A6399E">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79903F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完成2023年度民生项目建设</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AD3C57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完成惠家沟社区、八一社区民生项目建设</w:t>
            </w:r>
          </w:p>
        </w:tc>
      </w:tr>
      <w:tr w14:paraId="6286B0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65C3DA">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F32E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F6161C2">
            <w:pPr>
              <w:snapToGrid w:val="0"/>
              <w:rPr>
                <w:rFonts w:hint="eastAsia" w:ascii="宋体" w:hAnsi="宋体" w:eastAsia="宋体" w:cs="宋体"/>
                <w:i w:val="0"/>
                <w:iCs w:val="0"/>
                <w:color w:val="000000"/>
                <w:sz w:val="18"/>
                <w:szCs w:val="18"/>
                <w:u w:val="none"/>
              </w:rPr>
            </w:pPr>
          </w:p>
        </w:tc>
      </w:tr>
      <w:tr w14:paraId="100FF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0C84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EC1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0AC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A486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F35A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CA72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F537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764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2FE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6F5FD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41B2F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DD6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055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686F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87.23</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7528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87.23</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CCE6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EF3A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8E276">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B64C22">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F8D4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20462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54D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F4D8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FD8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87.23</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3AE3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87.23</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72A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E1D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304C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BB7BAD">
            <w:pPr>
              <w:snapToGrid w:val="0"/>
              <w:rPr>
                <w:rFonts w:hint="eastAsia" w:ascii="黑体" w:hAnsi="黑体" w:eastAsia="黑体" w:cs="黑体"/>
                <w:i/>
                <w:iCs/>
                <w:color w:val="000000"/>
                <w:sz w:val="18"/>
                <w:szCs w:val="18"/>
                <w:u w:val="none"/>
              </w:rPr>
            </w:pPr>
          </w:p>
        </w:tc>
      </w:tr>
      <w:tr w14:paraId="2E9B4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5A6DDE">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24B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2BD9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B60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FC6F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B7EA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EF19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22E2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F15B4">
            <w:pPr>
              <w:snapToGrid w:val="0"/>
              <w:rPr>
                <w:rFonts w:hint="eastAsia" w:ascii="黑体" w:hAnsi="黑体" w:eastAsia="黑体" w:cs="黑体"/>
                <w:i/>
                <w:iCs/>
                <w:color w:val="000000"/>
                <w:sz w:val="18"/>
                <w:szCs w:val="18"/>
                <w:u w:val="none"/>
              </w:rPr>
            </w:pPr>
          </w:p>
        </w:tc>
      </w:tr>
      <w:tr w14:paraId="59CF6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1D22F">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8AC6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B9E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4177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DBD9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D4D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7C3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5B83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66AA4F">
            <w:pPr>
              <w:snapToGrid w:val="0"/>
              <w:rPr>
                <w:rFonts w:hint="eastAsia" w:ascii="黑体" w:hAnsi="黑体" w:eastAsia="黑体" w:cs="黑体"/>
                <w:i/>
                <w:iCs/>
                <w:color w:val="000000"/>
                <w:sz w:val="18"/>
                <w:szCs w:val="18"/>
                <w:u w:val="none"/>
              </w:rPr>
            </w:pPr>
          </w:p>
        </w:tc>
      </w:tr>
      <w:tr w14:paraId="14A02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C3AC75">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CBE5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29A1A">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2F29C">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87B2BF">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8098C">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AEDF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CDF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C346E">
            <w:pPr>
              <w:snapToGrid w:val="0"/>
              <w:rPr>
                <w:rFonts w:hint="eastAsia" w:ascii="黑体" w:hAnsi="黑体" w:eastAsia="黑体" w:cs="黑体"/>
                <w:i/>
                <w:iCs/>
                <w:color w:val="000000"/>
                <w:sz w:val="18"/>
                <w:szCs w:val="18"/>
                <w:u w:val="none"/>
              </w:rPr>
            </w:pPr>
          </w:p>
        </w:tc>
      </w:tr>
      <w:tr w14:paraId="704F0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nil"/>
              <w:right w:val="single" w:color="000000" w:sz="4" w:space="0"/>
            </w:tcBorders>
            <w:shd w:val="clear" w:color="auto" w:fill="auto"/>
            <w:vAlign w:val="center"/>
          </w:tcPr>
          <w:p w14:paraId="727326D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CEF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08F7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84A3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A0A0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ADB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6DE1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1888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E46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C809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9EC0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18036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nil"/>
              <w:right w:val="single" w:color="000000" w:sz="4" w:space="0"/>
            </w:tcBorders>
            <w:shd w:val="clear" w:color="auto" w:fill="auto"/>
            <w:vAlign w:val="center"/>
          </w:tcPr>
          <w:p w14:paraId="3265694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E13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DA0B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9BCD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惠民社区数量</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EE61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48C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A38F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E453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EBC9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2CB1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AEE91">
            <w:pPr>
              <w:snapToGrid w:val="0"/>
              <w:jc w:val="center"/>
              <w:rPr>
                <w:rFonts w:hint="eastAsia" w:ascii="微软雅黑" w:hAnsi="微软雅黑" w:eastAsia="微软雅黑" w:cs="微软雅黑"/>
                <w:i/>
                <w:iCs/>
                <w:color w:val="000000"/>
                <w:sz w:val="16"/>
                <w:szCs w:val="16"/>
                <w:u w:val="none"/>
              </w:rPr>
            </w:pPr>
          </w:p>
        </w:tc>
      </w:tr>
      <w:tr w14:paraId="631B7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nil"/>
              <w:right w:val="single" w:color="000000" w:sz="4" w:space="0"/>
            </w:tcBorders>
            <w:shd w:val="clear" w:color="auto" w:fill="auto"/>
            <w:vAlign w:val="center"/>
          </w:tcPr>
          <w:p w14:paraId="5101D6AD">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803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5D96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1117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惠民项目完成合格率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C90C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9852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32A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34A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9C3F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4D5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80AE7">
            <w:pPr>
              <w:snapToGrid w:val="0"/>
              <w:jc w:val="center"/>
              <w:rPr>
                <w:rFonts w:hint="eastAsia" w:ascii="微软雅黑" w:hAnsi="微软雅黑" w:eastAsia="微软雅黑" w:cs="微软雅黑"/>
                <w:i/>
                <w:iCs/>
                <w:color w:val="000000"/>
                <w:sz w:val="16"/>
                <w:szCs w:val="16"/>
                <w:u w:val="none"/>
              </w:rPr>
            </w:pPr>
          </w:p>
        </w:tc>
      </w:tr>
      <w:tr w14:paraId="78989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nil"/>
              <w:right w:val="single" w:color="000000" w:sz="4" w:space="0"/>
            </w:tcBorders>
            <w:shd w:val="clear" w:color="auto" w:fill="auto"/>
            <w:vAlign w:val="center"/>
          </w:tcPr>
          <w:p w14:paraId="66087E2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9F3F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871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0DD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社区文化环境、公共设施得到改善</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F3B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BF98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7039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71AA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83C8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E2A4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D740F">
            <w:pPr>
              <w:snapToGrid w:val="0"/>
              <w:jc w:val="center"/>
              <w:rPr>
                <w:rFonts w:hint="eastAsia" w:ascii="微软雅黑" w:hAnsi="微软雅黑" w:eastAsia="微软雅黑" w:cs="微软雅黑"/>
                <w:i/>
                <w:iCs/>
                <w:color w:val="000000"/>
                <w:sz w:val="16"/>
                <w:szCs w:val="16"/>
                <w:u w:val="none"/>
              </w:rPr>
            </w:pPr>
          </w:p>
        </w:tc>
      </w:tr>
      <w:tr w14:paraId="5E960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nil"/>
              <w:right w:val="single" w:color="000000" w:sz="4" w:space="0"/>
            </w:tcBorders>
            <w:shd w:val="clear" w:color="auto" w:fill="auto"/>
            <w:vAlign w:val="center"/>
          </w:tcPr>
          <w:p w14:paraId="0E793F19">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8440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4223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33DA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老百姓满意度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DD9D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CF3A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BBA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480C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0DA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74FC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74E1C">
            <w:pPr>
              <w:snapToGrid w:val="0"/>
              <w:jc w:val="center"/>
              <w:rPr>
                <w:rFonts w:hint="eastAsia" w:ascii="微软雅黑" w:hAnsi="微软雅黑" w:eastAsia="微软雅黑" w:cs="微软雅黑"/>
                <w:i/>
                <w:iCs/>
                <w:color w:val="000000"/>
                <w:sz w:val="16"/>
                <w:szCs w:val="16"/>
                <w:u w:val="none"/>
              </w:rPr>
            </w:pPr>
          </w:p>
        </w:tc>
      </w:tr>
      <w:tr w14:paraId="082D5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nil"/>
              <w:right w:val="single" w:color="000000" w:sz="4" w:space="0"/>
            </w:tcBorders>
            <w:shd w:val="clear" w:color="auto" w:fill="auto"/>
            <w:vAlign w:val="center"/>
          </w:tcPr>
          <w:p w14:paraId="44286B9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4CF2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陈本</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C46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0B00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经费成本</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22A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C678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87.234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9372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7B04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87.234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0940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3477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84EED">
            <w:pPr>
              <w:snapToGrid w:val="0"/>
              <w:jc w:val="center"/>
              <w:rPr>
                <w:rFonts w:hint="eastAsia" w:ascii="微软雅黑" w:hAnsi="微软雅黑" w:eastAsia="微软雅黑" w:cs="微软雅黑"/>
                <w:i/>
                <w:iCs/>
                <w:color w:val="000000"/>
                <w:sz w:val="16"/>
                <w:szCs w:val="16"/>
                <w:u w:val="none"/>
              </w:rPr>
            </w:pPr>
          </w:p>
        </w:tc>
      </w:tr>
      <w:tr w14:paraId="0C215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7E76A9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58F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AD28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8A02C">
            <w:pPr>
              <w:snapToGrid w:val="0"/>
              <w:rPr>
                <w:rFonts w:hint="eastAsia" w:ascii="宋体" w:hAnsi="宋体" w:eastAsia="宋体" w:cs="宋体"/>
                <w:i w:val="0"/>
                <w:iCs w:val="0"/>
                <w:color w:val="000000"/>
                <w:sz w:val="18"/>
                <w:szCs w:val="18"/>
                <w:u w:val="none"/>
              </w:rPr>
            </w:pPr>
          </w:p>
        </w:tc>
      </w:tr>
      <w:tr w14:paraId="245027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B3BA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B5D0D23">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完成预期目标，自评得分100分。</w:t>
            </w:r>
          </w:p>
        </w:tc>
      </w:tr>
      <w:tr w14:paraId="1D7ED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F36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414F264">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2B4BC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086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89695F2">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D810A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133D910">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项目负责人：樊莉</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9CD624">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645087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652FAAEA">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7CB1BF48">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1D4D7E1A">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0FBC0349">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32DECE19">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1121CD7E">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55136BA3">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4F87DC2F">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53BA4DE8">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00DB44F4">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2D7C7088">
            <w:pPr>
              <w:snapToGrid w:val="0"/>
              <w:rPr>
                <w:rFonts w:hint="eastAsia" w:ascii="宋体" w:hAnsi="宋体" w:eastAsia="宋体" w:cs="宋体"/>
                <w:i w:val="0"/>
                <w:iCs w:val="0"/>
                <w:color w:val="000000"/>
                <w:sz w:val="18"/>
                <w:szCs w:val="18"/>
                <w:u w:val="none"/>
              </w:rPr>
            </w:pPr>
          </w:p>
        </w:tc>
      </w:tr>
      <w:tr w14:paraId="21886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7F44B8F">
            <w:pPr>
              <w:keepNext w:val="0"/>
              <w:keepLines w:val="0"/>
              <w:widowControl/>
              <w:suppressLineNumbers w:val="0"/>
              <w:snapToGrid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部门预算项目支出绩效自评表（2024年度）</w:t>
            </w:r>
          </w:p>
        </w:tc>
      </w:tr>
      <w:tr w14:paraId="726F4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EB368C">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AE015A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51088925T000013294589-下西2023年度未休年休假工资报酬</w:t>
            </w:r>
          </w:p>
        </w:tc>
      </w:tr>
      <w:tr w14:paraId="156D0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7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7EF64A">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B464A52">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广元经济技术开发区下西坝办事处部门</w:t>
            </w:r>
          </w:p>
        </w:tc>
        <w:tc>
          <w:tcPr>
            <w:tcW w:w="450" w:type="pct"/>
            <w:tcBorders>
              <w:top w:val="nil"/>
              <w:left w:val="nil"/>
              <w:bottom w:val="nil"/>
              <w:right w:val="nil"/>
            </w:tcBorders>
            <w:shd w:val="clear" w:color="auto" w:fill="auto"/>
            <w:vAlign w:val="center"/>
          </w:tcPr>
          <w:p w14:paraId="7D976B6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97AB7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广元经济技术开发区下西坝办事处</w:t>
            </w:r>
          </w:p>
        </w:tc>
      </w:tr>
      <w:tr w14:paraId="336FF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3BB5F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CC17C9">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0EDC1C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514CF80">
            <w:pPr>
              <w:keepNext w:val="0"/>
              <w:keepLines w:val="0"/>
              <w:widowControl/>
              <w:suppressLineNumbers w:val="0"/>
              <w:snapToGrid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FEB9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207F11">
            <w:pPr>
              <w:snapToGrid w:val="0"/>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952376">
            <w:pPr>
              <w:snapToGrid w:val="0"/>
              <w:rPr>
                <w:rFonts w:hint="eastAsia" w:ascii="宋体" w:hAnsi="宋体" w:eastAsia="宋体" w:cs="宋体"/>
                <w:i w:val="0"/>
                <w:iCs w:val="0"/>
                <w:color w:val="000000"/>
                <w:sz w:val="18"/>
                <w:szCs w:val="18"/>
                <w:u w:val="none"/>
              </w:rPr>
            </w:pPr>
          </w:p>
        </w:tc>
        <w:tc>
          <w:tcPr>
            <w:tcW w:w="173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E400D71">
            <w:pPr>
              <w:snapToGrid w:val="0"/>
              <w:rPr>
                <w:rFonts w:hint="eastAsia" w:ascii="宋体" w:hAnsi="宋体" w:eastAsia="宋体" w:cs="宋体"/>
                <w:i w:val="0"/>
                <w:iCs w:val="0"/>
                <w:color w:val="000000"/>
                <w:sz w:val="18"/>
                <w:szCs w:val="18"/>
                <w:u w:val="none"/>
              </w:rPr>
            </w:pPr>
          </w:p>
        </w:tc>
        <w:tc>
          <w:tcPr>
            <w:tcW w:w="250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1EF0701">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7011F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5BD3F5">
            <w:pPr>
              <w:snapToGrid w:val="0"/>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412C3">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4244"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18E5E4C">
            <w:pPr>
              <w:snapToGrid w:val="0"/>
              <w:rPr>
                <w:rFonts w:hint="eastAsia" w:ascii="宋体" w:hAnsi="宋体" w:eastAsia="宋体" w:cs="宋体"/>
                <w:i w:val="0"/>
                <w:iCs w:val="0"/>
                <w:color w:val="000000"/>
                <w:sz w:val="18"/>
                <w:szCs w:val="18"/>
                <w:u w:val="none"/>
              </w:rPr>
            </w:pPr>
          </w:p>
        </w:tc>
      </w:tr>
      <w:tr w14:paraId="5AD95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543D4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8B8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4F4E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F5F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80CD2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D43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2E21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A91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1E0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1CFE35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857F81">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DBD5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9A60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BB45D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6.04</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CEA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6.04</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6AD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941A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C3D56">
            <w:pPr>
              <w:snapToGrid w:val="0"/>
              <w:jc w:val="center"/>
              <w:rPr>
                <w:rFonts w:hint="eastAsia" w:ascii="宋体" w:hAnsi="宋体" w:eastAsia="宋体" w:cs="宋体"/>
                <w:i w:val="0"/>
                <w:iCs w:val="0"/>
                <w:color w:val="000000"/>
                <w:sz w:val="18"/>
                <w:szCs w:val="18"/>
                <w:u w:val="none"/>
              </w:rPr>
            </w:pPr>
          </w:p>
        </w:tc>
        <w:tc>
          <w:tcPr>
            <w:tcW w:w="16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EB557F">
            <w:pPr>
              <w:keepNext w:val="0"/>
              <w:keepLines w:val="0"/>
              <w:widowControl/>
              <w:suppressLineNumbers w:val="0"/>
              <w:snapToGrid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FC376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42DD60">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4185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D3DF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9706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6.04</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01030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6.04</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8F05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290D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EB0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2DF8FA">
            <w:pPr>
              <w:snapToGrid w:val="0"/>
              <w:rPr>
                <w:rFonts w:hint="eastAsia" w:ascii="黑体" w:hAnsi="黑体" w:eastAsia="黑体" w:cs="黑体"/>
                <w:i/>
                <w:iCs/>
                <w:color w:val="000000"/>
                <w:sz w:val="18"/>
                <w:szCs w:val="18"/>
                <w:u w:val="none"/>
              </w:rPr>
            </w:pPr>
          </w:p>
        </w:tc>
      </w:tr>
      <w:tr w14:paraId="2E54D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750DB7">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79ED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7086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5C8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A90B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B6CC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F50B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1BA8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EC4ACC">
            <w:pPr>
              <w:snapToGrid w:val="0"/>
              <w:rPr>
                <w:rFonts w:hint="eastAsia" w:ascii="黑体" w:hAnsi="黑体" w:eastAsia="黑体" w:cs="黑体"/>
                <w:i/>
                <w:iCs/>
                <w:color w:val="000000"/>
                <w:sz w:val="18"/>
                <w:szCs w:val="18"/>
                <w:u w:val="none"/>
              </w:rPr>
            </w:pPr>
          </w:p>
        </w:tc>
      </w:tr>
      <w:tr w14:paraId="32C43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78EA9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E3CE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E0F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0296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0D33C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D81E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004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47CF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C5472">
            <w:pPr>
              <w:snapToGrid w:val="0"/>
              <w:rPr>
                <w:rFonts w:hint="eastAsia" w:ascii="黑体" w:hAnsi="黑体" w:eastAsia="黑体" w:cs="黑体"/>
                <w:i/>
                <w:iCs/>
                <w:color w:val="000000"/>
                <w:sz w:val="18"/>
                <w:szCs w:val="18"/>
                <w:u w:val="none"/>
              </w:rPr>
            </w:pPr>
          </w:p>
        </w:tc>
      </w:tr>
      <w:tr w14:paraId="67C8D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DA632B">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998E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B3317">
            <w:pPr>
              <w:snapToGrid w:val="0"/>
              <w:jc w:val="center"/>
              <w:rPr>
                <w:rFonts w:hint="eastAsia" w:ascii="微软雅黑" w:hAnsi="微软雅黑" w:eastAsia="微软雅黑" w:cs="微软雅黑"/>
                <w:i/>
                <w:iCs/>
                <w:color w:val="000000"/>
                <w:sz w:val="16"/>
                <w:szCs w:val="16"/>
                <w:u w:val="none"/>
              </w:rPr>
            </w:pP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739E9">
            <w:pPr>
              <w:snapToGrid w:val="0"/>
              <w:jc w:val="center"/>
              <w:rPr>
                <w:rFonts w:hint="eastAsia" w:ascii="微软雅黑" w:hAnsi="微软雅黑" w:eastAsia="微软雅黑" w:cs="微软雅黑"/>
                <w:i/>
                <w:iCs/>
                <w:color w:val="000000"/>
                <w:sz w:val="16"/>
                <w:szCs w:val="16"/>
                <w:u w:val="none"/>
              </w:rPr>
            </w:pPr>
          </w:p>
        </w:tc>
        <w:tc>
          <w:tcPr>
            <w:tcW w:w="75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69EDE2">
            <w:pPr>
              <w:snapToGrid w:val="0"/>
              <w:jc w:val="center"/>
              <w:rPr>
                <w:rFonts w:hint="eastAsia" w:ascii="微软雅黑" w:hAnsi="微软雅黑" w:eastAsia="微软雅黑" w:cs="微软雅黑"/>
                <w:i/>
                <w:iCs/>
                <w:color w:val="000000"/>
                <w:sz w:val="16"/>
                <w:szCs w:val="16"/>
                <w:u w:val="none"/>
              </w:rPr>
            </w:pP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B669F">
            <w:pPr>
              <w:snapToGrid w:val="0"/>
              <w:jc w:val="center"/>
              <w:rPr>
                <w:rFonts w:hint="eastAsia" w:ascii="微软雅黑" w:hAnsi="微软雅黑" w:eastAsia="微软雅黑" w:cs="微软雅黑"/>
                <w:i/>
                <w:iCs/>
                <w:color w:val="000000"/>
                <w:sz w:val="16"/>
                <w:szCs w:val="16"/>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477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3AA4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1DA130">
            <w:pPr>
              <w:snapToGrid w:val="0"/>
              <w:rPr>
                <w:rFonts w:hint="eastAsia" w:ascii="黑体" w:hAnsi="黑体" w:eastAsia="黑体" w:cs="黑体"/>
                <w:i/>
                <w:iCs/>
                <w:color w:val="000000"/>
                <w:sz w:val="18"/>
                <w:szCs w:val="18"/>
                <w:u w:val="none"/>
              </w:rPr>
            </w:pPr>
          </w:p>
        </w:tc>
      </w:tr>
      <w:tr w14:paraId="4D436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A642A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699F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E6B6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C8D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2CA0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027F2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A3EF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FD40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C7A6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5E88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88C9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12510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758AE6">
            <w:pPr>
              <w:snapToGrid w:val="0"/>
              <w:jc w:val="center"/>
              <w:rPr>
                <w:rFonts w:hint="eastAsia" w:ascii="宋体" w:hAnsi="宋体" w:eastAsia="宋体" w:cs="宋体"/>
                <w:i w:val="0"/>
                <w:iCs w:val="0"/>
                <w:color w:val="000000"/>
                <w:sz w:val="18"/>
                <w:szCs w:val="18"/>
                <w:u w:val="none"/>
              </w:rPr>
            </w:pP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9894E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DDDB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315B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人数</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4681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75465">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89D4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4986D">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D569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4E3B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413FA">
            <w:pPr>
              <w:snapToGrid w:val="0"/>
              <w:jc w:val="center"/>
              <w:rPr>
                <w:rFonts w:hint="eastAsia" w:ascii="微软雅黑" w:hAnsi="微软雅黑" w:eastAsia="微软雅黑" w:cs="微软雅黑"/>
                <w:i/>
                <w:iCs/>
                <w:color w:val="000000"/>
                <w:sz w:val="16"/>
                <w:szCs w:val="16"/>
                <w:u w:val="none"/>
              </w:rPr>
            </w:pPr>
          </w:p>
        </w:tc>
      </w:tr>
      <w:tr w14:paraId="48703F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63E00B">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D70AD">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10BC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AFC6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发放率</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DFCFD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655A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2693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1C295">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5917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20E42">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7B926">
            <w:pPr>
              <w:snapToGrid w:val="0"/>
              <w:jc w:val="center"/>
              <w:rPr>
                <w:rFonts w:hint="eastAsia" w:ascii="微软雅黑" w:hAnsi="微软雅黑" w:eastAsia="微软雅黑" w:cs="微软雅黑"/>
                <w:i/>
                <w:iCs/>
                <w:color w:val="000000"/>
                <w:sz w:val="16"/>
                <w:szCs w:val="16"/>
                <w:u w:val="none"/>
              </w:rPr>
            </w:pPr>
          </w:p>
        </w:tc>
      </w:tr>
      <w:tr w14:paraId="5A4B6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100A92">
            <w:pPr>
              <w:snapToGrid w:val="0"/>
              <w:jc w:val="center"/>
              <w:rPr>
                <w:rFonts w:hint="eastAsia" w:ascii="宋体" w:hAnsi="宋体" w:eastAsia="宋体" w:cs="宋体"/>
                <w:i w:val="0"/>
                <w:iCs w:val="0"/>
                <w:color w:val="000000"/>
                <w:sz w:val="18"/>
                <w:szCs w:val="18"/>
                <w:u w:val="none"/>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B401D">
            <w:pPr>
              <w:snapToGrid w:val="0"/>
              <w:jc w:val="center"/>
              <w:rPr>
                <w:rFonts w:hint="eastAsia" w:ascii="宋体" w:hAnsi="宋体" w:eastAsia="宋体" w:cs="宋体"/>
                <w:i w:val="0"/>
                <w:iCs w:val="0"/>
                <w:color w:val="000000"/>
                <w:sz w:val="18"/>
                <w:szCs w:val="18"/>
                <w:u w:val="none"/>
              </w:rPr>
            </w:pP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30F8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C0B5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9D54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E56A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C472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1C3AD">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8B45D">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6EB1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30F55">
            <w:pPr>
              <w:snapToGrid w:val="0"/>
              <w:jc w:val="center"/>
              <w:rPr>
                <w:rFonts w:hint="eastAsia" w:ascii="微软雅黑" w:hAnsi="微软雅黑" w:eastAsia="微软雅黑" w:cs="微软雅黑"/>
                <w:i/>
                <w:iCs/>
                <w:color w:val="000000"/>
                <w:sz w:val="16"/>
                <w:szCs w:val="16"/>
                <w:u w:val="none"/>
              </w:rPr>
            </w:pPr>
          </w:p>
        </w:tc>
      </w:tr>
      <w:tr w14:paraId="46500E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206D4">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F874C">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3344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89D5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提升职工工作积极性</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ECA0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9031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F7A3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A54E0D">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7657A">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E0E9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5D0D4">
            <w:pPr>
              <w:snapToGrid w:val="0"/>
              <w:jc w:val="center"/>
              <w:rPr>
                <w:rFonts w:hint="eastAsia" w:ascii="微软雅黑" w:hAnsi="微软雅黑" w:eastAsia="微软雅黑" w:cs="微软雅黑"/>
                <w:i/>
                <w:iCs/>
                <w:color w:val="000000"/>
                <w:sz w:val="16"/>
                <w:szCs w:val="16"/>
                <w:u w:val="none"/>
              </w:rPr>
            </w:pPr>
          </w:p>
        </w:tc>
      </w:tr>
      <w:tr w14:paraId="243B8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0D79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B883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E27B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282A4">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干部职工满意度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EF2E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313B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5FF6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EE71A">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C3AA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36028">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181B3">
            <w:pPr>
              <w:snapToGrid w:val="0"/>
              <w:jc w:val="center"/>
              <w:rPr>
                <w:rFonts w:hint="eastAsia" w:ascii="微软雅黑" w:hAnsi="微软雅黑" w:eastAsia="微软雅黑" w:cs="微软雅黑"/>
                <w:i/>
                <w:iCs/>
                <w:color w:val="000000"/>
                <w:sz w:val="16"/>
                <w:szCs w:val="16"/>
                <w:u w:val="none"/>
              </w:rPr>
            </w:pPr>
          </w:p>
        </w:tc>
      </w:tr>
      <w:tr w14:paraId="583C09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0690CA">
            <w:pPr>
              <w:snapToGrid w:val="0"/>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80A6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D2FA1">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5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1204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发放金额</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6244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3E8E7">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3.6554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91C30">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D197A">
            <w:pPr>
              <w:keepNext w:val="0"/>
              <w:keepLines w:val="0"/>
              <w:widowControl/>
              <w:suppressLineNumbers w:val="0"/>
              <w:snapToGrid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3.6554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979F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24B2B">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1C7C1">
            <w:pPr>
              <w:snapToGrid w:val="0"/>
              <w:jc w:val="center"/>
              <w:rPr>
                <w:rFonts w:hint="eastAsia" w:ascii="微软雅黑" w:hAnsi="微软雅黑" w:eastAsia="微软雅黑" w:cs="微软雅黑"/>
                <w:i/>
                <w:iCs/>
                <w:color w:val="000000"/>
                <w:sz w:val="16"/>
                <w:szCs w:val="16"/>
                <w:u w:val="none"/>
              </w:rPr>
            </w:pPr>
          </w:p>
        </w:tc>
      </w:tr>
      <w:tr w14:paraId="2734E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2943"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AB70653">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3D29E">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3D9EC">
            <w:pPr>
              <w:keepNext w:val="0"/>
              <w:keepLines w:val="0"/>
              <w:widowControl/>
              <w:suppressLineNumbers w:val="0"/>
              <w:snapToGrid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26A66">
            <w:pPr>
              <w:snapToGrid w:val="0"/>
              <w:rPr>
                <w:rFonts w:hint="eastAsia" w:ascii="宋体" w:hAnsi="宋体" w:eastAsia="宋体" w:cs="宋体"/>
                <w:i w:val="0"/>
                <w:iCs w:val="0"/>
                <w:color w:val="000000"/>
                <w:sz w:val="18"/>
                <w:szCs w:val="18"/>
                <w:u w:val="none"/>
              </w:rPr>
            </w:pPr>
          </w:p>
        </w:tc>
      </w:tr>
      <w:tr w14:paraId="65343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CBE2F">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D574D99">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完成预算目标、自评得分100分。</w:t>
            </w:r>
          </w:p>
        </w:tc>
      </w:tr>
      <w:tr w14:paraId="577DA5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46539">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4637"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7019CAF">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00C4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6CCC6">
            <w:pPr>
              <w:keepNext w:val="0"/>
              <w:keepLines w:val="0"/>
              <w:widowControl/>
              <w:suppressLineNumbers w:val="0"/>
              <w:snapToGrid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4637" w:type="pct"/>
            <w:gridSpan w:val="10"/>
            <w:tcBorders>
              <w:top w:val="single" w:color="000000" w:sz="4" w:space="0"/>
              <w:left w:val="single" w:color="000000" w:sz="4" w:space="0"/>
              <w:bottom w:val="nil"/>
              <w:right w:val="single" w:color="000000" w:sz="4" w:space="0"/>
            </w:tcBorders>
            <w:shd w:val="clear" w:color="auto" w:fill="auto"/>
            <w:vAlign w:val="center"/>
          </w:tcPr>
          <w:p w14:paraId="491872DC">
            <w:pPr>
              <w:keepNext w:val="0"/>
              <w:keepLines w:val="0"/>
              <w:widowControl/>
              <w:suppressLineNumbers w:val="0"/>
              <w:snapToGrid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8674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194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AE316EA">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项目负责人：王娅欣</w:t>
            </w:r>
          </w:p>
        </w:tc>
        <w:tc>
          <w:tcPr>
            <w:tcW w:w="3059"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F747DF">
            <w:pPr>
              <w:keepNext w:val="0"/>
              <w:keepLines w:val="0"/>
              <w:widowControl/>
              <w:suppressLineNumbers w:val="0"/>
              <w:snapToGrid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财务负责人：祖祥照</w:t>
            </w:r>
          </w:p>
        </w:tc>
      </w:tr>
      <w:tr w14:paraId="56AE5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362" w:type="pct"/>
            <w:tcBorders>
              <w:top w:val="nil"/>
              <w:left w:val="nil"/>
              <w:bottom w:val="nil"/>
              <w:right w:val="nil"/>
            </w:tcBorders>
            <w:shd w:val="clear" w:color="auto" w:fill="auto"/>
            <w:vAlign w:val="center"/>
          </w:tcPr>
          <w:p w14:paraId="5B4EF0FB">
            <w:pPr>
              <w:snapToGrid w:val="0"/>
              <w:rPr>
                <w:rFonts w:hint="eastAsia" w:ascii="宋体" w:hAnsi="宋体" w:eastAsia="宋体" w:cs="宋体"/>
                <w:i w:val="0"/>
                <w:iCs w:val="0"/>
                <w:color w:val="000000"/>
                <w:sz w:val="18"/>
                <w:szCs w:val="18"/>
                <w:u w:val="none"/>
              </w:rPr>
            </w:pPr>
          </w:p>
        </w:tc>
        <w:tc>
          <w:tcPr>
            <w:tcW w:w="393" w:type="pct"/>
            <w:tcBorders>
              <w:top w:val="nil"/>
              <w:left w:val="nil"/>
              <w:bottom w:val="nil"/>
              <w:right w:val="nil"/>
            </w:tcBorders>
            <w:shd w:val="clear" w:color="auto" w:fill="auto"/>
            <w:vAlign w:val="center"/>
          </w:tcPr>
          <w:p w14:paraId="725A2FAE">
            <w:pPr>
              <w:snapToGrid w:val="0"/>
              <w:rPr>
                <w:rFonts w:hint="eastAsia" w:ascii="宋体" w:hAnsi="宋体" w:eastAsia="宋体" w:cs="宋体"/>
                <w:i w:val="0"/>
                <w:iCs w:val="0"/>
                <w:color w:val="000000"/>
                <w:sz w:val="18"/>
                <w:szCs w:val="18"/>
                <w:u w:val="none"/>
              </w:rPr>
            </w:pPr>
          </w:p>
        </w:tc>
        <w:tc>
          <w:tcPr>
            <w:tcW w:w="432" w:type="pct"/>
            <w:tcBorders>
              <w:top w:val="nil"/>
              <w:left w:val="nil"/>
              <w:bottom w:val="nil"/>
              <w:right w:val="nil"/>
            </w:tcBorders>
            <w:shd w:val="clear" w:color="auto" w:fill="auto"/>
            <w:vAlign w:val="center"/>
          </w:tcPr>
          <w:p w14:paraId="3A949AF5">
            <w:pPr>
              <w:snapToGrid w:val="0"/>
              <w:rPr>
                <w:rFonts w:hint="eastAsia" w:ascii="宋体" w:hAnsi="宋体" w:eastAsia="宋体" w:cs="宋体"/>
                <w:i w:val="0"/>
                <w:iCs w:val="0"/>
                <w:color w:val="000000"/>
                <w:sz w:val="18"/>
                <w:szCs w:val="18"/>
                <w:u w:val="none"/>
              </w:rPr>
            </w:pPr>
          </w:p>
        </w:tc>
        <w:tc>
          <w:tcPr>
            <w:tcW w:w="549" w:type="pct"/>
            <w:tcBorders>
              <w:top w:val="nil"/>
              <w:left w:val="nil"/>
              <w:bottom w:val="nil"/>
              <w:right w:val="nil"/>
            </w:tcBorders>
            <w:shd w:val="clear" w:color="auto" w:fill="auto"/>
            <w:vAlign w:val="center"/>
          </w:tcPr>
          <w:p w14:paraId="2CFA4C66">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62A37CFA">
            <w:pPr>
              <w:snapToGrid w:val="0"/>
              <w:rPr>
                <w:rFonts w:hint="eastAsia" w:ascii="宋体" w:hAnsi="宋体" w:eastAsia="宋体" w:cs="宋体"/>
                <w:i w:val="0"/>
                <w:iCs w:val="0"/>
                <w:color w:val="000000"/>
                <w:sz w:val="18"/>
                <w:szCs w:val="18"/>
                <w:u w:val="none"/>
              </w:rPr>
            </w:pPr>
          </w:p>
        </w:tc>
        <w:tc>
          <w:tcPr>
            <w:tcW w:w="349" w:type="pct"/>
            <w:tcBorders>
              <w:top w:val="nil"/>
              <w:left w:val="nil"/>
              <w:bottom w:val="nil"/>
              <w:right w:val="nil"/>
            </w:tcBorders>
            <w:shd w:val="clear" w:color="auto" w:fill="auto"/>
            <w:vAlign w:val="center"/>
          </w:tcPr>
          <w:p w14:paraId="4C3E345C">
            <w:pPr>
              <w:snapToGrid w:val="0"/>
              <w:rPr>
                <w:rFonts w:hint="eastAsia" w:ascii="宋体" w:hAnsi="宋体" w:eastAsia="宋体" w:cs="宋体"/>
                <w:i w:val="0"/>
                <w:iCs w:val="0"/>
                <w:color w:val="000000"/>
                <w:sz w:val="18"/>
                <w:szCs w:val="18"/>
                <w:u w:val="none"/>
              </w:rPr>
            </w:pPr>
          </w:p>
        </w:tc>
        <w:tc>
          <w:tcPr>
            <w:tcW w:w="203" w:type="pct"/>
            <w:tcBorders>
              <w:top w:val="nil"/>
              <w:left w:val="nil"/>
              <w:bottom w:val="nil"/>
              <w:right w:val="nil"/>
            </w:tcBorders>
            <w:shd w:val="clear" w:color="auto" w:fill="auto"/>
            <w:vAlign w:val="center"/>
          </w:tcPr>
          <w:p w14:paraId="2632383E">
            <w:pPr>
              <w:snapToGrid w:val="0"/>
              <w:rPr>
                <w:rFonts w:hint="eastAsia" w:ascii="宋体" w:hAnsi="宋体" w:eastAsia="宋体" w:cs="宋体"/>
                <w:i w:val="0"/>
                <w:iCs w:val="0"/>
                <w:color w:val="000000"/>
                <w:sz w:val="18"/>
                <w:szCs w:val="18"/>
                <w:u w:val="none"/>
              </w:rPr>
            </w:pPr>
          </w:p>
        </w:tc>
        <w:tc>
          <w:tcPr>
            <w:tcW w:w="450" w:type="pct"/>
            <w:tcBorders>
              <w:top w:val="nil"/>
              <w:left w:val="nil"/>
              <w:bottom w:val="nil"/>
              <w:right w:val="nil"/>
            </w:tcBorders>
            <w:shd w:val="clear" w:color="auto" w:fill="auto"/>
            <w:vAlign w:val="center"/>
          </w:tcPr>
          <w:p w14:paraId="79D10B5F">
            <w:pPr>
              <w:snapToGrid w:val="0"/>
              <w:rPr>
                <w:rFonts w:hint="eastAsia" w:ascii="宋体" w:hAnsi="宋体" w:eastAsia="宋体" w:cs="宋体"/>
                <w:i w:val="0"/>
                <w:iCs w:val="0"/>
                <w:color w:val="000000"/>
                <w:sz w:val="18"/>
                <w:szCs w:val="18"/>
                <w:u w:val="none"/>
              </w:rPr>
            </w:pPr>
          </w:p>
        </w:tc>
        <w:tc>
          <w:tcPr>
            <w:tcW w:w="201" w:type="pct"/>
            <w:tcBorders>
              <w:top w:val="nil"/>
              <w:left w:val="nil"/>
              <w:bottom w:val="nil"/>
              <w:right w:val="nil"/>
            </w:tcBorders>
            <w:shd w:val="clear" w:color="auto" w:fill="auto"/>
            <w:vAlign w:val="center"/>
          </w:tcPr>
          <w:p w14:paraId="1B77C851">
            <w:pPr>
              <w:snapToGrid w:val="0"/>
              <w:rPr>
                <w:rFonts w:hint="eastAsia" w:ascii="宋体" w:hAnsi="宋体" w:eastAsia="宋体" w:cs="宋体"/>
                <w:i w:val="0"/>
                <w:iCs w:val="0"/>
                <w:color w:val="000000"/>
                <w:sz w:val="18"/>
                <w:szCs w:val="18"/>
                <w:u w:val="none"/>
              </w:rPr>
            </w:pPr>
          </w:p>
        </w:tc>
        <w:tc>
          <w:tcPr>
            <w:tcW w:w="200" w:type="pct"/>
            <w:tcBorders>
              <w:top w:val="nil"/>
              <w:left w:val="nil"/>
              <w:bottom w:val="nil"/>
              <w:right w:val="nil"/>
            </w:tcBorders>
            <w:shd w:val="clear" w:color="auto" w:fill="auto"/>
            <w:vAlign w:val="center"/>
          </w:tcPr>
          <w:p w14:paraId="125BBCE6">
            <w:pPr>
              <w:snapToGrid w:val="0"/>
              <w:rPr>
                <w:rFonts w:hint="eastAsia" w:ascii="宋体" w:hAnsi="宋体" w:eastAsia="宋体" w:cs="宋体"/>
                <w:i w:val="0"/>
                <w:iCs w:val="0"/>
                <w:color w:val="000000"/>
                <w:sz w:val="18"/>
                <w:szCs w:val="18"/>
                <w:u w:val="none"/>
              </w:rPr>
            </w:pPr>
          </w:p>
        </w:tc>
        <w:tc>
          <w:tcPr>
            <w:tcW w:w="1653" w:type="pct"/>
            <w:tcBorders>
              <w:top w:val="nil"/>
              <w:left w:val="nil"/>
              <w:bottom w:val="nil"/>
              <w:right w:val="nil"/>
            </w:tcBorders>
            <w:shd w:val="clear" w:color="auto" w:fill="auto"/>
            <w:vAlign w:val="center"/>
          </w:tcPr>
          <w:p w14:paraId="22CA8E62">
            <w:pPr>
              <w:snapToGrid w:val="0"/>
              <w:rPr>
                <w:rFonts w:hint="eastAsia" w:ascii="宋体" w:hAnsi="宋体" w:eastAsia="宋体" w:cs="宋体"/>
                <w:i w:val="0"/>
                <w:iCs w:val="0"/>
                <w:color w:val="000000"/>
                <w:sz w:val="18"/>
                <w:szCs w:val="18"/>
                <w:u w:val="none"/>
              </w:rPr>
            </w:pPr>
          </w:p>
        </w:tc>
      </w:tr>
      <w:tr w14:paraId="2AD0D4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nil"/>
              <w:left w:val="nil"/>
              <w:bottom w:val="nil"/>
              <w:right w:val="nil"/>
            </w:tcBorders>
            <w:shd w:val="clear" w:color="auto" w:fill="auto"/>
            <w:vAlign w:val="center"/>
          </w:tcPr>
          <w:p w14:paraId="2339B774">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p>
        </w:tc>
      </w:tr>
      <w:tr w14:paraId="08CE8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0" w:hRule="atLeast"/>
          <w:jc w:val="center"/>
        </w:trPr>
        <w:tc>
          <w:tcPr>
            <w:tcW w:w="5000" w:type="pct"/>
            <w:gridSpan w:val="11"/>
            <w:tcBorders>
              <w:top w:val="nil"/>
              <w:left w:val="nil"/>
              <w:bottom w:val="nil"/>
              <w:right w:val="nil"/>
            </w:tcBorders>
            <w:shd w:val="clear" w:color="auto" w:fill="auto"/>
            <w:vAlign w:val="center"/>
          </w:tcPr>
          <w:p w14:paraId="5004DB51">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p>
        </w:tc>
      </w:tr>
      <w:tr w14:paraId="6489B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nil"/>
              <w:left w:val="nil"/>
              <w:bottom w:val="nil"/>
              <w:right w:val="nil"/>
            </w:tcBorders>
            <w:shd w:val="clear" w:color="auto" w:fill="auto"/>
            <w:vAlign w:val="center"/>
          </w:tcPr>
          <w:p w14:paraId="703B2FED">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p>
        </w:tc>
      </w:tr>
      <w:tr w14:paraId="161A2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0" w:hRule="atLeast"/>
          <w:jc w:val="center"/>
        </w:trPr>
        <w:tc>
          <w:tcPr>
            <w:tcW w:w="5000" w:type="pct"/>
            <w:gridSpan w:val="11"/>
            <w:tcBorders>
              <w:top w:val="nil"/>
              <w:left w:val="nil"/>
              <w:bottom w:val="nil"/>
              <w:right w:val="nil"/>
            </w:tcBorders>
            <w:shd w:val="clear" w:color="auto" w:fill="auto"/>
            <w:vAlign w:val="center"/>
          </w:tcPr>
          <w:p w14:paraId="2EF044EB">
            <w:pPr>
              <w:keepNext w:val="0"/>
              <w:keepLines w:val="0"/>
              <w:widowControl/>
              <w:suppressLineNumbers w:val="0"/>
              <w:snapToGrid w:val="0"/>
              <w:jc w:val="left"/>
              <w:textAlignment w:val="center"/>
              <w:rPr>
                <w:rFonts w:ascii="宋体" w:hAnsi="宋体" w:eastAsia="宋体" w:cs="宋体"/>
                <w:i w:val="0"/>
                <w:iCs w:val="0"/>
                <w:color w:val="000000"/>
                <w:sz w:val="18"/>
                <w:szCs w:val="18"/>
                <w:u w:val="none"/>
              </w:rPr>
            </w:pPr>
          </w:p>
        </w:tc>
      </w:tr>
    </w:tbl>
    <w:p w14:paraId="3B6EC53B">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33B4C7A8">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391BE8CB">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09045248">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1DA035E0">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7EB05946">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42DF4F33">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3502E3CD">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7F610D74">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36A7B63C">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1E533BDF">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57636C71">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175F42D6">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385F1DF2">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0EEB8220">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r>
        <w:rPr>
          <w:rFonts w:hint="eastAsia" w:ascii="微软雅黑" w:hAnsi="微软雅黑" w:eastAsia="微软雅黑" w:cs="微软雅黑"/>
          <w:color w:val="auto"/>
          <w:kern w:val="2"/>
          <w:sz w:val="44"/>
          <w:szCs w:val="44"/>
          <w:highlight w:val="none"/>
          <w:lang w:val="en-US" w:eastAsia="zh-CN"/>
        </w:rPr>
        <w:t>专项预算项目绩效评价报告</w:t>
      </w:r>
    </w:p>
    <w:p w14:paraId="4CFC7F0B">
      <w:pPr>
        <w:pStyle w:val="42"/>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微软雅黑" w:hAnsi="微软雅黑" w:eastAsia="微软雅黑" w:cs="微软雅黑"/>
          <w:color w:val="auto"/>
          <w:kern w:val="2"/>
          <w:sz w:val="44"/>
          <w:szCs w:val="44"/>
          <w:highlight w:val="none"/>
          <w:lang w:val="en-US" w:eastAsia="zh-CN"/>
        </w:rPr>
      </w:pPr>
    </w:p>
    <w:p w14:paraId="733564BB">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sz w:val="44"/>
          <w:szCs w:val="44"/>
        </w:rPr>
      </w:pPr>
      <w:r>
        <w:rPr>
          <w:rFonts w:hint="eastAsia" w:ascii="方正小标宋简体" w:hAnsi="宋体" w:eastAsia="方正小标宋简体"/>
          <w:sz w:val="44"/>
          <w:szCs w:val="44"/>
          <w:lang w:val="en-US" w:eastAsia="zh-CN"/>
        </w:rPr>
        <w:t>下西现代产成融和园攻坚指挥部运行工作经费</w:t>
      </w:r>
      <w:r>
        <w:rPr>
          <w:rFonts w:hint="eastAsia" w:ascii="方正小标宋简体" w:hAnsi="宋体" w:eastAsia="方正小标宋简体"/>
          <w:sz w:val="44"/>
          <w:szCs w:val="44"/>
        </w:rPr>
        <w:t>项目支出绩效自评报告</w:t>
      </w:r>
    </w:p>
    <w:p w14:paraId="2761C278">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auto"/>
          <w:kern w:val="2"/>
          <w:sz w:val="32"/>
          <w:szCs w:val="32"/>
        </w:rPr>
      </w:pPr>
    </w:p>
    <w:p w14:paraId="58B27AFA">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现将我下西现代产成融和园攻坚指挥部运行工作经费项目支出绩效自评报告如下。</w:t>
      </w:r>
    </w:p>
    <w:p w14:paraId="26136C0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6C6567BF">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w:t>
      </w:r>
      <w:r>
        <w:rPr>
          <w:rFonts w:hint="eastAsia" w:ascii="仿宋_GB2312" w:hAnsi="Calibri" w:eastAsia="仿宋_GB2312" w:cs="仿宋_GB2312"/>
          <w:color w:val="auto"/>
          <w:kern w:val="2"/>
          <w:sz w:val="32"/>
          <w:szCs w:val="32"/>
          <w:lang w:val="en-US" w:eastAsia="zh-CN" w:bidi="ar-SA"/>
        </w:rPr>
        <w:t>下西坝办事处园区指挥部2021年在区党工委的安排下成立。主要任务聚力项目和产业攻坚，巩固和增强经济回升。根据上年经费支出情况，2024年下西坝园区指挥部工作经费申报预算共计40万元</w:t>
      </w:r>
      <w:r>
        <w:rPr>
          <w:rFonts w:hint="eastAsia" w:ascii="仿宋_GB2312" w:hAnsi="仿宋_GB2312" w:eastAsia="仿宋_GB2312" w:cs="仿宋_GB2312"/>
          <w:b w:val="0"/>
          <w:bCs w:val="0"/>
          <w:sz w:val="32"/>
          <w:szCs w:val="32"/>
          <w:lang w:val="en-US" w:eastAsia="zh-CN"/>
        </w:rPr>
        <w:t>。</w:t>
      </w:r>
    </w:p>
    <w:p w14:paraId="23E9821F">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（二）项目绩效目标。</w:t>
      </w:r>
    </w:p>
    <w:p w14:paraId="41A564B2">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eastAsia="仿宋_GB2312" w:cs="仿宋_GB2312"/>
          <w:sz w:val="32"/>
          <w:szCs w:val="32"/>
          <w:lang w:eastAsia="zh-CN"/>
        </w:rPr>
      </w:pPr>
      <w:r>
        <w:rPr>
          <w:rFonts w:hint="eastAsia" w:ascii="仿宋_GB2312" w:hAnsi="仿宋_GB2312" w:eastAsia="仿宋_GB2312" w:cs="仿宋_GB2312"/>
          <w:b w:val="0"/>
          <w:bCs w:val="0"/>
          <w:sz w:val="32"/>
          <w:szCs w:val="32"/>
          <w:lang w:val="en-US" w:eastAsia="zh-CN"/>
        </w:rPr>
        <w:t>1.</w:t>
      </w:r>
      <w:r>
        <w:rPr>
          <w:rFonts w:hint="eastAsia" w:ascii="仿宋_GB2312" w:hAnsi="仿宋_GB2312" w:eastAsia="仿宋_GB2312" w:cs="仿宋_GB2312"/>
          <w:sz w:val="32"/>
          <w:szCs w:val="32"/>
          <w:lang w:val="en-US" w:eastAsia="zh-CN"/>
        </w:rPr>
        <w:t>完成招商引资项目3个以上</w:t>
      </w:r>
      <w:r>
        <w:rPr>
          <w:rFonts w:hint="eastAsia" w:ascii="仿宋_GB2312" w:eastAsia="仿宋_GB2312" w:cs="仿宋_GB2312"/>
          <w:sz w:val="32"/>
          <w:szCs w:val="32"/>
          <w:lang w:eastAsia="zh-CN"/>
        </w:rPr>
        <w:t>。</w:t>
      </w:r>
    </w:p>
    <w:p w14:paraId="5E82FF9C">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2.</w:t>
      </w:r>
      <w:r>
        <w:rPr>
          <w:rFonts w:hint="eastAsia" w:ascii="仿宋_GB2312" w:hAnsi="仿宋_GB2312" w:eastAsia="仿宋_GB2312" w:cs="仿宋_GB2312"/>
          <w:sz w:val="32"/>
          <w:szCs w:val="32"/>
          <w:lang w:val="en-US" w:eastAsia="zh-CN"/>
        </w:rPr>
        <w:t>聚力企业培育增质效。紧盯年度进规入统目标，抓好在园企业运营和培育工作，协助企业拓市场、创品牌、增销量。努力推动园区部分企业和字节调动公司合作，利用平台优势占领市场。力争实现两家企业进规入统。</w:t>
      </w:r>
    </w:p>
    <w:p w14:paraId="6578B20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2024年我办申报项目经费共计40万元。经财政审核后上报预算。</w:t>
      </w:r>
    </w:p>
    <w:p w14:paraId="393A4B3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eastAsia="zh-CN"/>
        </w:rPr>
      </w:pPr>
      <w:r>
        <w:rPr>
          <w:rFonts w:hint="eastAsia" w:ascii="黑体" w:hAnsi="黑体" w:eastAsia="黑体" w:cs="黑体"/>
          <w:b w:val="0"/>
          <w:bCs w:val="0"/>
          <w:sz w:val="32"/>
          <w:szCs w:val="32"/>
        </w:rPr>
        <w:t>二、</w:t>
      </w:r>
      <w:r>
        <w:rPr>
          <w:rFonts w:hint="eastAsia" w:ascii="黑体" w:hAnsi="黑体" w:eastAsia="黑体" w:cs="黑体"/>
          <w:b w:val="0"/>
          <w:bCs w:val="0"/>
          <w:sz w:val="32"/>
          <w:szCs w:val="32"/>
          <w:lang w:eastAsia="zh-CN"/>
        </w:rPr>
        <w:t>评价实施</w:t>
      </w:r>
    </w:p>
    <w:p w14:paraId="146BF21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1C4CD39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b w:val="0"/>
          <w:bCs w:val="0"/>
          <w:sz w:val="32"/>
          <w:szCs w:val="32"/>
          <w:lang w:val="en-US" w:eastAsia="zh-CN"/>
        </w:rPr>
        <w:t>40万元。</w:t>
      </w:r>
    </w:p>
    <w:p w14:paraId="32E00D7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我办按年初目标主要支付宣传费、招商引资差旅费、园区指挥部日常运行办公费、电费、水费等。</w:t>
      </w:r>
    </w:p>
    <w:p w14:paraId="20687F7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32631AA2">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46BBDB4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（三）项目组织实施情况</w:t>
      </w:r>
    </w:p>
    <w:p w14:paraId="63A013F4">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eastAsia="仿宋_GB2312"/>
          <w:color w:val="auto"/>
          <w:sz w:val="32"/>
          <w:szCs w:val="32"/>
          <w:lang w:val="en-US" w:eastAsia="zh-CN"/>
        </w:rPr>
      </w:pPr>
      <w:r>
        <w:rPr>
          <w:rFonts w:hint="eastAsia" w:ascii="仿宋_GB2312" w:eastAsia="仿宋_GB2312"/>
          <w:sz w:val="32"/>
          <w:szCs w:val="32"/>
          <w:lang w:eastAsia="zh-CN"/>
        </w:rPr>
        <w:t>推</w:t>
      </w:r>
      <w:r>
        <w:rPr>
          <w:rFonts w:hint="eastAsia" w:ascii="仿宋_GB2312" w:eastAsia="仿宋_GB2312"/>
          <w:sz w:val="32"/>
          <w:szCs w:val="32"/>
        </w:rPr>
        <w:t>动希尔顿酒店等11个续建项目有力有序推进。</w:t>
      </w:r>
      <w:r>
        <w:rPr>
          <w:rFonts w:hint="eastAsia" w:ascii="仿宋" w:hAnsi="仿宋" w:eastAsia="仿宋" w:cs="仿宋"/>
          <w:sz w:val="32"/>
          <w:szCs w:val="32"/>
        </w:rPr>
        <w:t>国际商贸城宴会中心</w:t>
      </w:r>
      <w:r>
        <w:rPr>
          <w:rFonts w:hint="eastAsia" w:ascii="仿宋_GB2312" w:eastAsia="仿宋_GB2312"/>
          <w:sz w:val="32"/>
          <w:szCs w:val="32"/>
        </w:rPr>
        <w:t>等6个项目竣工投运。全方位、全过程做好新建项目促建服务，</w:t>
      </w:r>
      <w:r>
        <w:rPr>
          <w:rFonts w:hint="eastAsia" w:ascii="仿宋_GB2312" w:hAnsi="仿宋_GB2312" w:eastAsia="仿宋_GB2312" w:cs="仿宋_GB2312"/>
          <w:color w:val="222222"/>
          <w:sz w:val="32"/>
          <w:szCs w:val="32"/>
          <w:shd w:val="clear" w:color="auto" w:fill="FFFFFF"/>
        </w:rPr>
        <w:t>娃哈哈6亿支吸管</w:t>
      </w:r>
      <w:r>
        <w:rPr>
          <w:rFonts w:hint="eastAsia" w:ascii="仿宋_GB2312" w:eastAsia="仿宋_GB2312"/>
          <w:sz w:val="32"/>
          <w:szCs w:val="32"/>
        </w:rPr>
        <w:t>等4个项目顺利开工建设。</w:t>
      </w:r>
      <w:r>
        <w:rPr>
          <w:rFonts w:hint="eastAsia" w:ascii="仿宋_GB2312" w:hAnsi="仿宋_GB2312" w:eastAsia="仿宋_GB2312" w:cs="仿宋_GB2312"/>
          <w:sz w:val="32"/>
          <w:szCs w:val="32"/>
        </w:rPr>
        <w:t>签约落地铝制橱柜生产加工及销售项目</w:t>
      </w:r>
      <w:r>
        <w:rPr>
          <w:rFonts w:hint="eastAsia" w:ascii="仿宋_GB2312" w:hAnsi="仿宋_GB2312" w:eastAsia="仿宋_GB2312" w:cs="仿宋_GB2312"/>
          <w:sz w:val="32"/>
          <w:szCs w:val="32"/>
          <w:lang w:eastAsia="zh-CN"/>
        </w:rPr>
        <w:t>、云端假日酒店等项目</w:t>
      </w:r>
      <w:r>
        <w:rPr>
          <w:rFonts w:hint="eastAsia" w:ascii="仿宋_GB2312" w:hAnsi="仿宋_GB2312" w:eastAsia="仿宋_GB2312" w:cs="仿宋_GB2312"/>
          <w:sz w:val="32"/>
          <w:szCs w:val="32"/>
          <w:lang w:val="en-US" w:eastAsia="zh-CN"/>
        </w:rPr>
        <w:t>8个</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拟签约</w:t>
      </w:r>
      <w:r>
        <w:rPr>
          <w:rFonts w:hint="eastAsia" w:ascii="仿宋_GB2312" w:hAnsi="仿宋_GB2312" w:eastAsia="仿宋_GB2312" w:cs="仿宋_GB2312"/>
          <w:sz w:val="32"/>
          <w:szCs w:val="32"/>
          <w:lang w:val="en-US" w:eastAsia="zh-CN"/>
        </w:rPr>
        <w:t>300万台显示器</w:t>
      </w:r>
      <w:r>
        <w:rPr>
          <w:rFonts w:hint="eastAsia" w:ascii="仿宋_GB2312" w:hAnsi="仿宋_GB2312" w:eastAsia="仿宋_GB2312" w:cs="仿宋_GB2312"/>
          <w:sz w:val="32"/>
          <w:szCs w:val="32"/>
          <w:lang w:eastAsia="zh-CN"/>
        </w:rPr>
        <w:t>等项目</w:t>
      </w: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eastAsia="zh-CN"/>
        </w:rPr>
        <w:t>个</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即将签约</w:t>
      </w:r>
      <w:r>
        <w:rPr>
          <w:rFonts w:hint="eastAsia" w:ascii="仿宋_GB2312" w:hAnsi="仿宋_GB2312" w:eastAsia="仿宋_GB2312" w:cs="仿宋_GB2312"/>
          <w:sz w:val="32"/>
          <w:szCs w:val="32"/>
        </w:rPr>
        <w:t>栖凤湖文旅融合综合体项目，促成项目早日签约落地。</w:t>
      </w:r>
      <w:r>
        <w:rPr>
          <w:rFonts w:hint="eastAsia" w:ascii="仿宋_GB2312" w:eastAsia="仿宋_GB2312"/>
          <w:color w:val="auto"/>
          <w:sz w:val="32"/>
          <w:szCs w:val="32"/>
          <w:lang w:val="en-US" w:eastAsia="zh-CN"/>
        </w:rPr>
        <w:t>截止11月，</w:t>
      </w:r>
      <w:r>
        <w:rPr>
          <w:rFonts w:hint="eastAsia" w:ascii="仿宋_GB2312" w:hAnsi="Calibri" w:eastAsia="仿宋_GB2312" w:cs="Times New Roman"/>
          <w:color w:val="auto"/>
          <w:sz w:val="32"/>
          <w:szCs w:val="32"/>
        </w:rPr>
        <w:t>社会固定投资累计</w:t>
      </w:r>
      <w:r>
        <w:rPr>
          <w:rFonts w:hint="eastAsia" w:ascii="仿宋_GB2312" w:hAnsi="Calibri" w:eastAsia="仿宋_GB2312" w:cs="Times New Roman"/>
          <w:color w:val="auto"/>
          <w:sz w:val="32"/>
          <w:szCs w:val="32"/>
          <w:lang w:eastAsia="zh-CN"/>
        </w:rPr>
        <w:t>完成</w:t>
      </w:r>
      <w:r>
        <w:rPr>
          <w:rFonts w:hint="eastAsia" w:ascii="仿宋_GB2312" w:hAnsi="Calibri" w:eastAsia="仿宋_GB2312" w:cs="Times New Roman"/>
          <w:color w:val="auto"/>
          <w:sz w:val="32"/>
          <w:szCs w:val="32"/>
          <w:lang w:val="en-US" w:eastAsia="zh-CN"/>
        </w:rPr>
        <w:t>3.17</w:t>
      </w:r>
      <w:r>
        <w:rPr>
          <w:rFonts w:hint="eastAsia" w:ascii="仿宋_GB2312" w:hAnsi="Calibri" w:eastAsia="仿宋_GB2312" w:cs="Times New Roman"/>
          <w:color w:val="auto"/>
          <w:sz w:val="32"/>
          <w:szCs w:val="32"/>
        </w:rPr>
        <w:t>亿元，增长</w:t>
      </w:r>
      <w:r>
        <w:rPr>
          <w:rFonts w:hint="eastAsia" w:ascii="仿宋_GB2312" w:hAnsi="Calibri" w:eastAsia="仿宋_GB2312" w:cs="Times New Roman"/>
          <w:color w:val="auto"/>
          <w:sz w:val="32"/>
          <w:szCs w:val="32"/>
          <w:lang w:val="en-US" w:eastAsia="zh-CN"/>
        </w:rPr>
        <w:t>2.63</w:t>
      </w:r>
      <w:r>
        <w:rPr>
          <w:rFonts w:hint="eastAsia" w:ascii="仿宋_GB2312" w:hAnsi="Calibri" w:eastAsia="仿宋_GB2312" w:cs="Times New Roman"/>
          <w:color w:val="auto"/>
          <w:sz w:val="32"/>
          <w:szCs w:val="32"/>
        </w:rPr>
        <w:t>%。</w:t>
      </w:r>
      <w:r>
        <w:rPr>
          <w:rFonts w:hint="eastAsia" w:ascii="仿宋_GB2312" w:eastAsia="仿宋_GB2312"/>
          <w:color w:val="auto"/>
          <w:sz w:val="32"/>
          <w:szCs w:val="32"/>
          <w:lang w:val="en-US" w:eastAsia="zh-CN"/>
        </w:rPr>
        <w:t>园区“四上”企业达到64家，规上工业总产值突破60亿元。</w:t>
      </w:r>
    </w:p>
    <w:p w14:paraId="368BCD1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4023B247">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542D9DD4">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sz w:val="32"/>
          <w:szCs w:val="36"/>
          <w:lang w:val="en-US" w:eastAsia="zh-CN"/>
        </w:rPr>
      </w:pPr>
      <w:r>
        <w:rPr>
          <w:rFonts w:hint="eastAsia" w:ascii="仿宋" w:hAnsi="仿宋" w:eastAsia="仿宋" w:cs="仿宋"/>
          <w:sz w:val="32"/>
          <w:szCs w:val="32"/>
        </w:rPr>
        <w:t>国际商贸城宴会中心</w:t>
      </w:r>
      <w:r>
        <w:rPr>
          <w:rFonts w:hint="eastAsia" w:ascii="仿宋_GB2312" w:eastAsia="仿宋_GB2312"/>
          <w:sz w:val="32"/>
          <w:szCs w:val="32"/>
        </w:rPr>
        <w:t>等6个项目竣工投运。全方位、全过程做好新建项目促建服务，</w:t>
      </w:r>
      <w:r>
        <w:rPr>
          <w:rFonts w:hint="eastAsia" w:ascii="仿宋_GB2312" w:hAnsi="仿宋_GB2312" w:eastAsia="仿宋_GB2312" w:cs="仿宋_GB2312"/>
          <w:color w:val="222222"/>
          <w:sz w:val="32"/>
          <w:szCs w:val="32"/>
          <w:shd w:val="clear" w:color="auto" w:fill="FFFFFF"/>
        </w:rPr>
        <w:t>娃哈哈6亿支吸管</w:t>
      </w:r>
      <w:r>
        <w:rPr>
          <w:rFonts w:hint="eastAsia" w:ascii="仿宋_GB2312" w:eastAsia="仿宋_GB2312"/>
          <w:sz w:val="32"/>
          <w:szCs w:val="32"/>
        </w:rPr>
        <w:t>等4个项目顺利开工建设。</w:t>
      </w:r>
      <w:r>
        <w:rPr>
          <w:rFonts w:hint="eastAsia" w:ascii="仿宋_GB2312" w:hAnsi="仿宋_GB2312" w:eastAsia="仿宋_GB2312" w:cs="仿宋_GB2312"/>
          <w:sz w:val="32"/>
          <w:szCs w:val="32"/>
        </w:rPr>
        <w:t>签约落地铝制橱柜生产加工及销售项目</w:t>
      </w:r>
      <w:r>
        <w:rPr>
          <w:rFonts w:hint="eastAsia" w:ascii="仿宋_GB2312" w:hAnsi="仿宋_GB2312" w:eastAsia="仿宋_GB2312" w:cs="仿宋_GB2312"/>
          <w:sz w:val="32"/>
          <w:szCs w:val="32"/>
          <w:lang w:eastAsia="zh-CN"/>
        </w:rPr>
        <w:t>、云端假日酒店等项目</w:t>
      </w:r>
      <w:r>
        <w:rPr>
          <w:rFonts w:hint="eastAsia" w:ascii="仿宋_GB2312" w:hAnsi="仿宋_GB2312" w:eastAsia="仿宋_GB2312" w:cs="仿宋_GB2312"/>
          <w:sz w:val="32"/>
          <w:szCs w:val="32"/>
          <w:lang w:val="en-US" w:eastAsia="zh-CN"/>
        </w:rPr>
        <w:t>8个</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拟签约</w:t>
      </w:r>
      <w:r>
        <w:rPr>
          <w:rFonts w:hint="eastAsia" w:ascii="仿宋_GB2312" w:hAnsi="仿宋_GB2312" w:eastAsia="仿宋_GB2312" w:cs="仿宋_GB2312"/>
          <w:sz w:val="32"/>
          <w:szCs w:val="32"/>
          <w:lang w:val="en-US" w:eastAsia="zh-CN"/>
        </w:rPr>
        <w:t>300万台显示器</w:t>
      </w:r>
      <w:r>
        <w:rPr>
          <w:rFonts w:hint="eastAsia" w:ascii="仿宋_GB2312" w:hAnsi="仿宋_GB2312" w:eastAsia="仿宋_GB2312" w:cs="仿宋_GB2312"/>
          <w:sz w:val="32"/>
          <w:szCs w:val="32"/>
          <w:lang w:eastAsia="zh-CN"/>
        </w:rPr>
        <w:t>等项目</w:t>
      </w: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eastAsia="zh-CN"/>
        </w:rPr>
        <w:t>个</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即将签约</w:t>
      </w:r>
      <w:r>
        <w:rPr>
          <w:rFonts w:hint="eastAsia" w:ascii="仿宋_GB2312" w:hAnsi="仿宋_GB2312" w:eastAsia="仿宋_GB2312" w:cs="仿宋_GB2312"/>
          <w:sz w:val="32"/>
          <w:szCs w:val="32"/>
        </w:rPr>
        <w:t>栖凤湖文旅融合综合体项目，促成项目早日签约落地。</w:t>
      </w:r>
      <w:r>
        <w:rPr>
          <w:rFonts w:hint="eastAsia" w:ascii="仿宋_GB2312" w:eastAsia="仿宋_GB2312"/>
          <w:color w:val="auto"/>
          <w:sz w:val="32"/>
          <w:szCs w:val="32"/>
          <w:lang w:val="en-US" w:eastAsia="zh-CN"/>
        </w:rPr>
        <w:t>截止11月，</w:t>
      </w:r>
      <w:r>
        <w:rPr>
          <w:rFonts w:hint="eastAsia" w:ascii="仿宋_GB2312" w:hAnsi="Calibri" w:eastAsia="仿宋_GB2312" w:cs="Times New Roman"/>
          <w:color w:val="auto"/>
          <w:sz w:val="32"/>
          <w:szCs w:val="32"/>
        </w:rPr>
        <w:t>社会固定投资累计</w:t>
      </w:r>
      <w:r>
        <w:rPr>
          <w:rFonts w:hint="eastAsia" w:ascii="仿宋_GB2312" w:hAnsi="Calibri" w:eastAsia="仿宋_GB2312" w:cs="Times New Roman"/>
          <w:color w:val="auto"/>
          <w:sz w:val="32"/>
          <w:szCs w:val="32"/>
          <w:lang w:eastAsia="zh-CN"/>
        </w:rPr>
        <w:t>完成</w:t>
      </w:r>
      <w:r>
        <w:rPr>
          <w:rFonts w:hint="eastAsia" w:ascii="仿宋_GB2312" w:hAnsi="Calibri" w:eastAsia="仿宋_GB2312" w:cs="Times New Roman"/>
          <w:color w:val="auto"/>
          <w:sz w:val="32"/>
          <w:szCs w:val="32"/>
          <w:lang w:val="en-US" w:eastAsia="zh-CN"/>
        </w:rPr>
        <w:t>3.17</w:t>
      </w:r>
      <w:r>
        <w:rPr>
          <w:rFonts w:hint="eastAsia" w:ascii="仿宋_GB2312" w:hAnsi="Calibri" w:eastAsia="仿宋_GB2312" w:cs="Times New Roman"/>
          <w:color w:val="auto"/>
          <w:sz w:val="32"/>
          <w:szCs w:val="32"/>
        </w:rPr>
        <w:t>亿元，增长</w:t>
      </w:r>
      <w:r>
        <w:rPr>
          <w:rFonts w:hint="eastAsia" w:ascii="仿宋_GB2312" w:hAnsi="Calibri" w:eastAsia="仿宋_GB2312" w:cs="Times New Roman"/>
          <w:color w:val="auto"/>
          <w:sz w:val="32"/>
          <w:szCs w:val="32"/>
          <w:lang w:val="en-US" w:eastAsia="zh-CN"/>
        </w:rPr>
        <w:t>2.63</w:t>
      </w:r>
      <w:r>
        <w:rPr>
          <w:rFonts w:hint="eastAsia" w:ascii="仿宋_GB2312" w:hAnsi="Calibri" w:eastAsia="仿宋_GB2312" w:cs="Times New Roman"/>
          <w:color w:val="auto"/>
          <w:sz w:val="32"/>
          <w:szCs w:val="32"/>
        </w:rPr>
        <w:t>%。</w:t>
      </w:r>
      <w:r>
        <w:rPr>
          <w:rFonts w:hint="eastAsia" w:ascii="仿宋_GB2312" w:eastAsia="仿宋_GB2312"/>
          <w:color w:val="auto"/>
          <w:sz w:val="32"/>
          <w:szCs w:val="32"/>
          <w:lang w:val="en-US" w:eastAsia="zh-CN"/>
        </w:rPr>
        <w:t>园区“四上”企业达到64家，规上工业总产值突破60亿元。</w:t>
      </w:r>
    </w:p>
    <w:p w14:paraId="7A19FFE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57B3B047">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b w:val="0"/>
          <w:bCs w:val="0"/>
          <w:sz w:val="32"/>
          <w:szCs w:val="32"/>
          <w:lang w:val="zh-CN"/>
        </w:rPr>
      </w:pPr>
      <w:r>
        <w:rPr>
          <w:rFonts w:hint="eastAsia" w:ascii="楷体_GB2312" w:hAnsi="楷体_GB2312" w:eastAsia="楷体_GB2312" w:cs="楷体_GB2312"/>
          <w:b w:val="0"/>
          <w:bCs w:val="0"/>
          <w:sz w:val="32"/>
          <w:szCs w:val="32"/>
          <w:lang w:val="zh-CN"/>
        </w:rPr>
        <w:t>（一）存在的问题。</w:t>
      </w:r>
      <w:r>
        <w:rPr>
          <w:rFonts w:hint="eastAsia" w:ascii="仿宋_GB2312" w:hAnsi="仿宋_GB2312" w:eastAsia="仿宋_GB2312" w:cs="仿宋_GB2312"/>
          <w:b w:val="0"/>
          <w:bCs w:val="0"/>
          <w:sz w:val="32"/>
          <w:szCs w:val="32"/>
          <w:lang w:val="zh-CN"/>
        </w:rPr>
        <w:t>招商引资难度大。由于下西片区概念性规划还未出台，整体产业布局和城市开发缺乏纲领性指引，加之下西划为主城区，以招引总部经济、商贸服务业、城市建设为主，现经济下行，很多企业轻资产投资，招商项目优惠政策不明显，签约落地较难。</w:t>
      </w:r>
    </w:p>
    <w:p w14:paraId="2D5EDA0F">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6"/>
          <w:lang w:val="en-US" w:eastAsia="zh-CN"/>
        </w:rPr>
      </w:pPr>
      <w:r>
        <w:rPr>
          <w:rFonts w:hint="eastAsia" w:ascii="楷体_GB2312" w:hAnsi="楷体_GB2312" w:eastAsia="楷体_GB2312" w:cs="楷体_GB2312"/>
          <w:b w:val="0"/>
          <w:bCs w:val="0"/>
          <w:sz w:val="32"/>
          <w:szCs w:val="32"/>
          <w:lang w:val="zh-CN"/>
        </w:rPr>
        <w:t xml:space="preserve"> （二）相关建议。</w:t>
      </w:r>
      <w:r>
        <w:rPr>
          <w:rFonts w:hint="eastAsia" w:ascii="仿宋_GB2312" w:hAnsi="仿宋_GB2312" w:eastAsia="仿宋_GB2312" w:cs="仿宋_GB2312"/>
          <w:sz w:val="32"/>
          <w:szCs w:val="36"/>
          <w:lang w:val="en-US" w:eastAsia="zh-CN"/>
        </w:rPr>
        <w:t>扎实开展好各项稳企纾困行动，切实解决好企业在产业配套、市场拓展、用能保障、产权办证等方面的难点痛点，让企业家坚定信心施展抱负，轻装上阵做大做强。</w:t>
      </w:r>
    </w:p>
    <w:p w14:paraId="08D995E0">
      <w:pPr>
        <w:pStyle w:val="13"/>
        <w:ind w:firstLine="560" w:firstLineChars="200"/>
        <w:rPr>
          <w:rFonts w:hint="eastAsia" w:eastAsia="楷体_GB2312"/>
          <w:lang w:val="en-US" w:eastAsia="zh-CN"/>
        </w:rPr>
      </w:pPr>
    </w:p>
    <w:p w14:paraId="45212A52">
      <w:pPr>
        <w:pStyle w:val="8"/>
        <w:rPr>
          <w:rFonts w:hint="eastAsia"/>
          <w:lang w:val="en-US" w:eastAsia="zh-CN"/>
        </w:rPr>
      </w:pPr>
    </w:p>
    <w:p w14:paraId="7BD63789"/>
    <w:p w14:paraId="506195AA"/>
    <w:p w14:paraId="1AD98CB6"/>
    <w:p w14:paraId="24A055EA"/>
    <w:p w14:paraId="5B32409F"/>
    <w:p w14:paraId="75FB2A93"/>
    <w:p w14:paraId="4D70D3A3"/>
    <w:p w14:paraId="230EB5D1"/>
    <w:p w14:paraId="7CE55798">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sz w:val="44"/>
          <w:szCs w:val="44"/>
        </w:rPr>
      </w:pPr>
      <w:r>
        <w:rPr>
          <w:rFonts w:hint="eastAsia" w:ascii="方正小标宋简体" w:hAnsi="宋体" w:eastAsia="方正小标宋简体"/>
          <w:sz w:val="44"/>
          <w:szCs w:val="44"/>
          <w:lang w:val="en-US"/>
        </w:rPr>
        <w:t>202</w:t>
      </w:r>
      <w:r>
        <w:rPr>
          <w:rFonts w:hint="eastAsia" w:ascii="方正小标宋简体" w:hAnsi="宋体" w:eastAsia="方正小标宋简体"/>
          <w:sz w:val="44"/>
          <w:szCs w:val="44"/>
          <w:lang w:val="en-US" w:eastAsia="zh-CN"/>
        </w:rPr>
        <w:t>4</w:t>
      </w:r>
      <w:r>
        <w:rPr>
          <w:rFonts w:hint="eastAsia" w:ascii="方正小标宋简体" w:hAnsi="宋体" w:eastAsia="方正小标宋简体"/>
          <w:sz w:val="44"/>
          <w:szCs w:val="44"/>
          <w:lang w:val="en-US"/>
        </w:rPr>
        <w:t>年</w:t>
      </w:r>
      <w:r>
        <w:rPr>
          <w:rFonts w:hint="eastAsia" w:ascii="方正小标宋简体" w:hAnsi="宋体" w:eastAsia="方正小标宋简体"/>
          <w:sz w:val="44"/>
          <w:szCs w:val="44"/>
          <w:lang w:val="en-US" w:eastAsia="zh-CN"/>
        </w:rPr>
        <w:t>下西伙食</w:t>
      </w:r>
      <w:r>
        <w:rPr>
          <w:rFonts w:hint="eastAsia" w:ascii="方正小标宋简体" w:hAnsi="宋体" w:eastAsia="方正小标宋简体"/>
          <w:sz w:val="44"/>
          <w:szCs w:val="44"/>
          <w:lang w:val="en-US"/>
        </w:rPr>
        <w:t>补助经费</w:t>
      </w:r>
      <w:r>
        <w:rPr>
          <w:rFonts w:hint="eastAsia" w:ascii="方正小标宋简体" w:hAnsi="宋体" w:eastAsia="方正小标宋简体"/>
          <w:sz w:val="44"/>
          <w:szCs w:val="44"/>
        </w:rPr>
        <w:t>项目支出绩效自评报告</w:t>
      </w:r>
    </w:p>
    <w:p w14:paraId="2EA60188">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auto"/>
          <w:kern w:val="2"/>
          <w:sz w:val="32"/>
          <w:szCs w:val="32"/>
        </w:rPr>
      </w:pPr>
    </w:p>
    <w:p w14:paraId="25234337">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现将我办2023</w:t>
      </w:r>
      <w:r>
        <w:rPr>
          <w:rFonts w:hint="eastAsia" w:ascii="仿宋_GB2312" w:hAnsi="仿宋_GB2312" w:eastAsia="仿宋_GB2312" w:cs="仿宋_GB2312"/>
          <w:color w:val="000000"/>
          <w:sz w:val="32"/>
          <w:szCs w:val="32"/>
          <w:highlight w:val="none"/>
        </w:rPr>
        <w:t>年</w:t>
      </w:r>
      <w:r>
        <w:rPr>
          <w:rFonts w:hint="eastAsia" w:ascii="仿宋_GB2312" w:hAnsi="仿宋_GB2312" w:eastAsia="仿宋_GB2312" w:cs="仿宋_GB2312"/>
          <w:color w:val="000000"/>
          <w:sz w:val="32"/>
          <w:szCs w:val="32"/>
          <w:highlight w:val="none"/>
          <w:lang w:val="en-US" w:eastAsia="zh-CN"/>
        </w:rPr>
        <w:t>下西伙食补助经费项目支出绩效自评报告如下。</w:t>
      </w:r>
    </w:p>
    <w:p w14:paraId="28D51C9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2627DC3D">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w:t>
      </w:r>
      <w:r>
        <w:rPr>
          <w:rFonts w:hint="eastAsia" w:ascii="仿宋_GB2312" w:hAnsi="仿宋_GB2312" w:eastAsia="仿宋_GB2312" w:cs="仿宋_GB2312"/>
          <w:b w:val="0"/>
          <w:bCs w:val="0"/>
          <w:sz w:val="32"/>
          <w:szCs w:val="32"/>
          <w:lang w:val="en-US" w:eastAsia="zh-CN"/>
        </w:rPr>
        <w:t>下西坝办事处设独立伙食团一个，保障下西园区指挥部工作人员、办事处职工及共计40余人工作日中午用餐。下西办事处按人均300元，申请预算补助12.6万元，</w:t>
      </w:r>
      <w:r>
        <w:rPr>
          <w:rFonts w:hint="eastAsia" w:ascii="仿宋_GB2312" w:hAnsi="仿宋_GB2312" w:eastAsia="仿宋_GB2312" w:cs="仿宋_GB2312"/>
          <w:color w:val="000000"/>
          <w:sz w:val="32"/>
          <w:szCs w:val="32"/>
          <w:highlight w:val="none"/>
          <w:lang w:val="en-US" w:eastAsia="zh-CN"/>
        </w:rPr>
        <w:t>批复预算12.6万元。</w:t>
      </w:r>
    </w:p>
    <w:p w14:paraId="11CAF93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（二）项目绩效目标。</w:t>
      </w:r>
      <w:r>
        <w:rPr>
          <w:rFonts w:hint="eastAsia" w:ascii="仿宋_GB2312" w:hAnsi="仿宋_GB2312" w:eastAsia="仿宋_GB2312" w:cs="仿宋_GB2312"/>
          <w:b w:val="0"/>
          <w:bCs w:val="0"/>
          <w:sz w:val="32"/>
          <w:szCs w:val="32"/>
          <w:lang w:val="en-US" w:eastAsia="zh-CN"/>
        </w:rPr>
        <w:t>保障下西坝办事处机关工作正常运行，后勤保障提供有力保证，为干部职工节约时间。</w:t>
      </w:r>
    </w:p>
    <w:p w14:paraId="48C186E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2024年我办申报项目经费12.6万元。经财政审核后上报预算。</w:t>
      </w:r>
    </w:p>
    <w:p w14:paraId="7224DA6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二、项目实施及管理情况</w:t>
      </w:r>
    </w:p>
    <w:p w14:paraId="000D4947">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603B631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color w:val="000000"/>
          <w:sz w:val="32"/>
          <w:szCs w:val="32"/>
          <w:highlight w:val="none"/>
          <w:lang w:val="en-US" w:eastAsia="zh-CN"/>
        </w:rPr>
        <w:t>批复预算下达我办资金12.6万元。</w:t>
      </w:r>
    </w:p>
    <w:p w14:paraId="364C704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我办按年初目标支付职工伙食团购食材、工作人员劳务费、水费及燃气费。</w:t>
      </w:r>
    </w:p>
    <w:p w14:paraId="1213C1A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3D5F3E86">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24F6D57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（三）项目组织实施情况</w:t>
      </w:r>
    </w:p>
    <w:p w14:paraId="4A4F024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项目由财政所负责，每日由专人负责清点食堂管理及采购工作，专人进行食材验收等工作。</w:t>
      </w:r>
    </w:p>
    <w:p w14:paraId="1571F8A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1454F10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4DBB2454">
      <w:pPr>
        <w:keepNext w:val="0"/>
        <w:keepLines w:val="0"/>
        <w:pageBreakBefore w:val="0"/>
        <w:widowControl w:val="0"/>
        <w:kinsoku/>
        <w:wordWrap/>
        <w:overflowPunct/>
        <w:topLinePunct w:val="0"/>
        <w:autoSpaceDE/>
        <w:autoSpaceDN/>
        <w:bidi w:val="0"/>
        <w:adjustRightInd w:val="0"/>
        <w:snapToGrid w:val="0"/>
        <w:spacing w:line="570" w:lineRule="exact"/>
        <w:ind w:firstLine="960" w:firstLineChars="3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项目按要求和年初目标完成。</w:t>
      </w:r>
    </w:p>
    <w:p w14:paraId="20CD138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（二）项目效益情况</w:t>
      </w:r>
    </w:p>
    <w:p w14:paraId="43817F2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color w:val="000000"/>
          <w:sz w:val="32"/>
          <w:szCs w:val="32"/>
          <w:highlight w:val="none"/>
          <w:lang w:val="en-US" w:eastAsia="zh-CN"/>
        </w:rPr>
        <w:t>通过对职工后勤保障，为职工提供较好工作环境，提高职工工作积极性，同时为职工每日节约时间2小时。职工满意度较好。</w:t>
      </w:r>
    </w:p>
    <w:p w14:paraId="0EA5429C">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1B99E83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zh-CN"/>
        </w:rPr>
        <w:t>（一）存在的问题。</w:t>
      </w:r>
      <w:r>
        <w:rPr>
          <w:rFonts w:hint="eastAsia" w:ascii="楷体_GB2312" w:hAnsi="楷体_GB2312" w:eastAsia="楷体_GB2312" w:cs="楷体_GB2312"/>
          <w:b w:val="0"/>
          <w:bCs w:val="0"/>
          <w:sz w:val="32"/>
          <w:szCs w:val="32"/>
          <w:lang w:val="en-US" w:eastAsia="zh-CN"/>
        </w:rPr>
        <w:t>无</w:t>
      </w:r>
    </w:p>
    <w:p w14:paraId="154CF357">
      <w:pPr>
        <w:pStyle w:val="13"/>
        <w:ind w:firstLine="640" w:firstLineChars="200"/>
        <w:jc w:val="both"/>
        <w:rPr>
          <w:rFonts w:hint="eastAsia" w:eastAsia="楷体_GB2312"/>
          <w:lang w:val="en-US" w:eastAsia="zh-CN"/>
        </w:rPr>
      </w:pPr>
      <w:r>
        <w:rPr>
          <w:rFonts w:hint="eastAsia" w:ascii="楷体_GB2312" w:hAnsi="楷体_GB2312" w:eastAsia="楷体_GB2312" w:cs="楷体_GB2312"/>
          <w:b w:val="0"/>
          <w:bCs w:val="0"/>
          <w:sz w:val="32"/>
          <w:szCs w:val="32"/>
          <w:lang w:val="zh-CN"/>
        </w:rPr>
        <w:t>（二）相关建议。</w:t>
      </w:r>
      <w:r>
        <w:rPr>
          <w:rFonts w:hint="eastAsia" w:ascii="仿宋_GB2312" w:hAnsi="仿宋_GB2312" w:eastAsia="仿宋_GB2312" w:cs="仿宋_GB2312"/>
          <w:b w:val="0"/>
          <w:bCs w:val="0"/>
          <w:sz w:val="32"/>
          <w:szCs w:val="32"/>
          <w:lang w:val="en-US" w:eastAsia="zh-CN"/>
        </w:rPr>
        <w:t>无</w:t>
      </w:r>
    </w:p>
    <w:p w14:paraId="16253A58">
      <w:pPr>
        <w:pStyle w:val="8"/>
        <w:rPr>
          <w:rFonts w:hint="eastAsia"/>
          <w:lang w:val="en-US" w:eastAsia="zh-CN"/>
        </w:rPr>
      </w:pPr>
    </w:p>
    <w:p w14:paraId="4AAEB709"/>
    <w:p w14:paraId="5BA8E5D4">
      <w:pPr>
        <w:pStyle w:val="7"/>
      </w:pPr>
    </w:p>
    <w:p w14:paraId="6B888380">
      <w:pPr>
        <w:pStyle w:val="8"/>
      </w:pPr>
    </w:p>
    <w:p w14:paraId="4AA537D2">
      <w:pPr>
        <w:pStyle w:val="8"/>
      </w:pPr>
    </w:p>
    <w:p w14:paraId="68187678">
      <w:pPr>
        <w:pStyle w:val="8"/>
      </w:pPr>
    </w:p>
    <w:p w14:paraId="4A599497">
      <w:pPr>
        <w:pStyle w:val="8"/>
      </w:pPr>
    </w:p>
    <w:p w14:paraId="3AD4FFAD">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宋体" w:eastAsia="方正小标宋简体"/>
          <w:sz w:val="44"/>
          <w:szCs w:val="44"/>
          <w:lang w:val="en-US"/>
        </w:rPr>
      </w:pPr>
    </w:p>
    <w:p w14:paraId="4CAAF5F5">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宋体" w:eastAsia="方正小标宋简体"/>
          <w:sz w:val="44"/>
          <w:szCs w:val="44"/>
          <w:lang w:val="en-US"/>
        </w:rPr>
      </w:pPr>
    </w:p>
    <w:p w14:paraId="04592615">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宋体" w:eastAsia="方正小标宋简体"/>
          <w:sz w:val="44"/>
          <w:szCs w:val="44"/>
          <w:lang w:val="en-US"/>
        </w:rPr>
      </w:pPr>
    </w:p>
    <w:p w14:paraId="7E446FE2">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宋体" w:eastAsia="方正小标宋简体"/>
          <w:sz w:val="44"/>
          <w:szCs w:val="44"/>
          <w:lang w:val="en-US"/>
        </w:rPr>
      </w:pPr>
    </w:p>
    <w:p w14:paraId="5188FEF4">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宋体" w:eastAsia="方正小标宋简体"/>
          <w:sz w:val="44"/>
          <w:szCs w:val="44"/>
          <w:lang w:val="en-US"/>
        </w:rPr>
      </w:pPr>
    </w:p>
    <w:p w14:paraId="4AEB1D5B">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sz w:val="44"/>
          <w:szCs w:val="44"/>
        </w:rPr>
      </w:pPr>
      <w:r>
        <w:rPr>
          <w:rFonts w:hint="eastAsia" w:ascii="方正小标宋简体" w:hAnsi="宋体" w:eastAsia="方正小标宋简体"/>
          <w:sz w:val="44"/>
          <w:szCs w:val="44"/>
          <w:lang w:val="en-US"/>
        </w:rPr>
        <w:t>202</w:t>
      </w:r>
      <w:r>
        <w:rPr>
          <w:rFonts w:hint="eastAsia" w:ascii="方正小标宋简体" w:hAnsi="宋体" w:eastAsia="方正小标宋简体"/>
          <w:sz w:val="44"/>
          <w:szCs w:val="44"/>
          <w:lang w:val="en-US" w:eastAsia="zh-CN"/>
        </w:rPr>
        <w:t>4</w:t>
      </w:r>
      <w:r>
        <w:rPr>
          <w:rFonts w:hint="eastAsia" w:ascii="方正小标宋简体" w:hAnsi="宋体" w:eastAsia="方正小标宋简体"/>
          <w:sz w:val="44"/>
          <w:szCs w:val="44"/>
          <w:lang w:val="en-US"/>
        </w:rPr>
        <w:t>年</w:t>
      </w:r>
      <w:r>
        <w:rPr>
          <w:rFonts w:hint="eastAsia" w:ascii="方正小标宋简体" w:hAnsi="宋体" w:eastAsia="方正小标宋简体"/>
          <w:sz w:val="44"/>
          <w:szCs w:val="44"/>
          <w:lang w:val="en-US" w:eastAsia="zh-CN"/>
        </w:rPr>
        <w:t>下西</w:t>
      </w:r>
      <w:r>
        <w:rPr>
          <w:rFonts w:hint="eastAsia" w:ascii="方正小标宋简体" w:hAnsi="宋体" w:eastAsia="方正小标宋简体"/>
          <w:sz w:val="44"/>
          <w:szCs w:val="44"/>
          <w:lang w:val="en-US"/>
        </w:rPr>
        <w:t>城乡环境治理</w:t>
      </w:r>
      <w:r>
        <w:rPr>
          <w:rFonts w:hint="eastAsia" w:ascii="方正小标宋简体" w:hAnsi="宋体" w:eastAsia="方正小标宋简体"/>
          <w:sz w:val="44"/>
          <w:szCs w:val="44"/>
          <w:lang w:val="en-US" w:eastAsia="zh-CN"/>
        </w:rPr>
        <w:t>经费</w:t>
      </w:r>
      <w:r>
        <w:rPr>
          <w:rFonts w:hint="eastAsia" w:ascii="方正小标宋简体" w:hAnsi="宋体" w:eastAsia="方正小标宋简体"/>
          <w:sz w:val="44"/>
          <w:szCs w:val="44"/>
        </w:rPr>
        <w:t>项目支出绩效自评报告</w:t>
      </w:r>
    </w:p>
    <w:p w14:paraId="3D85D26A">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auto"/>
          <w:kern w:val="2"/>
          <w:sz w:val="32"/>
          <w:szCs w:val="32"/>
        </w:rPr>
      </w:pPr>
    </w:p>
    <w:p w14:paraId="67E5AE4B">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现将我办2024</w:t>
      </w:r>
      <w:r>
        <w:rPr>
          <w:rFonts w:hint="eastAsia" w:ascii="仿宋_GB2312" w:hAnsi="仿宋_GB2312" w:eastAsia="仿宋_GB2312" w:cs="仿宋_GB2312"/>
          <w:color w:val="000000"/>
          <w:sz w:val="32"/>
          <w:szCs w:val="32"/>
          <w:highlight w:val="none"/>
          <w:lang w:eastAsia="zh-CN"/>
        </w:rPr>
        <w:t>年</w:t>
      </w:r>
      <w:r>
        <w:rPr>
          <w:rFonts w:hint="eastAsia" w:ascii="仿宋_GB2312" w:hAnsi="仿宋_GB2312" w:eastAsia="仿宋_GB2312" w:cs="仿宋_GB2312"/>
          <w:color w:val="000000"/>
          <w:sz w:val="32"/>
          <w:szCs w:val="32"/>
          <w:highlight w:val="none"/>
          <w:lang w:val="en-US" w:eastAsia="zh-CN"/>
        </w:rPr>
        <w:t>下西城乡环境治理经费项目支出绩效自评报告如下。</w:t>
      </w:r>
    </w:p>
    <w:p w14:paraId="2E7DB5E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46CF84EB">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w:t>
      </w:r>
      <w:r>
        <w:rPr>
          <w:rFonts w:hint="eastAsia" w:ascii="仿宋_GB2312" w:hAnsi="Calibri" w:eastAsia="仿宋_GB2312" w:cs="仿宋_GB2312"/>
          <w:color w:val="auto"/>
          <w:kern w:val="2"/>
          <w:sz w:val="32"/>
          <w:szCs w:val="32"/>
          <w:lang w:val="en-US" w:eastAsia="zh-CN" w:bidi="ar-SA"/>
        </w:rPr>
        <w:t>下西坝办事处职能简介负责辖区内企业服务、安全生产、信访维稳、房屋征收与补偿、计划生育、民政、劳动就业、社会保障、环境卫生等工作。根据上年经费支出情况，2024年下西坝城乡环境综合治理8万元</w:t>
      </w:r>
      <w:r>
        <w:rPr>
          <w:rFonts w:hint="eastAsia" w:ascii="仿宋_GB2312" w:hAnsi="仿宋_GB2312" w:eastAsia="仿宋_GB2312" w:cs="仿宋_GB2312"/>
          <w:b w:val="0"/>
          <w:bCs w:val="0"/>
          <w:sz w:val="32"/>
          <w:szCs w:val="32"/>
          <w:lang w:val="en-US" w:eastAsia="zh-CN"/>
        </w:rPr>
        <w:t>，批复共计预算,8万元。</w:t>
      </w:r>
    </w:p>
    <w:p w14:paraId="5C0CB006">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（二）项目绩效目标。</w:t>
      </w:r>
    </w:p>
    <w:p w14:paraId="7524F00C">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eastAsia="仿宋_GB2312" w:cs="仿宋_GB2312"/>
          <w:sz w:val="32"/>
          <w:szCs w:val="32"/>
          <w:lang w:eastAsia="zh-CN"/>
        </w:rPr>
      </w:pPr>
      <w:r>
        <w:rPr>
          <w:rFonts w:hint="eastAsia" w:ascii="仿宋_GB2312" w:hAnsi="仿宋_GB2312" w:eastAsia="仿宋_GB2312" w:cs="仿宋_GB2312"/>
          <w:b w:val="0"/>
          <w:bCs w:val="0"/>
          <w:sz w:val="32"/>
          <w:szCs w:val="32"/>
          <w:lang w:val="en-US" w:eastAsia="zh-CN"/>
        </w:rPr>
        <w:t>1.</w:t>
      </w:r>
      <w:r>
        <w:rPr>
          <w:rFonts w:ascii="仿宋_GB2312" w:eastAsia="仿宋_GB2312" w:cs="仿宋_GB2312"/>
          <w:sz w:val="32"/>
          <w:szCs w:val="32"/>
        </w:rPr>
        <w:t>扎实开展生态环境保护</w:t>
      </w:r>
      <w:r>
        <w:rPr>
          <w:rFonts w:hint="eastAsia" w:ascii="仿宋_GB2312" w:eastAsia="仿宋_GB2312" w:cs="仿宋_GB2312"/>
          <w:sz w:val="32"/>
          <w:szCs w:val="32"/>
          <w:lang w:eastAsia="zh-CN"/>
        </w:rPr>
        <w:t>，</w:t>
      </w:r>
      <w:r>
        <w:rPr>
          <w:rFonts w:hint="eastAsia" w:ascii="仿宋_GB2312" w:eastAsia="仿宋_GB2312" w:cs="仿宋_GB2312"/>
          <w:sz w:val="32"/>
          <w:szCs w:val="32"/>
          <w:lang w:val="en-US" w:eastAsia="zh-CN"/>
        </w:rPr>
        <w:t>开展宣传不少于4次</w:t>
      </w:r>
      <w:r>
        <w:rPr>
          <w:rFonts w:hint="eastAsia" w:ascii="仿宋_GB2312" w:eastAsia="仿宋_GB2312" w:cs="仿宋_GB2312"/>
          <w:sz w:val="32"/>
          <w:szCs w:val="32"/>
          <w:lang w:eastAsia="zh-CN"/>
        </w:rPr>
        <w:t>。</w:t>
      </w:r>
    </w:p>
    <w:p w14:paraId="396EE294">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2.</w:t>
      </w:r>
      <w:r>
        <w:rPr>
          <w:rFonts w:hint="eastAsia" w:ascii="仿宋_GB2312" w:eastAsia="仿宋_GB2312" w:cs="仿宋_GB2312"/>
          <w:sz w:val="32"/>
          <w:szCs w:val="32"/>
          <w:lang w:val="en-US" w:eastAsia="zh-CN"/>
        </w:rPr>
        <w:t>开展全办环境卫生检查整治10次以上，对辖区灭虫害消杀不少于4次。</w:t>
      </w:r>
    </w:p>
    <w:p w14:paraId="0E8AB859">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3.</w:t>
      </w:r>
      <w:r>
        <w:rPr>
          <w:rFonts w:ascii="仿宋_GB2312" w:eastAsia="仿宋_GB2312" w:cs="仿宋_GB2312"/>
          <w:sz w:val="32"/>
          <w:szCs w:val="32"/>
        </w:rPr>
        <w:t>持续</w:t>
      </w:r>
      <w:r>
        <w:rPr>
          <w:rFonts w:hint="eastAsia" w:ascii="仿宋_GB2312" w:eastAsia="仿宋_GB2312" w:cs="仿宋_GB2312"/>
          <w:sz w:val="32"/>
          <w:szCs w:val="32"/>
          <w:lang w:val="en-US" w:eastAsia="zh-CN"/>
        </w:rPr>
        <w:t>做好</w:t>
      </w:r>
      <w:r>
        <w:rPr>
          <w:rFonts w:ascii="仿宋_GB2312" w:eastAsia="仿宋_GB2312" w:cs="仿宋_GB2312"/>
          <w:sz w:val="32"/>
          <w:szCs w:val="32"/>
        </w:rPr>
        <w:t>第三轮生态环境问题</w:t>
      </w:r>
      <w:r>
        <w:rPr>
          <w:rFonts w:hint="eastAsia" w:ascii="仿宋_GB2312" w:eastAsia="仿宋_GB2312" w:cs="仿宋_GB2312"/>
          <w:sz w:val="32"/>
          <w:szCs w:val="32"/>
          <w:lang w:eastAsia="zh-CN"/>
        </w:rPr>
        <w:t>“</w:t>
      </w:r>
      <w:r>
        <w:rPr>
          <w:rFonts w:ascii="仿宋_GB2312" w:eastAsia="仿宋_GB2312" w:cs="仿宋_GB2312"/>
          <w:sz w:val="32"/>
          <w:szCs w:val="32"/>
        </w:rPr>
        <w:t>大排查大整治</w:t>
      </w:r>
      <w:r>
        <w:rPr>
          <w:rFonts w:hint="eastAsia" w:ascii="仿宋_GB2312" w:eastAsia="仿宋_GB2312" w:cs="仿宋_GB2312"/>
          <w:sz w:val="32"/>
          <w:szCs w:val="32"/>
          <w:lang w:eastAsia="zh-CN"/>
        </w:rPr>
        <w:t>”</w:t>
      </w:r>
      <w:r>
        <w:rPr>
          <w:rFonts w:ascii="仿宋_GB2312" w:eastAsia="仿宋_GB2312" w:cs="仿宋_GB2312"/>
          <w:sz w:val="32"/>
          <w:szCs w:val="32"/>
        </w:rPr>
        <w:t>，全力做好中央和省级第三轮环保督察工作。</w:t>
      </w:r>
    </w:p>
    <w:p w14:paraId="4D6376A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2024年我办申报项目经费共计10万元。经财政审核后批复预算。</w:t>
      </w:r>
    </w:p>
    <w:p w14:paraId="43BD55A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二、项目实施及管理情况</w:t>
      </w:r>
    </w:p>
    <w:p w14:paraId="22C42F6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50058BC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color w:val="000000"/>
          <w:sz w:val="32"/>
          <w:szCs w:val="32"/>
          <w:highlight w:val="none"/>
          <w:lang w:val="en-US" w:eastAsia="zh-CN"/>
        </w:rPr>
        <w:t>下达我办资金8万元。</w:t>
      </w:r>
    </w:p>
    <w:p w14:paraId="27EC73F6">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我办按年初目标主要支付宣传费、灭四害药品费用和差旅费。</w:t>
      </w:r>
    </w:p>
    <w:p w14:paraId="3DBC73C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79270142">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6866505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（三）项目组织实施情况</w:t>
      </w:r>
    </w:p>
    <w:p w14:paraId="0047DED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项目由社会民生服务中心负责，全年发放宣传传单10000余份，制作绿色出行年画5000余份，购买环卫工具2批次，专人负责灭四害</w:t>
      </w:r>
      <w:r>
        <w:rPr>
          <w:rFonts w:hint="eastAsia" w:ascii="仿宋_GB2312" w:eastAsia="仿宋_GB2312" w:cs="仿宋_GB2312"/>
          <w:sz w:val="32"/>
          <w:szCs w:val="32"/>
          <w:lang w:val="en-US" w:eastAsia="zh-CN"/>
        </w:rPr>
        <w:t>4次</w:t>
      </w:r>
      <w:r>
        <w:rPr>
          <w:rFonts w:hint="eastAsia" w:ascii="仿宋_GB2312" w:hAnsi="仿宋_GB2312" w:eastAsia="仿宋_GB2312" w:cs="仿宋_GB2312"/>
          <w:b w:val="0"/>
          <w:bCs w:val="0"/>
          <w:sz w:val="32"/>
          <w:szCs w:val="32"/>
          <w:lang w:val="en-US" w:eastAsia="zh-CN"/>
        </w:rPr>
        <w:t>，</w:t>
      </w:r>
      <w:r>
        <w:rPr>
          <w:rFonts w:hint="eastAsia" w:ascii="仿宋_GB2312" w:eastAsia="仿宋_GB2312" w:cs="仿宋_GB2312"/>
          <w:sz w:val="32"/>
          <w:szCs w:val="32"/>
          <w:lang w:val="en-US" w:eastAsia="zh-CN"/>
        </w:rPr>
        <w:t>环境卫生检查整治20余次</w:t>
      </w:r>
      <w:r>
        <w:rPr>
          <w:rFonts w:hint="eastAsia" w:ascii="仿宋_GB2312" w:hAnsi="仿宋_GB2312" w:eastAsia="仿宋_GB2312" w:cs="仿宋_GB2312"/>
          <w:b w:val="0"/>
          <w:bCs w:val="0"/>
          <w:sz w:val="32"/>
          <w:szCs w:val="32"/>
          <w:lang w:val="en-US" w:eastAsia="zh-CN"/>
        </w:rPr>
        <w:t>。</w:t>
      </w:r>
    </w:p>
    <w:p w14:paraId="527B465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5BF98327">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430AF57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color w:val="000000"/>
          <w:sz w:val="32"/>
          <w:szCs w:val="32"/>
          <w:highlight w:val="none"/>
          <w:lang w:eastAsia="zh-CN"/>
        </w:rPr>
        <w:t>完成了宣传资料的制作</w:t>
      </w:r>
      <w:r>
        <w:rPr>
          <w:rFonts w:hint="eastAsia" w:ascii="仿宋_GB2312" w:hAnsi="仿宋_GB2312" w:eastAsia="仿宋_GB2312" w:cs="仿宋_GB2312"/>
          <w:color w:val="000000"/>
          <w:sz w:val="32"/>
          <w:szCs w:val="32"/>
          <w:highlight w:val="none"/>
          <w:lang w:val="en-US" w:eastAsia="zh-CN"/>
        </w:rPr>
        <w:t>，</w:t>
      </w:r>
      <w:r>
        <w:rPr>
          <w:rFonts w:hint="eastAsia" w:ascii="仿宋_GB2312" w:hAnsi="仿宋_GB2312" w:eastAsia="仿宋_GB2312" w:cs="仿宋_GB2312"/>
          <w:b w:val="0"/>
          <w:bCs w:val="0"/>
          <w:sz w:val="32"/>
          <w:szCs w:val="32"/>
          <w:lang w:val="en-US" w:eastAsia="zh-CN"/>
        </w:rPr>
        <w:t>全年发放环境保护、绿色出行宣传传单15000余份，全年开展环境整治10余次。</w:t>
      </w:r>
    </w:p>
    <w:p w14:paraId="664D4FD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（二）项目效益情况</w:t>
      </w:r>
    </w:p>
    <w:p w14:paraId="4A377B5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color w:val="000000"/>
          <w:sz w:val="32"/>
          <w:szCs w:val="32"/>
          <w:highlight w:val="none"/>
          <w:lang w:val="en-US" w:eastAsia="zh-CN"/>
        </w:rPr>
        <w:t>通过宣传，提升辖区90%居民环境保护意识，通过党员义工等活动，群众参与环境卫生整治，改善辖区居住环境。群众满意度良好。</w:t>
      </w:r>
    </w:p>
    <w:p w14:paraId="46F50E6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0C163BE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zh-CN"/>
        </w:rPr>
        <w:t>（一）存在的问题。</w:t>
      </w:r>
      <w:r>
        <w:rPr>
          <w:rFonts w:hint="eastAsia" w:ascii="仿宋_GB2312" w:hAnsi="仿宋_GB2312" w:eastAsia="仿宋_GB2312" w:cs="仿宋_GB2312"/>
          <w:b w:val="0"/>
          <w:bCs w:val="0"/>
          <w:sz w:val="32"/>
          <w:szCs w:val="32"/>
          <w:lang w:val="en-US" w:eastAsia="zh-CN"/>
        </w:rPr>
        <w:t>整体环境垃圾处理还需改善。</w:t>
      </w:r>
    </w:p>
    <w:p w14:paraId="4799016C">
      <w:pPr>
        <w:pStyle w:val="13"/>
        <w:ind w:firstLine="640" w:firstLineChars="200"/>
        <w:jc w:val="both"/>
        <w:rPr>
          <w:rFonts w:hint="eastAsia" w:eastAsia="楷体_GB2312"/>
          <w:lang w:val="en-US" w:eastAsia="zh-CN"/>
        </w:rPr>
      </w:pPr>
      <w:r>
        <w:rPr>
          <w:rFonts w:hint="eastAsia" w:ascii="楷体_GB2312" w:hAnsi="楷体_GB2312" w:eastAsia="楷体_GB2312" w:cs="楷体_GB2312"/>
          <w:b w:val="0"/>
          <w:bCs w:val="0"/>
          <w:sz w:val="32"/>
          <w:szCs w:val="32"/>
          <w:lang w:val="zh-CN"/>
        </w:rPr>
        <w:t>（二）相关建议。</w:t>
      </w:r>
      <w:r>
        <w:rPr>
          <w:rFonts w:hint="eastAsia" w:ascii="仿宋_GB2312" w:hAnsi="仿宋_GB2312" w:eastAsia="仿宋_GB2312" w:cs="仿宋_GB2312"/>
          <w:b w:val="0"/>
          <w:bCs w:val="0"/>
          <w:sz w:val="32"/>
          <w:szCs w:val="32"/>
          <w:lang w:val="en-US" w:eastAsia="zh-CN"/>
        </w:rPr>
        <w:t>无</w:t>
      </w:r>
    </w:p>
    <w:p w14:paraId="5161A48E">
      <w:pPr>
        <w:pStyle w:val="8"/>
      </w:pPr>
    </w:p>
    <w:p w14:paraId="1F7FF611">
      <w:pPr>
        <w:pStyle w:val="8"/>
      </w:pPr>
    </w:p>
    <w:p w14:paraId="0B6A5AD5">
      <w:pPr>
        <w:pStyle w:val="8"/>
      </w:pPr>
    </w:p>
    <w:p w14:paraId="341B4206">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sz w:val="44"/>
          <w:szCs w:val="44"/>
        </w:rPr>
      </w:pPr>
      <w:r>
        <w:rPr>
          <w:rFonts w:hint="eastAsia" w:ascii="方正小标宋简体" w:hAnsi="宋体" w:eastAsia="方正小标宋简体"/>
          <w:sz w:val="44"/>
          <w:szCs w:val="44"/>
          <w:lang w:val="en-US"/>
        </w:rPr>
        <w:t>下西森林防火工作经费</w:t>
      </w:r>
      <w:r>
        <w:rPr>
          <w:rFonts w:hint="eastAsia" w:ascii="方正小标宋简体" w:hAnsi="宋体" w:eastAsia="方正小标宋简体"/>
          <w:sz w:val="44"/>
          <w:szCs w:val="44"/>
          <w:lang w:val="en-US" w:eastAsia="zh-CN"/>
        </w:rPr>
        <w:t>、防汛</w:t>
      </w:r>
      <w:r>
        <w:rPr>
          <w:rFonts w:hint="eastAsia" w:ascii="方正小标宋简体" w:hAnsi="宋体" w:eastAsia="方正小标宋简体"/>
          <w:sz w:val="44"/>
          <w:szCs w:val="44"/>
          <w:lang w:val="en-US"/>
        </w:rPr>
        <w:t>工作经费</w:t>
      </w:r>
      <w:r>
        <w:rPr>
          <w:rFonts w:hint="eastAsia" w:ascii="方正小标宋简体" w:hAnsi="宋体" w:eastAsia="方正小标宋简体"/>
          <w:sz w:val="44"/>
          <w:szCs w:val="44"/>
          <w:lang w:val="en-US" w:eastAsia="zh-CN"/>
        </w:rPr>
        <w:t>、下西安全管理、应急管理经费</w:t>
      </w:r>
      <w:r>
        <w:rPr>
          <w:rFonts w:hint="eastAsia" w:ascii="方正小标宋简体" w:hAnsi="宋体" w:eastAsia="方正小标宋简体"/>
          <w:sz w:val="44"/>
          <w:szCs w:val="44"/>
        </w:rPr>
        <w:t>项目支出</w:t>
      </w:r>
      <w:r>
        <w:rPr>
          <w:rFonts w:hint="eastAsia" w:ascii="方正小标宋简体" w:hAnsi="宋体" w:eastAsia="方正小标宋简体"/>
          <w:sz w:val="44"/>
          <w:szCs w:val="44"/>
          <w:lang w:eastAsia="zh-CN"/>
        </w:rPr>
        <w:t>绩效</w:t>
      </w:r>
      <w:r>
        <w:rPr>
          <w:rFonts w:hint="eastAsia" w:ascii="方正小标宋简体" w:hAnsi="宋体" w:eastAsia="方正小标宋简体"/>
          <w:sz w:val="44"/>
          <w:szCs w:val="44"/>
        </w:rPr>
        <w:t>自评报告</w:t>
      </w:r>
    </w:p>
    <w:p w14:paraId="02FEEAC9">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auto"/>
          <w:kern w:val="2"/>
          <w:sz w:val="32"/>
          <w:szCs w:val="32"/>
        </w:rPr>
      </w:pPr>
    </w:p>
    <w:p w14:paraId="361985F2">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现将我办2024</w:t>
      </w:r>
      <w:r>
        <w:rPr>
          <w:rFonts w:hint="eastAsia" w:ascii="仿宋_GB2312" w:hAnsi="仿宋_GB2312" w:eastAsia="仿宋_GB2312" w:cs="仿宋_GB2312"/>
          <w:color w:val="000000"/>
          <w:sz w:val="32"/>
          <w:szCs w:val="32"/>
          <w:highlight w:val="none"/>
          <w:lang w:eastAsia="zh-CN"/>
        </w:rPr>
        <w:t>年</w:t>
      </w:r>
      <w:r>
        <w:rPr>
          <w:rFonts w:hint="eastAsia" w:ascii="仿宋_GB2312" w:hAnsi="仿宋_GB2312" w:eastAsia="仿宋_GB2312" w:cs="仿宋_GB2312"/>
          <w:color w:val="000000"/>
          <w:sz w:val="32"/>
          <w:szCs w:val="32"/>
          <w:highlight w:val="none"/>
          <w:lang w:val="en-US" w:eastAsia="zh-CN"/>
        </w:rPr>
        <w:t>下西森林防火工作经费、下西安全监管经费项目支出绩效自评报告如下。</w:t>
      </w:r>
    </w:p>
    <w:p w14:paraId="43D9DEF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56311330">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w:t>
      </w:r>
      <w:r>
        <w:rPr>
          <w:rFonts w:hint="eastAsia" w:ascii="仿宋_GB2312" w:hAnsi="仿宋_GB2312" w:eastAsia="仿宋_GB2312" w:cs="仿宋_GB2312"/>
          <w:b w:val="0"/>
          <w:bCs w:val="0"/>
          <w:sz w:val="32"/>
          <w:szCs w:val="32"/>
          <w:lang w:val="en-US" w:eastAsia="zh-CN"/>
        </w:rPr>
        <w:t>下西办事处职责为：辖区内经济社区发展、安全生产、森林防火、防汛、信访维稳、房屋征收与补偿、计划生育、民政、劳动就业、社会保障、环境卫生等工作。2024年我办根据上年经费使用申报预算防火经费2万元、防汛经费1万元、安全监管经费4万元，批复预算7万元。</w:t>
      </w:r>
    </w:p>
    <w:p w14:paraId="3211C94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（二）项目绩效目标。</w:t>
      </w:r>
      <w:r>
        <w:rPr>
          <w:rFonts w:hint="eastAsia" w:ascii="仿宋_GB2312" w:hAnsi="仿宋_GB2312" w:eastAsia="仿宋_GB2312" w:cs="仿宋_GB2312"/>
          <w:b w:val="0"/>
          <w:bCs w:val="0"/>
          <w:sz w:val="32"/>
          <w:szCs w:val="32"/>
          <w:lang w:val="en-US" w:eastAsia="zh-CN"/>
        </w:rPr>
        <w:t>全年完成森林防火、防汛检查150天、安全生产工作检查、隐患排查约200余次。</w:t>
      </w:r>
    </w:p>
    <w:p w14:paraId="522206D8">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2024年我办申报项目经费7万元。经财政审核后上报预算。</w:t>
      </w:r>
    </w:p>
    <w:p w14:paraId="016EF81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二、项目实施及管理情况</w:t>
      </w:r>
    </w:p>
    <w:p w14:paraId="5315EEA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12A5708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color w:val="000000"/>
          <w:sz w:val="32"/>
          <w:szCs w:val="32"/>
          <w:highlight w:val="none"/>
          <w:lang w:val="en-US" w:eastAsia="zh-CN"/>
        </w:rPr>
        <w:t>下达我办资金7万元。</w:t>
      </w:r>
    </w:p>
    <w:p w14:paraId="2A35A56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我办按年初目标主要支付办公费，森林防火、防汛宣传费、安全宣传费、隐患排查费、差旅费。</w:t>
      </w:r>
    </w:p>
    <w:p w14:paraId="02CD54F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618F6B97">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7BF7410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（三）项目组织实施情况</w:t>
      </w:r>
    </w:p>
    <w:p w14:paraId="395044FC">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项目由安全办公室负责，全年发放安全宣传传单20000余份、展板制作2块，人员劳务费等30余次。</w:t>
      </w:r>
    </w:p>
    <w:p w14:paraId="5C60C8F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0062B5D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6620D2C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color w:val="000000"/>
          <w:sz w:val="32"/>
          <w:szCs w:val="32"/>
          <w:highlight w:val="none"/>
          <w:lang w:eastAsia="zh-CN"/>
        </w:rPr>
        <w:t>完成了宣传资料的制作、安装、发放，安装交通</w:t>
      </w:r>
      <w:r>
        <w:rPr>
          <w:rFonts w:hint="eastAsia" w:ascii="仿宋_GB2312" w:hAnsi="仿宋_GB2312" w:eastAsia="仿宋_GB2312" w:cs="仿宋_GB2312"/>
          <w:b w:val="0"/>
          <w:bCs w:val="0"/>
          <w:sz w:val="32"/>
          <w:szCs w:val="32"/>
          <w:lang w:val="en-US" w:eastAsia="zh-CN"/>
        </w:rPr>
        <w:t>凹凸镜2个</w:t>
      </w:r>
      <w:r>
        <w:rPr>
          <w:rFonts w:hint="eastAsia" w:ascii="仿宋_GB2312" w:hAnsi="仿宋_GB2312" w:eastAsia="仿宋_GB2312" w:cs="仿宋_GB2312"/>
          <w:color w:val="000000"/>
          <w:sz w:val="32"/>
          <w:szCs w:val="32"/>
          <w:highlight w:val="none"/>
          <w:lang w:val="en-US" w:eastAsia="zh-CN"/>
        </w:rPr>
        <w:t>；</w:t>
      </w:r>
      <w:r>
        <w:rPr>
          <w:rFonts w:hint="eastAsia" w:ascii="仿宋_GB2312" w:hAnsi="仿宋_GB2312" w:eastAsia="仿宋_GB2312" w:cs="仿宋_GB2312"/>
          <w:color w:val="000000"/>
          <w:sz w:val="32"/>
          <w:szCs w:val="32"/>
          <w:highlight w:val="none"/>
        </w:rPr>
        <w:t>在道路交通、消防及森林防火、</w:t>
      </w:r>
      <w:r>
        <w:rPr>
          <w:rFonts w:hint="eastAsia" w:ascii="仿宋_GB2312" w:hAnsi="仿宋_GB2312" w:eastAsia="仿宋_GB2312" w:cs="仿宋_GB2312"/>
          <w:color w:val="000000"/>
          <w:sz w:val="32"/>
          <w:szCs w:val="32"/>
          <w:highlight w:val="none"/>
          <w:lang w:val="en-US" w:eastAsia="zh-CN"/>
        </w:rPr>
        <w:t>防汛、</w:t>
      </w:r>
      <w:r>
        <w:rPr>
          <w:rFonts w:hint="eastAsia" w:ascii="仿宋_GB2312" w:hAnsi="仿宋_GB2312" w:eastAsia="仿宋_GB2312" w:cs="仿宋_GB2312"/>
          <w:color w:val="000000"/>
          <w:sz w:val="32"/>
          <w:szCs w:val="32"/>
          <w:highlight w:val="none"/>
        </w:rPr>
        <w:t>企业生产、社会治安等领域策划20余个安全促进项目，协调区级相关部门、交通管理部门、教育部门、企事业单位共同参与辖区</w:t>
      </w:r>
      <w:r>
        <w:rPr>
          <w:rFonts w:hint="eastAsia" w:ascii="仿宋_GB2312" w:hAnsi="仿宋_GB2312" w:eastAsia="仿宋_GB2312" w:cs="仿宋_GB2312"/>
          <w:color w:val="000000"/>
          <w:sz w:val="32"/>
          <w:szCs w:val="32"/>
          <w:highlight w:val="none"/>
          <w:lang w:val="en-US" w:eastAsia="zh-CN"/>
        </w:rPr>
        <w:t>安全工作，</w:t>
      </w:r>
      <w:r>
        <w:rPr>
          <w:rFonts w:hint="eastAsia" w:ascii="仿宋_GB2312" w:hAnsi="仿宋_GB2312" w:eastAsia="仿宋_GB2312" w:cs="仿宋_GB2312"/>
          <w:color w:val="000000"/>
          <w:sz w:val="32"/>
          <w:szCs w:val="32"/>
          <w:highlight w:val="none"/>
        </w:rPr>
        <w:t>开展了安全专题宣传</w:t>
      </w:r>
      <w:r>
        <w:rPr>
          <w:rFonts w:hint="eastAsia" w:ascii="仿宋_GB2312" w:hAnsi="仿宋_GB2312" w:eastAsia="仿宋_GB2312" w:cs="仿宋_GB2312"/>
          <w:color w:val="000000"/>
          <w:sz w:val="32"/>
          <w:szCs w:val="32"/>
          <w:highlight w:val="none"/>
          <w:lang w:val="en-US" w:eastAsia="zh-CN"/>
        </w:rPr>
        <w:t>10</w:t>
      </w:r>
      <w:r>
        <w:rPr>
          <w:rFonts w:hint="eastAsia" w:ascii="仿宋_GB2312" w:hAnsi="仿宋_GB2312" w:eastAsia="仿宋_GB2312" w:cs="仿宋_GB2312"/>
          <w:color w:val="000000"/>
          <w:sz w:val="32"/>
          <w:szCs w:val="32"/>
          <w:highlight w:val="none"/>
        </w:rPr>
        <w:t>场次，消除各类隐患</w:t>
      </w:r>
      <w:r>
        <w:rPr>
          <w:rFonts w:hint="eastAsia" w:ascii="仿宋_GB2312" w:hAnsi="仿宋_GB2312" w:eastAsia="仿宋_GB2312" w:cs="仿宋_GB2312"/>
          <w:color w:val="000000"/>
          <w:sz w:val="32"/>
          <w:szCs w:val="32"/>
          <w:highlight w:val="none"/>
          <w:lang w:eastAsia="zh-CN"/>
        </w:rPr>
        <w:t>。</w:t>
      </w:r>
    </w:p>
    <w:p w14:paraId="55382D3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（二）项目效益情况</w:t>
      </w:r>
    </w:p>
    <w:p w14:paraId="279B957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color w:val="000000"/>
          <w:sz w:val="32"/>
          <w:szCs w:val="32"/>
          <w:highlight w:val="none"/>
        </w:rPr>
      </w:pPr>
      <w:r>
        <w:rPr>
          <w:rFonts w:hint="eastAsia" w:ascii="仿宋_GB2312" w:hAnsi="仿宋_GB2312" w:eastAsia="仿宋_GB2312" w:cs="仿宋_GB2312"/>
          <w:color w:val="000000"/>
          <w:sz w:val="32"/>
          <w:szCs w:val="32"/>
          <w:highlight w:val="none"/>
          <w:lang w:val="en-US" w:eastAsia="zh-CN"/>
        </w:rPr>
        <w:t>全年各种安全检查500余人次。</w:t>
      </w:r>
      <w:r>
        <w:rPr>
          <w:rFonts w:hint="eastAsia" w:ascii="仿宋_GB2312" w:hAnsi="仿宋_GB2312" w:eastAsia="仿宋_GB2312" w:cs="仿宋_GB2312"/>
          <w:color w:val="000000"/>
          <w:sz w:val="32"/>
          <w:szCs w:val="32"/>
          <w:highlight w:val="none"/>
          <w:lang w:eastAsia="zh-CN"/>
        </w:rPr>
        <w:t>下西坝</w:t>
      </w:r>
      <w:r>
        <w:rPr>
          <w:rFonts w:hint="eastAsia" w:ascii="仿宋_GB2312" w:hAnsi="仿宋_GB2312" w:eastAsia="仿宋_GB2312" w:cs="仿宋_GB2312"/>
          <w:color w:val="000000"/>
          <w:sz w:val="32"/>
          <w:szCs w:val="32"/>
          <w:highlight w:val="none"/>
        </w:rPr>
        <w:t>街道辖区安全生产环境不断改善，各类事故指数不断下降，交通安全事故下降</w:t>
      </w:r>
      <w:r>
        <w:rPr>
          <w:rFonts w:hint="eastAsia" w:ascii="仿宋_GB2312" w:hAnsi="仿宋_GB2312" w:eastAsia="仿宋_GB2312" w:cs="仿宋_GB2312"/>
          <w:color w:val="000000"/>
          <w:sz w:val="32"/>
          <w:szCs w:val="32"/>
          <w:highlight w:val="none"/>
          <w:lang w:eastAsia="zh-CN"/>
        </w:rPr>
        <w:t>、</w:t>
      </w:r>
      <w:r>
        <w:rPr>
          <w:rFonts w:hint="eastAsia" w:ascii="仿宋_GB2312" w:hAnsi="仿宋_GB2312" w:eastAsia="仿宋_GB2312" w:cs="仿宋_GB2312"/>
          <w:color w:val="000000"/>
          <w:sz w:val="32"/>
          <w:szCs w:val="32"/>
          <w:highlight w:val="none"/>
        </w:rPr>
        <w:t>消防事故下降、社会治安案件下降、生产安全事故下降，努力营造了</w:t>
      </w:r>
      <w:r>
        <w:rPr>
          <w:rFonts w:hint="eastAsia" w:ascii="仿宋_GB2312" w:hAnsi="仿宋_GB2312" w:eastAsia="仿宋_GB2312" w:cs="仿宋_GB2312"/>
          <w:color w:val="000000"/>
          <w:sz w:val="32"/>
          <w:szCs w:val="32"/>
          <w:highlight w:val="none"/>
          <w:lang w:eastAsia="zh-CN"/>
        </w:rPr>
        <w:t>下西</w:t>
      </w:r>
      <w:r>
        <w:rPr>
          <w:rFonts w:hint="eastAsia" w:ascii="仿宋_GB2312" w:hAnsi="仿宋_GB2312" w:eastAsia="仿宋_GB2312" w:cs="仿宋_GB2312"/>
          <w:color w:val="000000"/>
          <w:sz w:val="32"/>
          <w:szCs w:val="32"/>
          <w:highlight w:val="none"/>
        </w:rPr>
        <w:t>辖区安居乐业的良好安全环境。</w:t>
      </w:r>
    </w:p>
    <w:p w14:paraId="2308924F">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76BAE164">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zh-CN"/>
        </w:rPr>
        <w:t>（一）存在的问题。</w:t>
      </w:r>
      <w:r>
        <w:rPr>
          <w:rFonts w:hint="eastAsia" w:ascii="楷体_GB2312" w:hAnsi="楷体_GB2312" w:eastAsia="楷体_GB2312" w:cs="楷体_GB2312"/>
          <w:b w:val="0"/>
          <w:bCs w:val="0"/>
          <w:sz w:val="32"/>
          <w:szCs w:val="32"/>
          <w:lang w:val="en-US" w:eastAsia="zh-CN"/>
        </w:rPr>
        <w:t>无。</w:t>
      </w:r>
    </w:p>
    <w:p w14:paraId="37359A17">
      <w:pPr>
        <w:pStyle w:val="13"/>
        <w:ind w:firstLine="640" w:firstLineChars="200"/>
        <w:jc w:val="both"/>
        <w:rPr>
          <w:rFonts w:hint="eastAsia"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（二）相关建议。</w:t>
      </w:r>
      <w:r>
        <w:rPr>
          <w:rFonts w:hint="eastAsia" w:ascii="仿宋_GB2312" w:hAnsi="仿宋_GB2312" w:eastAsia="仿宋_GB2312" w:cs="仿宋_GB2312"/>
          <w:b w:val="0"/>
          <w:bCs w:val="0"/>
          <w:sz w:val="32"/>
          <w:szCs w:val="32"/>
          <w:lang w:val="en-US" w:eastAsia="zh-CN"/>
        </w:rPr>
        <w:t>无。</w:t>
      </w:r>
    </w:p>
    <w:p w14:paraId="43DA120D">
      <w:pPr>
        <w:rPr>
          <w:rFonts w:hint="eastAsia" w:ascii="仿宋_GB2312" w:hAnsi="仿宋_GB2312" w:eastAsia="仿宋_GB2312" w:cs="仿宋_GB2312"/>
          <w:b w:val="0"/>
          <w:bCs w:val="0"/>
          <w:sz w:val="32"/>
          <w:szCs w:val="32"/>
          <w:lang w:val="en-US" w:eastAsia="zh-CN"/>
        </w:rPr>
      </w:pPr>
    </w:p>
    <w:p w14:paraId="1D95B5D1">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sz w:val="44"/>
          <w:szCs w:val="44"/>
        </w:rPr>
      </w:pPr>
      <w:r>
        <w:rPr>
          <w:rFonts w:hint="eastAsia" w:ascii="方正小标宋简体" w:hAnsi="宋体" w:eastAsia="方正小标宋简体"/>
          <w:sz w:val="44"/>
          <w:szCs w:val="44"/>
          <w:lang w:val="en-US"/>
        </w:rPr>
        <w:t>下西</w:t>
      </w:r>
      <w:r>
        <w:rPr>
          <w:rFonts w:hint="eastAsia" w:ascii="方正小标宋简体" w:hAnsi="宋体" w:eastAsia="方正小标宋简体"/>
          <w:sz w:val="44"/>
          <w:szCs w:val="44"/>
          <w:lang w:val="en-US" w:eastAsia="zh-CN"/>
        </w:rPr>
        <w:t>文明城市创建工作经费</w:t>
      </w:r>
      <w:r>
        <w:rPr>
          <w:rFonts w:hint="eastAsia" w:ascii="方正小标宋简体" w:hAnsi="宋体" w:eastAsia="方正小标宋简体"/>
          <w:sz w:val="44"/>
          <w:szCs w:val="44"/>
        </w:rPr>
        <w:t>项目支出绩效自评报告</w:t>
      </w:r>
    </w:p>
    <w:p w14:paraId="4DAAA5D9">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auto"/>
          <w:kern w:val="2"/>
          <w:sz w:val="32"/>
          <w:szCs w:val="32"/>
        </w:rPr>
      </w:pPr>
    </w:p>
    <w:p w14:paraId="1696CD36">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现将我办2024</w:t>
      </w:r>
      <w:r>
        <w:rPr>
          <w:rFonts w:hint="eastAsia" w:ascii="仿宋_GB2312" w:hAnsi="仿宋_GB2312" w:eastAsia="仿宋_GB2312" w:cs="仿宋_GB2312"/>
          <w:color w:val="000000"/>
          <w:sz w:val="32"/>
          <w:szCs w:val="32"/>
          <w:highlight w:val="none"/>
          <w:lang w:eastAsia="zh-CN"/>
        </w:rPr>
        <w:t>年</w:t>
      </w:r>
      <w:r>
        <w:rPr>
          <w:rFonts w:hint="eastAsia" w:ascii="仿宋_GB2312" w:hAnsi="仿宋_GB2312" w:eastAsia="仿宋_GB2312" w:cs="仿宋_GB2312"/>
          <w:color w:val="000000"/>
          <w:sz w:val="32"/>
          <w:szCs w:val="32"/>
          <w:highlight w:val="none"/>
          <w:lang w:val="en-US" w:eastAsia="zh-CN"/>
        </w:rPr>
        <w:t>文明城市创建经费项目支出绩效自评报告如下。</w:t>
      </w:r>
    </w:p>
    <w:p w14:paraId="78A5BF8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18C16008">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w:t>
      </w:r>
      <w:r>
        <w:rPr>
          <w:rFonts w:hint="eastAsia" w:ascii="仿宋_GB2312" w:hAnsi="仿宋_GB2312" w:eastAsia="仿宋_GB2312" w:cs="仿宋_GB2312"/>
          <w:b w:val="0"/>
          <w:bCs w:val="0"/>
          <w:sz w:val="32"/>
          <w:szCs w:val="32"/>
          <w:lang w:val="zh-CN"/>
        </w:rPr>
        <w:t>用于开展各类文明城市创建工作，</w:t>
      </w:r>
      <w:r>
        <w:rPr>
          <w:rFonts w:hint="eastAsia" w:ascii="仿宋_GB2312" w:hAnsi="仿宋_GB2312" w:eastAsia="仿宋_GB2312" w:cs="仿宋_GB2312"/>
          <w:b w:val="0"/>
          <w:bCs w:val="0"/>
          <w:sz w:val="32"/>
          <w:szCs w:val="32"/>
          <w:lang w:val="en-US" w:eastAsia="zh-CN"/>
        </w:rPr>
        <w:t>批复预算4万元。</w:t>
      </w:r>
    </w:p>
    <w:p w14:paraId="3104CAD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eastAsia="仿宋_GB2312" w:cs="仿宋_GB2312"/>
          <w:sz w:val="32"/>
          <w:szCs w:val="32"/>
          <w:lang w:eastAsia="zh-CN"/>
        </w:rPr>
      </w:pPr>
      <w:r>
        <w:rPr>
          <w:rFonts w:hint="eastAsia" w:ascii="楷体_GB2312" w:hAnsi="楷体_GB2312" w:eastAsia="楷体_GB2312" w:cs="楷体_GB2312"/>
          <w:b w:val="0"/>
          <w:bCs w:val="0"/>
          <w:sz w:val="32"/>
          <w:szCs w:val="32"/>
          <w:lang w:val="zh-CN"/>
        </w:rPr>
        <w:t>（二）项目绩效目标。</w:t>
      </w:r>
    </w:p>
    <w:p w14:paraId="5B6D6A2F">
      <w:pPr>
        <w:keepNext w:val="0"/>
        <w:keepLines w:val="0"/>
        <w:pageBreakBefore w:val="0"/>
        <w:widowControl w:val="0"/>
        <w:kinsoku/>
        <w:wordWrap/>
        <w:overflowPunct/>
        <w:topLinePunct w:val="0"/>
        <w:autoSpaceDE/>
        <w:autoSpaceDN/>
        <w:bidi w:val="0"/>
        <w:adjustRightInd w:val="0"/>
        <w:snapToGrid w:val="0"/>
        <w:spacing w:line="570" w:lineRule="exact"/>
        <w:ind w:left="638" w:leftChars="304" w:firstLine="0" w:firstLineChars="0"/>
        <w:jc w:val="both"/>
        <w:textAlignment w:val="auto"/>
        <w:rPr>
          <w:rFonts w:hint="eastAsia" w:ascii="仿宋_GB2312" w:hAnsi="仿宋_GB2312" w:eastAsia="仿宋_GB2312" w:cs="仿宋_GB2312"/>
          <w:b w:val="0"/>
          <w:bCs w:val="0"/>
          <w:sz w:val="32"/>
          <w:szCs w:val="32"/>
          <w:lang w:val="zh-CN"/>
        </w:rPr>
      </w:pPr>
      <w:r>
        <w:rPr>
          <w:rFonts w:hint="eastAsia" w:ascii="仿宋_GB2312" w:hAnsi="仿宋_GB2312" w:eastAsia="仿宋_GB2312" w:cs="仿宋_GB2312"/>
          <w:b w:val="0"/>
          <w:bCs w:val="0"/>
          <w:sz w:val="32"/>
          <w:szCs w:val="32"/>
          <w:lang w:val="zh-CN"/>
        </w:rPr>
        <w:t>1.提高城市公共服务水平，优化城市治理能力；</w:t>
      </w:r>
      <w:r>
        <w:rPr>
          <w:rFonts w:hint="eastAsia" w:ascii="仿宋_GB2312" w:hAnsi="仿宋_GB2312" w:eastAsia="仿宋_GB2312" w:cs="仿宋_GB2312"/>
          <w:b w:val="0"/>
          <w:bCs w:val="0"/>
          <w:sz w:val="32"/>
          <w:szCs w:val="32"/>
          <w:lang w:val="zh-CN"/>
        </w:rPr>
        <w:br w:type="textWrapping"/>
      </w:r>
      <w:r>
        <w:rPr>
          <w:rFonts w:hint="eastAsia" w:ascii="仿宋_GB2312" w:hAnsi="仿宋_GB2312" w:eastAsia="仿宋_GB2312" w:cs="仿宋_GB2312"/>
          <w:b w:val="0"/>
          <w:bCs w:val="0"/>
          <w:sz w:val="32"/>
          <w:szCs w:val="32"/>
          <w:lang w:val="zh-CN"/>
        </w:rPr>
        <w:t>2.推动社会文明进步和道德提升；</w:t>
      </w:r>
    </w:p>
    <w:p w14:paraId="44F81646">
      <w:pPr>
        <w:keepNext w:val="0"/>
        <w:keepLines w:val="0"/>
        <w:pageBreakBefore w:val="0"/>
        <w:widowControl w:val="0"/>
        <w:kinsoku/>
        <w:wordWrap/>
        <w:overflowPunct/>
        <w:topLinePunct w:val="0"/>
        <w:autoSpaceDE/>
        <w:autoSpaceDN/>
        <w:bidi w:val="0"/>
        <w:adjustRightInd w:val="0"/>
        <w:snapToGrid w:val="0"/>
        <w:spacing w:line="570" w:lineRule="exact"/>
        <w:ind w:left="638" w:leftChars="304" w:firstLine="0" w:firstLineChars="0"/>
        <w:jc w:val="both"/>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3.打造城市品牌，提高城市影响力和竞争力。</w:t>
      </w:r>
      <w:r>
        <w:rPr>
          <w:rFonts w:hint="eastAsia" w:ascii="楷体_GB2312" w:hAnsi="楷体_GB2312" w:eastAsia="楷体_GB2312" w:cs="楷体_GB2312"/>
          <w:b w:val="0"/>
          <w:bCs w:val="0"/>
          <w:sz w:val="32"/>
          <w:szCs w:val="32"/>
          <w:lang w:val="zh-CN"/>
        </w:rPr>
        <w:br w:type="textWrapping"/>
      </w: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2024年我办申报项目经费共计4万元。经财政审核后批复预算。</w:t>
      </w:r>
    </w:p>
    <w:p w14:paraId="5354032F">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二、项目实施及管理情况</w:t>
      </w:r>
    </w:p>
    <w:p w14:paraId="3021850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19E80314">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b w:val="0"/>
          <w:bCs w:val="0"/>
          <w:sz w:val="32"/>
          <w:szCs w:val="32"/>
          <w:lang w:val="en-US" w:eastAsia="zh-CN"/>
        </w:rPr>
        <w:t>批复预算4万元。</w:t>
      </w:r>
    </w:p>
    <w:p w14:paraId="34808618">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我办按目标主要支付宣传推广、社区服务、宣传费、办公费等。</w:t>
      </w:r>
    </w:p>
    <w:p w14:paraId="0D47F4F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14070AE1">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111C38B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（三）项目组织实施情况</w:t>
      </w:r>
    </w:p>
    <w:p w14:paraId="4F0F572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ascii="微软雅黑" w:hAnsi="微软雅黑" w:eastAsia="微软雅黑"/>
          <w:sz w:val="28"/>
        </w:rPr>
      </w:pPr>
      <w:r>
        <w:rPr>
          <w:rFonts w:hint="eastAsia" w:ascii="仿宋_GB2312" w:hAnsi="仿宋_GB2312" w:eastAsia="仿宋_GB2312" w:cs="仿宋_GB2312"/>
          <w:sz w:val="32"/>
          <w:szCs w:val="32"/>
        </w:rPr>
        <w:t>我们制作了大量宣传材料，包括海报、宣传册等，通过电视、广播、网络等多种渠道进行宣传推广。同时，我们还举办了文明城市创建主题活动，吸引了大量市民参与。我们加强了社区服务力度，建立起完善的社区服务体系。同时，在社区环境整治方面也取得了一定成效，例如清理垃圾、绿化美化等工作。</w:t>
      </w:r>
    </w:p>
    <w:p w14:paraId="4569C63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5D8F7C5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54AE84F8">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楷体_GB2312" w:hAnsi="楷体_GB2312" w:eastAsia="楷体_GB2312" w:cs="楷体_GB2312"/>
          <w:b w:val="0"/>
          <w:bCs w:val="0"/>
          <w:sz w:val="32"/>
          <w:szCs w:val="32"/>
          <w:lang w:val="en-US"/>
        </w:rPr>
      </w:pPr>
      <w:r>
        <w:rPr>
          <w:rFonts w:hint="eastAsia" w:ascii="仿宋_GB2312" w:hAnsi="仿宋_GB2312" w:eastAsia="仿宋_GB2312" w:cs="仿宋_GB2312"/>
          <w:b w:val="0"/>
          <w:bCs w:val="0"/>
          <w:sz w:val="32"/>
          <w:szCs w:val="32"/>
          <w:lang w:val="en-US"/>
        </w:rPr>
        <w:t>我们充分利用专项经费，在基础建设、宣传推广和社区服务三个方面取得良好成效。</w:t>
      </w:r>
    </w:p>
    <w:p w14:paraId="3B1250C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（二）项目效益情况</w:t>
      </w:r>
    </w:p>
    <w:p w14:paraId="1E62F15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楷体_GB2312" w:hAnsi="楷体_GB2312" w:eastAsia="楷体_GB2312" w:cs="楷体_GB2312"/>
          <w:b w:val="0"/>
          <w:bCs w:val="0"/>
          <w:sz w:val="32"/>
          <w:szCs w:val="32"/>
          <w:lang w:val="en-US"/>
        </w:rPr>
      </w:pPr>
      <w:r>
        <w:rPr>
          <w:rFonts w:hint="eastAsia" w:ascii="仿宋_GB2312" w:hAnsi="仿宋_GB2312" w:eastAsia="仿宋_GB2312" w:cs="仿宋_GB2312"/>
          <w:color w:val="auto"/>
          <w:sz w:val="32"/>
          <w:szCs w:val="32"/>
          <w:lang w:val="en-US" w:eastAsia="zh-CN"/>
        </w:rPr>
        <w:t>通过本次专项经费项目的实施，我单位的城市形象和品质得到了明显提升，市民的生活环境也得到了改善。</w:t>
      </w:r>
    </w:p>
    <w:p w14:paraId="0CE4CC7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768F225C">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zh-CN"/>
        </w:rPr>
        <w:t>（一）存在的问题。</w:t>
      </w:r>
      <w:r>
        <w:rPr>
          <w:rFonts w:hint="eastAsia" w:ascii="仿宋_GB2312" w:hAnsi="仿宋_GB2312" w:eastAsia="仿宋_GB2312" w:cs="仿宋_GB2312"/>
          <w:b w:val="0"/>
          <w:bCs w:val="0"/>
          <w:sz w:val="32"/>
          <w:szCs w:val="32"/>
          <w:lang w:val="zh-CN"/>
        </w:rPr>
        <w:t>虽然我们在城市主要道路和公共场所增设了垃圾桶、公共厕所等设施，但是在一些偏远地区和边缘地带仍需要加强基础设施建设。</w:t>
      </w:r>
    </w:p>
    <w:p w14:paraId="4815761F">
      <w:pPr>
        <w:pStyle w:val="8"/>
        <w:rPr>
          <w:rFonts w:hint="eastAsia"/>
          <w:lang w:val="en-US" w:eastAsia="zh-CN"/>
        </w:rPr>
      </w:pPr>
    </w:p>
    <w:p w14:paraId="28122443">
      <w:pPr>
        <w:pStyle w:val="8"/>
        <w:rPr>
          <w:rFonts w:hint="eastAsia"/>
          <w:lang w:val="en-US" w:eastAsia="zh-CN"/>
        </w:rPr>
      </w:pPr>
    </w:p>
    <w:p w14:paraId="0600557D">
      <w:pPr>
        <w:pStyle w:val="8"/>
        <w:rPr>
          <w:rFonts w:hint="eastAsia"/>
          <w:lang w:val="en-US" w:eastAsia="zh-CN"/>
        </w:rPr>
      </w:pPr>
    </w:p>
    <w:p w14:paraId="0ADBB427">
      <w:pPr>
        <w:pStyle w:val="8"/>
        <w:rPr>
          <w:rFonts w:hint="eastAsia"/>
          <w:lang w:val="en-US" w:eastAsia="zh-CN"/>
        </w:rPr>
      </w:pPr>
    </w:p>
    <w:p w14:paraId="1A1B7610">
      <w:pPr>
        <w:pStyle w:val="8"/>
        <w:rPr>
          <w:rFonts w:hint="eastAsia"/>
          <w:lang w:val="en-US" w:eastAsia="zh-CN"/>
        </w:rPr>
      </w:pPr>
    </w:p>
    <w:p w14:paraId="0926FCF4">
      <w:pPr>
        <w:pStyle w:val="8"/>
        <w:rPr>
          <w:rFonts w:hint="eastAsia"/>
          <w:lang w:val="en-US" w:eastAsia="zh-CN"/>
        </w:rPr>
      </w:pPr>
    </w:p>
    <w:p w14:paraId="56293916">
      <w:pPr>
        <w:pStyle w:val="8"/>
        <w:rPr>
          <w:rFonts w:hint="eastAsia"/>
          <w:lang w:val="en-US" w:eastAsia="zh-CN"/>
        </w:rPr>
      </w:pPr>
    </w:p>
    <w:p w14:paraId="04FA8B05">
      <w:pPr>
        <w:pStyle w:val="8"/>
        <w:rPr>
          <w:rFonts w:hint="eastAsia"/>
          <w:lang w:val="en-US" w:eastAsia="zh-CN"/>
        </w:rPr>
      </w:pPr>
    </w:p>
    <w:p w14:paraId="347F4021">
      <w:pPr>
        <w:pStyle w:val="8"/>
        <w:rPr>
          <w:rFonts w:hint="eastAsia"/>
          <w:lang w:val="en-US" w:eastAsia="zh-CN"/>
        </w:rPr>
      </w:pPr>
    </w:p>
    <w:p w14:paraId="2A07A837">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sz w:val="44"/>
          <w:szCs w:val="44"/>
        </w:rPr>
      </w:pPr>
      <w:r>
        <w:rPr>
          <w:rFonts w:hint="eastAsia" w:ascii="方正小标宋简体" w:hAnsi="宋体" w:eastAsia="方正小标宋简体"/>
          <w:sz w:val="44"/>
          <w:szCs w:val="44"/>
          <w:lang w:val="en-US"/>
        </w:rPr>
        <w:t>下西</w:t>
      </w:r>
      <w:r>
        <w:rPr>
          <w:rFonts w:hint="eastAsia" w:ascii="方正小标宋简体" w:hAnsi="宋体" w:eastAsia="方正小标宋简体"/>
          <w:sz w:val="44"/>
          <w:szCs w:val="44"/>
          <w:lang w:val="en-US" w:eastAsia="zh-CN"/>
        </w:rPr>
        <w:t>2024年第一批交通专项资金</w:t>
      </w:r>
      <w:r>
        <w:rPr>
          <w:rFonts w:hint="eastAsia" w:ascii="方正小标宋简体" w:hAnsi="宋体" w:eastAsia="方正小标宋简体"/>
          <w:sz w:val="44"/>
          <w:szCs w:val="44"/>
        </w:rPr>
        <w:t>项目支出绩效自评报告</w:t>
      </w:r>
    </w:p>
    <w:p w14:paraId="2B8F2600">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auto"/>
          <w:kern w:val="2"/>
          <w:sz w:val="32"/>
          <w:szCs w:val="32"/>
        </w:rPr>
      </w:pPr>
    </w:p>
    <w:p w14:paraId="57EDA6A8">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现将我办2024</w:t>
      </w:r>
      <w:r>
        <w:rPr>
          <w:rFonts w:hint="eastAsia" w:ascii="仿宋_GB2312" w:hAnsi="仿宋_GB2312" w:eastAsia="仿宋_GB2312" w:cs="仿宋_GB2312"/>
          <w:color w:val="000000"/>
          <w:sz w:val="32"/>
          <w:szCs w:val="32"/>
          <w:highlight w:val="none"/>
          <w:lang w:eastAsia="zh-CN"/>
        </w:rPr>
        <w:t>年</w:t>
      </w:r>
      <w:r>
        <w:rPr>
          <w:rFonts w:hint="eastAsia" w:ascii="仿宋_GB2312" w:hAnsi="仿宋_GB2312" w:eastAsia="仿宋_GB2312" w:cs="仿宋_GB2312"/>
          <w:sz w:val="32"/>
          <w:szCs w:val="32"/>
          <w:lang w:val="en-US" w:eastAsia="zh-CN"/>
        </w:rPr>
        <w:t>第一批交通专项资金</w:t>
      </w:r>
      <w:r>
        <w:rPr>
          <w:rFonts w:hint="eastAsia" w:ascii="仿宋_GB2312" w:hAnsi="仿宋_GB2312" w:eastAsia="仿宋_GB2312" w:cs="仿宋_GB2312"/>
          <w:color w:val="000000"/>
          <w:sz w:val="32"/>
          <w:szCs w:val="32"/>
          <w:highlight w:val="none"/>
          <w:lang w:val="en-US" w:eastAsia="zh-CN"/>
        </w:rPr>
        <w:t>支出绩效自评报告如下。</w:t>
      </w:r>
    </w:p>
    <w:p w14:paraId="27B8071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215AE036">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w:t>
      </w:r>
      <w:r>
        <w:rPr>
          <w:rFonts w:hint="eastAsia" w:ascii="仿宋_GB2312" w:hAnsi="仿宋_GB2312" w:eastAsia="仿宋_GB2312" w:cs="仿宋_GB2312"/>
          <w:b w:val="0"/>
          <w:bCs w:val="0"/>
          <w:sz w:val="32"/>
          <w:szCs w:val="32"/>
          <w:lang w:val="zh-CN"/>
        </w:rPr>
        <w:t>用于开展南陵社区</w:t>
      </w:r>
      <w:r>
        <w:rPr>
          <w:rFonts w:hint="eastAsia" w:ascii="仿宋_GB2312" w:hAnsi="仿宋_GB2312" w:eastAsia="仿宋_GB2312" w:cs="仿宋_GB2312"/>
          <w:b w:val="0"/>
          <w:bCs w:val="0"/>
          <w:sz w:val="32"/>
          <w:szCs w:val="32"/>
          <w:lang w:val="en-US" w:eastAsia="zh-CN"/>
        </w:rPr>
        <w:t>205线拆迁</w:t>
      </w:r>
      <w:r>
        <w:rPr>
          <w:rFonts w:hint="eastAsia" w:ascii="仿宋_GB2312" w:hAnsi="仿宋_GB2312" w:eastAsia="仿宋_GB2312" w:cs="仿宋_GB2312"/>
          <w:b w:val="0"/>
          <w:bCs w:val="0"/>
          <w:sz w:val="32"/>
          <w:szCs w:val="32"/>
          <w:lang w:val="zh-CN"/>
        </w:rPr>
        <w:t>工作，</w:t>
      </w:r>
      <w:r>
        <w:rPr>
          <w:rFonts w:hint="eastAsia" w:ascii="仿宋_GB2312" w:hAnsi="仿宋_GB2312" w:eastAsia="仿宋_GB2312" w:cs="仿宋_GB2312"/>
          <w:b w:val="0"/>
          <w:bCs w:val="0"/>
          <w:sz w:val="32"/>
          <w:szCs w:val="32"/>
          <w:lang w:val="en-US" w:eastAsia="zh-CN"/>
        </w:rPr>
        <w:t>批复预算400万元。</w:t>
      </w:r>
    </w:p>
    <w:p w14:paraId="0B46C34F">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eastAsia="仿宋_GB2312" w:cs="仿宋_GB2312"/>
          <w:sz w:val="32"/>
          <w:szCs w:val="32"/>
          <w:lang w:eastAsia="zh-CN"/>
        </w:rPr>
      </w:pPr>
      <w:r>
        <w:rPr>
          <w:rFonts w:hint="eastAsia" w:ascii="楷体_GB2312" w:hAnsi="楷体_GB2312" w:eastAsia="楷体_GB2312" w:cs="楷体_GB2312"/>
          <w:b w:val="0"/>
          <w:bCs w:val="0"/>
          <w:sz w:val="32"/>
          <w:szCs w:val="32"/>
          <w:lang w:val="zh-CN"/>
        </w:rPr>
        <w:t>（二）项目绩效目标。</w:t>
      </w:r>
    </w:p>
    <w:p w14:paraId="564FCEF5">
      <w:pPr>
        <w:keepNext w:val="0"/>
        <w:keepLines w:val="0"/>
        <w:pageBreakBefore w:val="0"/>
        <w:widowControl w:val="0"/>
        <w:kinsoku/>
        <w:wordWrap/>
        <w:overflowPunct/>
        <w:topLinePunct w:val="0"/>
        <w:autoSpaceDE/>
        <w:autoSpaceDN/>
        <w:bidi w:val="0"/>
        <w:adjustRightInd w:val="0"/>
        <w:snapToGrid w:val="0"/>
        <w:spacing w:line="570" w:lineRule="exact"/>
        <w:ind w:left="638" w:leftChars="304" w:firstLine="0" w:firstLineChars="0"/>
        <w:jc w:val="both"/>
        <w:textAlignment w:val="auto"/>
        <w:rPr>
          <w:rFonts w:hint="eastAsia" w:ascii="仿宋_GB2312" w:hAnsi="仿宋_GB2312" w:eastAsia="仿宋_GB2312" w:cs="仿宋_GB2312"/>
          <w:b w:val="0"/>
          <w:bCs w:val="0"/>
          <w:sz w:val="32"/>
          <w:szCs w:val="32"/>
          <w:lang w:val="zh-CN"/>
        </w:rPr>
      </w:pPr>
      <w:r>
        <w:rPr>
          <w:rFonts w:hint="eastAsia" w:ascii="仿宋_GB2312" w:hAnsi="仿宋_GB2312" w:eastAsia="仿宋_GB2312" w:cs="仿宋_GB2312"/>
          <w:b w:val="0"/>
          <w:bCs w:val="0"/>
          <w:sz w:val="32"/>
          <w:szCs w:val="32"/>
          <w:lang w:val="zh-CN"/>
        </w:rPr>
        <w:t>1.拆迁资金及时发放到位；</w:t>
      </w:r>
      <w:r>
        <w:rPr>
          <w:rFonts w:hint="eastAsia" w:ascii="仿宋_GB2312" w:hAnsi="仿宋_GB2312" w:eastAsia="仿宋_GB2312" w:cs="仿宋_GB2312"/>
          <w:b w:val="0"/>
          <w:bCs w:val="0"/>
          <w:sz w:val="32"/>
          <w:szCs w:val="32"/>
          <w:lang w:val="zh-CN"/>
        </w:rPr>
        <w:br w:type="textWrapping"/>
      </w:r>
      <w:r>
        <w:rPr>
          <w:rFonts w:hint="eastAsia" w:ascii="仿宋_GB2312" w:hAnsi="仿宋_GB2312" w:eastAsia="仿宋_GB2312" w:cs="仿宋_GB2312"/>
          <w:b w:val="0"/>
          <w:bCs w:val="0"/>
          <w:sz w:val="32"/>
          <w:szCs w:val="32"/>
          <w:lang w:val="zh-CN"/>
        </w:rPr>
        <w:t>2.推动拆迁工作进度；</w:t>
      </w:r>
    </w:p>
    <w:p w14:paraId="3FD7F79D">
      <w:pPr>
        <w:keepNext w:val="0"/>
        <w:keepLines w:val="0"/>
        <w:pageBreakBefore w:val="0"/>
        <w:widowControl w:val="0"/>
        <w:kinsoku/>
        <w:wordWrap/>
        <w:overflowPunct/>
        <w:topLinePunct w:val="0"/>
        <w:autoSpaceDE/>
        <w:autoSpaceDN/>
        <w:bidi w:val="0"/>
        <w:adjustRightInd w:val="0"/>
        <w:snapToGrid w:val="0"/>
        <w:spacing w:line="570" w:lineRule="exact"/>
        <w:ind w:left="638" w:leftChars="304" w:firstLine="0" w:firstLineChars="0"/>
        <w:jc w:val="both"/>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3.推动当地各项发展，打造城市品牌，提高城市影响力和竞争力。</w:t>
      </w:r>
      <w:r>
        <w:rPr>
          <w:rFonts w:hint="eastAsia" w:ascii="楷体_GB2312" w:hAnsi="楷体_GB2312" w:eastAsia="楷体_GB2312" w:cs="楷体_GB2312"/>
          <w:b w:val="0"/>
          <w:bCs w:val="0"/>
          <w:sz w:val="32"/>
          <w:szCs w:val="32"/>
          <w:lang w:val="zh-CN"/>
        </w:rPr>
        <w:br w:type="textWrapping"/>
      </w: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2024年我办申报项目经费共计400万元。经财政审核后批复预算。</w:t>
      </w:r>
    </w:p>
    <w:p w14:paraId="486E4ED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二、项目实施及管理情况</w:t>
      </w:r>
    </w:p>
    <w:p w14:paraId="4650AAB4">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596A9BFB">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b w:val="0"/>
          <w:bCs w:val="0"/>
          <w:sz w:val="32"/>
          <w:szCs w:val="32"/>
          <w:lang w:val="en-US" w:eastAsia="zh-CN"/>
        </w:rPr>
        <w:t>批复预算400万元。</w:t>
      </w:r>
    </w:p>
    <w:p w14:paraId="689ACB0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我办按目标主要支付用于南陵社区205线拆迁资金。</w:t>
      </w:r>
    </w:p>
    <w:p w14:paraId="3B76795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69D2D27F">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1479EC5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（三）项目组织实施情况</w:t>
      </w:r>
    </w:p>
    <w:p w14:paraId="606BC002">
      <w:pPr>
        <w:pStyle w:val="48"/>
        <w:keepNext w:val="0"/>
        <w:keepLines w:val="0"/>
        <w:pageBreakBefore w:val="0"/>
        <w:widowControl/>
        <w:numPr>
          <w:ilvl w:val="0"/>
          <w:numId w:val="0"/>
        </w:numPr>
        <w:kinsoku/>
        <w:wordWrap/>
        <w:overflowPunct/>
        <w:topLinePunct w:val="0"/>
        <w:autoSpaceDE/>
        <w:autoSpaceDN/>
        <w:bidi w:val="0"/>
        <w:adjustRightInd w:val="0"/>
        <w:snapToGrid/>
        <w:spacing w:line="560" w:lineRule="exact"/>
        <w:ind w:firstLine="640" w:firstLineChars="200"/>
        <w:textAlignment w:val="auto"/>
        <w:rPr>
          <w:rFonts w:hint="default" w:ascii="仿宋_GB2312" w:hAnsi="仿宋_GB2312" w:eastAsia="仿宋_GB2312" w:cs="仿宋_GB2312"/>
          <w:b/>
          <w:bCs/>
          <w:color w:val="000000"/>
          <w:spacing w:val="0"/>
          <w:kern w:val="0"/>
          <w:sz w:val="32"/>
          <w:szCs w:val="32"/>
          <w:lang w:val="en-US" w:eastAsia="zh-CN" w:bidi="ar-SA"/>
        </w:rPr>
      </w:pPr>
      <w:r>
        <w:rPr>
          <w:rFonts w:hint="eastAsia" w:ascii="仿宋_GB2312" w:hAnsi="仿宋_GB2312" w:eastAsia="仿宋_GB2312" w:cs="仿宋_GB2312"/>
          <w:b w:val="0"/>
          <w:bCs w:val="0"/>
          <w:color w:val="000000"/>
          <w:spacing w:val="0"/>
          <w:kern w:val="0"/>
          <w:sz w:val="32"/>
          <w:szCs w:val="32"/>
          <w:lang w:val="en-US" w:eastAsia="zh-CN" w:bidi="ar-SA"/>
        </w:rPr>
        <w:t>该项目涉及南陵社区2、3、4组需征地约50亩，拆迁共计5户，已全部拆迁并倒房，安置15人。</w:t>
      </w:r>
    </w:p>
    <w:p w14:paraId="601F604F">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3A5A847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7964A357">
      <w:pPr>
        <w:pStyle w:val="48"/>
        <w:keepNext w:val="0"/>
        <w:keepLines w:val="0"/>
        <w:pageBreakBefore w:val="0"/>
        <w:widowControl/>
        <w:numPr>
          <w:ilvl w:val="0"/>
          <w:numId w:val="0"/>
        </w:numPr>
        <w:kinsoku/>
        <w:wordWrap/>
        <w:overflowPunct/>
        <w:topLinePunct w:val="0"/>
        <w:autoSpaceDE/>
        <w:autoSpaceDN/>
        <w:bidi w:val="0"/>
        <w:adjustRightInd w:val="0"/>
        <w:snapToGrid/>
        <w:spacing w:line="560" w:lineRule="exact"/>
        <w:ind w:firstLine="640" w:firstLineChars="200"/>
        <w:textAlignment w:val="auto"/>
        <w:rPr>
          <w:rFonts w:hint="eastAsia" w:ascii="楷体_GB2312" w:hAnsi="楷体_GB2312" w:eastAsia="仿宋_GB2312" w:cs="楷体_GB2312"/>
          <w:b w:val="0"/>
          <w:bCs w:val="0"/>
          <w:sz w:val="32"/>
          <w:szCs w:val="32"/>
          <w:lang w:val="en-US" w:eastAsia="zh-CN"/>
        </w:rPr>
      </w:pPr>
      <w:r>
        <w:rPr>
          <w:rFonts w:hint="eastAsia" w:ascii="仿宋_GB2312" w:hAnsi="仿宋_GB2312" w:eastAsia="仿宋_GB2312" w:cs="仿宋_GB2312"/>
          <w:b w:val="0"/>
          <w:bCs w:val="0"/>
          <w:sz w:val="32"/>
          <w:szCs w:val="32"/>
          <w:lang w:val="en-US"/>
        </w:rPr>
        <w:t>我们充分利用专项</w:t>
      </w:r>
      <w:r>
        <w:rPr>
          <w:rFonts w:hint="eastAsia" w:ascii="仿宋_GB2312" w:hAnsi="仿宋_GB2312" w:eastAsia="仿宋_GB2312" w:cs="仿宋_GB2312"/>
          <w:b w:val="0"/>
          <w:bCs w:val="0"/>
          <w:sz w:val="32"/>
          <w:szCs w:val="32"/>
          <w:lang w:val="en-US" w:eastAsia="zh-CN"/>
        </w:rPr>
        <w:t>资金</w:t>
      </w:r>
      <w:r>
        <w:rPr>
          <w:rFonts w:hint="eastAsia" w:ascii="仿宋_GB2312" w:hAnsi="仿宋_GB2312" w:eastAsia="仿宋_GB2312" w:cs="仿宋_GB2312"/>
          <w:b w:val="0"/>
          <w:bCs w:val="0"/>
          <w:sz w:val="32"/>
          <w:szCs w:val="32"/>
          <w:lang w:val="en-US"/>
        </w:rPr>
        <w:t>，在基础建设取得良好成效</w:t>
      </w:r>
      <w:r>
        <w:rPr>
          <w:rFonts w:hint="eastAsia" w:ascii="仿宋_GB2312" w:hAnsi="仿宋_GB2312" w:eastAsia="仿宋_GB2312" w:cs="仿宋_GB2312"/>
          <w:b w:val="0"/>
          <w:bCs w:val="0"/>
          <w:sz w:val="32"/>
          <w:szCs w:val="32"/>
          <w:lang w:val="en-US" w:eastAsia="zh-CN"/>
        </w:rPr>
        <w:t>，完成</w:t>
      </w:r>
      <w:r>
        <w:rPr>
          <w:rFonts w:hint="eastAsia" w:ascii="仿宋_GB2312" w:hAnsi="仿宋_GB2312" w:eastAsia="仿宋_GB2312" w:cs="仿宋_GB2312"/>
          <w:b w:val="0"/>
          <w:bCs w:val="0"/>
          <w:color w:val="000000"/>
          <w:spacing w:val="0"/>
          <w:kern w:val="0"/>
          <w:sz w:val="32"/>
          <w:szCs w:val="32"/>
          <w:lang w:val="en-US" w:eastAsia="zh-CN" w:bidi="ar-SA"/>
        </w:rPr>
        <w:t>该项目涉及南陵社区2、3、4组需征地约50亩，拆迁共计5户，已全部拆迁并倒房，安置15人。</w:t>
      </w:r>
    </w:p>
    <w:p w14:paraId="28ACCC7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（二）项目效益情况</w:t>
      </w:r>
    </w:p>
    <w:p w14:paraId="5448955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楷体_GB2312" w:hAnsi="楷体_GB2312" w:eastAsia="楷体_GB2312" w:cs="楷体_GB2312"/>
          <w:b w:val="0"/>
          <w:bCs w:val="0"/>
          <w:color w:val="auto"/>
          <w:sz w:val="32"/>
          <w:szCs w:val="32"/>
          <w:lang w:val="en-US"/>
        </w:rPr>
      </w:pPr>
      <w:r>
        <w:rPr>
          <w:rFonts w:hint="eastAsia" w:ascii="仿宋_GB2312" w:hAnsi="仿宋_GB2312" w:eastAsia="仿宋_GB2312" w:cs="仿宋_GB2312"/>
          <w:color w:val="auto"/>
          <w:sz w:val="32"/>
          <w:szCs w:val="32"/>
          <w:lang w:val="en-US" w:eastAsia="zh-CN"/>
        </w:rPr>
        <w:t>通过本次专项经费项目的实施，</w:t>
      </w:r>
      <w:r>
        <w:rPr>
          <w:rFonts w:hint="eastAsia" w:ascii="仿宋_GB2312" w:hAnsi="仿宋_GB2312" w:eastAsia="仿宋_GB2312" w:cs="仿宋_GB2312"/>
          <w:b w:val="0"/>
          <w:bCs w:val="0"/>
          <w:color w:val="auto"/>
          <w:sz w:val="32"/>
          <w:szCs w:val="32"/>
          <w:lang w:val="zh-CN"/>
        </w:rPr>
        <w:t>推动当地各项发展，打造城市品牌，提高城市影响力和竞争力</w:t>
      </w:r>
      <w:r>
        <w:rPr>
          <w:rFonts w:hint="eastAsia" w:ascii="仿宋_GB2312" w:hAnsi="仿宋_GB2312" w:eastAsia="仿宋_GB2312" w:cs="仿宋_GB2312"/>
          <w:color w:val="auto"/>
          <w:sz w:val="32"/>
          <w:szCs w:val="32"/>
          <w:lang w:val="en-US" w:eastAsia="zh-CN"/>
        </w:rPr>
        <w:t>，市民的生活环境也得到了改善。</w:t>
      </w:r>
    </w:p>
    <w:p w14:paraId="5AB20CC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088C98D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zh-CN"/>
        </w:rPr>
        <w:t>无</w:t>
      </w:r>
    </w:p>
    <w:p w14:paraId="1A021D3E">
      <w:pPr>
        <w:pStyle w:val="8"/>
        <w:rPr>
          <w:rFonts w:hint="eastAsia"/>
          <w:lang w:val="en-US" w:eastAsia="zh-CN"/>
        </w:rPr>
      </w:pPr>
    </w:p>
    <w:p w14:paraId="1776B760">
      <w:pPr>
        <w:pStyle w:val="8"/>
        <w:rPr>
          <w:rFonts w:hint="eastAsia"/>
          <w:lang w:val="en-US" w:eastAsia="zh-CN"/>
        </w:rPr>
      </w:pPr>
    </w:p>
    <w:p w14:paraId="37A115AE">
      <w:pPr>
        <w:pStyle w:val="8"/>
        <w:rPr>
          <w:rFonts w:hint="eastAsia"/>
          <w:lang w:val="en-US" w:eastAsia="zh-CN"/>
        </w:rPr>
      </w:pPr>
    </w:p>
    <w:p w14:paraId="4044418B">
      <w:pPr>
        <w:pStyle w:val="8"/>
        <w:rPr>
          <w:rFonts w:hint="eastAsia"/>
          <w:lang w:val="en-US" w:eastAsia="zh-CN"/>
        </w:rPr>
      </w:pPr>
    </w:p>
    <w:p w14:paraId="1F7E271E">
      <w:pPr>
        <w:pStyle w:val="8"/>
        <w:rPr>
          <w:rFonts w:hint="eastAsia"/>
          <w:lang w:val="en-US" w:eastAsia="zh-CN"/>
        </w:rPr>
      </w:pPr>
    </w:p>
    <w:p w14:paraId="00C084CB">
      <w:pPr>
        <w:pStyle w:val="8"/>
        <w:rPr>
          <w:rFonts w:hint="eastAsia"/>
          <w:lang w:val="en-US" w:eastAsia="zh-CN"/>
        </w:rPr>
      </w:pPr>
    </w:p>
    <w:p w14:paraId="3A261290">
      <w:pPr>
        <w:pStyle w:val="8"/>
        <w:rPr>
          <w:rFonts w:hint="eastAsia"/>
          <w:lang w:val="en-US" w:eastAsia="zh-CN"/>
        </w:rPr>
      </w:pPr>
    </w:p>
    <w:p w14:paraId="19583C30">
      <w:pPr>
        <w:pStyle w:val="8"/>
        <w:rPr>
          <w:rFonts w:hint="eastAsia"/>
          <w:lang w:val="en-US" w:eastAsia="zh-CN"/>
        </w:rPr>
      </w:pPr>
    </w:p>
    <w:p w14:paraId="3B6E66B6">
      <w:pPr>
        <w:pStyle w:val="8"/>
        <w:rPr>
          <w:rFonts w:hint="eastAsia"/>
          <w:lang w:val="en-US" w:eastAsia="zh-CN"/>
        </w:rPr>
      </w:pPr>
    </w:p>
    <w:p w14:paraId="690E690F">
      <w:pPr>
        <w:pStyle w:val="8"/>
        <w:rPr>
          <w:rFonts w:hint="eastAsia"/>
          <w:lang w:val="en-US" w:eastAsia="zh-CN"/>
        </w:rPr>
      </w:pPr>
    </w:p>
    <w:p w14:paraId="4699C7EA">
      <w:pPr>
        <w:pStyle w:val="8"/>
        <w:rPr>
          <w:rFonts w:hint="eastAsia"/>
          <w:lang w:val="en-US" w:eastAsia="zh-CN"/>
        </w:rPr>
      </w:pPr>
    </w:p>
    <w:p w14:paraId="79E447BD">
      <w:pPr>
        <w:pStyle w:val="8"/>
        <w:rPr>
          <w:rFonts w:hint="default"/>
          <w:lang w:val="en-US" w:eastAsia="zh-CN"/>
        </w:rPr>
      </w:pPr>
    </w:p>
    <w:p w14:paraId="39927E5C">
      <w:pPr>
        <w:pStyle w:val="8"/>
        <w:rPr>
          <w:rFonts w:hint="eastAsia"/>
          <w:lang w:val="en-US" w:eastAsia="zh-CN"/>
        </w:rPr>
      </w:pPr>
    </w:p>
    <w:p w14:paraId="3ACA0E5A">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楷体_GB2312" w:hAnsi="楷体_GB2312" w:eastAsia="楷体_GB2312" w:cs="楷体_GB2312"/>
          <w:b w:val="0"/>
          <w:bCs/>
          <w:color w:val="auto"/>
          <w:kern w:val="2"/>
          <w:sz w:val="32"/>
          <w:szCs w:val="32"/>
        </w:rPr>
      </w:pPr>
      <w:r>
        <w:rPr>
          <w:rFonts w:hint="eastAsia" w:ascii="方正小标宋简体" w:hAnsi="宋体" w:eastAsia="方正小标宋简体"/>
          <w:sz w:val="44"/>
          <w:szCs w:val="44"/>
          <w:lang w:val="en-US" w:eastAsia="zh-CN"/>
        </w:rPr>
        <w:t>下西</w:t>
      </w:r>
      <w:r>
        <w:rPr>
          <w:rFonts w:hint="eastAsia" w:ascii="方正小标宋简体" w:hAnsi="宋体" w:eastAsia="方正小标宋简体"/>
          <w:sz w:val="44"/>
          <w:szCs w:val="44"/>
          <w:lang w:val="en-US"/>
        </w:rPr>
        <w:t>202</w:t>
      </w:r>
      <w:r>
        <w:rPr>
          <w:rFonts w:hint="eastAsia" w:ascii="方正小标宋简体" w:hAnsi="宋体" w:eastAsia="方正小标宋简体"/>
          <w:sz w:val="44"/>
          <w:szCs w:val="44"/>
          <w:lang w:val="en-US" w:eastAsia="zh-CN"/>
        </w:rPr>
        <w:t>4</w:t>
      </w:r>
      <w:r>
        <w:rPr>
          <w:rFonts w:hint="eastAsia" w:ascii="方正小标宋简体" w:hAnsi="宋体" w:eastAsia="方正小标宋简体"/>
          <w:sz w:val="44"/>
          <w:szCs w:val="44"/>
          <w:lang w:val="en-US"/>
        </w:rPr>
        <w:t>年党建经费</w:t>
      </w:r>
      <w:r>
        <w:rPr>
          <w:rFonts w:hint="eastAsia" w:ascii="方正小标宋简体" w:hAnsi="宋体" w:eastAsia="方正小标宋简体"/>
          <w:sz w:val="44"/>
          <w:szCs w:val="44"/>
          <w:lang w:val="en-US" w:eastAsia="zh-CN"/>
        </w:rPr>
        <w:t>和纪检工作经费</w:t>
      </w:r>
      <w:r>
        <w:rPr>
          <w:rFonts w:hint="eastAsia" w:ascii="方正小标宋简体" w:hAnsi="宋体" w:eastAsia="方正小标宋简体"/>
          <w:sz w:val="44"/>
          <w:szCs w:val="44"/>
        </w:rPr>
        <w:t>项目支出绩效自评报告</w:t>
      </w:r>
    </w:p>
    <w:p w14:paraId="54E17118">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现将我办2024</w:t>
      </w:r>
      <w:r>
        <w:rPr>
          <w:rFonts w:hint="eastAsia" w:ascii="仿宋_GB2312" w:hAnsi="仿宋_GB2312" w:eastAsia="仿宋_GB2312" w:cs="仿宋_GB2312"/>
          <w:color w:val="000000"/>
          <w:sz w:val="32"/>
          <w:szCs w:val="32"/>
          <w:highlight w:val="none"/>
          <w:lang w:eastAsia="zh-CN"/>
        </w:rPr>
        <w:t>年</w:t>
      </w:r>
      <w:r>
        <w:rPr>
          <w:rFonts w:hint="eastAsia" w:ascii="仿宋_GB2312" w:hAnsi="仿宋_GB2312" w:eastAsia="仿宋_GB2312" w:cs="仿宋_GB2312"/>
          <w:color w:val="000000"/>
          <w:sz w:val="32"/>
          <w:szCs w:val="32"/>
          <w:highlight w:val="none"/>
          <w:lang w:val="en-US" w:eastAsia="zh-CN"/>
        </w:rPr>
        <w:t>党建经费、纪检工作经费项目支出绩效自评报告如下。</w:t>
      </w:r>
    </w:p>
    <w:p w14:paraId="479D560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2FE88592">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（一）项目资金申报及批复情况。下</w:t>
      </w:r>
      <w:r>
        <w:rPr>
          <w:rFonts w:hint="eastAsia" w:ascii="仿宋_GB2312" w:hAnsi="仿宋_GB2312" w:eastAsia="仿宋_GB2312" w:cs="仿宋_GB2312"/>
          <w:b w:val="0"/>
          <w:bCs w:val="0"/>
          <w:sz w:val="32"/>
          <w:szCs w:val="32"/>
          <w:lang w:val="en-US" w:eastAsia="zh-CN"/>
        </w:rPr>
        <w:t>西办事处职责为：辖区内经济社区发展、安全生产、森林防火、防汛、信访维稳、房屋征收与补偿、计划生育、民政、劳动就业、社会保障、环境卫生等工作。</w:t>
      </w:r>
      <w:r>
        <w:rPr>
          <w:rFonts w:hint="eastAsia" w:ascii="仿宋_GB2312" w:hAnsi="Calibri" w:eastAsia="仿宋_GB2312" w:cs="仿宋_GB2312"/>
          <w:color w:val="auto"/>
          <w:kern w:val="2"/>
          <w:sz w:val="32"/>
          <w:szCs w:val="32"/>
          <w:lang w:val="en-US" w:eastAsia="zh-CN" w:bidi="ar-SA"/>
        </w:rPr>
        <w:t>根据上年经费支出情况，2024年申报党建经费2万元，申报纪检工作经费3万元，</w:t>
      </w:r>
      <w:r>
        <w:rPr>
          <w:rFonts w:hint="eastAsia" w:ascii="仿宋_GB2312" w:hAnsi="仿宋_GB2312" w:eastAsia="仿宋_GB2312" w:cs="仿宋_GB2312"/>
          <w:b w:val="0"/>
          <w:bCs w:val="0"/>
          <w:sz w:val="32"/>
          <w:szCs w:val="32"/>
          <w:lang w:val="en-US" w:eastAsia="zh-CN"/>
        </w:rPr>
        <w:t>共计预算5万元。</w:t>
      </w:r>
    </w:p>
    <w:p w14:paraId="5E11C946">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（二）项目绩效目标。</w:t>
      </w:r>
    </w:p>
    <w:p w14:paraId="30E00EF5">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1.</w:t>
      </w:r>
      <w:r>
        <w:rPr>
          <w:rFonts w:ascii="仿宋_GB2312" w:eastAsia="仿宋_GB2312" w:cs="仿宋_GB2312"/>
          <w:sz w:val="32"/>
          <w:szCs w:val="32"/>
        </w:rPr>
        <w:t>把党的政治建设摆在首位</w:t>
      </w:r>
      <w:r>
        <w:rPr>
          <w:rFonts w:hint="eastAsia" w:ascii="仿宋_GB2312" w:eastAsia="仿宋_GB2312" w:cs="仿宋_GB2312"/>
          <w:sz w:val="32"/>
          <w:szCs w:val="32"/>
          <w:lang w:eastAsia="zh-CN"/>
        </w:rPr>
        <w:t>，</w:t>
      </w:r>
      <w:r>
        <w:rPr>
          <w:rFonts w:ascii="仿宋_GB2312" w:eastAsia="仿宋_GB2312" w:cs="仿宋_GB2312"/>
          <w:sz w:val="32"/>
          <w:szCs w:val="32"/>
        </w:rPr>
        <w:t>健全落实党的领导制度体系，贯彻党的民主集中制，落实请示报告制度</w:t>
      </w:r>
      <w:r>
        <w:rPr>
          <w:rFonts w:hint="eastAsia" w:ascii="仿宋_GB2312" w:eastAsia="仿宋_GB2312" w:cs="仿宋_GB2312"/>
          <w:sz w:val="32"/>
          <w:szCs w:val="32"/>
          <w:lang w:eastAsia="zh-CN"/>
        </w:rPr>
        <w:t>，</w:t>
      </w:r>
      <w:r>
        <w:rPr>
          <w:rFonts w:hint="eastAsia" w:ascii="仿宋_GB2312" w:hAnsi="Times New Roman" w:eastAsia="仿宋_GB2312" w:cs="仿宋_GB2312"/>
          <w:kern w:val="2"/>
          <w:sz w:val="32"/>
          <w:szCs w:val="32"/>
          <w:lang w:val="en-US" w:eastAsia="zh-CN" w:bidi="ar-SA"/>
        </w:rPr>
        <w:t>提升基层组织力量。</w:t>
      </w:r>
    </w:p>
    <w:p w14:paraId="38AB5214">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2.</w:t>
      </w:r>
      <w:r>
        <w:rPr>
          <w:rFonts w:ascii="仿宋_GB2312" w:eastAsia="仿宋_GB2312" w:cs="仿宋_GB2312"/>
          <w:sz w:val="32"/>
          <w:szCs w:val="32"/>
        </w:rPr>
        <w:t>突出园区党建特色，深化全省非公党建示范园区建设，积极创建全市叫得响、全省有影响的党建品牌。</w:t>
      </w:r>
      <w:r>
        <w:rPr>
          <w:rFonts w:hint="eastAsia" w:ascii="仿宋_GB2312" w:eastAsia="仿宋_GB2312" w:cs="仿宋_GB2312"/>
          <w:sz w:val="32"/>
          <w:szCs w:val="32"/>
          <w:lang w:val="en-US" w:eastAsia="zh-CN"/>
        </w:rPr>
        <w:t>进行党建宣传4次以上。</w:t>
      </w:r>
    </w:p>
    <w:p w14:paraId="4F8A166B">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3.</w:t>
      </w:r>
      <w:r>
        <w:rPr>
          <w:rFonts w:ascii="仿宋_GB2312" w:eastAsia="仿宋_GB2312" w:cs="仿宋_GB2312"/>
          <w:sz w:val="32"/>
          <w:szCs w:val="32"/>
        </w:rPr>
        <w:t>坚持以</w:t>
      </w:r>
      <w:r>
        <w:rPr>
          <w:rFonts w:hint="eastAsia" w:ascii="仿宋_GB2312" w:eastAsia="仿宋_GB2312" w:cs="仿宋_GB2312"/>
          <w:sz w:val="32"/>
          <w:szCs w:val="32"/>
          <w:lang w:eastAsia="zh-CN"/>
        </w:rPr>
        <w:t>“</w:t>
      </w:r>
      <w:r>
        <w:rPr>
          <w:rFonts w:ascii="仿宋_GB2312" w:eastAsia="仿宋_GB2312" w:cs="仿宋_GB2312"/>
          <w:sz w:val="32"/>
          <w:szCs w:val="32"/>
        </w:rPr>
        <w:t>清廉</w:t>
      </w:r>
      <w:r>
        <w:rPr>
          <w:rFonts w:hint="eastAsia" w:ascii="仿宋_GB2312" w:eastAsia="仿宋_GB2312" w:cs="仿宋_GB2312"/>
          <w:sz w:val="32"/>
          <w:szCs w:val="32"/>
          <w:lang w:val="en-US" w:eastAsia="zh-CN"/>
        </w:rPr>
        <w:t>下西</w:t>
      </w:r>
      <w:r>
        <w:rPr>
          <w:rFonts w:hint="eastAsia" w:ascii="仿宋_GB2312" w:eastAsia="仿宋_GB2312" w:cs="仿宋_GB2312"/>
          <w:sz w:val="32"/>
          <w:szCs w:val="32"/>
          <w:lang w:eastAsia="zh-CN"/>
        </w:rPr>
        <w:t>”</w:t>
      </w:r>
      <w:r>
        <w:rPr>
          <w:rFonts w:ascii="仿宋_GB2312" w:eastAsia="仿宋_GB2312" w:cs="仿宋_GB2312"/>
          <w:sz w:val="32"/>
          <w:szCs w:val="32"/>
        </w:rPr>
        <w:t>建设为统揽，推进清廉园区、清廉机关、清廉窗口、清廉民企、清廉村居、清廉社会组织、清廉家庭创建活动。</w:t>
      </w:r>
      <w:r>
        <w:rPr>
          <w:rFonts w:hint="eastAsia" w:ascii="仿宋_GB2312" w:eastAsia="仿宋_GB2312" w:cs="仿宋_GB2312"/>
          <w:sz w:val="32"/>
          <w:szCs w:val="32"/>
          <w:lang w:val="en-US" w:eastAsia="zh-CN"/>
        </w:rPr>
        <w:t>加强干部廉洁教育，为辖区企业提供一个良好营商环境。</w:t>
      </w:r>
    </w:p>
    <w:p w14:paraId="18557A38">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2024年我办申报项目经费共计5万元。经财政审核后上报预算。</w:t>
      </w:r>
    </w:p>
    <w:p w14:paraId="4A842A6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二、项目实施及管理情况</w:t>
      </w:r>
    </w:p>
    <w:p w14:paraId="5F31FA2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53074119">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color w:val="000000"/>
          <w:sz w:val="32"/>
          <w:szCs w:val="32"/>
          <w:highlight w:val="none"/>
          <w:lang w:val="en-US" w:eastAsia="zh-CN"/>
        </w:rPr>
        <w:t>批复预算下达我办资金5万元。</w:t>
      </w:r>
    </w:p>
    <w:p w14:paraId="45BBECD6">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我办按年初目标主要支付廉政建设、党建知识宣传费；培训提升、差旅费；开展组织活动费；资料费及办公费。</w:t>
      </w:r>
    </w:p>
    <w:p w14:paraId="66542868">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30C95F12">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0E7327C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（三）项目组织实施情况</w:t>
      </w:r>
    </w:p>
    <w:p w14:paraId="0F58AF2C">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项目由办公室负责，全年发放党建宣传传单2000余份、书籍500余本，订阅报刊40余份，开展党建等活动50人次。</w:t>
      </w:r>
    </w:p>
    <w:p w14:paraId="66C8FEF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74C3031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76EF9282">
      <w:pPr>
        <w:pStyle w:val="7"/>
        <w:ind w:firstLine="960" w:firstLineChars="300"/>
        <w:rPr>
          <w:rFonts w:hint="eastAsia"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扎实开展“有事找纪检”推动解决群众急难愁盼问题工作，把民生痛点难点作为工作着力点，收集各类问题线索216个，推动解决民生实事201件，从严从快查办党员干部违纪违法案件，全年查处违纪党员3人，对上级交办和辖区群众举报的6条问题线索进行了调查回复，对工作落实不力的2个社区“两委”班子进行了约谈。</w:t>
      </w:r>
    </w:p>
    <w:p w14:paraId="18E33AA7">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（二）项目效益情况</w:t>
      </w:r>
    </w:p>
    <w:p w14:paraId="687C34D9">
      <w:pPr>
        <w:spacing w:line="576" w:lineRule="exact"/>
        <w:ind w:firstLine="640" w:firstLineChars="200"/>
        <w:rPr>
          <w:rFonts w:hint="eastAsia" w:ascii="仿宋_GB2312" w:eastAsia="仿宋_GB2312" w:cs="仿宋_GB2312"/>
          <w:sz w:val="32"/>
          <w:szCs w:val="32"/>
          <w:lang w:val="en-US" w:eastAsia="zh-CN"/>
        </w:rPr>
      </w:pPr>
      <w:r>
        <w:rPr>
          <w:rFonts w:hint="eastAsia" w:ascii="仿宋_GB2312" w:hAnsi="仿宋_GB2312" w:eastAsia="仿宋_GB2312" w:cs="仿宋_GB2312"/>
          <w:color w:val="000000"/>
          <w:sz w:val="32"/>
          <w:szCs w:val="32"/>
          <w:highlight w:val="none"/>
          <w:lang w:eastAsia="zh-CN"/>
        </w:rPr>
        <w:t>加强党的政治建设，</w:t>
      </w:r>
      <w:r>
        <w:rPr>
          <w:rFonts w:hint="eastAsia" w:ascii="仿宋_GB2312" w:hAnsi="仿宋_GB2312" w:eastAsia="仿宋_GB2312" w:cs="仿宋_GB2312"/>
          <w:color w:val="000000"/>
          <w:sz w:val="32"/>
          <w:szCs w:val="32"/>
          <w:highlight w:val="none"/>
          <w:lang w:val="en-US" w:eastAsia="zh-CN"/>
        </w:rPr>
        <w:t>加强党的思想建设，加强基层组织建设，加强干部队伍建设，加强党风廉政建设。通过对少数违纪党员党纪处分，警醒辖区党员干部。</w:t>
      </w:r>
    </w:p>
    <w:p w14:paraId="34AFCE8F">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490CFC4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zh-CN"/>
        </w:rPr>
        <w:t>（一）存在的问题。</w:t>
      </w:r>
      <w:r>
        <w:rPr>
          <w:rFonts w:hint="eastAsia" w:ascii="楷体_GB2312" w:hAnsi="楷体_GB2312" w:eastAsia="楷体_GB2312" w:cs="楷体_GB2312"/>
          <w:b w:val="0"/>
          <w:bCs w:val="0"/>
          <w:sz w:val="32"/>
          <w:szCs w:val="32"/>
          <w:lang w:val="en-US" w:eastAsia="zh-CN"/>
        </w:rPr>
        <w:t>无</w:t>
      </w:r>
    </w:p>
    <w:p w14:paraId="585B5360">
      <w:pPr>
        <w:pStyle w:val="13"/>
        <w:ind w:firstLine="640" w:firstLineChars="200"/>
        <w:jc w:val="both"/>
        <w:rPr>
          <w:rFonts w:hint="eastAsia" w:eastAsia="楷体_GB2312"/>
          <w:lang w:val="en-US" w:eastAsia="zh-CN"/>
        </w:rPr>
      </w:pPr>
      <w:r>
        <w:rPr>
          <w:rFonts w:hint="eastAsia" w:ascii="楷体_GB2312" w:hAnsi="楷体_GB2312" w:eastAsia="楷体_GB2312" w:cs="楷体_GB2312"/>
          <w:b w:val="0"/>
          <w:bCs w:val="0"/>
          <w:sz w:val="32"/>
          <w:szCs w:val="32"/>
          <w:lang w:val="zh-CN"/>
        </w:rPr>
        <w:t>（二）相关建议。</w:t>
      </w:r>
      <w:r>
        <w:rPr>
          <w:rFonts w:hint="eastAsia" w:ascii="仿宋_GB2312" w:hAnsi="仿宋_GB2312" w:eastAsia="仿宋_GB2312" w:cs="仿宋_GB2312"/>
          <w:b w:val="0"/>
          <w:bCs w:val="0"/>
          <w:sz w:val="32"/>
          <w:szCs w:val="32"/>
          <w:lang w:val="en-US" w:eastAsia="zh-CN"/>
        </w:rPr>
        <w:t>无</w:t>
      </w:r>
    </w:p>
    <w:p w14:paraId="774C094E">
      <w:pPr>
        <w:pStyle w:val="8"/>
        <w:rPr>
          <w:rFonts w:hint="eastAsia"/>
          <w:lang w:val="en-US" w:eastAsia="zh-CN"/>
        </w:rPr>
      </w:pPr>
    </w:p>
    <w:p w14:paraId="7F896388">
      <w:pPr>
        <w:pStyle w:val="8"/>
        <w:rPr>
          <w:rFonts w:hint="eastAsia"/>
          <w:lang w:val="en-US" w:eastAsia="zh-CN"/>
        </w:rPr>
      </w:pPr>
    </w:p>
    <w:p w14:paraId="06EAA00B">
      <w:pPr>
        <w:pStyle w:val="8"/>
        <w:rPr>
          <w:rFonts w:hint="eastAsia"/>
          <w:lang w:val="en-US" w:eastAsia="zh-CN"/>
        </w:rPr>
      </w:pPr>
    </w:p>
    <w:p w14:paraId="6DEBE7B9">
      <w:pPr>
        <w:rPr>
          <w:rFonts w:hint="eastAsia" w:ascii="方正小标宋简体" w:hAnsi="宋体" w:eastAsia="方正小标宋简体"/>
          <w:sz w:val="44"/>
          <w:szCs w:val="44"/>
          <w:lang w:val="en-US" w:eastAsia="zh-CN"/>
        </w:rPr>
      </w:pPr>
      <w:r>
        <w:rPr>
          <w:rFonts w:hint="eastAsia" w:ascii="方正小标宋简体" w:hAnsi="宋体" w:eastAsia="方正小标宋简体"/>
          <w:sz w:val="44"/>
          <w:szCs w:val="44"/>
          <w:lang w:val="en-US" w:eastAsia="zh-CN"/>
        </w:rPr>
        <w:br w:type="page"/>
      </w:r>
    </w:p>
    <w:p w14:paraId="79E4BCF3">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sz w:val="44"/>
          <w:szCs w:val="44"/>
        </w:rPr>
      </w:pPr>
      <w:r>
        <w:rPr>
          <w:rFonts w:hint="eastAsia" w:ascii="方正小标宋简体" w:hAnsi="宋体" w:eastAsia="方正小标宋简体"/>
          <w:sz w:val="44"/>
          <w:szCs w:val="44"/>
          <w:lang w:val="en-US" w:eastAsia="zh-CN"/>
        </w:rPr>
        <w:t>下西</w:t>
      </w:r>
      <w:r>
        <w:rPr>
          <w:rFonts w:hint="eastAsia" w:ascii="方正小标宋简体" w:hAnsi="宋体" w:eastAsia="方正小标宋简体"/>
          <w:sz w:val="44"/>
          <w:szCs w:val="44"/>
          <w:lang w:val="en-US"/>
        </w:rPr>
        <w:t>202</w:t>
      </w:r>
      <w:r>
        <w:rPr>
          <w:rFonts w:hint="eastAsia" w:ascii="方正小标宋简体" w:hAnsi="宋体" w:eastAsia="方正小标宋简体"/>
          <w:sz w:val="44"/>
          <w:szCs w:val="44"/>
          <w:lang w:val="en-US" w:eastAsia="zh-CN"/>
        </w:rPr>
        <w:t>4</w:t>
      </w:r>
      <w:r>
        <w:rPr>
          <w:rFonts w:hint="eastAsia" w:ascii="方正小标宋简体" w:hAnsi="宋体" w:eastAsia="方正小标宋简体"/>
          <w:sz w:val="44"/>
          <w:szCs w:val="44"/>
          <w:lang w:val="en-US"/>
        </w:rPr>
        <w:t>年信访维稳经费</w:t>
      </w:r>
      <w:r>
        <w:rPr>
          <w:rFonts w:hint="eastAsia" w:ascii="方正小标宋简体" w:hAnsi="宋体" w:eastAsia="方正小标宋简体"/>
          <w:sz w:val="44"/>
          <w:szCs w:val="44"/>
        </w:rPr>
        <w:t>项目支出绩效自评报告</w:t>
      </w:r>
    </w:p>
    <w:p w14:paraId="55CA1A27">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auto"/>
          <w:kern w:val="2"/>
          <w:sz w:val="32"/>
          <w:szCs w:val="32"/>
        </w:rPr>
      </w:pPr>
    </w:p>
    <w:p w14:paraId="55D132CF">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现将我办信访维稳经费</w:t>
      </w:r>
      <w:r>
        <w:rPr>
          <w:rFonts w:hint="eastAsia" w:ascii="仿宋_GB2312" w:hAnsi="仿宋_GB2312" w:eastAsia="仿宋_GB2312" w:cs="仿宋_GB2312"/>
          <w:color w:val="000000"/>
          <w:sz w:val="32"/>
          <w:szCs w:val="32"/>
          <w:highlight w:val="none"/>
          <w:lang w:eastAsia="zh-CN"/>
        </w:rPr>
        <w:t>项目</w:t>
      </w:r>
      <w:r>
        <w:rPr>
          <w:rFonts w:hint="eastAsia" w:ascii="仿宋_GB2312" w:hAnsi="仿宋_GB2312" w:eastAsia="仿宋_GB2312" w:cs="仿宋_GB2312"/>
          <w:color w:val="000000"/>
          <w:sz w:val="32"/>
          <w:szCs w:val="32"/>
          <w:highlight w:val="none"/>
          <w:lang w:val="en-US" w:eastAsia="zh-CN"/>
        </w:rPr>
        <w:t>支出绩效自评报告如下。</w:t>
      </w:r>
    </w:p>
    <w:p w14:paraId="6FA2FD2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val="zh-CN"/>
        </w:rPr>
        <w:t>项目概况</w:t>
      </w:r>
    </w:p>
    <w:p w14:paraId="1156E9DE">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（一）项目资金申报及批复情况。</w:t>
      </w:r>
      <w:r>
        <w:rPr>
          <w:rFonts w:hint="eastAsia" w:ascii="仿宋_GB2312" w:hAnsi="Calibri" w:eastAsia="仿宋_GB2312" w:cs="仿宋_GB2312"/>
          <w:color w:val="auto"/>
          <w:kern w:val="2"/>
          <w:sz w:val="32"/>
          <w:szCs w:val="32"/>
          <w:lang w:val="en-US" w:eastAsia="zh-CN" w:bidi="ar-SA"/>
        </w:rPr>
        <w:t>下西坝办事处职能简介负责辖区内企业服务、安全生产、信访维稳、房屋征收与补偿、计划生育、民政、劳动就业、社会保障、环境卫生等工作。2024年下西坝办事处根据2024年信访、维稳工作开展，</w:t>
      </w:r>
      <w:r>
        <w:rPr>
          <w:rFonts w:hint="eastAsia" w:ascii="仿宋_GB2312" w:hAnsi="仿宋_GB2312" w:eastAsia="仿宋_GB2312" w:cs="仿宋_GB2312"/>
          <w:b w:val="0"/>
          <w:bCs w:val="0"/>
          <w:sz w:val="32"/>
          <w:szCs w:val="32"/>
          <w:lang w:val="en-US" w:eastAsia="zh-CN"/>
        </w:rPr>
        <w:t>批复预算18万元。</w:t>
      </w:r>
    </w:p>
    <w:p w14:paraId="550E5B94">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（二）项目绩效目标。</w:t>
      </w:r>
    </w:p>
    <w:p w14:paraId="7B266DE4">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eastAsia="仿宋_GB2312" w:cs="仿宋_GB2312"/>
          <w:color w:val="auto"/>
          <w:sz w:val="32"/>
          <w:szCs w:val="32"/>
          <w:lang w:eastAsia="zh-CN"/>
        </w:rPr>
      </w:pP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color w:val="auto"/>
          <w:sz w:val="32"/>
          <w:szCs w:val="32"/>
          <w:lang w:val="en-US" w:eastAsia="zh-CN"/>
        </w:rPr>
        <w:t>调解信访遗留问题 10 件以上</w:t>
      </w:r>
      <w:r>
        <w:rPr>
          <w:rFonts w:hint="eastAsia" w:ascii="仿宋_GB2312" w:eastAsia="仿宋_GB2312" w:cs="仿宋_GB2312"/>
          <w:color w:val="auto"/>
          <w:sz w:val="32"/>
          <w:szCs w:val="32"/>
          <w:lang w:eastAsia="zh-CN"/>
        </w:rPr>
        <w:t>。</w:t>
      </w:r>
    </w:p>
    <w:p w14:paraId="17DE694D">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b w:val="0"/>
          <w:bCs w:val="0"/>
          <w:color w:val="auto"/>
          <w:sz w:val="32"/>
          <w:szCs w:val="32"/>
          <w:shd w:val="clear" w:color="auto" w:fill="FFFFFF"/>
          <w:lang w:val="en-US" w:eastAsia="zh-CN"/>
        </w:rPr>
      </w:pPr>
      <w:r>
        <w:rPr>
          <w:rFonts w:hint="eastAsia" w:ascii="仿宋_GB2312" w:hAnsi="仿宋_GB2312" w:eastAsia="仿宋_GB2312" w:cs="仿宋_GB2312"/>
          <w:b w:val="0"/>
          <w:bCs w:val="0"/>
          <w:sz w:val="32"/>
          <w:szCs w:val="32"/>
          <w:lang w:val="en-US" w:eastAsia="zh-CN"/>
        </w:rPr>
        <w:t>2.</w:t>
      </w:r>
      <w:r>
        <w:rPr>
          <w:rFonts w:hint="eastAsia" w:ascii="仿宋_GB2312" w:hAnsi="仿宋_GB2312" w:eastAsia="仿宋_GB2312" w:cs="仿宋_GB2312"/>
          <w:color w:val="auto"/>
          <w:sz w:val="32"/>
          <w:szCs w:val="32"/>
          <w:shd w:val="clear" w:color="auto" w:fill="FFFFFF"/>
          <w:lang w:val="en-US" w:eastAsia="zh-CN"/>
        </w:rPr>
        <w:t>在依法治理、城环综治、扫黑除恶、信访、</w:t>
      </w:r>
      <w:r>
        <w:rPr>
          <w:rFonts w:hint="eastAsia" w:ascii="仿宋_GB2312" w:hAnsi="仿宋_GB2312" w:eastAsia="仿宋_GB2312" w:cs="仿宋_GB2312"/>
          <w:b w:val="0"/>
          <w:bCs w:val="0"/>
          <w:color w:val="auto"/>
          <w:sz w:val="32"/>
          <w:szCs w:val="32"/>
          <w:shd w:val="clear" w:color="auto" w:fill="FFFFFF"/>
          <w:lang w:val="en-US" w:eastAsia="zh-CN"/>
        </w:rPr>
        <w:t>禁毒、防邪、反诈、网格化管理、矛盾纠纷多元化解、</w:t>
      </w:r>
      <w:r>
        <w:rPr>
          <w:rFonts w:hint="eastAsia" w:ascii="仿宋_GB2312" w:hAnsi="仿宋_GB2312" w:eastAsia="仿宋_GB2312" w:cs="仿宋_GB2312"/>
          <w:b w:val="0"/>
          <w:bCs w:val="0"/>
          <w:i w:val="0"/>
          <w:caps w:val="0"/>
          <w:color w:val="auto"/>
          <w:spacing w:val="0"/>
          <w:sz w:val="32"/>
          <w:szCs w:val="32"/>
          <w:shd w:val="clear" w:color="auto" w:fill="FFFFFF"/>
          <w:lang w:val="en-US" w:eastAsia="zh-CN"/>
        </w:rPr>
        <w:t>国家安全人民防线建设以及</w:t>
      </w:r>
      <w:r>
        <w:rPr>
          <w:rFonts w:hint="eastAsia" w:ascii="仿宋_GB2312" w:hAnsi="仿宋_GB2312" w:eastAsia="仿宋_GB2312" w:cs="仿宋_GB2312"/>
          <w:b w:val="0"/>
          <w:bCs w:val="0"/>
          <w:color w:val="auto"/>
          <w:sz w:val="32"/>
          <w:szCs w:val="32"/>
          <w:shd w:val="clear" w:color="auto" w:fill="FFFFFF"/>
          <w:lang w:val="en-US" w:eastAsia="zh-CN"/>
        </w:rPr>
        <w:t>铁路护路输油气管线护线等领域统筹发力，尤其聚焦元旦、春节、“两会”以及成都大运会等时间节点精研细判，确保万无一失。</w:t>
      </w:r>
    </w:p>
    <w:p w14:paraId="7A795C10">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b w:val="0"/>
          <w:bCs w:val="0"/>
          <w:sz w:val="32"/>
          <w:szCs w:val="32"/>
          <w:lang w:val="en-US" w:eastAsia="zh-CN"/>
        </w:rPr>
        <w:t>3.</w:t>
      </w:r>
      <w:r>
        <w:rPr>
          <w:rFonts w:hint="eastAsia" w:ascii="仿宋_GB2312" w:hAnsi="仿宋_GB2312" w:eastAsia="仿宋_GB2312" w:cs="仿宋_GB2312"/>
          <w:b w:val="0"/>
          <w:bCs w:val="0"/>
          <w:color w:val="auto"/>
          <w:sz w:val="32"/>
          <w:szCs w:val="32"/>
          <w:lang w:eastAsia="zh-CN"/>
        </w:rPr>
        <w:t>充分发挥人民调解功能，</w:t>
      </w:r>
      <w:r>
        <w:rPr>
          <w:rFonts w:hint="eastAsia" w:ascii="仿宋_GB2312" w:hAnsi="仿宋_GB2312" w:eastAsia="仿宋_GB2312" w:cs="仿宋_GB2312"/>
          <w:color w:val="auto"/>
          <w:sz w:val="32"/>
          <w:szCs w:val="32"/>
          <w:lang w:val="en-US" w:eastAsia="zh-CN"/>
        </w:rPr>
        <w:t>化解矛盾于基层，</w:t>
      </w:r>
      <w:r>
        <w:rPr>
          <w:rFonts w:hint="eastAsia" w:ascii="仿宋_GB2312" w:hAnsi="仿宋_GB2312" w:eastAsia="仿宋_GB2312" w:cs="仿宋_GB2312"/>
          <w:color w:val="auto"/>
          <w:sz w:val="32"/>
          <w:szCs w:val="32"/>
        </w:rPr>
        <w:t>办结率、满意度达100%</w:t>
      </w:r>
      <w:r>
        <w:rPr>
          <w:rFonts w:hint="eastAsia" w:ascii="仿宋_GB2312" w:hAnsi="仿宋_GB2312" w:eastAsia="仿宋_GB2312" w:cs="仿宋_GB2312"/>
          <w:color w:val="auto"/>
          <w:sz w:val="32"/>
          <w:szCs w:val="32"/>
          <w:lang w:eastAsia="zh-CN"/>
        </w:rPr>
        <w:t>。</w:t>
      </w:r>
    </w:p>
    <w:p w14:paraId="6611914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sz w:val="32"/>
          <w:szCs w:val="32"/>
          <w:lang w:val="en-US" w:eastAsia="zh-CN"/>
        </w:rPr>
      </w:pPr>
      <w:r>
        <w:rPr>
          <w:rFonts w:hint="eastAsia" w:ascii="楷体_GB2312" w:hAnsi="楷体_GB2312" w:eastAsia="楷体_GB2312" w:cs="楷体_GB2312"/>
          <w:b w:val="0"/>
          <w:bCs w:val="0"/>
          <w:sz w:val="32"/>
          <w:szCs w:val="32"/>
          <w:lang w:val="zh-CN"/>
        </w:rPr>
        <w:t>（三）项目资金申报相符性。</w:t>
      </w:r>
      <w:r>
        <w:rPr>
          <w:rFonts w:hint="eastAsia" w:ascii="仿宋_GB2312" w:hAnsi="仿宋_GB2312" w:eastAsia="仿宋_GB2312" w:cs="仿宋_GB2312"/>
          <w:b w:val="0"/>
          <w:bCs w:val="0"/>
          <w:sz w:val="32"/>
          <w:szCs w:val="32"/>
          <w:lang w:val="en-US" w:eastAsia="zh-CN"/>
        </w:rPr>
        <w:t>2024年我办申报项目经费共计18万元。经财政审核后批复预算。</w:t>
      </w:r>
    </w:p>
    <w:p w14:paraId="1DF0E81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二、项目实施及管理情况</w:t>
      </w:r>
    </w:p>
    <w:p w14:paraId="390EF382">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（一）资金计划、到位及使用情况</w:t>
      </w:r>
    </w:p>
    <w:p w14:paraId="1EDDBA2D">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1．资金计划及到位。</w:t>
      </w:r>
      <w:r>
        <w:rPr>
          <w:rFonts w:hint="eastAsia" w:ascii="仿宋_GB2312" w:hAnsi="仿宋_GB2312" w:eastAsia="仿宋_GB2312" w:cs="仿宋_GB2312"/>
          <w:b w:val="0"/>
          <w:bCs w:val="0"/>
          <w:sz w:val="32"/>
          <w:szCs w:val="32"/>
          <w:lang w:val="en-US" w:eastAsia="zh-CN"/>
        </w:rPr>
        <w:t>批复预算18万元。</w:t>
      </w:r>
    </w:p>
    <w:p w14:paraId="623961F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zh-CN"/>
        </w:rPr>
        <w:t>2．资金使用。</w:t>
      </w:r>
      <w:r>
        <w:rPr>
          <w:rFonts w:hint="eastAsia" w:ascii="仿宋_GB2312" w:hAnsi="仿宋_GB2312" w:eastAsia="仿宋_GB2312" w:cs="仿宋_GB2312"/>
          <w:b w:val="0"/>
          <w:bCs w:val="0"/>
          <w:sz w:val="32"/>
          <w:szCs w:val="32"/>
          <w:lang w:val="en-US" w:eastAsia="zh-CN"/>
        </w:rPr>
        <w:t>我办按目标主要支付信访宣传费、化解矛盾支出差旅费、劳务费，村社维稳经费、办公费。</w:t>
      </w:r>
    </w:p>
    <w:p w14:paraId="2E9806A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（二）项目财务管理情况</w:t>
      </w:r>
    </w:p>
    <w:p w14:paraId="48C8792F">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42C5107F">
      <w:pPr>
        <w:keepNext w:val="0"/>
        <w:keepLines w:val="0"/>
        <w:pageBreakBefore w:val="0"/>
        <w:widowControl w:val="0"/>
        <w:numPr>
          <w:ilvl w:val="0"/>
          <w:numId w:val="4"/>
        </w:numPr>
        <w:kinsoku/>
        <w:wordWrap/>
        <w:overflowPunct/>
        <w:topLinePunct w:val="0"/>
        <w:autoSpaceDE/>
        <w:autoSpaceDN/>
        <w:bidi w:val="0"/>
        <w:adjustRightInd w:val="0"/>
        <w:snapToGrid w:val="0"/>
        <w:spacing w:line="570" w:lineRule="exact"/>
        <w:ind w:left="-210" w:leftChars="-100"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项目组织实施情况</w:t>
      </w:r>
    </w:p>
    <w:p w14:paraId="01D08D41">
      <w:pPr>
        <w:keepNext w:val="0"/>
        <w:keepLines w:val="0"/>
        <w:pageBreakBefore w:val="0"/>
        <w:kinsoku/>
        <w:overflowPunct/>
        <w:topLinePunct w:val="0"/>
        <w:bidi w:val="0"/>
        <w:snapToGrid/>
        <w:spacing w:line="576" w:lineRule="exact"/>
        <w:ind w:leftChars="0" w:firstLine="640" w:firstLineChars="200"/>
        <w:textAlignment w:val="auto"/>
        <w:rPr>
          <w:rFonts w:hint="eastAsia" w:ascii="仿宋_GB2312" w:hAnsi="仿宋_GB2312" w:eastAsia="仿宋_GB2312" w:cs="仿宋_GB2312"/>
          <w:b w:val="0"/>
          <w:bCs w:val="0"/>
          <w:spacing w:val="0"/>
          <w:sz w:val="32"/>
          <w:szCs w:val="32"/>
          <w:lang w:val="en-US" w:eastAsia="zh-CN"/>
        </w:rPr>
      </w:pPr>
      <w:r>
        <w:rPr>
          <w:rFonts w:hint="eastAsia" w:ascii="仿宋_GB2312" w:hAnsi="仿宋_GB2312" w:eastAsia="仿宋_GB2312" w:cs="仿宋_GB2312"/>
          <w:sz w:val="32"/>
          <w:szCs w:val="32"/>
          <w:lang w:val="zh-CN" w:eastAsia="zh-CN"/>
        </w:rPr>
        <w:t>规范建设街道矛盾纠纷调处化解中心。</w:t>
      </w:r>
      <w:r>
        <w:rPr>
          <w:rFonts w:hint="eastAsia" w:ascii="仿宋_GB2312" w:hAnsi="仿宋_GB2312" w:eastAsia="仿宋_GB2312" w:cs="仿宋_GB2312"/>
          <w:sz w:val="32"/>
          <w:szCs w:val="32"/>
          <w:lang w:val="zh-CN"/>
        </w:rPr>
        <w:t>对辖区内各社区的人民调解工作进行认真摸排，了解其工作落实情况，并协助街道、社区做好矛盾化解工作。</w:t>
      </w:r>
      <w:r>
        <w:rPr>
          <w:rFonts w:hint="eastAsia" w:ascii="仿宋_GB2312" w:hAnsi="仿宋_GB2312" w:eastAsia="仿宋_GB2312" w:cs="仿宋_GB2312"/>
          <w:bCs/>
          <w:spacing w:val="0"/>
          <w:sz w:val="32"/>
          <w:szCs w:val="32"/>
        </w:rPr>
        <w:t>建立健全禁毒工作长效机制，印发《下西坝街道202</w:t>
      </w:r>
      <w:r>
        <w:rPr>
          <w:rFonts w:hint="eastAsia" w:ascii="仿宋_GB2312" w:hAnsi="仿宋_GB2312" w:eastAsia="仿宋_GB2312" w:cs="仿宋_GB2312"/>
          <w:bCs/>
          <w:spacing w:val="0"/>
          <w:sz w:val="32"/>
          <w:szCs w:val="32"/>
          <w:lang w:val="en-US" w:eastAsia="zh-CN"/>
        </w:rPr>
        <w:t>4</w:t>
      </w:r>
      <w:r>
        <w:rPr>
          <w:rFonts w:hint="eastAsia" w:ascii="仿宋_GB2312" w:hAnsi="仿宋_GB2312" w:eastAsia="仿宋_GB2312" w:cs="仿宋_GB2312"/>
          <w:bCs/>
          <w:spacing w:val="0"/>
          <w:sz w:val="32"/>
          <w:szCs w:val="32"/>
        </w:rPr>
        <w:t>年禁种铲毒工作方案》，成立禁种铲毒工作领导小组，确保禁种铲毒工作组织有力</w:t>
      </w:r>
      <w:r>
        <w:rPr>
          <w:rFonts w:hint="eastAsia" w:ascii="仿宋_GB2312" w:hAnsi="仿宋_GB2312" w:eastAsia="仿宋_GB2312" w:cs="仿宋_GB2312"/>
          <w:bCs/>
          <w:spacing w:val="0"/>
          <w:sz w:val="32"/>
          <w:szCs w:val="32"/>
          <w:lang w:eastAsia="zh-CN"/>
        </w:rPr>
        <w:t>。</w:t>
      </w:r>
    </w:p>
    <w:p w14:paraId="78F72732">
      <w:pPr>
        <w:pStyle w:val="31"/>
        <w:numPr>
          <w:ilvl w:val="0"/>
          <w:numId w:val="0"/>
        </w:numPr>
        <w:ind w:leftChars="100" w:firstLine="640" w:firstLineChars="200"/>
        <w:rPr>
          <w:rFonts w:hint="eastAsia" w:ascii="仿宋_GB2312" w:hAnsi="仿宋_GB2312" w:eastAsia="仿宋_GB2312" w:cs="仿宋_GB2312"/>
          <w:sz w:val="32"/>
          <w:szCs w:val="32"/>
          <w:lang w:val="zh-CN"/>
        </w:rPr>
      </w:pPr>
    </w:p>
    <w:p w14:paraId="59F2053A">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lang w:val="zh-CN"/>
        </w:rPr>
      </w:pPr>
      <w:r>
        <w:rPr>
          <w:rFonts w:hint="eastAsia" w:ascii="黑体" w:hAnsi="黑体" w:eastAsia="黑体" w:cs="黑体"/>
          <w:b w:val="0"/>
          <w:bCs w:val="0"/>
          <w:sz w:val="32"/>
          <w:szCs w:val="32"/>
        </w:rPr>
        <w:t>三、项目绩效情况</w:t>
      </w:r>
      <w:r>
        <w:rPr>
          <w:rFonts w:hint="eastAsia" w:ascii="黑体" w:hAnsi="黑体" w:eastAsia="黑体" w:cs="黑体"/>
          <w:b w:val="0"/>
          <w:bCs w:val="0"/>
          <w:sz w:val="32"/>
          <w:szCs w:val="32"/>
          <w:lang w:val="zh-CN"/>
        </w:rPr>
        <w:tab/>
      </w:r>
    </w:p>
    <w:p w14:paraId="30179E0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（一）项目完成情况</w:t>
      </w:r>
    </w:p>
    <w:p w14:paraId="442464D7">
      <w:pPr>
        <w:keepNext w:val="0"/>
        <w:keepLines w:val="0"/>
        <w:pageBreakBefore w:val="0"/>
        <w:kinsoku/>
        <w:overflowPunct/>
        <w:topLinePunct w:val="0"/>
        <w:bidi w:val="0"/>
        <w:snapToGrid/>
        <w:spacing w:line="576" w:lineRule="exact"/>
        <w:ind w:leftChars="0" w:firstLine="640" w:firstLineChars="200"/>
        <w:textAlignment w:val="auto"/>
        <w:rPr>
          <w:rFonts w:hint="eastAsia" w:ascii="仿宋_GB2312" w:hAnsi="仿宋_GB2312" w:eastAsia="仿宋_GB2312" w:cs="仿宋_GB2312"/>
          <w:b w:val="0"/>
          <w:bCs w:val="0"/>
          <w:color w:val="auto"/>
          <w:sz w:val="32"/>
          <w:szCs w:val="32"/>
          <w:lang w:val="en-US" w:eastAsia="zh-CN"/>
        </w:rPr>
      </w:pPr>
      <w:r>
        <w:rPr>
          <w:rFonts w:hint="eastAsia" w:ascii="仿宋_GB2312" w:hAnsi="黑体" w:eastAsia="仿宋_GB2312"/>
          <w:spacing w:val="0"/>
          <w:sz w:val="32"/>
          <w:szCs w:val="32"/>
          <w:lang w:eastAsia="zh-CN"/>
        </w:rPr>
        <w:t>全年</w:t>
      </w:r>
      <w:r>
        <w:rPr>
          <w:rFonts w:hint="eastAsia" w:ascii="仿宋_GB2312" w:hAnsi="仿宋_GB2312" w:eastAsia="仿宋_GB2312" w:cs="仿宋_GB2312"/>
          <w:spacing w:val="0"/>
          <w:sz w:val="32"/>
          <w:szCs w:val="32"/>
          <w:lang w:val="en-US" w:eastAsia="zh-CN"/>
        </w:rPr>
        <w:t>街道共计调查处理回复书信类信访件8件(其中省委巡视组3件)，</w:t>
      </w:r>
      <w:r>
        <w:rPr>
          <w:rFonts w:hint="eastAsia" w:ascii="仿宋_GB2312" w:hAnsi="楷体_GB2312" w:eastAsia="仿宋_GB2312" w:cs="楷体_GB2312"/>
          <w:spacing w:val="0"/>
          <w:sz w:val="32"/>
          <w:szCs w:val="32"/>
          <w:lang w:eastAsia="zh-CN"/>
        </w:rPr>
        <w:t>于去年</w:t>
      </w:r>
      <w:r>
        <w:rPr>
          <w:rFonts w:hint="eastAsia" w:ascii="仿宋_GB2312" w:hAnsi="仿宋_GB2312" w:eastAsia="仿宋_GB2312" w:cs="仿宋_GB2312"/>
          <w:spacing w:val="0"/>
          <w:sz w:val="32"/>
          <w:szCs w:val="32"/>
          <w:lang w:val="en-US" w:eastAsia="zh-CN"/>
        </w:rPr>
        <w:t>同比下降20%（去年10件）</w:t>
      </w:r>
      <w:r>
        <w:rPr>
          <w:rFonts w:hint="eastAsia" w:ascii="仿宋_GB2312" w:hAnsi="楷体_GB2312" w:eastAsia="仿宋_GB2312" w:cs="楷体_GB2312"/>
          <w:spacing w:val="0"/>
          <w:sz w:val="32"/>
          <w:szCs w:val="32"/>
        </w:rPr>
        <w:t>，</w:t>
      </w:r>
      <w:r>
        <w:rPr>
          <w:rFonts w:hint="eastAsia" w:ascii="仿宋_GB2312" w:hAnsi="黑体" w:eastAsia="仿宋_GB2312"/>
          <w:spacing w:val="0"/>
          <w:sz w:val="32"/>
          <w:szCs w:val="32"/>
        </w:rPr>
        <w:t>回复率达100%，处理率达</w:t>
      </w:r>
      <w:r>
        <w:rPr>
          <w:rFonts w:hint="eastAsia" w:ascii="仿宋_GB2312" w:hAnsi="黑体" w:eastAsia="仿宋_GB2312"/>
          <w:spacing w:val="0"/>
          <w:sz w:val="32"/>
          <w:szCs w:val="32"/>
          <w:lang w:val="en-US" w:eastAsia="zh-CN"/>
        </w:rPr>
        <w:t>100</w:t>
      </w:r>
      <w:r>
        <w:rPr>
          <w:rFonts w:hint="eastAsia" w:ascii="仿宋_GB2312" w:hAnsi="黑体" w:eastAsia="仿宋_GB2312"/>
          <w:spacing w:val="0"/>
          <w:sz w:val="32"/>
          <w:szCs w:val="32"/>
        </w:rPr>
        <w:t>%，绝大多数信访人已经停访息诉。</w:t>
      </w:r>
      <w:r>
        <w:rPr>
          <w:rFonts w:hint="eastAsia" w:ascii="仿宋_GB2312" w:hAnsi="仿宋_GB2312" w:eastAsia="仿宋_GB2312" w:cs="仿宋_GB2312"/>
          <w:spacing w:val="0"/>
          <w:sz w:val="32"/>
          <w:szCs w:val="32"/>
          <w:lang w:val="en-US" w:eastAsia="zh-CN"/>
        </w:rPr>
        <w:t>处理各类上访、集访事件共计5批次，</w:t>
      </w:r>
      <w:r>
        <w:rPr>
          <w:rFonts w:hint="eastAsia" w:ascii="仿宋_GB2312" w:hAnsi="楷体_GB2312" w:eastAsia="仿宋_GB2312" w:cs="楷体_GB2312"/>
          <w:spacing w:val="0"/>
          <w:sz w:val="32"/>
          <w:szCs w:val="32"/>
          <w:lang w:eastAsia="zh-CN"/>
        </w:rPr>
        <w:t>于去年相同</w:t>
      </w:r>
      <w:r>
        <w:rPr>
          <w:rFonts w:hint="eastAsia" w:ascii="仿宋_GB2312" w:hAnsi="仿宋_GB2312" w:eastAsia="仿宋_GB2312" w:cs="仿宋_GB2312"/>
          <w:spacing w:val="0"/>
          <w:sz w:val="32"/>
          <w:szCs w:val="32"/>
          <w:lang w:val="en-US" w:eastAsia="zh-CN"/>
        </w:rPr>
        <w:t>（去年5起），涉及五十人。</w:t>
      </w:r>
      <w:r>
        <w:rPr>
          <w:rFonts w:hint="eastAsia" w:ascii="仿宋_GB2312" w:hAnsi="仿宋_GB2312" w:eastAsia="仿宋_GB2312" w:cs="仿宋_GB2312"/>
          <w:bCs/>
          <w:spacing w:val="0"/>
          <w:sz w:val="32"/>
          <w:szCs w:val="32"/>
        </w:rPr>
        <w:t>对街道</w:t>
      </w:r>
      <w:r>
        <w:rPr>
          <w:rFonts w:hint="eastAsia" w:ascii="仿宋_GB2312" w:hAnsi="仿宋_GB2312" w:eastAsia="仿宋_GB2312" w:cs="仿宋_GB2312"/>
          <w:bCs/>
          <w:spacing w:val="0"/>
          <w:sz w:val="32"/>
          <w:szCs w:val="32"/>
          <w:lang w:val="en-US" w:eastAsia="zh-CN"/>
        </w:rPr>
        <w:t>13</w:t>
      </w:r>
      <w:r>
        <w:rPr>
          <w:rFonts w:hint="eastAsia" w:ascii="仿宋_GB2312" w:hAnsi="仿宋_GB2312" w:eastAsia="仿宋_GB2312" w:cs="仿宋_GB2312"/>
          <w:bCs/>
          <w:spacing w:val="0"/>
          <w:sz w:val="32"/>
          <w:szCs w:val="32"/>
        </w:rPr>
        <w:t>名吸毒人员进行智码风险评估，建立吸毒人员风险评估三色码台账。</w:t>
      </w:r>
      <w:r>
        <w:rPr>
          <w:rFonts w:hint="eastAsia" w:ascii="仿宋_GB2312" w:hAnsi="仿宋_GB2312" w:eastAsia="仿宋_GB2312" w:cs="仿宋_GB2312"/>
          <w:bCs/>
          <w:spacing w:val="0"/>
          <w:sz w:val="32"/>
          <w:szCs w:val="32"/>
          <w:lang w:val="en-US" w:eastAsia="zh-CN"/>
        </w:rPr>
        <w:t>已戒毒6人，康复7人</w:t>
      </w:r>
      <w:r>
        <w:rPr>
          <w:rFonts w:hint="eastAsia" w:ascii="仿宋_GB2312" w:hAnsi="仿宋_GB2312" w:eastAsia="仿宋_GB2312" w:cs="仿宋_GB2312"/>
          <w:bCs/>
          <w:spacing w:val="0"/>
          <w:sz w:val="32"/>
          <w:szCs w:val="32"/>
          <w:lang w:eastAsia="zh-CN"/>
        </w:rPr>
        <w:t>。进一步</w:t>
      </w:r>
      <w:r>
        <w:rPr>
          <w:rFonts w:hint="eastAsia" w:ascii="仿宋_GB2312" w:hAnsi="仿宋_GB2312" w:eastAsia="仿宋_GB2312" w:cs="仿宋_GB2312"/>
          <w:bCs/>
          <w:spacing w:val="0"/>
          <w:sz w:val="32"/>
          <w:szCs w:val="32"/>
        </w:rPr>
        <w:t>加大禁毒宣传教育力度，在6.26国际禁毒日期间，开展多形式宣传教育活动，在辖区内发放禁毒宣传单</w:t>
      </w:r>
      <w:r>
        <w:rPr>
          <w:rFonts w:hint="eastAsia" w:ascii="仿宋_GB2312" w:hAnsi="仿宋_GB2312" w:eastAsia="仿宋_GB2312" w:cs="仿宋_GB2312"/>
          <w:bCs/>
          <w:spacing w:val="0"/>
          <w:sz w:val="32"/>
          <w:szCs w:val="32"/>
          <w:lang w:val="en-US" w:eastAsia="zh-CN"/>
        </w:rPr>
        <w:t>3</w:t>
      </w:r>
      <w:r>
        <w:rPr>
          <w:rFonts w:hint="eastAsia" w:ascii="仿宋_GB2312" w:hAnsi="仿宋_GB2312" w:eastAsia="仿宋_GB2312" w:cs="仿宋_GB2312"/>
          <w:bCs/>
          <w:spacing w:val="0"/>
          <w:sz w:val="32"/>
          <w:szCs w:val="32"/>
        </w:rPr>
        <w:t>000余份。</w:t>
      </w:r>
    </w:p>
    <w:p w14:paraId="067031CC">
      <w:pPr>
        <w:keepNext w:val="0"/>
        <w:keepLines w:val="0"/>
        <w:pageBreakBefore w:val="0"/>
        <w:widowControl w:val="0"/>
        <w:numPr>
          <w:ilvl w:val="0"/>
          <w:numId w:val="5"/>
        </w:numPr>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sz w:val="32"/>
          <w:szCs w:val="32"/>
          <w:lang w:val="zh-CN"/>
        </w:rPr>
      </w:pPr>
      <w:r>
        <w:rPr>
          <w:rFonts w:hint="eastAsia" w:ascii="楷体_GB2312" w:hAnsi="楷体_GB2312" w:eastAsia="楷体_GB2312" w:cs="楷体_GB2312"/>
          <w:b w:val="0"/>
          <w:bCs w:val="0"/>
          <w:sz w:val="32"/>
          <w:szCs w:val="32"/>
          <w:lang w:val="zh-CN"/>
        </w:rPr>
        <w:t>项目效益情况</w:t>
      </w:r>
    </w:p>
    <w:p w14:paraId="6C902071">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left="0" w:leftChars="0" w:right="0" w:rightChars="0" w:firstLine="640" w:firstLineChars="200"/>
        <w:jc w:val="both"/>
        <w:textAlignment w:val="auto"/>
        <w:outlineLvl w:val="9"/>
        <w:rPr>
          <w:rFonts w:hint="eastAsia"/>
          <w:lang w:val="zh-CN"/>
        </w:rPr>
      </w:pPr>
      <w:r>
        <w:rPr>
          <w:rFonts w:hint="eastAsia" w:ascii="仿宋_GB2312" w:hAnsi="仿宋_GB2312" w:eastAsia="仿宋_GB2312" w:cs="仿宋_GB2312"/>
          <w:b w:val="0"/>
          <w:bCs w:val="0"/>
          <w:spacing w:val="0"/>
          <w:sz w:val="32"/>
          <w:szCs w:val="32"/>
          <w:lang w:val="en-US" w:eastAsia="zh-CN"/>
        </w:rPr>
        <w:t>发挥调解组织作用，从源头化解矛盾。</w:t>
      </w:r>
    </w:p>
    <w:p w14:paraId="17B0CEA6">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四、问题及建议</w:t>
      </w:r>
    </w:p>
    <w:p w14:paraId="72D2521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zh-CN"/>
        </w:rPr>
        <w:t>（一）存在的问题。</w:t>
      </w:r>
      <w:r>
        <w:rPr>
          <w:rFonts w:hint="eastAsia" w:ascii="仿宋_GB2312" w:hAnsi="仿宋_GB2312" w:eastAsia="仿宋_GB2312" w:cs="仿宋_GB2312"/>
          <w:sz w:val="32"/>
          <w:szCs w:val="36"/>
          <w:lang w:val="en-US" w:eastAsia="zh-CN"/>
        </w:rPr>
        <w:t>重复信访问题还存在，还需要加大力度化解。由于开发发展，还存在新的信访矛盾隐患。</w:t>
      </w:r>
    </w:p>
    <w:p w14:paraId="03516A47">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仿宋_GB2312" w:hAnsi="仿宋_GB2312" w:eastAsia="仿宋_GB2312" w:cs="仿宋_GB2312"/>
          <w:sz w:val="32"/>
          <w:szCs w:val="36"/>
          <w:lang w:val="en-US" w:eastAsia="zh-CN"/>
        </w:rPr>
      </w:pPr>
      <w:r>
        <w:rPr>
          <w:rFonts w:hint="eastAsia" w:ascii="楷体_GB2312" w:hAnsi="楷体_GB2312" w:eastAsia="楷体_GB2312" w:cs="楷体_GB2312"/>
          <w:b w:val="0"/>
          <w:bCs w:val="0"/>
          <w:sz w:val="32"/>
          <w:szCs w:val="32"/>
          <w:lang w:val="zh-CN"/>
        </w:rPr>
        <w:t>（二）相关建议。</w:t>
      </w:r>
      <w:r>
        <w:rPr>
          <w:rFonts w:hint="eastAsia" w:ascii="仿宋_GB2312" w:hAnsi="仿宋_GB2312" w:eastAsia="仿宋_GB2312" w:cs="仿宋_GB2312"/>
          <w:sz w:val="32"/>
          <w:szCs w:val="36"/>
          <w:lang w:val="en-US" w:eastAsia="zh-CN"/>
        </w:rPr>
        <w:t>法制宣传、信访工作条例宣传不松懈，同时提升干部职工的业务水平，对工作人员依法、依规办事能力严格考核。提升服务。</w:t>
      </w:r>
    </w:p>
    <w:p w14:paraId="36DC5FD4">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宋体" w:eastAsia="方正小标宋简体"/>
          <w:color w:val="000000"/>
          <w:sz w:val="44"/>
          <w:szCs w:val="44"/>
          <w:lang w:val="en-US" w:eastAsia="zh-CN"/>
        </w:rPr>
      </w:pPr>
    </w:p>
    <w:p w14:paraId="69155FB1">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hint="eastAsia" w:ascii="方正小标宋简体" w:hAnsi="宋体" w:eastAsia="方正小标宋简体"/>
          <w:color w:val="000000"/>
          <w:sz w:val="44"/>
          <w:szCs w:val="44"/>
          <w:lang w:val="en-US" w:eastAsia="zh-CN"/>
        </w:rPr>
      </w:pPr>
    </w:p>
    <w:p w14:paraId="4A4C3FD6">
      <w:pPr>
        <w:rPr>
          <w:rFonts w:hint="eastAsia" w:ascii="方正小标宋简体" w:hAnsi="宋体" w:eastAsia="方正小标宋简体"/>
          <w:color w:val="000000"/>
          <w:sz w:val="44"/>
          <w:szCs w:val="44"/>
          <w:lang w:val="en-US" w:eastAsia="zh-CN"/>
        </w:rPr>
      </w:pPr>
      <w:r>
        <w:rPr>
          <w:rFonts w:hint="eastAsia" w:ascii="方正小标宋简体" w:hAnsi="宋体" w:eastAsia="方正小标宋简体"/>
          <w:color w:val="000000"/>
          <w:sz w:val="44"/>
          <w:szCs w:val="44"/>
          <w:lang w:val="en-US" w:eastAsia="zh-CN"/>
        </w:rPr>
        <w:br w:type="page"/>
      </w:r>
    </w:p>
    <w:p w14:paraId="3B779DD9">
      <w:pPr>
        <w:pStyle w:val="42"/>
        <w:keepNext w:val="0"/>
        <w:keepLines w:val="0"/>
        <w:pageBreakBefore w:val="0"/>
        <w:widowControl w:val="0"/>
        <w:kinsoku/>
        <w:wordWrap/>
        <w:overflowPunct/>
        <w:topLinePunct w:val="0"/>
        <w:autoSpaceDE/>
        <w:autoSpaceDN/>
        <w:bidi w:val="0"/>
        <w:adjustRightInd/>
        <w:snapToGrid/>
        <w:spacing w:line="570" w:lineRule="exact"/>
        <w:jc w:val="center"/>
        <w:textAlignment w:val="auto"/>
        <w:rPr>
          <w:rFonts w:ascii="方正小标宋简体" w:hAnsi="宋体" w:eastAsia="方正小标宋简体"/>
          <w:color w:val="000000"/>
          <w:sz w:val="44"/>
          <w:szCs w:val="44"/>
        </w:rPr>
      </w:pPr>
      <w:r>
        <w:rPr>
          <w:rFonts w:hint="eastAsia" w:ascii="方正小标宋简体" w:hAnsi="宋体" w:eastAsia="方正小标宋简体"/>
          <w:color w:val="000000"/>
          <w:sz w:val="44"/>
          <w:szCs w:val="44"/>
          <w:lang w:val="en-US" w:eastAsia="zh-CN"/>
        </w:rPr>
        <w:t>下西</w:t>
      </w:r>
      <w:r>
        <w:rPr>
          <w:rFonts w:hint="eastAsia" w:ascii="方正小标宋简体" w:hAnsi="宋体" w:eastAsia="方正小标宋简体"/>
          <w:color w:val="000000"/>
          <w:sz w:val="44"/>
          <w:szCs w:val="44"/>
          <w:lang w:val="en-US"/>
        </w:rPr>
        <w:t>2024年“拼经济、比发展”激励资金</w:t>
      </w:r>
      <w:r>
        <w:rPr>
          <w:rFonts w:hint="eastAsia" w:ascii="方正小标宋简体" w:hAnsi="宋体" w:eastAsia="方正小标宋简体"/>
          <w:color w:val="000000"/>
          <w:sz w:val="44"/>
          <w:szCs w:val="44"/>
        </w:rPr>
        <w:t>项目支出绩效自评报告</w:t>
      </w:r>
    </w:p>
    <w:p w14:paraId="16824641">
      <w:pPr>
        <w:pStyle w:val="42"/>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楷体_GB2312" w:hAnsi="楷体_GB2312" w:eastAsia="楷体_GB2312" w:cs="楷体_GB2312"/>
          <w:b w:val="0"/>
          <w:bCs/>
          <w:color w:val="000000"/>
          <w:kern w:val="2"/>
          <w:sz w:val="32"/>
          <w:szCs w:val="32"/>
        </w:rPr>
      </w:pPr>
    </w:p>
    <w:p w14:paraId="04089435">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eastAsia="zh-CN"/>
        </w:rPr>
      </w:pPr>
      <w:r>
        <w:rPr>
          <w:rFonts w:hint="eastAsia" w:ascii="仿宋_GB2312" w:hAnsi="仿宋_GB2312" w:eastAsia="仿宋_GB2312" w:cs="仿宋_GB2312"/>
          <w:color w:val="000000"/>
          <w:sz w:val="32"/>
          <w:szCs w:val="32"/>
          <w:highlight w:val="none"/>
          <w:lang w:eastAsia="zh-CN"/>
        </w:rPr>
        <w:t>根据财政局关于财政支出绩效评价工作的相关要求，</w:t>
      </w:r>
      <w:r>
        <w:rPr>
          <w:rFonts w:hint="eastAsia" w:ascii="仿宋_GB2312" w:hAnsi="仿宋_GB2312" w:eastAsia="仿宋_GB2312" w:cs="仿宋_GB2312"/>
          <w:color w:val="000000"/>
          <w:sz w:val="32"/>
          <w:szCs w:val="32"/>
          <w:highlight w:val="none"/>
          <w:lang w:val="en-US" w:eastAsia="zh-CN"/>
        </w:rPr>
        <w:t>现将我办2024年“拼经济、比发展”激励资金项目支出绩效自评报告如下。</w:t>
      </w:r>
    </w:p>
    <w:p w14:paraId="185F16E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color w:val="000000"/>
          <w:sz w:val="32"/>
          <w:szCs w:val="32"/>
          <w:lang w:val="zh-CN"/>
        </w:rPr>
      </w:pPr>
      <w:r>
        <w:rPr>
          <w:rFonts w:hint="eastAsia" w:ascii="黑体" w:hAnsi="黑体" w:eastAsia="黑体" w:cs="黑体"/>
          <w:b w:val="0"/>
          <w:bCs w:val="0"/>
          <w:color w:val="000000"/>
          <w:sz w:val="32"/>
          <w:szCs w:val="32"/>
        </w:rPr>
        <w:t>一、</w:t>
      </w:r>
      <w:r>
        <w:rPr>
          <w:rFonts w:hint="eastAsia" w:ascii="黑体" w:hAnsi="黑体" w:eastAsia="黑体" w:cs="黑体"/>
          <w:b w:val="0"/>
          <w:bCs w:val="0"/>
          <w:color w:val="000000"/>
          <w:sz w:val="32"/>
          <w:szCs w:val="32"/>
          <w:lang w:val="zh-CN"/>
        </w:rPr>
        <w:t>项目概况</w:t>
      </w:r>
    </w:p>
    <w:p w14:paraId="1A78A0EC">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color w:val="000000"/>
          <w:sz w:val="32"/>
          <w:szCs w:val="32"/>
          <w:lang w:val="en-US" w:eastAsia="zh-CN"/>
        </w:rPr>
      </w:pPr>
      <w:r>
        <w:rPr>
          <w:rFonts w:hint="eastAsia" w:ascii="楷体_GB2312" w:hAnsi="楷体_GB2312" w:eastAsia="楷体_GB2312" w:cs="楷体_GB2312"/>
          <w:b w:val="0"/>
          <w:bCs w:val="0"/>
          <w:color w:val="000000"/>
          <w:sz w:val="32"/>
          <w:szCs w:val="32"/>
          <w:lang w:val="zh-CN"/>
        </w:rPr>
        <w:t>（一）项目资金申报及批复情况。</w:t>
      </w:r>
      <w:r>
        <w:rPr>
          <w:rFonts w:hint="eastAsia" w:ascii="仿宋_GB2312" w:hAnsi="Calibri" w:eastAsia="仿宋_GB2312" w:cs="仿宋_GB2312"/>
          <w:color w:val="000000"/>
          <w:kern w:val="2"/>
          <w:sz w:val="32"/>
          <w:szCs w:val="32"/>
          <w:lang w:val="en-US" w:eastAsia="zh-CN" w:bidi="ar-SA"/>
        </w:rPr>
        <w:t>下西坝办事处职能简介负责辖区内企业服务、安全生产、信访维稳、房屋征收与补偿、计划生育、民政、劳动就业、社会保障、环境卫生等工作。2024年下西坝办事处根据下西2024年“拼经济、比发展”激励资金经费申报预算共计48万元，</w:t>
      </w:r>
      <w:r>
        <w:rPr>
          <w:rFonts w:hint="eastAsia" w:ascii="仿宋_GB2312" w:hAnsi="仿宋_GB2312" w:eastAsia="仿宋_GB2312" w:cs="仿宋_GB2312"/>
          <w:b w:val="0"/>
          <w:bCs w:val="0"/>
          <w:color w:val="000000"/>
          <w:sz w:val="32"/>
          <w:szCs w:val="32"/>
          <w:lang w:val="en-US" w:eastAsia="zh-CN"/>
        </w:rPr>
        <w:t>批复预算48万元。</w:t>
      </w:r>
    </w:p>
    <w:p w14:paraId="7A0BD140">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color w:val="000000"/>
          <w:sz w:val="32"/>
          <w:szCs w:val="32"/>
          <w:lang w:val="zh-CN"/>
        </w:rPr>
      </w:pPr>
      <w:r>
        <w:rPr>
          <w:rFonts w:hint="eastAsia" w:ascii="楷体_GB2312" w:hAnsi="楷体_GB2312" w:eastAsia="楷体_GB2312" w:cs="楷体_GB2312"/>
          <w:b w:val="0"/>
          <w:bCs w:val="0"/>
          <w:color w:val="000000"/>
          <w:sz w:val="32"/>
          <w:szCs w:val="32"/>
          <w:lang w:val="zh-CN"/>
        </w:rPr>
        <w:t>（二）项目绩效目标。</w:t>
      </w:r>
    </w:p>
    <w:p w14:paraId="562A279C">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shd w:val="clear" w:color="auto" w:fill="FFFFFF"/>
          <w:lang w:val="en-US" w:eastAsia="zh-CN"/>
        </w:rPr>
      </w:pPr>
      <w:r>
        <w:rPr>
          <w:rFonts w:hint="eastAsia" w:ascii="仿宋_GB2312" w:hAnsi="仿宋_GB2312" w:eastAsia="仿宋_GB2312" w:cs="仿宋_GB2312"/>
          <w:b w:val="0"/>
          <w:bCs w:val="0"/>
          <w:color w:val="000000"/>
          <w:sz w:val="32"/>
          <w:szCs w:val="32"/>
          <w:lang w:val="en-US" w:eastAsia="zh-CN"/>
        </w:rPr>
        <w:t>1.</w:t>
      </w:r>
      <w:r>
        <w:rPr>
          <w:rFonts w:hint="eastAsia" w:ascii="仿宋_GB2312" w:hAnsi="仿宋_GB2312" w:eastAsia="仿宋_GB2312" w:cs="仿宋_GB2312"/>
          <w:color w:val="000000"/>
          <w:sz w:val="32"/>
          <w:szCs w:val="32"/>
          <w:shd w:val="clear" w:color="auto" w:fill="FFFFFF"/>
          <w:lang w:val="en-US" w:eastAsia="zh-CN"/>
        </w:rPr>
        <w:t>完成入库项目2个。</w:t>
      </w:r>
    </w:p>
    <w:p w14:paraId="2FD3A1E5">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b w:val="0"/>
          <w:bCs w:val="0"/>
          <w:color w:val="000000"/>
          <w:sz w:val="32"/>
          <w:szCs w:val="32"/>
          <w:lang w:val="en-US" w:eastAsia="zh-CN"/>
        </w:rPr>
      </w:pPr>
      <w:r>
        <w:rPr>
          <w:rFonts w:hint="eastAsia" w:ascii="仿宋_GB2312" w:hAnsi="仿宋_GB2312" w:eastAsia="仿宋_GB2312" w:cs="仿宋_GB2312"/>
          <w:b w:val="0"/>
          <w:bCs w:val="0"/>
          <w:color w:val="000000"/>
          <w:sz w:val="32"/>
          <w:szCs w:val="32"/>
          <w:lang w:val="en-US" w:eastAsia="zh-CN"/>
        </w:rPr>
        <w:t>2.完成投资率90%。</w:t>
      </w:r>
    </w:p>
    <w:p w14:paraId="0B0619C6">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color w:val="000000"/>
          <w:sz w:val="32"/>
          <w:szCs w:val="32"/>
          <w:lang w:val="en-US" w:eastAsia="zh-CN"/>
        </w:rPr>
      </w:pPr>
      <w:r>
        <w:rPr>
          <w:rFonts w:hint="eastAsia" w:ascii="仿宋_GB2312" w:hAnsi="仿宋_GB2312" w:eastAsia="仿宋_GB2312" w:cs="仿宋_GB2312"/>
          <w:b w:val="0"/>
          <w:bCs w:val="0"/>
          <w:color w:val="000000"/>
          <w:sz w:val="32"/>
          <w:szCs w:val="32"/>
          <w:lang w:val="en-US" w:eastAsia="zh-CN"/>
        </w:rPr>
        <w:t>3.项目持续发展良好。</w:t>
      </w:r>
    </w:p>
    <w:p w14:paraId="047FBE85">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b w:val="0"/>
          <w:bCs w:val="0"/>
          <w:color w:val="000000"/>
          <w:sz w:val="32"/>
          <w:szCs w:val="32"/>
          <w:lang w:val="en-US" w:eastAsia="zh-CN"/>
        </w:rPr>
      </w:pPr>
      <w:r>
        <w:rPr>
          <w:rFonts w:hint="eastAsia" w:ascii="楷体_GB2312" w:hAnsi="楷体_GB2312" w:eastAsia="楷体_GB2312" w:cs="楷体_GB2312"/>
          <w:b w:val="0"/>
          <w:bCs w:val="0"/>
          <w:color w:val="000000"/>
          <w:sz w:val="32"/>
          <w:szCs w:val="32"/>
          <w:lang w:val="zh-CN"/>
        </w:rPr>
        <w:t>（三）项目资金申报相符性。</w:t>
      </w:r>
      <w:r>
        <w:rPr>
          <w:rFonts w:hint="eastAsia" w:ascii="仿宋_GB2312" w:hAnsi="仿宋_GB2312" w:eastAsia="仿宋_GB2312" w:cs="仿宋_GB2312"/>
          <w:b w:val="0"/>
          <w:bCs w:val="0"/>
          <w:color w:val="000000"/>
          <w:sz w:val="32"/>
          <w:szCs w:val="32"/>
          <w:lang w:val="en-US" w:eastAsia="zh-CN"/>
        </w:rPr>
        <w:t>2024年我办申报项目经费共计48万元。经财政审核后批复预算。</w:t>
      </w:r>
    </w:p>
    <w:p w14:paraId="29BB08E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二、项目实施及管理情况</w:t>
      </w:r>
    </w:p>
    <w:p w14:paraId="4ED3573E">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color w:val="000000"/>
          <w:sz w:val="32"/>
          <w:szCs w:val="32"/>
          <w:lang w:val="zh-CN"/>
        </w:rPr>
      </w:pPr>
      <w:r>
        <w:rPr>
          <w:rFonts w:hint="eastAsia" w:ascii="楷体_GB2312" w:hAnsi="楷体_GB2312" w:eastAsia="楷体_GB2312" w:cs="楷体_GB2312"/>
          <w:b w:val="0"/>
          <w:bCs w:val="0"/>
          <w:color w:val="000000"/>
          <w:sz w:val="32"/>
          <w:szCs w:val="32"/>
          <w:lang w:val="zh-CN"/>
        </w:rPr>
        <w:t>（一）资金计划、到位及使用情况</w:t>
      </w:r>
    </w:p>
    <w:p w14:paraId="00A56E8A">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default" w:ascii="仿宋_GB2312" w:hAnsi="仿宋_GB2312" w:eastAsia="仿宋_GB2312" w:cs="仿宋_GB2312"/>
          <w:b w:val="0"/>
          <w:bCs w:val="0"/>
          <w:color w:val="000000"/>
          <w:sz w:val="32"/>
          <w:szCs w:val="32"/>
          <w:lang w:val="en-US" w:eastAsia="zh-CN"/>
        </w:rPr>
      </w:pPr>
      <w:r>
        <w:rPr>
          <w:rFonts w:hint="eastAsia" w:ascii="仿宋_GB2312" w:hAnsi="仿宋_GB2312" w:eastAsia="仿宋_GB2312" w:cs="仿宋_GB2312"/>
          <w:b w:val="0"/>
          <w:bCs w:val="0"/>
          <w:color w:val="000000"/>
          <w:sz w:val="32"/>
          <w:szCs w:val="32"/>
          <w:lang w:val="zh-CN"/>
        </w:rPr>
        <w:t>1．资金计划及到位。</w:t>
      </w:r>
      <w:r>
        <w:rPr>
          <w:rFonts w:hint="eastAsia" w:ascii="仿宋_GB2312" w:hAnsi="仿宋_GB2312" w:eastAsia="仿宋_GB2312" w:cs="仿宋_GB2312"/>
          <w:b w:val="0"/>
          <w:bCs w:val="0"/>
          <w:color w:val="000000"/>
          <w:sz w:val="32"/>
          <w:szCs w:val="32"/>
          <w:lang w:val="en-US" w:eastAsia="zh-CN"/>
        </w:rPr>
        <w:t>批复预算48万元。</w:t>
      </w:r>
    </w:p>
    <w:p w14:paraId="3A886F43">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b w:val="0"/>
          <w:bCs w:val="0"/>
          <w:color w:val="000000"/>
          <w:sz w:val="32"/>
          <w:szCs w:val="32"/>
          <w:lang w:val="en-US" w:eastAsia="zh-CN"/>
        </w:rPr>
      </w:pPr>
      <w:r>
        <w:rPr>
          <w:rFonts w:hint="eastAsia" w:ascii="仿宋_GB2312" w:hAnsi="仿宋_GB2312" w:eastAsia="仿宋_GB2312" w:cs="仿宋_GB2312"/>
          <w:b w:val="0"/>
          <w:bCs w:val="0"/>
          <w:color w:val="000000"/>
          <w:sz w:val="32"/>
          <w:szCs w:val="32"/>
          <w:lang w:val="zh-CN"/>
        </w:rPr>
        <w:t>2．资金使用。</w:t>
      </w:r>
      <w:r>
        <w:rPr>
          <w:rFonts w:hint="eastAsia" w:ascii="仿宋_GB2312" w:hAnsi="仿宋_GB2312" w:eastAsia="仿宋_GB2312" w:cs="仿宋_GB2312"/>
          <w:b w:val="0"/>
          <w:bCs w:val="0"/>
          <w:color w:val="000000"/>
          <w:sz w:val="32"/>
          <w:szCs w:val="32"/>
          <w:lang w:val="en-US" w:eastAsia="zh-CN"/>
        </w:rPr>
        <w:t>主要支付春节氛围营造18万元，项目投资20万元，宣传费等10万元。</w:t>
      </w:r>
    </w:p>
    <w:p w14:paraId="2D1C6C8B">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color w:val="000000"/>
          <w:sz w:val="32"/>
          <w:szCs w:val="32"/>
          <w:lang w:val="zh-CN"/>
        </w:rPr>
      </w:pPr>
      <w:r>
        <w:rPr>
          <w:rFonts w:hint="eastAsia" w:ascii="楷体_GB2312" w:hAnsi="楷体_GB2312" w:eastAsia="楷体_GB2312" w:cs="楷体_GB2312"/>
          <w:b w:val="0"/>
          <w:bCs w:val="0"/>
          <w:color w:val="000000"/>
          <w:sz w:val="32"/>
          <w:szCs w:val="32"/>
          <w:lang w:val="zh-CN"/>
        </w:rPr>
        <w:t>（二）项目财务管理情况</w:t>
      </w:r>
    </w:p>
    <w:p w14:paraId="4DEA33BF">
      <w:pPr>
        <w:keepNext w:val="0"/>
        <w:keepLines w:val="0"/>
        <w:pageBreakBefore w:val="0"/>
        <w:widowControl w:val="0"/>
        <w:kinsoku/>
        <w:wordWrap/>
        <w:overflowPunct/>
        <w:topLinePunct w:val="0"/>
        <w:autoSpaceDE/>
        <w:autoSpaceDN/>
        <w:bidi w:val="0"/>
        <w:adjustRightInd/>
        <w:snapToGrid/>
        <w:spacing w:line="576" w:lineRule="exact"/>
        <w:ind w:firstLine="640" w:firstLineChars="200"/>
        <w:textAlignment w:val="auto"/>
        <w:rPr>
          <w:rFonts w:hint="eastAsia" w:ascii="仿宋_GB2312" w:hAnsi="仿宋_GB2312" w:eastAsia="仿宋_GB2312" w:cs="仿宋_GB2312"/>
          <w:color w:val="000000"/>
          <w:sz w:val="32"/>
          <w:szCs w:val="32"/>
          <w:highlight w:val="none"/>
          <w:lang w:val="zh-CN" w:eastAsia="zh-CN"/>
        </w:rPr>
      </w:pPr>
      <w:r>
        <w:rPr>
          <w:rFonts w:hint="eastAsia" w:ascii="仿宋_GB2312" w:hAnsi="仿宋_GB2312" w:eastAsia="仿宋_GB2312" w:cs="仿宋_GB2312"/>
          <w:color w:val="000000"/>
          <w:sz w:val="32"/>
          <w:szCs w:val="32"/>
          <w:highlight w:val="none"/>
          <w:lang w:val="zh-CN" w:eastAsia="zh-CN"/>
        </w:rPr>
        <w:t>我单位按照相关制度和项目资金管理办法，严格执行财务管理制度、财务处理及时、会计核算规范。</w:t>
      </w:r>
    </w:p>
    <w:p w14:paraId="049B1E8D">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default" w:ascii="仿宋_GB2312" w:hAnsi="仿宋_GB2312" w:eastAsia="仿宋_GB2312" w:cs="仿宋_GB2312"/>
          <w:color w:val="000000"/>
          <w:sz w:val="32"/>
          <w:szCs w:val="36"/>
          <w:lang w:val="en-US" w:eastAsia="zh-CN"/>
        </w:rPr>
      </w:pPr>
      <w:r>
        <w:rPr>
          <w:rFonts w:hint="eastAsia" w:ascii="楷体_GB2312" w:hAnsi="楷体_GB2312" w:eastAsia="楷体_GB2312" w:cs="楷体_GB2312"/>
          <w:b w:val="0"/>
          <w:bCs w:val="0"/>
          <w:color w:val="000000"/>
          <w:sz w:val="32"/>
          <w:szCs w:val="32"/>
          <w:lang w:val="zh-CN"/>
        </w:rPr>
        <w:t>（三）项目组织实施情况</w:t>
      </w:r>
    </w:p>
    <w:p w14:paraId="026BA264">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color w:val="000000"/>
          <w:sz w:val="32"/>
          <w:szCs w:val="32"/>
          <w:lang w:val="zh-CN"/>
        </w:rPr>
      </w:pPr>
      <w:r>
        <w:rPr>
          <w:rFonts w:hint="eastAsia" w:ascii="黑体" w:hAnsi="黑体" w:eastAsia="黑体" w:cs="黑体"/>
          <w:b w:val="0"/>
          <w:bCs w:val="0"/>
          <w:color w:val="000000"/>
          <w:sz w:val="32"/>
          <w:szCs w:val="32"/>
        </w:rPr>
        <w:t>三、项目绩效情况</w:t>
      </w:r>
      <w:r>
        <w:rPr>
          <w:rFonts w:hint="eastAsia" w:ascii="黑体" w:hAnsi="黑体" w:eastAsia="黑体" w:cs="黑体"/>
          <w:b w:val="0"/>
          <w:bCs w:val="0"/>
          <w:color w:val="000000"/>
          <w:sz w:val="32"/>
          <w:szCs w:val="32"/>
          <w:lang w:val="zh-CN"/>
        </w:rPr>
        <w:tab/>
      </w:r>
    </w:p>
    <w:p w14:paraId="52DF568F">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color w:val="000000"/>
          <w:sz w:val="32"/>
          <w:szCs w:val="32"/>
          <w:lang w:val="zh-CN"/>
        </w:rPr>
      </w:pPr>
      <w:r>
        <w:rPr>
          <w:rFonts w:hint="eastAsia" w:ascii="楷体_GB2312" w:hAnsi="楷体_GB2312" w:eastAsia="楷体_GB2312" w:cs="楷体_GB2312"/>
          <w:b w:val="0"/>
          <w:bCs w:val="0"/>
          <w:color w:val="000000"/>
          <w:sz w:val="32"/>
          <w:szCs w:val="32"/>
          <w:lang w:val="zh-CN"/>
        </w:rPr>
        <w:t>（一）项目完成情况</w:t>
      </w:r>
    </w:p>
    <w:p w14:paraId="0003DE47">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仿宋_GB2312" w:hAnsi="仿宋_GB2312" w:eastAsia="仿宋_GB2312" w:cs="仿宋_GB2312"/>
          <w:sz w:val="32"/>
          <w:szCs w:val="32"/>
          <w:lang w:eastAsia="zh-CN"/>
        </w:rPr>
      </w:pPr>
      <w:r>
        <w:rPr>
          <w:rFonts w:hint="eastAsia" w:ascii="仿宋_GB2312" w:eastAsia="仿宋_GB2312"/>
          <w:sz w:val="32"/>
          <w:szCs w:val="32"/>
        </w:rPr>
        <w:t>推动希尔顿酒店等11个续建项目有力有序推进。</w:t>
      </w:r>
      <w:r>
        <w:rPr>
          <w:rFonts w:hint="eastAsia" w:ascii="仿宋" w:hAnsi="仿宋" w:eastAsia="仿宋" w:cs="仿宋"/>
          <w:sz w:val="32"/>
          <w:szCs w:val="32"/>
        </w:rPr>
        <w:t>国际商贸城宴会中心</w:t>
      </w:r>
      <w:r>
        <w:rPr>
          <w:rFonts w:hint="eastAsia" w:ascii="仿宋_GB2312" w:eastAsia="仿宋_GB2312"/>
          <w:sz w:val="32"/>
          <w:szCs w:val="32"/>
        </w:rPr>
        <w:t>等6个项目竣工投运。全方位、全过程做好新建项目促建服务，</w:t>
      </w:r>
      <w:r>
        <w:rPr>
          <w:rFonts w:hint="eastAsia" w:ascii="仿宋_GB2312" w:hAnsi="仿宋_GB2312" w:eastAsia="仿宋_GB2312" w:cs="仿宋_GB2312"/>
          <w:color w:val="222222"/>
          <w:sz w:val="32"/>
          <w:szCs w:val="32"/>
          <w:shd w:val="clear" w:color="auto" w:fill="FFFFFF"/>
        </w:rPr>
        <w:t>娃哈哈6亿支吸管</w:t>
      </w:r>
      <w:r>
        <w:rPr>
          <w:rFonts w:hint="eastAsia" w:ascii="仿宋_GB2312" w:eastAsia="仿宋_GB2312"/>
          <w:sz w:val="32"/>
          <w:szCs w:val="32"/>
        </w:rPr>
        <w:t>等4个项目顺利开工建设。</w:t>
      </w:r>
      <w:r>
        <w:rPr>
          <w:rFonts w:hint="eastAsia" w:ascii="仿宋_GB2312" w:hAnsi="仿宋_GB2312" w:eastAsia="仿宋_GB2312" w:cs="仿宋_GB2312"/>
          <w:sz w:val="32"/>
          <w:szCs w:val="32"/>
        </w:rPr>
        <w:t>签约落地铝制橱柜生产加工及销售项目</w:t>
      </w:r>
      <w:r>
        <w:rPr>
          <w:rFonts w:hint="eastAsia" w:ascii="仿宋_GB2312" w:hAnsi="仿宋_GB2312" w:eastAsia="仿宋_GB2312" w:cs="仿宋_GB2312"/>
          <w:sz w:val="32"/>
          <w:szCs w:val="32"/>
          <w:lang w:eastAsia="zh-CN"/>
        </w:rPr>
        <w:t>、云端假日酒店等项目</w:t>
      </w:r>
      <w:r>
        <w:rPr>
          <w:rFonts w:hint="eastAsia" w:ascii="仿宋_GB2312" w:hAnsi="仿宋_GB2312" w:eastAsia="仿宋_GB2312" w:cs="仿宋_GB2312"/>
          <w:sz w:val="32"/>
          <w:szCs w:val="32"/>
          <w:lang w:val="en-US" w:eastAsia="zh-CN"/>
        </w:rPr>
        <w:t>8个</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拟签约</w:t>
      </w:r>
      <w:r>
        <w:rPr>
          <w:rFonts w:hint="eastAsia" w:ascii="仿宋_GB2312" w:hAnsi="仿宋_GB2312" w:eastAsia="仿宋_GB2312" w:cs="仿宋_GB2312"/>
          <w:sz w:val="32"/>
          <w:szCs w:val="32"/>
          <w:lang w:val="en-US" w:eastAsia="zh-CN"/>
        </w:rPr>
        <w:t>300万台显示器</w:t>
      </w:r>
      <w:r>
        <w:rPr>
          <w:rFonts w:hint="eastAsia" w:ascii="仿宋_GB2312" w:hAnsi="仿宋_GB2312" w:eastAsia="仿宋_GB2312" w:cs="仿宋_GB2312"/>
          <w:sz w:val="32"/>
          <w:szCs w:val="32"/>
          <w:lang w:eastAsia="zh-CN"/>
        </w:rPr>
        <w:t>等项目</w:t>
      </w: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eastAsia="zh-CN"/>
        </w:rPr>
        <w:t>个</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即将签约</w:t>
      </w:r>
      <w:r>
        <w:rPr>
          <w:rFonts w:hint="eastAsia" w:ascii="仿宋_GB2312" w:hAnsi="仿宋_GB2312" w:eastAsia="仿宋_GB2312" w:cs="仿宋_GB2312"/>
          <w:sz w:val="32"/>
          <w:szCs w:val="32"/>
        </w:rPr>
        <w:t>栖凤湖文旅融合综合体项目，促成项目早日签约落地</w:t>
      </w:r>
      <w:r>
        <w:rPr>
          <w:rFonts w:hint="eastAsia" w:ascii="仿宋_GB2312" w:hAnsi="仿宋_GB2312" w:eastAsia="仿宋_GB2312" w:cs="仿宋_GB2312"/>
          <w:sz w:val="32"/>
          <w:szCs w:val="32"/>
          <w:lang w:eastAsia="zh-CN"/>
        </w:rPr>
        <w:t>。</w:t>
      </w:r>
    </w:p>
    <w:p w14:paraId="4DA17079">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楷体_GB2312" w:hAnsi="楷体_GB2312" w:eastAsia="楷体_GB2312" w:cs="楷体_GB2312"/>
          <w:b w:val="0"/>
          <w:bCs w:val="0"/>
          <w:color w:val="000000"/>
          <w:sz w:val="32"/>
          <w:szCs w:val="32"/>
          <w:lang w:val="zh-CN"/>
        </w:rPr>
      </w:pPr>
      <w:r>
        <w:rPr>
          <w:rFonts w:hint="eastAsia" w:ascii="楷体_GB2312" w:hAnsi="楷体_GB2312" w:eastAsia="楷体_GB2312" w:cs="楷体_GB2312"/>
          <w:b w:val="0"/>
          <w:bCs w:val="0"/>
          <w:color w:val="000000"/>
          <w:sz w:val="32"/>
          <w:szCs w:val="32"/>
          <w:lang w:val="zh-CN"/>
        </w:rPr>
        <w:t>（二）项目效益情况</w:t>
      </w:r>
    </w:p>
    <w:p w14:paraId="465EB953">
      <w:pPr>
        <w:keepNext w:val="0"/>
        <w:keepLines w:val="0"/>
        <w:pageBreakBefore w:val="0"/>
        <w:widowControl w:val="0"/>
        <w:kinsoku/>
        <w:wordWrap/>
        <w:overflowPunct/>
        <w:topLinePunct w:val="0"/>
        <w:autoSpaceDE/>
        <w:autoSpaceDN/>
        <w:bidi w:val="0"/>
        <w:adjustRightInd w:val="0"/>
        <w:snapToGrid w:val="0"/>
        <w:spacing w:line="570" w:lineRule="exact"/>
        <w:ind w:firstLine="1280" w:firstLineChars="400"/>
        <w:jc w:val="both"/>
        <w:textAlignment w:val="auto"/>
        <w:rPr>
          <w:rFonts w:hint="eastAsia" w:ascii="仿宋_GB2312" w:eastAsia="仿宋_GB2312"/>
          <w:color w:val="auto"/>
          <w:sz w:val="32"/>
          <w:szCs w:val="32"/>
          <w:lang w:val="en-US" w:eastAsia="zh-CN"/>
        </w:rPr>
      </w:pPr>
      <w:r>
        <w:rPr>
          <w:rFonts w:hint="eastAsia" w:ascii="仿宋_GB2312" w:hAnsi="Calibri" w:eastAsia="仿宋_GB2312" w:cs="Times New Roman"/>
          <w:color w:val="auto"/>
          <w:sz w:val="32"/>
          <w:szCs w:val="32"/>
        </w:rPr>
        <w:t>社会固定投资累计</w:t>
      </w:r>
      <w:r>
        <w:rPr>
          <w:rFonts w:hint="eastAsia" w:ascii="仿宋_GB2312" w:hAnsi="Calibri" w:eastAsia="仿宋_GB2312" w:cs="Times New Roman"/>
          <w:color w:val="auto"/>
          <w:sz w:val="32"/>
          <w:szCs w:val="32"/>
          <w:lang w:eastAsia="zh-CN"/>
        </w:rPr>
        <w:t>完成</w:t>
      </w:r>
      <w:r>
        <w:rPr>
          <w:rFonts w:hint="eastAsia" w:ascii="仿宋_GB2312" w:hAnsi="Calibri" w:eastAsia="仿宋_GB2312" w:cs="Times New Roman"/>
          <w:color w:val="auto"/>
          <w:sz w:val="32"/>
          <w:szCs w:val="32"/>
          <w:lang w:val="en-US" w:eastAsia="zh-CN"/>
        </w:rPr>
        <w:t>3.17</w:t>
      </w:r>
      <w:r>
        <w:rPr>
          <w:rFonts w:hint="eastAsia" w:ascii="仿宋_GB2312" w:hAnsi="Calibri" w:eastAsia="仿宋_GB2312" w:cs="Times New Roman"/>
          <w:color w:val="auto"/>
          <w:sz w:val="32"/>
          <w:szCs w:val="32"/>
        </w:rPr>
        <w:t>亿元，增长</w:t>
      </w:r>
      <w:r>
        <w:rPr>
          <w:rFonts w:hint="eastAsia" w:ascii="仿宋_GB2312" w:hAnsi="Calibri" w:eastAsia="仿宋_GB2312" w:cs="Times New Roman"/>
          <w:color w:val="auto"/>
          <w:sz w:val="32"/>
          <w:szCs w:val="32"/>
          <w:lang w:val="en-US" w:eastAsia="zh-CN"/>
        </w:rPr>
        <w:t>2.63</w:t>
      </w:r>
      <w:r>
        <w:rPr>
          <w:rFonts w:hint="eastAsia" w:ascii="仿宋_GB2312" w:hAnsi="Calibri" w:eastAsia="仿宋_GB2312" w:cs="Times New Roman"/>
          <w:color w:val="auto"/>
          <w:sz w:val="32"/>
          <w:szCs w:val="32"/>
        </w:rPr>
        <w:t>%。</w:t>
      </w:r>
      <w:r>
        <w:rPr>
          <w:rFonts w:hint="eastAsia" w:ascii="仿宋_GB2312" w:eastAsia="仿宋_GB2312"/>
          <w:color w:val="auto"/>
          <w:sz w:val="32"/>
          <w:szCs w:val="32"/>
          <w:lang w:val="en-US" w:eastAsia="zh-CN"/>
        </w:rPr>
        <w:t>园区“四上”企业达到64家，规上工业总产值突破60亿元。</w:t>
      </w:r>
    </w:p>
    <w:p w14:paraId="7AF1B951">
      <w:pPr>
        <w:keepNext w:val="0"/>
        <w:keepLines w:val="0"/>
        <w:pageBreakBefore w:val="0"/>
        <w:widowControl w:val="0"/>
        <w:kinsoku/>
        <w:wordWrap/>
        <w:overflowPunct/>
        <w:topLinePunct w:val="0"/>
        <w:autoSpaceDE/>
        <w:autoSpaceDN/>
        <w:bidi w:val="0"/>
        <w:adjustRightInd w:val="0"/>
        <w:snapToGrid w:val="0"/>
        <w:spacing w:line="570" w:lineRule="exact"/>
        <w:ind w:firstLine="640" w:firstLineChars="200"/>
        <w:jc w:val="both"/>
        <w:textAlignment w:val="auto"/>
        <w:rPr>
          <w:rFonts w:hint="eastAsia" w:ascii="黑体" w:hAnsi="黑体" w:eastAsia="黑体" w:cs="黑体"/>
          <w:b w:val="0"/>
          <w:bCs w:val="0"/>
          <w:color w:val="000000"/>
          <w:sz w:val="32"/>
          <w:szCs w:val="32"/>
        </w:rPr>
      </w:pPr>
      <w:r>
        <w:rPr>
          <w:rFonts w:hint="eastAsia" w:ascii="黑体" w:hAnsi="黑体" w:eastAsia="黑体" w:cs="黑体"/>
          <w:b w:val="0"/>
          <w:bCs w:val="0"/>
          <w:color w:val="000000"/>
          <w:sz w:val="32"/>
          <w:szCs w:val="32"/>
        </w:rPr>
        <w:t>四、问题及建议</w:t>
      </w:r>
    </w:p>
    <w:p w14:paraId="7014DEF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楷体_GB2312" w:hAnsi="楷体_GB2312" w:eastAsia="楷体_GB2312" w:cs="楷体_GB2312"/>
          <w:b w:val="0"/>
          <w:bCs w:val="0"/>
          <w:color w:val="000000"/>
          <w:sz w:val="32"/>
          <w:szCs w:val="32"/>
          <w:lang w:val="en-US" w:eastAsia="zh-CN"/>
        </w:rPr>
      </w:pPr>
      <w:r>
        <w:rPr>
          <w:rFonts w:hint="eastAsia" w:ascii="楷体_GB2312" w:hAnsi="楷体_GB2312" w:eastAsia="楷体_GB2312" w:cs="楷体_GB2312"/>
          <w:b w:val="0"/>
          <w:bCs w:val="0"/>
          <w:color w:val="000000"/>
          <w:sz w:val="32"/>
          <w:szCs w:val="32"/>
          <w:lang w:val="zh-CN"/>
        </w:rPr>
        <w:t>（一）存在的问题。</w:t>
      </w:r>
      <w:r>
        <w:rPr>
          <w:rFonts w:hint="eastAsia" w:ascii="仿宋_GB2312" w:hAnsi="仿宋_GB2312" w:eastAsia="仿宋_GB2312" w:cs="仿宋_GB2312"/>
          <w:color w:val="000000"/>
          <w:sz w:val="32"/>
          <w:szCs w:val="36"/>
          <w:lang w:val="en-US" w:eastAsia="zh-CN"/>
        </w:rPr>
        <w:t>无。</w:t>
      </w:r>
    </w:p>
    <w:p w14:paraId="32E50CE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仿宋_GB2312" w:hAnsi="仿宋_GB2312" w:eastAsia="仿宋_GB2312" w:cs="仿宋_GB2312"/>
          <w:color w:val="000000"/>
          <w:sz w:val="32"/>
          <w:szCs w:val="36"/>
          <w:lang w:val="en-US" w:eastAsia="zh-CN"/>
        </w:rPr>
      </w:pPr>
      <w:r>
        <w:rPr>
          <w:rFonts w:hint="eastAsia" w:ascii="楷体_GB2312" w:hAnsi="楷体_GB2312" w:eastAsia="楷体_GB2312" w:cs="楷体_GB2312"/>
          <w:b w:val="0"/>
          <w:bCs w:val="0"/>
          <w:color w:val="000000"/>
          <w:sz w:val="32"/>
          <w:szCs w:val="32"/>
          <w:lang w:val="zh-CN"/>
        </w:rPr>
        <w:t>（二）相关建议。</w:t>
      </w:r>
      <w:r>
        <w:rPr>
          <w:rFonts w:hint="eastAsia" w:ascii="仿宋_GB2312" w:hAnsi="仿宋_GB2312" w:eastAsia="仿宋_GB2312" w:cs="仿宋_GB2312"/>
          <w:color w:val="000000"/>
          <w:sz w:val="32"/>
          <w:szCs w:val="36"/>
          <w:lang w:val="en-US" w:eastAsia="zh-CN"/>
        </w:rPr>
        <w:t>无。</w:t>
      </w:r>
    </w:p>
    <w:p w14:paraId="0F3B86BF">
      <w:pPr>
        <w:pStyle w:val="8"/>
        <w:rPr>
          <w:rFonts w:hint="eastAsia"/>
          <w:lang w:val="en-US" w:eastAsia="zh-CN"/>
        </w:rPr>
      </w:pPr>
    </w:p>
    <w:p w14:paraId="413FD789">
      <w:pPr>
        <w:pStyle w:val="8"/>
        <w:rPr>
          <w:rFonts w:hint="eastAsia"/>
          <w:lang w:val="en-US" w:eastAsia="zh-CN"/>
        </w:rPr>
      </w:pPr>
    </w:p>
    <w:p w14:paraId="7B1F6BFE">
      <w:pPr>
        <w:pStyle w:val="8"/>
        <w:rPr>
          <w:rFonts w:hint="eastAsia"/>
          <w:lang w:val="en-US" w:eastAsia="zh-CN"/>
        </w:rPr>
      </w:pPr>
    </w:p>
    <w:p w14:paraId="1A1B5D64">
      <w:pPr>
        <w:pStyle w:val="8"/>
        <w:rPr>
          <w:rFonts w:hint="eastAsia"/>
          <w:lang w:val="en-US" w:eastAsia="zh-CN"/>
        </w:rPr>
      </w:pPr>
    </w:p>
    <w:p w14:paraId="73B03478">
      <w:pPr>
        <w:pStyle w:val="8"/>
        <w:rPr>
          <w:rFonts w:hint="eastAsia"/>
          <w:lang w:val="en-US" w:eastAsia="zh-CN"/>
        </w:rPr>
      </w:pPr>
    </w:p>
    <w:p w14:paraId="674353A8">
      <w:pPr>
        <w:pStyle w:val="8"/>
        <w:rPr>
          <w:rFonts w:hint="eastAsia"/>
          <w:lang w:val="en-US" w:eastAsia="zh-CN"/>
        </w:rPr>
      </w:pPr>
    </w:p>
    <w:p w14:paraId="14D2A765">
      <w:pPr>
        <w:pStyle w:val="8"/>
        <w:rPr>
          <w:rFonts w:hint="eastAsia"/>
          <w:lang w:val="en-US" w:eastAsia="zh-CN"/>
        </w:rPr>
      </w:pPr>
    </w:p>
    <w:p w14:paraId="78799762">
      <w:pPr>
        <w:pStyle w:val="8"/>
        <w:rPr>
          <w:rFonts w:hint="eastAsia"/>
          <w:lang w:val="en-US" w:eastAsia="zh-CN"/>
        </w:rPr>
      </w:pPr>
    </w:p>
    <w:p w14:paraId="0A24B58E">
      <w:pPr>
        <w:spacing w:line="600" w:lineRule="exact"/>
        <w:jc w:val="center"/>
        <w:outlineLvl w:val="0"/>
        <w:rPr>
          <w:rStyle w:val="22"/>
          <w:rFonts w:ascii="黑体" w:hAnsi="黑体" w:eastAsia="黑体"/>
          <w:b w:val="0"/>
          <w:color w:val="auto"/>
          <w:highlight w:val="none"/>
        </w:rPr>
      </w:pPr>
      <w:r>
        <w:rPr>
          <w:rFonts w:hint="eastAsia" w:ascii="黑体" w:hAnsi="黑体" w:eastAsia="黑体"/>
          <w:color w:val="auto"/>
          <w:sz w:val="44"/>
          <w:szCs w:val="44"/>
          <w:highlight w:val="none"/>
        </w:rPr>
        <w:t>第</w:t>
      </w:r>
      <w:r>
        <w:rPr>
          <w:rStyle w:val="22"/>
          <w:rFonts w:hint="eastAsia" w:ascii="黑体" w:hAnsi="黑体" w:eastAsia="黑体"/>
          <w:b w:val="0"/>
          <w:color w:val="auto"/>
          <w:highlight w:val="none"/>
        </w:rPr>
        <w:t>五部分 附表</w:t>
      </w:r>
      <w:bookmarkEnd w:id="82"/>
      <w:bookmarkEnd w:id="84"/>
      <w:bookmarkEnd w:id="85"/>
    </w:p>
    <w:p w14:paraId="1BAFC174">
      <w:pPr>
        <w:pStyle w:val="5"/>
        <w:rPr>
          <w:rFonts w:hint="eastAsia" w:ascii="仿宋_GB2312" w:hAnsi="Calibri" w:eastAsia="仿宋_GB2312" w:cs="仿宋"/>
          <w:b w:val="0"/>
          <w:bCs w:val="0"/>
          <w:color w:val="auto"/>
          <w:sz w:val="32"/>
          <w:szCs w:val="32"/>
          <w:highlight w:val="none"/>
          <w:lang w:val="en-US" w:eastAsia="zh-CN" w:bidi="ar-SA"/>
        </w:rPr>
      </w:pPr>
      <w:bookmarkStart w:id="86" w:name="_Toc27318"/>
      <w:bookmarkStart w:id="87" w:name="_Toc15396619"/>
      <w:r>
        <w:rPr>
          <w:rFonts w:hint="eastAsia" w:ascii="仿宋_GB2312" w:hAnsi="Calibri" w:eastAsia="仿宋_GB2312" w:cs="仿宋"/>
          <w:b w:val="0"/>
          <w:bCs w:val="0"/>
          <w:color w:val="auto"/>
          <w:sz w:val="32"/>
          <w:szCs w:val="32"/>
          <w:highlight w:val="none"/>
          <w:lang w:val="en-US" w:eastAsia="zh-CN" w:bidi="ar-SA"/>
        </w:rPr>
        <w:t>一、收入支出决算总表</w:t>
      </w:r>
      <w:bookmarkEnd w:id="86"/>
      <w:bookmarkEnd w:id="87"/>
    </w:p>
    <w:p w14:paraId="7B882770">
      <w:pPr>
        <w:pStyle w:val="5"/>
        <w:rPr>
          <w:rFonts w:hint="eastAsia" w:ascii="仿宋_GB2312" w:hAnsi="Calibri" w:eastAsia="仿宋_GB2312" w:cs="仿宋"/>
          <w:b w:val="0"/>
          <w:bCs w:val="0"/>
          <w:color w:val="auto"/>
          <w:sz w:val="32"/>
          <w:szCs w:val="32"/>
          <w:highlight w:val="none"/>
          <w:lang w:val="en-US" w:eastAsia="zh-CN" w:bidi="ar-SA"/>
        </w:rPr>
      </w:pPr>
      <w:bookmarkStart w:id="88" w:name="_Toc15396620"/>
      <w:bookmarkStart w:id="89" w:name="_Toc26554"/>
      <w:r>
        <w:rPr>
          <w:rFonts w:hint="eastAsia" w:ascii="仿宋_GB2312" w:hAnsi="Calibri" w:eastAsia="仿宋_GB2312" w:cs="仿宋"/>
          <w:b w:val="0"/>
          <w:bCs w:val="0"/>
          <w:color w:val="auto"/>
          <w:sz w:val="32"/>
          <w:szCs w:val="32"/>
          <w:highlight w:val="none"/>
          <w:lang w:val="en-US" w:eastAsia="zh-CN" w:bidi="ar-SA"/>
        </w:rPr>
        <w:t>二、收入</w:t>
      </w:r>
      <w:bookmarkEnd w:id="88"/>
      <w:r>
        <w:rPr>
          <w:rFonts w:hint="eastAsia" w:ascii="仿宋_GB2312" w:hAnsi="Calibri" w:eastAsia="仿宋_GB2312" w:cs="仿宋"/>
          <w:b w:val="0"/>
          <w:bCs w:val="0"/>
          <w:color w:val="auto"/>
          <w:sz w:val="32"/>
          <w:szCs w:val="32"/>
          <w:highlight w:val="none"/>
          <w:lang w:val="en-US" w:eastAsia="zh-CN" w:bidi="ar-SA"/>
        </w:rPr>
        <w:t>决算表</w:t>
      </w:r>
      <w:bookmarkEnd w:id="89"/>
    </w:p>
    <w:p w14:paraId="2909FCC1">
      <w:pPr>
        <w:pStyle w:val="5"/>
        <w:rPr>
          <w:rFonts w:hint="eastAsia" w:ascii="仿宋_GB2312" w:hAnsi="Calibri" w:eastAsia="仿宋_GB2312" w:cs="仿宋"/>
          <w:b w:val="0"/>
          <w:bCs w:val="0"/>
          <w:color w:val="auto"/>
          <w:sz w:val="32"/>
          <w:szCs w:val="32"/>
          <w:highlight w:val="none"/>
          <w:lang w:val="en-US" w:eastAsia="zh-CN" w:bidi="ar-SA"/>
        </w:rPr>
      </w:pPr>
      <w:bookmarkStart w:id="90" w:name="_Toc22522"/>
      <w:bookmarkStart w:id="91" w:name="_Toc15396621"/>
      <w:r>
        <w:rPr>
          <w:rFonts w:hint="eastAsia" w:ascii="仿宋_GB2312" w:hAnsi="Calibri" w:eastAsia="仿宋_GB2312" w:cs="仿宋"/>
          <w:b w:val="0"/>
          <w:bCs w:val="0"/>
          <w:color w:val="auto"/>
          <w:sz w:val="32"/>
          <w:szCs w:val="32"/>
          <w:highlight w:val="none"/>
          <w:lang w:val="en-US" w:eastAsia="zh-CN" w:bidi="ar-SA"/>
        </w:rPr>
        <w:t>三、支出决算表</w:t>
      </w:r>
      <w:bookmarkEnd w:id="90"/>
      <w:bookmarkEnd w:id="91"/>
    </w:p>
    <w:p w14:paraId="044435FC">
      <w:pPr>
        <w:pStyle w:val="5"/>
        <w:rPr>
          <w:rFonts w:hint="eastAsia" w:ascii="仿宋_GB2312" w:hAnsi="Calibri" w:eastAsia="仿宋_GB2312" w:cs="仿宋"/>
          <w:b w:val="0"/>
          <w:bCs w:val="0"/>
          <w:color w:val="auto"/>
          <w:sz w:val="32"/>
          <w:szCs w:val="32"/>
          <w:highlight w:val="none"/>
          <w:lang w:val="en-US" w:eastAsia="zh-CN" w:bidi="ar-SA"/>
        </w:rPr>
      </w:pPr>
      <w:bookmarkStart w:id="92" w:name="_Toc23748"/>
      <w:bookmarkStart w:id="93" w:name="_Toc15396622"/>
      <w:r>
        <w:rPr>
          <w:rFonts w:hint="eastAsia" w:ascii="仿宋_GB2312" w:hAnsi="Calibri" w:eastAsia="仿宋_GB2312" w:cs="仿宋"/>
          <w:b w:val="0"/>
          <w:bCs w:val="0"/>
          <w:color w:val="auto"/>
          <w:sz w:val="32"/>
          <w:szCs w:val="32"/>
          <w:highlight w:val="none"/>
          <w:lang w:val="en-US" w:eastAsia="zh-CN" w:bidi="ar-SA"/>
        </w:rPr>
        <w:t>四、财政拨款收入支出决算总表</w:t>
      </w:r>
      <w:bookmarkEnd w:id="92"/>
      <w:bookmarkEnd w:id="93"/>
    </w:p>
    <w:p w14:paraId="4B833136">
      <w:pPr>
        <w:pStyle w:val="5"/>
        <w:rPr>
          <w:rFonts w:hint="eastAsia" w:ascii="仿宋_GB2312" w:hAnsi="Calibri" w:eastAsia="仿宋_GB2312" w:cs="仿宋"/>
          <w:b w:val="0"/>
          <w:bCs w:val="0"/>
          <w:color w:val="auto"/>
          <w:sz w:val="32"/>
          <w:szCs w:val="32"/>
          <w:highlight w:val="none"/>
          <w:lang w:val="en-US" w:eastAsia="zh-CN" w:bidi="ar-SA"/>
        </w:rPr>
      </w:pPr>
      <w:bookmarkStart w:id="94" w:name="_Toc15396623"/>
      <w:bookmarkStart w:id="95" w:name="_Toc27508"/>
      <w:r>
        <w:rPr>
          <w:rFonts w:hint="eastAsia" w:ascii="仿宋_GB2312" w:hAnsi="Calibri" w:eastAsia="仿宋_GB2312" w:cs="仿宋"/>
          <w:b w:val="0"/>
          <w:bCs w:val="0"/>
          <w:color w:val="auto"/>
          <w:sz w:val="32"/>
          <w:szCs w:val="32"/>
          <w:highlight w:val="none"/>
          <w:lang w:val="en-US" w:eastAsia="zh-CN" w:bidi="ar-SA"/>
        </w:rPr>
        <w:t>五、财政拨款支出决算明细表</w:t>
      </w:r>
      <w:bookmarkEnd w:id="94"/>
      <w:bookmarkEnd w:id="95"/>
      <w:bookmarkStart w:id="96" w:name="_Toc15396624"/>
    </w:p>
    <w:p w14:paraId="72F040A6">
      <w:pPr>
        <w:pStyle w:val="5"/>
        <w:rPr>
          <w:rFonts w:hint="eastAsia" w:ascii="仿宋_GB2312" w:hAnsi="Calibri" w:eastAsia="仿宋_GB2312" w:cs="仿宋"/>
          <w:b w:val="0"/>
          <w:bCs w:val="0"/>
          <w:color w:val="auto"/>
          <w:sz w:val="32"/>
          <w:szCs w:val="32"/>
          <w:highlight w:val="none"/>
          <w:lang w:val="en-US" w:eastAsia="zh-CN" w:bidi="ar-SA"/>
        </w:rPr>
      </w:pPr>
      <w:bookmarkStart w:id="97" w:name="_Toc20268"/>
      <w:r>
        <w:rPr>
          <w:rFonts w:hint="eastAsia" w:ascii="仿宋_GB2312" w:hAnsi="Calibri" w:eastAsia="仿宋_GB2312" w:cs="仿宋"/>
          <w:b w:val="0"/>
          <w:bCs w:val="0"/>
          <w:color w:val="auto"/>
          <w:sz w:val="32"/>
          <w:szCs w:val="32"/>
          <w:highlight w:val="none"/>
          <w:lang w:val="en-US" w:eastAsia="zh-CN" w:bidi="ar-SA"/>
        </w:rPr>
        <w:t>六、一般公共预算财政拨款支出决算表</w:t>
      </w:r>
      <w:bookmarkEnd w:id="96"/>
      <w:bookmarkEnd w:id="97"/>
    </w:p>
    <w:p w14:paraId="04F47AB6">
      <w:pPr>
        <w:pStyle w:val="5"/>
        <w:rPr>
          <w:rFonts w:hint="eastAsia" w:ascii="仿宋_GB2312" w:hAnsi="Calibri" w:eastAsia="仿宋_GB2312" w:cs="仿宋"/>
          <w:b w:val="0"/>
          <w:bCs w:val="0"/>
          <w:color w:val="auto"/>
          <w:sz w:val="32"/>
          <w:szCs w:val="32"/>
          <w:highlight w:val="none"/>
          <w:lang w:val="en-US" w:eastAsia="zh-CN" w:bidi="ar-SA"/>
        </w:rPr>
      </w:pPr>
      <w:bookmarkStart w:id="98" w:name="_Toc32729"/>
      <w:bookmarkStart w:id="99" w:name="_Toc15396625"/>
      <w:r>
        <w:rPr>
          <w:rFonts w:hint="eastAsia" w:ascii="仿宋_GB2312" w:hAnsi="Calibri" w:eastAsia="仿宋_GB2312" w:cs="仿宋"/>
          <w:b w:val="0"/>
          <w:bCs w:val="0"/>
          <w:color w:val="auto"/>
          <w:sz w:val="32"/>
          <w:szCs w:val="32"/>
          <w:highlight w:val="none"/>
          <w:lang w:val="en-US" w:eastAsia="zh-CN" w:bidi="ar-SA"/>
        </w:rPr>
        <w:t>七、一般公共预算财政拨款支出决算明细表</w:t>
      </w:r>
      <w:bookmarkEnd w:id="98"/>
      <w:bookmarkEnd w:id="99"/>
    </w:p>
    <w:p w14:paraId="556C4C0D">
      <w:pPr>
        <w:pStyle w:val="5"/>
        <w:rPr>
          <w:rFonts w:hint="eastAsia" w:ascii="仿宋_GB2312" w:hAnsi="Calibri" w:eastAsia="仿宋_GB2312" w:cs="仿宋"/>
          <w:b w:val="0"/>
          <w:bCs w:val="0"/>
          <w:color w:val="auto"/>
          <w:sz w:val="32"/>
          <w:szCs w:val="32"/>
          <w:highlight w:val="none"/>
          <w:lang w:val="en-US" w:eastAsia="zh-CN" w:bidi="ar-SA"/>
        </w:rPr>
      </w:pPr>
      <w:bookmarkStart w:id="100" w:name="_Toc30915"/>
      <w:bookmarkStart w:id="101" w:name="_Toc15396626"/>
      <w:r>
        <w:rPr>
          <w:rFonts w:hint="eastAsia" w:ascii="仿宋_GB2312" w:hAnsi="Calibri" w:eastAsia="仿宋_GB2312" w:cs="仿宋"/>
          <w:b w:val="0"/>
          <w:bCs w:val="0"/>
          <w:color w:val="auto"/>
          <w:sz w:val="32"/>
          <w:szCs w:val="32"/>
          <w:highlight w:val="none"/>
          <w:lang w:val="en-US" w:eastAsia="zh-CN" w:bidi="ar-SA"/>
        </w:rPr>
        <w:t>八、一般公共预算财政拨款基本支出决算明细表</w:t>
      </w:r>
      <w:bookmarkEnd w:id="100"/>
      <w:bookmarkEnd w:id="101"/>
    </w:p>
    <w:p w14:paraId="1F976A0F">
      <w:pPr>
        <w:pStyle w:val="5"/>
        <w:rPr>
          <w:rFonts w:hint="eastAsia" w:ascii="仿宋_GB2312" w:hAnsi="Calibri" w:eastAsia="仿宋_GB2312" w:cs="仿宋"/>
          <w:b w:val="0"/>
          <w:bCs w:val="0"/>
          <w:color w:val="auto"/>
          <w:sz w:val="32"/>
          <w:szCs w:val="32"/>
          <w:highlight w:val="none"/>
          <w:lang w:val="en-US" w:eastAsia="zh-CN" w:bidi="ar-SA"/>
        </w:rPr>
      </w:pPr>
      <w:bookmarkStart w:id="102" w:name="_Toc20962"/>
      <w:bookmarkStart w:id="103" w:name="_Toc15396627"/>
      <w:r>
        <w:rPr>
          <w:rFonts w:hint="eastAsia" w:ascii="仿宋_GB2312" w:hAnsi="Calibri" w:eastAsia="仿宋_GB2312" w:cs="仿宋"/>
          <w:b w:val="0"/>
          <w:bCs w:val="0"/>
          <w:color w:val="auto"/>
          <w:sz w:val="32"/>
          <w:szCs w:val="32"/>
          <w:highlight w:val="none"/>
          <w:lang w:val="en-US" w:eastAsia="zh-CN" w:bidi="ar-SA"/>
        </w:rPr>
        <w:t>九、一般公共预算财政拨款项目支出决算表</w:t>
      </w:r>
      <w:bookmarkEnd w:id="102"/>
      <w:bookmarkEnd w:id="103"/>
    </w:p>
    <w:p w14:paraId="457B9C95">
      <w:pPr>
        <w:pStyle w:val="5"/>
        <w:bidi w:val="0"/>
        <w:rPr>
          <w:rFonts w:hint="eastAsia"/>
          <w:color w:val="auto"/>
          <w:highlight w:val="none"/>
          <w:lang w:val="en-US" w:eastAsia="zh-CN"/>
        </w:rPr>
      </w:pPr>
      <w:bookmarkStart w:id="104" w:name="_Toc3297"/>
      <w:r>
        <w:rPr>
          <w:rFonts w:hint="eastAsia" w:ascii="仿宋_GB2312" w:hAnsi="Calibri" w:eastAsia="仿宋_GB2312" w:cs="仿宋"/>
          <w:b w:val="0"/>
          <w:bCs w:val="0"/>
          <w:color w:val="auto"/>
          <w:kern w:val="2"/>
          <w:sz w:val="32"/>
          <w:szCs w:val="32"/>
          <w:highlight w:val="none"/>
          <w:lang w:val="en-US" w:eastAsia="zh-CN" w:bidi="ar-SA"/>
        </w:rPr>
        <w:t>十、政府性基金预算财政拨款收入支出决算表</w:t>
      </w:r>
      <w:bookmarkEnd w:id="104"/>
      <w:r>
        <w:rPr>
          <w:rFonts w:hint="eastAsia" w:ascii="仿宋_GB2312" w:hAnsi="Calibri" w:eastAsia="仿宋_GB2312" w:cs="仿宋"/>
          <w:b w:val="0"/>
          <w:bCs w:val="0"/>
          <w:color w:val="auto"/>
          <w:kern w:val="2"/>
          <w:sz w:val="32"/>
          <w:szCs w:val="32"/>
          <w:highlight w:val="none"/>
          <w:lang w:val="en-US" w:eastAsia="zh-CN" w:bidi="ar-SA"/>
        </w:rPr>
        <w:tab/>
      </w:r>
    </w:p>
    <w:p w14:paraId="43E5A09F">
      <w:pPr>
        <w:pStyle w:val="5"/>
        <w:bidi w:val="0"/>
        <w:rPr>
          <w:rFonts w:hint="eastAsia" w:ascii="仿宋_GB2312" w:hAnsi="Calibri" w:eastAsia="仿宋_GB2312" w:cs="仿宋"/>
          <w:b w:val="0"/>
          <w:bCs w:val="0"/>
          <w:color w:val="auto"/>
          <w:kern w:val="2"/>
          <w:sz w:val="32"/>
          <w:szCs w:val="32"/>
          <w:highlight w:val="none"/>
          <w:lang w:val="en-US" w:eastAsia="zh-CN" w:bidi="ar-SA"/>
        </w:rPr>
      </w:pPr>
      <w:bookmarkStart w:id="105" w:name="_Toc4863"/>
      <w:r>
        <w:rPr>
          <w:rFonts w:hint="eastAsia" w:ascii="仿宋_GB2312" w:hAnsi="Calibri" w:eastAsia="仿宋_GB2312" w:cs="仿宋"/>
          <w:b w:val="0"/>
          <w:bCs w:val="0"/>
          <w:color w:val="auto"/>
          <w:kern w:val="2"/>
          <w:sz w:val="32"/>
          <w:szCs w:val="32"/>
          <w:highlight w:val="none"/>
          <w:lang w:val="en-US" w:eastAsia="zh-CN" w:bidi="ar-SA"/>
        </w:rPr>
        <w:t>十一、国有资本经营预算财政拨款收入支出决算表</w:t>
      </w:r>
      <w:bookmarkEnd w:id="105"/>
      <w:r>
        <w:rPr>
          <w:rFonts w:hint="eastAsia" w:ascii="仿宋_GB2312" w:hAnsi="Calibri" w:eastAsia="仿宋_GB2312" w:cs="仿宋"/>
          <w:b w:val="0"/>
          <w:bCs w:val="0"/>
          <w:color w:val="auto"/>
          <w:kern w:val="2"/>
          <w:sz w:val="32"/>
          <w:szCs w:val="32"/>
          <w:highlight w:val="none"/>
          <w:lang w:val="en-US" w:eastAsia="zh-CN" w:bidi="ar-SA"/>
        </w:rPr>
        <w:tab/>
      </w:r>
    </w:p>
    <w:p w14:paraId="030B50F9">
      <w:pPr>
        <w:pStyle w:val="5"/>
        <w:bidi w:val="0"/>
        <w:rPr>
          <w:rFonts w:hint="eastAsia" w:ascii="仿宋_GB2312" w:hAnsi="Calibri" w:eastAsia="仿宋_GB2312" w:cs="仿宋"/>
          <w:b w:val="0"/>
          <w:bCs w:val="0"/>
          <w:color w:val="auto"/>
          <w:kern w:val="2"/>
          <w:sz w:val="32"/>
          <w:szCs w:val="32"/>
          <w:highlight w:val="none"/>
          <w:lang w:val="en-US" w:eastAsia="zh-CN" w:bidi="ar-SA"/>
        </w:rPr>
      </w:pPr>
      <w:bookmarkStart w:id="106" w:name="_Toc31943"/>
      <w:r>
        <w:rPr>
          <w:rFonts w:hint="eastAsia" w:ascii="仿宋_GB2312" w:hAnsi="Calibri" w:eastAsia="仿宋_GB2312" w:cs="仿宋"/>
          <w:b w:val="0"/>
          <w:bCs w:val="0"/>
          <w:color w:val="auto"/>
          <w:kern w:val="2"/>
          <w:sz w:val="32"/>
          <w:szCs w:val="32"/>
          <w:highlight w:val="none"/>
          <w:lang w:val="en-US" w:eastAsia="zh-CN" w:bidi="ar-SA"/>
        </w:rPr>
        <w:t>十二、国有资本经营预算财政拨款支出决算表</w:t>
      </w:r>
      <w:bookmarkEnd w:id="106"/>
      <w:r>
        <w:rPr>
          <w:rFonts w:hint="eastAsia" w:ascii="仿宋_GB2312" w:hAnsi="Calibri" w:eastAsia="仿宋_GB2312" w:cs="仿宋"/>
          <w:b w:val="0"/>
          <w:bCs w:val="0"/>
          <w:color w:val="auto"/>
          <w:kern w:val="2"/>
          <w:sz w:val="32"/>
          <w:szCs w:val="32"/>
          <w:highlight w:val="none"/>
          <w:lang w:val="en-US" w:eastAsia="zh-CN" w:bidi="ar-SA"/>
        </w:rPr>
        <w:tab/>
      </w:r>
    </w:p>
    <w:p w14:paraId="22DBD9F9">
      <w:pPr>
        <w:pStyle w:val="5"/>
        <w:pageBreakBefore w:val="0"/>
        <w:widowControl w:val="0"/>
        <w:kinsoku/>
        <w:wordWrap/>
        <w:overflowPunct/>
        <w:topLinePunct w:val="0"/>
        <w:autoSpaceDE/>
        <w:autoSpaceDN/>
        <w:bidi w:val="0"/>
        <w:adjustRightInd/>
        <w:snapToGrid/>
        <w:spacing w:line="416" w:lineRule="auto"/>
        <w:textAlignment w:val="auto"/>
        <w:rPr>
          <w:rFonts w:hint="eastAsia" w:ascii="仿宋_GB2312" w:hAnsi="Calibri" w:eastAsia="仿宋_GB2312" w:cs="仿宋"/>
          <w:b w:val="0"/>
          <w:bCs w:val="0"/>
          <w:color w:val="auto"/>
          <w:kern w:val="2"/>
          <w:sz w:val="32"/>
          <w:szCs w:val="32"/>
          <w:highlight w:val="none"/>
          <w:lang w:val="en-US" w:eastAsia="zh-CN" w:bidi="ar-SA"/>
        </w:rPr>
      </w:pPr>
      <w:bookmarkStart w:id="107" w:name="_Toc9910"/>
      <w:r>
        <w:rPr>
          <w:rFonts w:hint="eastAsia" w:ascii="仿宋_GB2312" w:hAnsi="Calibri" w:eastAsia="仿宋_GB2312" w:cs="仿宋"/>
          <w:b w:val="0"/>
          <w:bCs w:val="0"/>
          <w:color w:val="auto"/>
          <w:kern w:val="2"/>
          <w:sz w:val="32"/>
          <w:szCs w:val="32"/>
          <w:highlight w:val="none"/>
          <w:lang w:val="en-US" w:eastAsia="zh-CN" w:bidi="ar-SA"/>
        </w:rPr>
        <w:t>十三、财政拨款“三公”经费支出决算</w:t>
      </w:r>
      <w:bookmarkEnd w:id="107"/>
    </w:p>
    <w:sectPr>
      <w:headerReference r:id="rId3" w:type="default"/>
      <w:footerReference r:id="rId4" w:type="default"/>
      <w:pgSz w:w="11906" w:h="16838"/>
      <w:pgMar w:top="2098" w:right="1474" w:bottom="1984" w:left="1587" w:header="851" w:footer="992" w:gutter="0"/>
      <w:pgNumType w:start="1"/>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8D5B1C2-61B7-44E1-8C44-DE92837DF43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B371687F-FA42-486F-87D8-BD9114C7F7B6}"/>
  </w:font>
  <w:font w:name="Cambria">
    <w:panose1 w:val="02040503050406030204"/>
    <w:charset w:val="00"/>
    <w:family w:val="roman"/>
    <w:pitch w:val="default"/>
    <w:sig w:usb0="E00006FF" w:usb1="420024FF" w:usb2="02000000" w:usb3="00000000" w:csb0="2000019F" w:csb1="00000000"/>
    <w:embedRegular r:id="rId3" w:fontKey="{4755633C-5BCF-4F0C-A66A-7DB77143A08E}"/>
  </w:font>
  <w:font w:name="仿宋_GB2312">
    <w:panose1 w:val="02010609030101010101"/>
    <w:charset w:val="86"/>
    <w:family w:val="modern"/>
    <w:pitch w:val="default"/>
    <w:sig w:usb0="00000001" w:usb1="080E0000" w:usb2="00000000" w:usb3="00000000" w:csb0="00040000" w:csb1="00000000"/>
    <w:embedRegular r:id="rId4" w:fontKey="{6CCC1D26-A9B3-4546-940A-D3AF08ED638E}"/>
  </w:font>
  <w:font w:name="仿宋">
    <w:panose1 w:val="02010609060101010101"/>
    <w:charset w:val="86"/>
    <w:family w:val="auto"/>
    <w:pitch w:val="default"/>
    <w:sig w:usb0="800002BF" w:usb1="38CF7CFA" w:usb2="00000016" w:usb3="00000000" w:csb0="00040001" w:csb1="00000000"/>
    <w:embedRegular r:id="rId5" w:fontKey="{8E5357AE-2523-45FE-9F97-019F4EA369E0}"/>
  </w:font>
  <w:font w:name="??">
    <w:altName w:val="Times New Roman"/>
    <w:panose1 w:val="00000000000000000000"/>
    <w:charset w:val="00"/>
    <w:family w:val="roman"/>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embedRegular r:id="rId6" w:fontKey="{CF6C134A-36D1-4F12-82D0-F7017B15E89B}"/>
  </w:font>
  <w:font w:name="楷体_GB2312">
    <w:panose1 w:val="02010609030101010101"/>
    <w:charset w:val="86"/>
    <w:family w:val="modern"/>
    <w:pitch w:val="default"/>
    <w:sig w:usb0="00000001" w:usb1="080E0000" w:usb2="00000000" w:usb3="00000000" w:csb0="00040000" w:csb1="00000000"/>
    <w:embedRegular r:id="rId7" w:fontKey="{BA208A5D-FA6F-4919-B5A8-1AE0E9E6F0A3}"/>
  </w:font>
  <w:font w:name="方正小标宋简体">
    <w:panose1 w:val="03000509000000000000"/>
    <w:charset w:val="86"/>
    <w:family w:val="auto"/>
    <w:pitch w:val="default"/>
    <w:sig w:usb0="00000001" w:usb1="080E0000" w:usb2="00000000" w:usb3="00000000" w:csb0="00040000" w:csb1="00000000"/>
    <w:embedRegular r:id="rId8" w:fontKey="{EAF6113B-E391-43B7-B329-857539A1C76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14:paraId="07A36C4D">
        <w:pPr>
          <w:pStyle w:val="11"/>
          <w:jc w:val="center"/>
        </w:pPr>
        <w:r>
          <w:fldChar w:fldCharType="begin"/>
        </w:r>
        <w:r>
          <w:instrText xml:space="preserve">PAGE   \* MERGEFORMAT</w:instrText>
        </w:r>
        <w:r>
          <w:fldChar w:fldCharType="separate"/>
        </w:r>
        <w:r>
          <w:rPr>
            <w:lang w:val="zh-CN"/>
          </w:rPr>
          <w:t>2</w:t>
        </w:r>
        <w:r>
          <w:rPr>
            <w:lang w:val="zh-CN"/>
          </w:rPr>
          <w:fldChar w:fldCharType="end"/>
        </w:r>
      </w:p>
    </w:sdtContent>
  </w:sdt>
  <w:p w14:paraId="54915E68">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0FC1B">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DD7D443A"/>
    <w:multiLevelType w:val="singleLevel"/>
    <w:tmpl w:val="DD7D443A"/>
    <w:lvl w:ilvl="0" w:tentative="0">
      <w:start w:val="2"/>
      <w:numFmt w:val="chineseCounting"/>
      <w:suff w:val="nothing"/>
      <w:lvlText w:val="（%1）"/>
      <w:lvlJc w:val="left"/>
      <w:rPr>
        <w:rFonts w:hint="eastAsia"/>
      </w:rPr>
    </w:lvl>
  </w:abstractNum>
  <w:abstractNum w:abstractNumId="2">
    <w:nsid w:val="E2FA047D"/>
    <w:multiLevelType w:val="singleLevel"/>
    <w:tmpl w:val="E2FA047D"/>
    <w:lvl w:ilvl="0" w:tentative="0">
      <w:start w:val="3"/>
      <w:numFmt w:val="chineseCounting"/>
      <w:suff w:val="space"/>
      <w:lvlText w:val="第%1部分"/>
      <w:lvlJc w:val="left"/>
      <w:rPr>
        <w:rFonts w:hint="eastAsia"/>
      </w:rPr>
    </w:lvl>
  </w:abstractNum>
  <w:abstractNum w:abstractNumId="3">
    <w:nsid w:val="E7789A26"/>
    <w:multiLevelType w:val="singleLevel"/>
    <w:tmpl w:val="E7789A26"/>
    <w:lvl w:ilvl="0" w:tentative="0">
      <w:start w:val="2"/>
      <w:numFmt w:val="chineseCounting"/>
      <w:suff w:val="nothing"/>
      <w:lvlText w:val="（%1）"/>
      <w:lvlJc w:val="left"/>
      <w:rPr>
        <w:rFonts w:hint="eastAsia"/>
      </w:rPr>
    </w:lvl>
  </w:abstractNum>
  <w:abstractNum w:abstractNumId="4">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7"/>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llOTFiYWVkZjBiYTMxNTliYTkxNDAzYjYwZmQ5NzIifQ=="/>
  </w:docVars>
  <w:rsids>
    <w:rsidRoot w:val="00F1361C"/>
    <w:rsid w:val="00002D94"/>
    <w:rsid w:val="000222C6"/>
    <w:rsid w:val="0002549F"/>
    <w:rsid w:val="0006487A"/>
    <w:rsid w:val="00065F8F"/>
    <w:rsid w:val="000768F2"/>
    <w:rsid w:val="0009184B"/>
    <w:rsid w:val="0009593C"/>
    <w:rsid w:val="000B047F"/>
    <w:rsid w:val="000B5923"/>
    <w:rsid w:val="000B5A48"/>
    <w:rsid w:val="000B5F7D"/>
    <w:rsid w:val="000B6FF3"/>
    <w:rsid w:val="000C1E24"/>
    <w:rsid w:val="000C3467"/>
    <w:rsid w:val="000C3CA6"/>
    <w:rsid w:val="000D1267"/>
    <w:rsid w:val="000D1D50"/>
    <w:rsid w:val="000D5782"/>
    <w:rsid w:val="000E6613"/>
    <w:rsid w:val="000E7119"/>
    <w:rsid w:val="00114E9B"/>
    <w:rsid w:val="0014729F"/>
    <w:rsid w:val="00157BAB"/>
    <w:rsid w:val="001654D1"/>
    <w:rsid w:val="0018106D"/>
    <w:rsid w:val="001877A7"/>
    <w:rsid w:val="001877C7"/>
    <w:rsid w:val="00191536"/>
    <w:rsid w:val="00196687"/>
    <w:rsid w:val="001B180B"/>
    <w:rsid w:val="001C0962"/>
    <w:rsid w:val="001D7531"/>
    <w:rsid w:val="001E737D"/>
    <w:rsid w:val="001F0592"/>
    <w:rsid w:val="001F7506"/>
    <w:rsid w:val="002006CD"/>
    <w:rsid w:val="00200985"/>
    <w:rsid w:val="00202B36"/>
    <w:rsid w:val="00204B7A"/>
    <w:rsid w:val="0021101A"/>
    <w:rsid w:val="00220536"/>
    <w:rsid w:val="00235629"/>
    <w:rsid w:val="00260C38"/>
    <w:rsid w:val="002616C0"/>
    <w:rsid w:val="002662AA"/>
    <w:rsid w:val="002775D7"/>
    <w:rsid w:val="00280496"/>
    <w:rsid w:val="00295495"/>
    <w:rsid w:val="0029694F"/>
    <w:rsid w:val="002B2613"/>
    <w:rsid w:val="002C223B"/>
    <w:rsid w:val="002F1818"/>
    <w:rsid w:val="002F567B"/>
    <w:rsid w:val="003216A9"/>
    <w:rsid w:val="00327CF4"/>
    <w:rsid w:val="00351C25"/>
    <w:rsid w:val="0037013F"/>
    <w:rsid w:val="00380C92"/>
    <w:rsid w:val="003A484F"/>
    <w:rsid w:val="003B0BE0"/>
    <w:rsid w:val="003B0C1B"/>
    <w:rsid w:val="003B688C"/>
    <w:rsid w:val="003C0291"/>
    <w:rsid w:val="003C39AE"/>
    <w:rsid w:val="003C7B60"/>
    <w:rsid w:val="003D09A6"/>
    <w:rsid w:val="003D1FB2"/>
    <w:rsid w:val="003D66DA"/>
    <w:rsid w:val="003E1310"/>
    <w:rsid w:val="003E6F55"/>
    <w:rsid w:val="00406254"/>
    <w:rsid w:val="004223DE"/>
    <w:rsid w:val="00432770"/>
    <w:rsid w:val="00434489"/>
    <w:rsid w:val="00437085"/>
    <w:rsid w:val="00443880"/>
    <w:rsid w:val="004464F4"/>
    <w:rsid w:val="00471401"/>
    <w:rsid w:val="00473F31"/>
    <w:rsid w:val="0048263A"/>
    <w:rsid w:val="00487E5D"/>
    <w:rsid w:val="004A4715"/>
    <w:rsid w:val="004A711F"/>
    <w:rsid w:val="004B199D"/>
    <w:rsid w:val="004B4690"/>
    <w:rsid w:val="004E0A2D"/>
    <w:rsid w:val="004E206B"/>
    <w:rsid w:val="004E6DF7"/>
    <w:rsid w:val="004F0FBD"/>
    <w:rsid w:val="00505A47"/>
    <w:rsid w:val="00512FDA"/>
    <w:rsid w:val="00520DA0"/>
    <w:rsid w:val="0056379C"/>
    <w:rsid w:val="005664BB"/>
    <w:rsid w:val="0057481D"/>
    <w:rsid w:val="0058486E"/>
    <w:rsid w:val="005D1C8B"/>
    <w:rsid w:val="005D5CED"/>
    <w:rsid w:val="005E00DD"/>
    <w:rsid w:val="005E29A6"/>
    <w:rsid w:val="005F1A4C"/>
    <w:rsid w:val="00605688"/>
    <w:rsid w:val="006070AF"/>
    <w:rsid w:val="00607E6C"/>
    <w:rsid w:val="006101B1"/>
    <w:rsid w:val="00614E44"/>
    <w:rsid w:val="00616643"/>
    <w:rsid w:val="00622830"/>
    <w:rsid w:val="00630AEF"/>
    <w:rsid w:val="006325F8"/>
    <w:rsid w:val="00634C9A"/>
    <w:rsid w:val="006440E4"/>
    <w:rsid w:val="0066343B"/>
    <w:rsid w:val="00664777"/>
    <w:rsid w:val="006748A4"/>
    <w:rsid w:val="00683E73"/>
    <w:rsid w:val="00687188"/>
    <w:rsid w:val="006A3141"/>
    <w:rsid w:val="006A5E34"/>
    <w:rsid w:val="006B2422"/>
    <w:rsid w:val="006B2B9A"/>
    <w:rsid w:val="006C1937"/>
    <w:rsid w:val="006F020C"/>
    <w:rsid w:val="007036D6"/>
    <w:rsid w:val="007127B7"/>
    <w:rsid w:val="007416B6"/>
    <w:rsid w:val="00746F48"/>
    <w:rsid w:val="0075404D"/>
    <w:rsid w:val="0076182A"/>
    <w:rsid w:val="00767B7E"/>
    <w:rsid w:val="007770C3"/>
    <w:rsid w:val="00784D24"/>
    <w:rsid w:val="00785FBA"/>
    <w:rsid w:val="00786E4A"/>
    <w:rsid w:val="007875EB"/>
    <w:rsid w:val="0079426B"/>
    <w:rsid w:val="007D312A"/>
    <w:rsid w:val="007D3ACA"/>
    <w:rsid w:val="007D3F19"/>
    <w:rsid w:val="007E23B0"/>
    <w:rsid w:val="007F1991"/>
    <w:rsid w:val="007F2C2F"/>
    <w:rsid w:val="007F3B10"/>
    <w:rsid w:val="007F55FC"/>
    <w:rsid w:val="007F5665"/>
    <w:rsid w:val="00800112"/>
    <w:rsid w:val="008253BB"/>
    <w:rsid w:val="0083706E"/>
    <w:rsid w:val="008423A5"/>
    <w:rsid w:val="00850625"/>
    <w:rsid w:val="00853718"/>
    <w:rsid w:val="00855221"/>
    <w:rsid w:val="00860645"/>
    <w:rsid w:val="00871F71"/>
    <w:rsid w:val="00885AF4"/>
    <w:rsid w:val="008939CD"/>
    <w:rsid w:val="00895C37"/>
    <w:rsid w:val="008B768C"/>
    <w:rsid w:val="008C4DB1"/>
    <w:rsid w:val="008C4EAF"/>
    <w:rsid w:val="008C5176"/>
    <w:rsid w:val="008C7FD0"/>
    <w:rsid w:val="008E1DE7"/>
    <w:rsid w:val="008E707C"/>
    <w:rsid w:val="00900B08"/>
    <w:rsid w:val="00902155"/>
    <w:rsid w:val="00902FA3"/>
    <w:rsid w:val="009069B5"/>
    <w:rsid w:val="00923564"/>
    <w:rsid w:val="0092392E"/>
    <w:rsid w:val="009315F9"/>
    <w:rsid w:val="00946945"/>
    <w:rsid w:val="00951248"/>
    <w:rsid w:val="0095152F"/>
    <w:rsid w:val="00954C49"/>
    <w:rsid w:val="0097099F"/>
    <w:rsid w:val="00971997"/>
    <w:rsid w:val="00971FFC"/>
    <w:rsid w:val="0098660A"/>
    <w:rsid w:val="009931C3"/>
    <w:rsid w:val="009B2C43"/>
    <w:rsid w:val="009B4EAE"/>
    <w:rsid w:val="009B7573"/>
    <w:rsid w:val="009C1F16"/>
    <w:rsid w:val="009C22F4"/>
    <w:rsid w:val="009C2E98"/>
    <w:rsid w:val="009D0526"/>
    <w:rsid w:val="009D3447"/>
    <w:rsid w:val="009D4711"/>
    <w:rsid w:val="009F1185"/>
    <w:rsid w:val="009F18CD"/>
    <w:rsid w:val="009F2A13"/>
    <w:rsid w:val="00A04EB0"/>
    <w:rsid w:val="00A13CC1"/>
    <w:rsid w:val="00A16847"/>
    <w:rsid w:val="00A237D8"/>
    <w:rsid w:val="00A268C4"/>
    <w:rsid w:val="00A307CD"/>
    <w:rsid w:val="00A40A00"/>
    <w:rsid w:val="00A4142F"/>
    <w:rsid w:val="00A56DF2"/>
    <w:rsid w:val="00A67AB5"/>
    <w:rsid w:val="00A91760"/>
    <w:rsid w:val="00A93B00"/>
    <w:rsid w:val="00A93C21"/>
    <w:rsid w:val="00AC3C6A"/>
    <w:rsid w:val="00AD5620"/>
    <w:rsid w:val="00AD7C1B"/>
    <w:rsid w:val="00AE16BA"/>
    <w:rsid w:val="00AE1EBE"/>
    <w:rsid w:val="00B03C9D"/>
    <w:rsid w:val="00B060AE"/>
    <w:rsid w:val="00B10517"/>
    <w:rsid w:val="00B14E76"/>
    <w:rsid w:val="00B161B8"/>
    <w:rsid w:val="00B174FE"/>
    <w:rsid w:val="00B2048C"/>
    <w:rsid w:val="00B310B9"/>
    <w:rsid w:val="00B33A14"/>
    <w:rsid w:val="00B35F3F"/>
    <w:rsid w:val="00B36CBB"/>
    <w:rsid w:val="00B425E0"/>
    <w:rsid w:val="00B440AA"/>
    <w:rsid w:val="00B44B70"/>
    <w:rsid w:val="00B53C56"/>
    <w:rsid w:val="00B77EA6"/>
    <w:rsid w:val="00B81598"/>
    <w:rsid w:val="00B841F1"/>
    <w:rsid w:val="00B944D6"/>
    <w:rsid w:val="00BB4DF0"/>
    <w:rsid w:val="00BC289F"/>
    <w:rsid w:val="00BC5361"/>
    <w:rsid w:val="00BC5460"/>
    <w:rsid w:val="00BC6B50"/>
    <w:rsid w:val="00BD0E25"/>
    <w:rsid w:val="00BE720A"/>
    <w:rsid w:val="00BF5BD6"/>
    <w:rsid w:val="00C03E31"/>
    <w:rsid w:val="00C33E72"/>
    <w:rsid w:val="00C354B2"/>
    <w:rsid w:val="00C35554"/>
    <w:rsid w:val="00C42709"/>
    <w:rsid w:val="00C533CC"/>
    <w:rsid w:val="00C5751C"/>
    <w:rsid w:val="00C61BFC"/>
    <w:rsid w:val="00C62B85"/>
    <w:rsid w:val="00C65438"/>
    <w:rsid w:val="00C91CBB"/>
    <w:rsid w:val="00CC09B6"/>
    <w:rsid w:val="00CC666F"/>
    <w:rsid w:val="00CD1E3F"/>
    <w:rsid w:val="00CE39EF"/>
    <w:rsid w:val="00CE44F6"/>
    <w:rsid w:val="00CE49DA"/>
    <w:rsid w:val="00CE7B61"/>
    <w:rsid w:val="00D00095"/>
    <w:rsid w:val="00D20620"/>
    <w:rsid w:val="00D26091"/>
    <w:rsid w:val="00D32CAD"/>
    <w:rsid w:val="00D34E7C"/>
    <w:rsid w:val="00D35489"/>
    <w:rsid w:val="00D51276"/>
    <w:rsid w:val="00D7035F"/>
    <w:rsid w:val="00DA65AC"/>
    <w:rsid w:val="00DB1913"/>
    <w:rsid w:val="00DC410D"/>
    <w:rsid w:val="00DC68CA"/>
    <w:rsid w:val="00DC7CBA"/>
    <w:rsid w:val="00DD73B7"/>
    <w:rsid w:val="00DF28BC"/>
    <w:rsid w:val="00DF34B9"/>
    <w:rsid w:val="00E01053"/>
    <w:rsid w:val="00E07ACF"/>
    <w:rsid w:val="00E1605A"/>
    <w:rsid w:val="00E17354"/>
    <w:rsid w:val="00E21A8F"/>
    <w:rsid w:val="00E331A1"/>
    <w:rsid w:val="00E33202"/>
    <w:rsid w:val="00E336A9"/>
    <w:rsid w:val="00E50624"/>
    <w:rsid w:val="00E568DF"/>
    <w:rsid w:val="00E64269"/>
    <w:rsid w:val="00E82267"/>
    <w:rsid w:val="00E9294F"/>
    <w:rsid w:val="00EA010F"/>
    <w:rsid w:val="00ED1B63"/>
    <w:rsid w:val="00ED3C1F"/>
    <w:rsid w:val="00ED4085"/>
    <w:rsid w:val="00ED420E"/>
    <w:rsid w:val="00ED598C"/>
    <w:rsid w:val="00EE2F57"/>
    <w:rsid w:val="00EF4C34"/>
    <w:rsid w:val="00EF77C6"/>
    <w:rsid w:val="00F05438"/>
    <w:rsid w:val="00F1361C"/>
    <w:rsid w:val="00F160C7"/>
    <w:rsid w:val="00F36D8F"/>
    <w:rsid w:val="00F417B1"/>
    <w:rsid w:val="00F602DF"/>
    <w:rsid w:val="00F80799"/>
    <w:rsid w:val="00F81FD9"/>
    <w:rsid w:val="00F841AA"/>
    <w:rsid w:val="00F97374"/>
    <w:rsid w:val="00FA23E8"/>
    <w:rsid w:val="00FD2BB1"/>
    <w:rsid w:val="00FD3CC1"/>
    <w:rsid w:val="00FF1E02"/>
    <w:rsid w:val="00FF30B4"/>
    <w:rsid w:val="01015F54"/>
    <w:rsid w:val="02EE0804"/>
    <w:rsid w:val="05322871"/>
    <w:rsid w:val="06FC26E7"/>
    <w:rsid w:val="08540E98"/>
    <w:rsid w:val="08F432B7"/>
    <w:rsid w:val="0AEA2F37"/>
    <w:rsid w:val="0B1A346B"/>
    <w:rsid w:val="0EA004DC"/>
    <w:rsid w:val="0F037A1F"/>
    <w:rsid w:val="0F302500"/>
    <w:rsid w:val="10C055FF"/>
    <w:rsid w:val="13737F6D"/>
    <w:rsid w:val="139B3968"/>
    <w:rsid w:val="14736399"/>
    <w:rsid w:val="1598181E"/>
    <w:rsid w:val="16BB723D"/>
    <w:rsid w:val="17780248"/>
    <w:rsid w:val="18EA3716"/>
    <w:rsid w:val="18F02060"/>
    <w:rsid w:val="190653E0"/>
    <w:rsid w:val="19267830"/>
    <w:rsid w:val="19936A07"/>
    <w:rsid w:val="1998697F"/>
    <w:rsid w:val="1A1D50D7"/>
    <w:rsid w:val="1C153F9E"/>
    <w:rsid w:val="1EAE5F51"/>
    <w:rsid w:val="20124FB2"/>
    <w:rsid w:val="20174376"/>
    <w:rsid w:val="20535245"/>
    <w:rsid w:val="211F6C31"/>
    <w:rsid w:val="21834042"/>
    <w:rsid w:val="240371BF"/>
    <w:rsid w:val="26463588"/>
    <w:rsid w:val="26CC27E8"/>
    <w:rsid w:val="29743F15"/>
    <w:rsid w:val="29B7346B"/>
    <w:rsid w:val="29E17ECF"/>
    <w:rsid w:val="29FD04D3"/>
    <w:rsid w:val="2AAE247C"/>
    <w:rsid w:val="2FE778C1"/>
    <w:rsid w:val="319F7F4E"/>
    <w:rsid w:val="335E4024"/>
    <w:rsid w:val="34023750"/>
    <w:rsid w:val="35064C8D"/>
    <w:rsid w:val="358C5373"/>
    <w:rsid w:val="377708F0"/>
    <w:rsid w:val="39C11183"/>
    <w:rsid w:val="3AED7D56"/>
    <w:rsid w:val="3B4756B8"/>
    <w:rsid w:val="3D7454A8"/>
    <w:rsid w:val="3EAE2FAE"/>
    <w:rsid w:val="3F6820A1"/>
    <w:rsid w:val="42062767"/>
    <w:rsid w:val="439E7EFB"/>
    <w:rsid w:val="47226C56"/>
    <w:rsid w:val="474D22A8"/>
    <w:rsid w:val="4770243A"/>
    <w:rsid w:val="4A8F7895"/>
    <w:rsid w:val="4E672235"/>
    <w:rsid w:val="4F1137DA"/>
    <w:rsid w:val="54E87C38"/>
    <w:rsid w:val="564952FE"/>
    <w:rsid w:val="56BA20AC"/>
    <w:rsid w:val="58AF089B"/>
    <w:rsid w:val="59F44EA9"/>
    <w:rsid w:val="5E482CCE"/>
    <w:rsid w:val="5EF8012A"/>
    <w:rsid w:val="61AD6509"/>
    <w:rsid w:val="63393B23"/>
    <w:rsid w:val="656A4F30"/>
    <w:rsid w:val="69055D6D"/>
    <w:rsid w:val="6B793B12"/>
    <w:rsid w:val="6D7904B3"/>
    <w:rsid w:val="6F4E51FF"/>
    <w:rsid w:val="6F634083"/>
    <w:rsid w:val="74231647"/>
    <w:rsid w:val="74251D33"/>
    <w:rsid w:val="74744A68"/>
    <w:rsid w:val="76655B13"/>
    <w:rsid w:val="7AA61E82"/>
    <w:rsid w:val="7B477E98"/>
    <w:rsid w:val="7B876E2F"/>
    <w:rsid w:val="7E0D3F64"/>
    <w:rsid w:val="7EAE617E"/>
    <w:rsid w:val="DB987C0E"/>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qFormat="1" w:unhideWhenUsed="0" w:uiPriority="99"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22"/>
    <w:qFormat/>
    <w:uiPriority w:val="9"/>
    <w:pPr>
      <w:keepNext/>
      <w:keepLines/>
      <w:spacing w:before="340" w:after="330" w:line="578" w:lineRule="auto"/>
      <w:outlineLvl w:val="0"/>
    </w:pPr>
    <w:rPr>
      <w:b/>
      <w:bCs/>
      <w:kern w:val="44"/>
      <w:sz w:val="44"/>
      <w:szCs w:val="44"/>
    </w:rPr>
  </w:style>
  <w:style w:type="paragraph" w:styleId="5">
    <w:name w:val="heading 2"/>
    <w:basedOn w:val="1"/>
    <w:next w:val="1"/>
    <w:link w:val="2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24"/>
    <w:unhideWhenUsed/>
    <w:qFormat/>
    <w:uiPriority w:val="9"/>
    <w:pPr>
      <w:keepNext/>
      <w:keepLines/>
      <w:spacing w:before="260" w:after="260" w:line="416" w:lineRule="auto"/>
      <w:outlineLvl w:val="2"/>
    </w:pPr>
    <w:rPr>
      <w:b/>
      <w:bCs/>
      <w:sz w:val="32"/>
      <w:szCs w:val="32"/>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qFormat/>
    <w:uiPriority w:val="99"/>
    <w:pPr>
      <w:ind w:firstLine="420" w:firstLineChars="200"/>
    </w:pPr>
  </w:style>
  <w:style w:type="paragraph" w:styleId="3">
    <w:name w:val="Body Text Indent"/>
    <w:basedOn w:val="1"/>
    <w:qFormat/>
    <w:uiPriority w:val="0"/>
    <w:pPr>
      <w:spacing w:after="120" w:afterLines="0"/>
      <w:ind w:left="420" w:leftChars="200"/>
    </w:pPr>
  </w:style>
  <w:style w:type="paragraph" w:styleId="7">
    <w:name w:val="Body Text"/>
    <w:basedOn w:val="1"/>
    <w:next w:val="8"/>
    <w:link w:val="30"/>
    <w:qFormat/>
    <w:uiPriority w:val="99"/>
    <w:pPr>
      <w:spacing w:beforeLines="30"/>
    </w:pPr>
    <w:rPr>
      <w:rFonts w:ascii="仿宋_GB2312" w:eastAsia="仿宋_GB2312"/>
      <w:kern w:val="0"/>
      <w:sz w:val="30"/>
    </w:rPr>
  </w:style>
  <w:style w:type="paragraph" w:styleId="8">
    <w:name w:val="Plain Text"/>
    <w:basedOn w:val="1"/>
    <w:qFormat/>
    <w:uiPriority w:val="99"/>
    <w:rPr>
      <w:rFonts w:ascii="宋体" w:hAnsi="Courier New" w:cs="宋体"/>
    </w:r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4"/>
    <w:semiHidden/>
    <w:unhideWhenUsed/>
    <w:qFormat/>
    <w:uiPriority w:val="99"/>
    <w:rPr>
      <w:sz w:val="18"/>
      <w:szCs w:val="18"/>
    </w:rPr>
  </w:style>
  <w:style w:type="paragraph" w:styleId="11">
    <w:name w:val="footer"/>
    <w:basedOn w:val="1"/>
    <w:link w:val="28"/>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6"/>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table of figures"/>
    <w:basedOn w:val="1"/>
    <w:next w:val="1"/>
    <w:qFormat/>
    <w:uiPriority w:val="99"/>
    <w:pPr>
      <w:ind w:left="200" w:leftChars="200" w:hanging="200" w:hangingChars="200"/>
    </w:pPr>
  </w:style>
  <w:style w:type="paragraph" w:styleId="15">
    <w:name w:val="toc 2"/>
    <w:basedOn w:val="1"/>
    <w:next w:val="1"/>
    <w:unhideWhenUsed/>
    <w:qFormat/>
    <w:uiPriority w:val="39"/>
    <w:pPr>
      <w:tabs>
        <w:tab w:val="right" w:leader="dot" w:pos="8296"/>
      </w:tabs>
      <w:ind w:left="420" w:leftChars="200"/>
    </w:pPr>
  </w:style>
  <w:style w:type="paragraph" w:styleId="16">
    <w:name w:val="Body Text 2"/>
    <w:basedOn w:val="1"/>
    <w:qFormat/>
    <w:uiPriority w:val="0"/>
    <w:pPr>
      <w:spacing w:before="120" w:after="120"/>
      <w:ind w:firstLine="640"/>
      <w:jc w:val="center"/>
    </w:pPr>
    <w:rPr>
      <w:rFonts w:ascii="宋体" w:hAnsi="宋体"/>
      <w:szCs w:val="20"/>
    </w:rPr>
  </w:style>
  <w:style w:type="paragraph" w:styleId="17">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20">
    <w:name w:val="Strong"/>
    <w:basedOn w:val="19"/>
    <w:qFormat/>
    <w:uiPriority w:val="99"/>
    <w:rPr>
      <w:b/>
    </w:rPr>
  </w:style>
  <w:style w:type="character" w:styleId="21">
    <w:name w:val="Hyperlink"/>
    <w:basedOn w:val="19"/>
    <w:unhideWhenUsed/>
    <w:qFormat/>
    <w:uiPriority w:val="99"/>
    <w:rPr>
      <w:color w:val="0000FF" w:themeColor="hyperlink"/>
      <w:u w:val="single"/>
      <w14:textFill>
        <w14:solidFill>
          <w14:schemeClr w14:val="hlink"/>
        </w14:solidFill>
      </w14:textFill>
    </w:rPr>
  </w:style>
  <w:style w:type="character" w:customStyle="1" w:styleId="22">
    <w:name w:val="标题 1 Char"/>
    <w:basedOn w:val="19"/>
    <w:link w:val="4"/>
    <w:qFormat/>
    <w:uiPriority w:val="9"/>
    <w:rPr>
      <w:rFonts w:ascii="Times New Roman" w:hAnsi="Times New Roman"/>
      <w:b/>
      <w:bCs/>
      <w:kern w:val="44"/>
      <w:sz w:val="44"/>
      <w:szCs w:val="44"/>
    </w:rPr>
  </w:style>
  <w:style w:type="character" w:customStyle="1" w:styleId="23">
    <w:name w:val="标题 2 Char"/>
    <w:basedOn w:val="19"/>
    <w:link w:val="5"/>
    <w:qFormat/>
    <w:uiPriority w:val="9"/>
    <w:rPr>
      <w:rFonts w:asciiTheme="majorHAnsi" w:hAnsiTheme="majorHAnsi" w:eastAsiaTheme="majorEastAsia" w:cstheme="majorBidi"/>
      <w:b/>
      <w:bCs/>
      <w:kern w:val="2"/>
      <w:sz w:val="32"/>
      <w:szCs w:val="32"/>
    </w:rPr>
  </w:style>
  <w:style w:type="character" w:customStyle="1" w:styleId="24">
    <w:name w:val="标题 3 Char"/>
    <w:basedOn w:val="19"/>
    <w:link w:val="6"/>
    <w:qFormat/>
    <w:uiPriority w:val="9"/>
    <w:rPr>
      <w:rFonts w:ascii="Times New Roman" w:hAnsi="Times New Roman"/>
      <w:b/>
      <w:bCs/>
      <w:kern w:val="2"/>
      <w:sz w:val="32"/>
      <w:szCs w:val="32"/>
    </w:rPr>
  </w:style>
  <w:style w:type="character" w:customStyle="1" w:styleId="25">
    <w:name w:val="Header Char"/>
    <w:basedOn w:val="19"/>
    <w:semiHidden/>
    <w:qFormat/>
    <w:uiPriority w:val="99"/>
    <w:rPr>
      <w:rFonts w:ascii="Times New Roman" w:hAnsi="Times New Roman"/>
      <w:sz w:val="18"/>
      <w:szCs w:val="18"/>
    </w:rPr>
  </w:style>
  <w:style w:type="character" w:customStyle="1" w:styleId="26">
    <w:name w:val="页眉 Char"/>
    <w:link w:val="12"/>
    <w:semiHidden/>
    <w:qFormat/>
    <w:locked/>
    <w:uiPriority w:val="99"/>
    <w:rPr>
      <w:sz w:val="18"/>
    </w:rPr>
  </w:style>
  <w:style w:type="character" w:customStyle="1" w:styleId="27">
    <w:name w:val="Footer Char"/>
    <w:basedOn w:val="19"/>
    <w:semiHidden/>
    <w:qFormat/>
    <w:uiPriority w:val="99"/>
    <w:rPr>
      <w:rFonts w:ascii="Times New Roman" w:hAnsi="Times New Roman"/>
      <w:sz w:val="18"/>
      <w:szCs w:val="18"/>
    </w:rPr>
  </w:style>
  <w:style w:type="character" w:customStyle="1" w:styleId="28">
    <w:name w:val="页脚 Char"/>
    <w:link w:val="11"/>
    <w:qFormat/>
    <w:locked/>
    <w:uiPriority w:val="99"/>
    <w:rPr>
      <w:sz w:val="18"/>
    </w:rPr>
  </w:style>
  <w:style w:type="character" w:customStyle="1" w:styleId="29">
    <w:name w:val="Body Text Char"/>
    <w:basedOn w:val="19"/>
    <w:semiHidden/>
    <w:qFormat/>
    <w:uiPriority w:val="99"/>
    <w:rPr>
      <w:rFonts w:ascii="Times New Roman" w:hAnsi="Times New Roman"/>
      <w:szCs w:val="24"/>
    </w:rPr>
  </w:style>
  <w:style w:type="character" w:customStyle="1" w:styleId="30">
    <w:name w:val="正文文本 Char"/>
    <w:link w:val="7"/>
    <w:qFormat/>
    <w:locked/>
    <w:uiPriority w:val="99"/>
    <w:rPr>
      <w:rFonts w:ascii="仿宋_GB2312" w:hAnsi="Times New Roman" w:eastAsia="仿宋_GB2312"/>
      <w:sz w:val="24"/>
    </w:rPr>
  </w:style>
  <w:style w:type="paragraph" w:customStyle="1" w:styleId="31">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32">
    <w:name w:val="List Paragraph"/>
    <w:basedOn w:val="1"/>
    <w:qFormat/>
    <w:uiPriority w:val="34"/>
    <w:pPr>
      <w:ind w:firstLine="420" w:firstLineChars="200"/>
    </w:pPr>
  </w:style>
  <w:style w:type="paragraph" w:customStyle="1" w:styleId="33">
    <w:name w:val="TOC 标题1"/>
    <w:basedOn w:val="4"/>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4">
    <w:name w:val="批注框文本 Char"/>
    <w:basedOn w:val="19"/>
    <w:link w:val="10"/>
    <w:semiHidden/>
    <w:qFormat/>
    <w:uiPriority w:val="99"/>
    <w:rPr>
      <w:rFonts w:ascii="Times New Roman" w:hAnsi="Times New Roman"/>
      <w:kern w:val="2"/>
      <w:sz w:val="18"/>
      <w:szCs w:val="18"/>
    </w:rPr>
  </w:style>
  <w:style w:type="paragraph" w:customStyle="1" w:styleId="35">
    <w:name w:val="p0"/>
    <w:basedOn w:val="1"/>
    <w:qFormat/>
    <w:uiPriority w:val="99"/>
    <w:pPr>
      <w:widowControl/>
    </w:pPr>
    <w:rPr>
      <w:kern w:val="0"/>
      <w:szCs w:val="21"/>
    </w:rPr>
  </w:style>
  <w:style w:type="character" w:customStyle="1" w:styleId="36">
    <w:name w:val="NormalCharacter"/>
    <w:semiHidden/>
    <w:qFormat/>
    <w:uiPriority w:val="0"/>
    <w:rPr>
      <w:rFonts w:ascii="Times New Roman" w:hAnsi="Times New Roman" w:eastAsia="宋体" w:cs="Times New Roman"/>
      <w:kern w:val="2"/>
      <w:sz w:val="21"/>
      <w:lang w:val="en-US" w:eastAsia="zh-CN" w:bidi="ar-SA"/>
    </w:rPr>
  </w:style>
  <w:style w:type="paragraph" w:customStyle="1" w:styleId="37">
    <w:name w:val="Plain Text1"/>
    <w:basedOn w:val="1"/>
    <w:qFormat/>
    <w:uiPriority w:val="0"/>
    <w:rPr>
      <w:rFonts w:ascii="宋体" w:hAnsi="Courier New" w:cs="Courier New"/>
      <w:szCs w:val="21"/>
    </w:rPr>
  </w:style>
  <w:style w:type="paragraph" w:customStyle="1" w:styleId="38">
    <w:name w:val="Body text|1"/>
    <w:basedOn w:val="1"/>
    <w:qFormat/>
    <w:uiPriority w:val="0"/>
    <w:pPr>
      <w:spacing w:line="403" w:lineRule="auto"/>
      <w:ind w:firstLine="400"/>
    </w:pPr>
    <w:rPr>
      <w:rFonts w:ascii="宋体" w:hAnsi="宋体" w:eastAsia="宋体" w:cs="宋体"/>
      <w:sz w:val="30"/>
      <w:szCs w:val="30"/>
      <w:lang w:val="zh-TW" w:eastAsia="zh-TW" w:bidi="zh-TW"/>
    </w:rPr>
  </w:style>
  <w:style w:type="character" w:customStyle="1" w:styleId="39">
    <w:name w:val="font31"/>
    <w:basedOn w:val="19"/>
    <w:qFormat/>
    <w:uiPriority w:val="0"/>
    <w:rPr>
      <w:rFonts w:hint="eastAsia" w:ascii="宋体" w:hAnsi="宋体" w:eastAsia="宋体" w:cs="宋体"/>
      <w:color w:val="000000"/>
      <w:sz w:val="16"/>
      <w:szCs w:val="16"/>
      <w:u w:val="none"/>
    </w:rPr>
  </w:style>
  <w:style w:type="character" w:customStyle="1" w:styleId="40">
    <w:name w:val="font61"/>
    <w:basedOn w:val="19"/>
    <w:qFormat/>
    <w:uiPriority w:val="0"/>
    <w:rPr>
      <w:rFonts w:hint="eastAsia" w:ascii="宋体" w:hAnsi="宋体" w:eastAsia="宋体" w:cs="宋体"/>
      <w:color w:val="000000"/>
      <w:sz w:val="17"/>
      <w:szCs w:val="17"/>
      <w:u w:val="none"/>
    </w:rPr>
  </w:style>
  <w:style w:type="character" w:customStyle="1" w:styleId="41">
    <w:name w:val="font81"/>
    <w:basedOn w:val="19"/>
    <w:qFormat/>
    <w:uiPriority w:val="0"/>
    <w:rPr>
      <w:rFonts w:hint="eastAsia" w:ascii="宋体" w:hAnsi="宋体" w:eastAsia="宋体" w:cs="宋体"/>
      <w:color w:val="000000"/>
      <w:sz w:val="20"/>
      <w:szCs w:val="20"/>
      <w:u w:val="none"/>
    </w:rPr>
  </w:style>
  <w:style w:type="paragraph" w:customStyle="1" w:styleId="42">
    <w:name w:val="四号正文"/>
    <w:basedOn w:val="1"/>
    <w:qFormat/>
    <w:uiPriority w:val="0"/>
    <w:pPr>
      <w:spacing w:line="360" w:lineRule="auto"/>
    </w:pPr>
    <w:rPr>
      <w:rFonts w:ascii="??" w:hAnsi="??"/>
      <w:color w:val="000000"/>
      <w:kern w:val="0"/>
      <w:sz w:val="28"/>
      <w:szCs w:val="21"/>
      <w:lang w:val="zh-CN"/>
    </w:rPr>
  </w:style>
  <w:style w:type="character" w:customStyle="1" w:styleId="43">
    <w:name w:val="font51"/>
    <w:basedOn w:val="19"/>
    <w:qFormat/>
    <w:uiPriority w:val="0"/>
    <w:rPr>
      <w:rFonts w:hint="eastAsia" w:ascii="宋体" w:hAnsi="宋体" w:eastAsia="宋体" w:cs="宋体"/>
      <w:color w:val="000000"/>
      <w:sz w:val="18"/>
      <w:szCs w:val="18"/>
      <w:u w:val="none"/>
    </w:rPr>
  </w:style>
  <w:style w:type="character" w:customStyle="1" w:styleId="44">
    <w:name w:val="font21"/>
    <w:basedOn w:val="19"/>
    <w:qFormat/>
    <w:uiPriority w:val="0"/>
    <w:rPr>
      <w:rFonts w:ascii="宋体" w:hAnsi="宋体" w:eastAsia="宋体" w:cs="宋体"/>
      <w:color w:val="000000"/>
      <w:sz w:val="18"/>
      <w:szCs w:val="18"/>
      <w:u w:val="none"/>
    </w:rPr>
  </w:style>
  <w:style w:type="character" w:customStyle="1" w:styleId="45">
    <w:name w:val="font91"/>
    <w:basedOn w:val="19"/>
    <w:qFormat/>
    <w:uiPriority w:val="0"/>
    <w:rPr>
      <w:rFonts w:hint="eastAsia" w:ascii="宋体" w:hAnsi="宋体" w:eastAsia="宋体" w:cs="宋体"/>
      <w:color w:val="000000"/>
      <w:sz w:val="24"/>
      <w:szCs w:val="24"/>
      <w:u w:val="none"/>
    </w:rPr>
  </w:style>
  <w:style w:type="paragraph" w:customStyle="1" w:styleId="46">
    <w:name w:val="WPSOffice手动目录 1"/>
    <w:qFormat/>
    <w:uiPriority w:val="0"/>
    <w:pPr>
      <w:ind w:leftChars="0"/>
    </w:pPr>
    <w:rPr>
      <w:rFonts w:ascii="Times New Roman" w:hAnsi="Times New Roman" w:eastAsia="宋体" w:cs="Times New Roman"/>
      <w:sz w:val="20"/>
      <w:szCs w:val="20"/>
    </w:rPr>
  </w:style>
  <w:style w:type="paragraph" w:customStyle="1" w:styleId="47">
    <w:name w:val="WPSOffice手动目录 2"/>
    <w:qFormat/>
    <w:uiPriority w:val="0"/>
    <w:pPr>
      <w:ind w:leftChars="200"/>
    </w:pPr>
    <w:rPr>
      <w:rFonts w:ascii="Times New Roman" w:hAnsi="Times New Roman" w:eastAsia="宋体" w:cs="Times New Roman"/>
      <w:sz w:val="20"/>
      <w:szCs w:val="20"/>
    </w:rPr>
  </w:style>
  <w:style w:type="paragraph" w:customStyle="1" w:styleId="48">
    <w:name w:val="正文（绿盟科技）"/>
    <w:qFormat/>
    <w:uiPriority w:val="0"/>
    <w:pPr>
      <w:spacing w:line="300" w:lineRule="auto"/>
    </w:pPr>
    <w:rPr>
      <w:rFonts w:ascii="Arial" w:hAnsi="Arial" w:eastAsia="宋体" w:cs="Times New Roman"/>
      <w:kern w:val="0"/>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hart" Target="charts/chart4.xml"/><Relationship Id="rId8" Type="http://schemas.openxmlformats.org/officeDocument/2006/relationships/chart" Target="charts/chart3.xml"/><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hart" Target="charts/chart6.xml"/><Relationship Id="rId10" Type="http://schemas.openxmlformats.org/officeDocument/2006/relationships/chart" Target="charts/chart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package" Target="../embeddings/Workbook4.xlsx"/></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3.xlsx"/></Relationships>
</file>

<file path=word/charts/_rels/chart3.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_rels/chart4.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_rels/chart5.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package" Target="../embeddings/Workbook6.xlsx"/></Relationships>
</file>

<file path=word/charts/_rels/chart6.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Workbook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收支决算总计（万元）</a:t>
            </a:r>
          </a:p>
        </c:rich>
      </c:tx>
      <c:layout>
        <c:manualLayout>
          <c:xMode val="edge"/>
          <c:yMode val="edge"/>
          <c:x val="0.358482627951076"/>
          <c:y val="0.00613873542050338"/>
        </c:manualLayout>
      </c:layout>
      <c:overlay val="0"/>
      <c:spPr>
        <a:noFill/>
        <a:ln>
          <a:noFill/>
        </a:ln>
        <a:effectLst/>
      </c:spPr>
    </c:title>
    <c:autoTitleDeleted val="0"/>
    <c:plotArea>
      <c:layout>
        <c:manualLayout>
          <c:layoutTarget val="inner"/>
          <c:xMode val="edge"/>
          <c:yMode val="edge"/>
          <c:x val="0.112344148608061"/>
          <c:y val="0.0701520388112705"/>
          <c:w val="0.883608360836084"/>
          <c:h val="0.845215262191389"/>
        </c:manualLayout>
      </c:layout>
      <c:barChart>
        <c:barDir val="col"/>
        <c:grouping val="clustered"/>
        <c:varyColors val="0"/>
        <c:ser>
          <c:idx val="0"/>
          <c:order val="0"/>
          <c:tx>
            <c:strRef>
              <c:f>Sheet1!$B$1</c:f>
              <c:strCache>
                <c:ptCount val="1"/>
                <c:pt idx="0">
                  <c:v>年度收支决算总计</c:v>
                </c:pt>
              </c:strCache>
            </c:strRef>
          </c:tx>
          <c:spPr>
            <a:solidFill>
              <a:schemeClr val="accent1"/>
            </a:solidFill>
            <a:ln>
              <a:noFill/>
            </a:ln>
            <a:effectLst/>
          </c:spPr>
          <c:invertIfNegative val="0"/>
          <c:dLbls>
            <c:dLbl>
              <c:idx val="0"/>
              <c:layout>
                <c:manualLayout>
                  <c:x val="0"/>
                  <c:y val="0.00275946294965282"/>
                </c:manualLayout>
              </c:layout>
              <c:tx>
                <c:rich>
                  <a:bodyPr rot="0" spcFirstLastPara="0" vertOverflow="ellipsis" vert="horz" wrap="square" lIns="38100" tIns="19050" rIns="38100" bIns="19050" anchor="ctr" anchorCtr="1"/>
                  <a:lstStyle/>
                  <a:p>
                    <a:pPr defTabSz="914400">
                      <a:defRPr lang="zh-CN" sz="900" b="0" i="0" u="none" strike="noStrike" kern="1200" baseline="0">
                        <a:solidFill>
                          <a:schemeClr val="tx1">
                            <a:lumMod val="75000"/>
                            <a:lumOff val="25000"/>
                          </a:schemeClr>
                        </a:solidFill>
                        <a:latin typeface="+mn-lt"/>
                        <a:ea typeface="+mn-ea"/>
                        <a:cs typeface="+mn-cs"/>
                      </a:defRPr>
                    </a:pPr>
                    <a:r>
                      <a:rPr lang="en-US" altLang="zh-CN"/>
                      <a:t>1868.68</a:t>
                    </a:r>
                    <a:endParaRPr lang="en-US" altLang="zh-CN"/>
                  </a:p>
                </c:rich>
              </c:tx>
              <c:dLblPos val="outEnd"/>
              <c:showLegendKey val="0"/>
              <c:showVal val="1"/>
              <c:showCatName val="0"/>
              <c:showSerName val="0"/>
              <c:showPercent val="0"/>
              <c:showBubbleSize val="0"/>
              <c:extLst>
                <c:ext xmlns:c15="http://schemas.microsoft.com/office/drawing/2012/chart" uri="{CE6537A1-D6FC-4f65-9D91-7224C49458BB}">
                  <c15:layout>
                    <c:manualLayout>
                      <c:w val="0.119835259731633"/>
                      <c:h val="0.0602084831056793"/>
                    </c:manualLayout>
                  </c15:layout>
                </c:ext>
              </c:extLst>
            </c:dLbl>
            <c:dLbl>
              <c:idx val="1"/>
              <c:layout>
                <c:manualLayout>
                  <c:x val="0"/>
                  <c:y val="0.0165814113619"/>
                </c:manualLayout>
              </c:layout>
              <c:tx>
                <c:rich>
                  <a:bodyPr rot="0" spcFirstLastPara="0" vertOverflow="ellipsis" vert="horz" wrap="square" lIns="38100" tIns="19050" rIns="38100" bIns="19050" anchor="ctr" anchorCtr="1"/>
                  <a:lstStyle/>
                  <a:p>
                    <a:pPr defTabSz="914400">
                      <a:defRPr lang="zh-CN" sz="900" b="0" i="0" u="none" strike="noStrike" kern="1200" baseline="0">
                        <a:solidFill>
                          <a:schemeClr val="tx1">
                            <a:lumMod val="75000"/>
                            <a:lumOff val="25000"/>
                          </a:schemeClr>
                        </a:solidFill>
                        <a:latin typeface="+mn-lt"/>
                        <a:ea typeface="+mn-ea"/>
                        <a:cs typeface="+mn-cs"/>
                      </a:defRPr>
                    </a:pPr>
                    <a:r>
                      <a:rPr lang="en-US" altLang="zh-CN"/>
                      <a:t>1227.35</a:t>
                    </a:r>
                    <a:endParaRPr lang="en-US" altLang="zh-CN"/>
                  </a:p>
                </c:rich>
              </c:tx>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strRef>
              <c:f>Sheet1!$A$2:$A$3</c:f>
              <c:strCache>
                <c:ptCount val="2"/>
                <c:pt idx="0">
                  <c:v>2024年收支决算总计</c:v>
                </c:pt>
                <c:pt idx="1">
                  <c:v>2023年收支决算总计</c:v>
                </c:pt>
              </c:strCache>
            </c:strRef>
          </c:cat>
          <c:val>
            <c:numRef>
              <c:f>Sheet1!$B$2:$B$3</c:f>
              <c:numCache>
                <c:formatCode>General</c:formatCode>
                <c:ptCount val="2"/>
                <c:pt idx="0">
                  <c:v>1868.68</c:v>
                </c:pt>
                <c:pt idx="1">
                  <c:v>1227.35</c:v>
                </c:pt>
              </c:numCache>
            </c:numRef>
          </c:val>
        </c:ser>
        <c:dLbls>
          <c:showLegendKey val="0"/>
          <c:showVal val="0"/>
          <c:showCatName val="0"/>
          <c:showSerName val="0"/>
          <c:showPercent val="0"/>
          <c:showBubbleSize val="0"/>
        </c:dLbls>
        <c:gapWidth val="219"/>
        <c:overlap val="-27"/>
        <c:axId val="912273967"/>
        <c:axId val="923336258"/>
      </c:barChart>
      <c:catAx>
        <c:axId val="91227396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23336258"/>
        <c:crosses val="autoZero"/>
        <c:auto val="1"/>
        <c:lblAlgn val="ctr"/>
        <c:lblOffset val="100"/>
        <c:noMultiLvlLbl val="0"/>
      </c:catAx>
      <c:valAx>
        <c:axId val="92333625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12273967"/>
        <c:crosses val="autoZero"/>
        <c:crossBetween val="between"/>
      </c:valAx>
      <c:spPr>
        <a:noFill/>
        <a:ln>
          <a:noFill/>
        </a:ln>
        <a:effectLst/>
      </c:spPr>
    </c:plotArea>
    <c:legend>
      <c:legendPos val="b"/>
      <c:layout>
        <c:manualLayout>
          <c:xMode val="edge"/>
          <c:yMode val="edge"/>
          <c:x val="0.372908796546141"/>
          <c:y val="0.994424828098866"/>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d84c0870-3fea-45ae-99e9-820ee6b5fdb2}"/>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dk1">
                    <a:lumMod val="75000"/>
                    <a:lumOff val="25000"/>
                  </a:schemeClr>
                </a:solidFill>
                <a:latin typeface="+mn-lt"/>
                <a:ea typeface="+mn-ea"/>
                <a:cs typeface="+mn-cs"/>
              </a:defRPr>
            </a:pPr>
            <a:r>
              <a:t>202</a:t>
            </a:r>
            <a:r>
              <a:rPr lang="en-US" altLang="zh-CN"/>
              <a:t>4</a:t>
            </a:r>
            <a:r>
              <a:t>年本年支出（万元）</a:t>
            </a:r>
          </a:p>
        </c:rich>
      </c:tx>
      <c:layout/>
      <c:overlay val="0"/>
      <c:spPr>
        <a:noFill/>
        <a:ln>
          <a:noFill/>
        </a:ln>
        <a:effectLst/>
      </c:spPr>
    </c:title>
    <c:autoTitleDeleted val="0"/>
    <c:plotArea>
      <c:layout/>
      <c:pieChart>
        <c:varyColors val="1"/>
        <c:ser>
          <c:idx val="0"/>
          <c:order val="0"/>
          <c:tx>
            <c:strRef>
              <c:f>Sheet1!$B$1</c:f>
              <c:strCache>
                <c:ptCount val="1"/>
                <c:pt idx="0">
                  <c:v>2024年本年支出（万元）</c:v>
                </c:pt>
              </c:strCache>
            </c:strRef>
          </c:tx>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Lbls>
            <c:dLbl>
              <c:idx val="0"/>
              <c:layout>
                <c:manualLayout>
                  <c:x val="0.0868469733470184"/>
                  <c:y val="0.139903534548511"/>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22</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0628298347738191"/>
                  <c:y val="-0.0845157952444178"/>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7</a:t>
                    </a:r>
                    <a:r>
                      <a:t>8%</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基本支出</c:v>
                </c:pt>
                <c:pt idx="1">
                  <c:v>项目支出</c:v>
                </c:pt>
              </c:strCache>
            </c:strRef>
          </c:cat>
          <c:val>
            <c:numRef>
              <c:f>Sheet1!$B$2:$B$3</c:f>
              <c:numCache>
                <c:formatCode>#,##0.00</c:formatCode>
                <c:ptCount val="2"/>
                <c:pt idx="0">
                  <c:v>446.22</c:v>
                </c:pt>
                <c:pt idx="1">
                  <c:v>1422.46</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19d23cce-fa7b-4dff-ab6b-c5ca2d501f05}"/>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dk1">
                    <a:lumMod val="75000"/>
                    <a:lumOff val="25000"/>
                  </a:schemeClr>
                </a:solidFill>
                <a:latin typeface="+mn-lt"/>
                <a:ea typeface="+mn-ea"/>
                <a:cs typeface="+mn-cs"/>
              </a:defRPr>
            </a:pPr>
            <a:r>
              <a:t>202</a:t>
            </a:r>
            <a:r>
              <a:rPr lang="en-US" altLang="zh-CN"/>
              <a:t>4</a:t>
            </a:r>
            <a:r>
              <a:t>年本年收入（万元）</a:t>
            </a:r>
          </a:p>
        </c:rich>
      </c:tx>
      <c:layout>
        <c:manualLayout>
          <c:xMode val="edge"/>
          <c:yMode val="edge"/>
          <c:x val="0.282948670718129"/>
          <c:y val="0.00780843310775638"/>
        </c:manualLayout>
      </c:layout>
      <c:overlay val="0"/>
      <c:spPr>
        <a:noFill/>
        <a:ln>
          <a:noFill/>
        </a:ln>
        <a:effectLst/>
      </c:spPr>
    </c:title>
    <c:autoTitleDeleted val="0"/>
    <c:plotArea>
      <c:layout>
        <c:manualLayout>
          <c:layoutTarget val="inner"/>
          <c:xMode val="edge"/>
          <c:yMode val="edge"/>
          <c:x val="0.278153418951753"/>
          <c:y val="0.107107692307692"/>
          <c:w val="0.376008330440819"/>
          <c:h val="0.555528205128205"/>
        </c:manualLayout>
      </c:layout>
      <c:pieChart>
        <c:varyColors val="1"/>
        <c:ser>
          <c:idx val="0"/>
          <c:order val="0"/>
          <c:tx>
            <c:strRef>
              <c:f>Sheet1!$B$1</c:f>
              <c:strCache>
                <c:ptCount val="1"/>
                <c:pt idx="0">
                  <c:v>2024年本年收入（万元）</c:v>
                </c:pt>
              </c:strCache>
            </c:strRef>
          </c:tx>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Lbls>
            <c:dLbl>
              <c:idx val="0"/>
              <c:layout>
                <c:manualLayout>
                  <c:x val="0.107228937495722"/>
                  <c:y val="-0.00181206422700697"/>
                </c:manualLayout>
              </c:layout>
              <c:dLblPos val="bestFit"/>
              <c:showLegendKey val="0"/>
              <c:showVal val="0"/>
              <c:showCatName val="0"/>
              <c:showSerName val="0"/>
              <c:showPercent val="1"/>
              <c:showBubbleSize val="0"/>
              <c:extLst>
                <c:ext xmlns:c15="http://schemas.microsoft.com/office/drawing/2012/chart" uri="{CE6537A1-D6FC-4f65-9D91-7224C49458BB}">
                  <c15:layout/>
                </c:ext>
              </c:extLst>
            </c:dLbl>
            <c:dLbl>
              <c:idx val="1"/>
              <c:layout>
                <c:manualLayout>
                  <c:x val="-0.0664050829773668"/>
                  <c:y val="0.065332534134703"/>
                </c:manualLayout>
              </c:layout>
              <c:dLblPos val="bestFit"/>
              <c:showLegendKey val="0"/>
              <c:showVal val="0"/>
              <c:showCatName val="0"/>
              <c:showSerName val="0"/>
              <c:showPercent val="1"/>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一般公共预算财政拨款收入</c:v>
                </c:pt>
                <c:pt idx="1">
                  <c:v>国有资本经营预算财政拨款收入</c:v>
                </c:pt>
                <c:pt idx="2">
                  <c:v>政府性基金预算财政拨款收入</c:v>
                </c:pt>
              </c:strCache>
            </c:strRef>
          </c:cat>
          <c:val>
            <c:numRef>
              <c:f>Sheet1!$B$2:$B$4</c:f>
              <c:numCache>
                <c:formatCode>General</c:formatCode>
                <c:ptCount val="3"/>
                <c:pt idx="0">
                  <c:v>1709.25</c:v>
                </c:pt>
                <c:pt idx="1">
                  <c:v>20</c:v>
                </c:pt>
                <c:pt idx="2" c:formatCode="#,##0.00">
                  <c:v>139.43</c:v>
                </c:pt>
              </c:numCache>
            </c:numRef>
          </c:val>
        </c:ser>
        <c:dLbls>
          <c:showLegendKey val="0"/>
          <c:showVal val="1"/>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f8ae409-8607-485e-9820-e8943e4246a2}"/>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财政拨款收支决算总计（万元）</a:t>
            </a:r>
          </a:p>
        </c:rich>
      </c:tx>
      <c:layout/>
      <c:overlay val="0"/>
      <c:spPr>
        <a:noFill/>
        <a:ln>
          <a:noFill/>
        </a:ln>
        <a:effectLst/>
      </c:spPr>
    </c:title>
    <c:autoTitleDeleted val="0"/>
    <c:plotArea>
      <c:layout>
        <c:manualLayout>
          <c:layoutTarget val="inner"/>
          <c:xMode val="edge"/>
          <c:yMode val="edge"/>
          <c:x val="0.0661336216002112"/>
          <c:y val="0.123911659192825"/>
          <c:w val="0.927925"/>
          <c:h val="0.716566666666667"/>
        </c:manualLayout>
      </c:layout>
      <c:barChart>
        <c:barDir val="col"/>
        <c:grouping val="clustered"/>
        <c:varyColors val="0"/>
        <c:ser>
          <c:idx val="0"/>
          <c:order val="0"/>
          <c:tx>
            <c:strRef>
              <c:f>Sheet1!$B$1</c:f>
              <c:strCache>
                <c:ptCount val="1"/>
                <c:pt idx="0">
                  <c:v>年度收支决算总计</c:v>
                </c:pt>
              </c:strCache>
            </c:strRef>
          </c:tx>
          <c:spPr>
            <a:solidFill>
              <a:schemeClr val="accent1"/>
            </a:solidFill>
            <a:ln>
              <a:noFill/>
            </a:ln>
            <a:effectLst/>
          </c:spPr>
          <c:invertIfNegative val="0"/>
          <c:dLbls>
            <c:dLbl>
              <c:idx val="0"/>
              <c:layout>
                <c:manualLayout>
                  <c:x val="-0.00356482703987325"/>
                  <c:y val="0.015628488501897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018754186202277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strRef>
              <c:f>Sheet1!$A$2:$A$3</c:f>
              <c:strCache>
                <c:ptCount val="2"/>
                <c:pt idx="0">
                  <c:v>2023年收支决算总计</c:v>
                </c:pt>
                <c:pt idx="1">
                  <c:v>2024年收支决算总计</c:v>
                </c:pt>
              </c:strCache>
            </c:strRef>
          </c:cat>
          <c:val>
            <c:numRef>
              <c:f>Sheet1!$B$2:$B$3</c:f>
              <c:numCache>
                <c:formatCode>General</c:formatCode>
                <c:ptCount val="2"/>
                <c:pt idx="0">
                  <c:v>1227.35</c:v>
                </c:pt>
                <c:pt idx="1">
                  <c:v>1868.68</c:v>
                </c:pt>
              </c:numCache>
            </c:numRef>
          </c:val>
        </c:ser>
        <c:dLbls>
          <c:showLegendKey val="0"/>
          <c:showVal val="0"/>
          <c:showCatName val="0"/>
          <c:showSerName val="0"/>
          <c:showPercent val="0"/>
          <c:showBubbleSize val="0"/>
        </c:dLbls>
        <c:gapWidth val="219"/>
        <c:overlap val="-27"/>
        <c:axId val="912273967"/>
        <c:axId val="923336258"/>
      </c:barChart>
      <c:catAx>
        <c:axId val="912273967"/>
        <c:scaling>
          <c:orientation val="minMax"/>
        </c:scaling>
        <c:delete val="0"/>
        <c:axPos val="b"/>
        <c:majorTickMark val="none"/>
        <c:minorTickMark val="none"/>
        <c:tickLblPos val="nextTo"/>
        <c:spPr>
          <a:noFill/>
          <a:ln w="9525" cap="flat" cmpd="sng" algn="ctr">
            <a:solidFill>
              <a:schemeClr val="bg1">
                <a:lumMod val="6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23336258"/>
        <c:crosses val="autoZero"/>
        <c:auto val="1"/>
        <c:lblAlgn val="ctr"/>
        <c:lblOffset val="100"/>
        <c:noMultiLvlLbl val="0"/>
      </c:catAx>
      <c:valAx>
        <c:axId val="923336258"/>
        <c:scaling>
          <c:orientation val="minMax"/>
        </c:scaling>
        <c:delete val="0"/>
        <c:axPos val="l"/>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12273967"/>
        <c:crosses val="autoZero"/>
        <c:crossBetween val="between"/>
      </c:valAx>
      <c:spPr>
        <a:noFill/>
        <a:ln>
          <a:noFill/>
        </a:ln>
        <a:effectLst/>
      </c:spPr>
    </c:plotArea>
    <c:legend>
      <c:legendPos val="b"/>
      <c:layout>
        <c:manualLayout>
          <c:xMode val="edge"/>
          <c:yMode val="edge"/>
          <c:x val="0.397426095820591"/>
          <c:y val="0.922402736212056"/>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e299587d-6c74-4596-8490-6cbb4eb41606}"/>
      </c:ext>
    </c:extLst>
  </c:chart>
  <c:spPr>
    <a:solidFill>
      <a:schemeClr val="bg1"/>
    </a:solidFill>
    <a:ln w="9525" cap="flat" cmpd="sng" algn="ctr">
      <a:solidFill>
        <a:schemeClr val="bg1">
          <a:lumMod val="6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一般公共预算财政拨款支出决算总计（万元）</a:t>
            </a:r>
          </a:p>
        </c:rich>
      </c:tx>
      <c:layout>
        <c:manualLayout>
          <c:xMode val="edge"/>
          <c:yMode val="edge"/>
          <c:x val="0.173564948401392"/>
          <c:y val="0.0111669458403127"/>
        </c:manualLayout>
      </c:layout>
      <c:overlay val="0"/>
      <c:spPr>
        <a:noFill/>
        <a:ln>
          <a:noFill/>
        </a:ln>
        <a:effectLst/>
      </c:spPr>
    </c:title>
    <c:autoTitleDeleted val="0"/>
    <c:plotArea>
      <c:layout>
        <c:manualLayout>
          <c:layoutTarget val="inner"/>
          <c:xMode val="edge"/>
          <c:yMode val="edge"/>
          <c:x val="0.110583722881458"/>
          <c:y val="0.120196832430658"/>
          <c:w val="0.927925"/>
          <c:h val="0.716566666666667"/>
        </c:manualLayout>
      </c:layout>
      <c:barChart>
        <c:barDir val="col"/>
        <c:grouping val="clustered"/>
        <c:varyColors val="0"/>
        <c:ser>
          <c:idx val="0"/>
          <c:order val="0"/>
          <c:tx>
            <c:strRef>
              <c:f>Sheet1!$B$1</c:f>
              <c:strCache>
                <c:ptCount val="1"/>
                <c:pt idx="0">
                  <c:v>一般公共预算财政拨款支出决算总计</c:v>
                </c:pt>
              </c:strCache>
            </c:strRef>
          </c:tx>
          <c:spPr>
            <a:solidFill>
              <a:schemeClr val="accent1"/>
            </a:solidFill>
            <a:ln>
              <a:noFill/>
            </a:ln>
            <a:effectLst/>
          </c:spPr>
          <c:invertIfNegative val="0"/>
          <c:dLbls>
            <c:dLbl>
              <c:idx val="1"/>
              <c:layout>
                <c:manualLayout>
                  <c:x val="-0.00381315538608198"/>
                  <c:y val="0.0070210631895687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2023年一般公共预算财政拨款支出</c:v>
                </c:pt>
                <c:pt idx="1">
                  <c:v>2024年一般公共预算财政拨款支出</c:v>
                </c:pt>
              </c:strCache>
            </c:strRef>
          </c:cat>
          <c:val>
            <c:numRef>
              <c:f>Sheet1!$B$2:$B$3</c:f>
              <c:numCache>
                <c:formatCode>#,##0.00</c:formatCode>
                <c:ptCount val="2"/>
                <c:pt idx="0">
                  <c:v>1158.61</c:v>
                </c:pt>
                <c:pt idx="1">
                  <c:v>1709.25</c:v>
                </c:pt>
              </c:numCache>
            </c:numRef>
          </c:val>
        </c:ser>
        <c:dLbls>
          <c:showLegendKey val="0"/>
          <c:showVal val="0"/>
          <c:showCatName val="0"/>
          <c:showSerName val="0"/>
          <c:showPercent val="0"/>
          <c:showBubbleSize val="0"/>
        </c:dLbls>
        <c:gapWidth val="219"/>
        <c:overlap val="-27"/>
        <c:axId val="912273967"/>
        <c:axId val="923336258"/>
      </c:barChart>
      <c:catAx>
        <c:axId val="912273967"/>
        <c:scaling>
          <c:orientation val="minMax"/>
        </c:scaling>
        <c:delete val="0"/>
        <c:axPos val="b"/>
        <c:majorTickMark val="none"/>
        <c:minorTickMark val="none"/>
        <c:tickLblPos val="nextTo"/>
        <c:spPr>
          <a:noFill/>
          <a:ln w="9525" cap="flat" cmpd="sng" algn="ctr">
            <a:solidFill>
              <a:schemeClr val="bg1">
                <a:lumMod val="6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23336258"/>
        <c:crosses val="autoZero"/>
        <c:auto val="1"/>
        <c:lblAlgn val="ctr"/>
        <c:lblOffset val="100"/>
        <c:noMultiLvlLbl val="0"/>
      </c:catAx>
      <c:valAx>
        <c:axId val="923336258"/>
        <c:scaling>
          <c:orientation val="minMax"/>
        </c:scaling>
        <c:delete val="0"/>
        <c:axPos val="l"/>
        <c:majorGridlines>
          <c:spPr>
            <a:ln w="9525" cap="flat" cmpd="sng" algn="ctr">
              <a:solidFill>
                <a:schemeClr val="bg1">
                  <a:lumMod val="650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12273967"/>
        <c:crosses val="autoZero"/>
        <c:crossBetween val="between"/>
      </c:valAx>
      <c:spPr>
        <a:noFill/>
        <a:ln>
          <a:noFill/>
        </a:ln>
        <a:effectLst/>
      </c:spPr>
    </c:plotArea>
    <c:legend>
      <c:legendPos val="b"/>
      <c:layout>
        <c:manualLayout>
          <c:xMode val="edge"/>
          <c:yMode val="edge"/>
          <c:x val="0.307254770302106"/>
          <c:y val="0.92279880901743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869673b3-b86e-48d3-bde6-a660747cb5e2}"/>
      </c:ext>
    </c:extLst>
  </c:chart>
  <c:spPr>
    <a:solidFill>
      <a:schemeClr val="bg1"/>
    </a:solidFill>
    <a:ln w="9525" cap="flat" cmpd="sng" algn="ctr">
      <a:solidFill>
        <a:schemeClr val="bg1">
          <a:lumMod val="6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dk1">
                    <a:lumMod val="75000"/>
                    <a:lumOff val="25000"/>
                  </a:schemeClr>
                </a:solidFill>
                <a:latin typeface="+mn-lt"/>
                <a:ea typeface="+mn-ea"/>
                <a:cs typeface="+mn-cs"/>
              </a:defRPr>
            </a:pPr>
            <a:r>
              <a:t>一般公共预算财政拨款支出（%）</a:t>
            </a:r>
          </a:p>
        </c:rich>
      </c:tx>
      <c:layout>
        <c:manualLayout>
          <c:xMode val="edge"/>
          <c:yMode val="edge"/>
          <c:x val="0.307413454029727"/>
          <c:y val="0.00719079578139981"/>
        </c:manualLayout>
      </c:layout>
      <c:overlay val="0"/>
      <c:spPr>
        <a:noFill/>
        <a:ln>
          <a:noFill/>
        </a:ln>
        <a:effectLst/>
      </c:spPr>
    </c:title>
    <c:autoTitleDeleted val="0"/>
    <c:plotArea>
      <c:layout/>
      <c:pieChart>
        <c:varyColors val="1"/>
        <c:ser>
          <c:idx val="0"/>
          <c:order val="0"/>
          <c:tx>
            <c:strRef>
              <c:f>Sheet1!$B$1</c:f>
              <c:strCache>
                <c:ptCount val="1"/>
                <c:pt idx="0">
                  <c:v>一般公共预算财政拨款支出</c:v>
                </c:pt>
              </c:strCache>
            </c:strRef>
          </c:tx>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Pt>
            <c:idx val="3"/>
            <c:bubble3D val="0"/>
            <c:spPr>
              <a:solidFill>
                <a:schemeClr val="accent4"/>
              </a:solidFill>
              <a:ln>
                <a:solidFill>
                  <a:schemeClr val="bg1"/>
                </a:solidFill>
              </a:ln>
              <a:effectLst/>
            </c:spPr>
          </c:dPt>
          <c:dPt>
            <c:idx val="4"/>
            <c:bubble3D val="0"/>
            <c:spPr>
              <a:solidFill>
                <a:schemeClr val="accent5"/>
              </a:solidFill>
              <a:ln>
                <a:solidFill>
                  <a:schemeClr val="bg1"/>
                </a:solidFill>
              </a:ln>
              <a:effectLst/>
            </c:spPr>
          </c:dPt>
          <c:dPt>
            <c:idx val="5"/>
            <c:bubble3D val="0"/>
            <c:spPr>
              <a:solidFill>
                <a:schemeClr val="accent6"/>
              </a:solidFill>
              <a:ln>
                <a:solidFill>
                  <a:schemeClr val="bg1"/>
                </a:solidFill>
              </a:ln>
              <a:effectLst/>
            </c:spPr>
          </c:dPt>
          <c:dPt>
            <c:idx val="6"/>
            <c:bubble3D val="0"/>
            <c:spPr>
              <a:solidFill>
                <a:schemeClr val="accent1">
                  <a:lumMod val="60000"/>
                </a:schemeClr>
              </a:solidFill>
              <a:ln>
                <a:solidFill>
                  <a:schemeClr val="bg1"/>
                </a:solidFill>
              </a:ln>
              <a:effectLst/>
            </c:spPr>
          </c:dPt>
          <c:dPt>
            <c:idx val="7"/>
            <c:bubble3D val="0"/>
            <c:spPr>
              <a:solidFill>
                <a:schemeClr val="accent2">
                  <a:lumMod val="60000"/>
                </a:schemeClr>
              </a:solidFill>
              <a:ln>
                <a:solidFill>
                  <a:schemeClr val="bg1"/>
                </a:solidFill>
              </a:ln>
              <a:effectLst/>
            </c:spPr>
          </c:dPt>
          <c:dPt>
            <c:idx val="8"/>
            <c:bubble3D val="0"/>
            <c:spPr>
              <a:solidFill>
                <a:schemeClr val="accent3">
                  <a:lumMod val="60000"/>
                </a:schemeClr>
              </a:solidFill>
              <a:ln>
                <a:solidFill>
                  <a:schemeClr val="bg1"/>
                </a:solidFill>
              </a:ln>
              <a:effectLst/>
            </c:spPr>
          </c:dPt>
          <c:dLbls>
            <c:dLbl>
              <c:idx val="0"/>
              <c:layout>
                <c:manualLayout>
                  <c:x val="0.0355807738333971"/>
                  <c:y val="-0.0141913455913936"/>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27.3</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0308432952234129"/>
                  <c:y val="-0.0266121081506808"/>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1.29</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2"/>
              <c:layout>
                <c:manualLayout>
                  <c:x val="0.0253586740729961"/>
                  <c:y val="0.0126513120024597"/>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3</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3"/>
              <c:layout>
                <c:manualLayout>
                  <c:x val="0.0433150022440301"/>
                  <c:y val="0.0387806371441162"/>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 </a:t>
                    </a:r>
                    <a:r>
                      <a:rPr lang="en-US" altLang="zh-CN"/>
                      <a:t>1</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4"/>
              <c:layout>
                <c:manualLayout>
                  <c:x val="0.0145005627390089"/>
                  <c:y val="0.100675872054457"/>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 </a:t>
                    </a:r>
                    <a:r>
                      <a:rPr lang="en-US" altLang="zh-CN"/>
                      <a:t>0.47</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5"/>
              <c:layout>
                <c:manualLayout>
                  <c:x val="-0.0708068954604059"/>
                  <c:y val="0.0178741994968011"/>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 </a:t>
                    </a:r>
                    <a:r>
                      <a:rPr lang="en-US" altLang="zh-CN"/>
                      <a:t>36.46</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6"/>
              <c:layout>
                <c:manualLayout>
                  <c:x val="-0.00960698612288638"/>
                  <c:y val="-0.00746363273688285"/>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23.4</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7"/>
              <c:layout>
                <c:manualLayout>
                  <c:x val="-0.191701138899871"/>
                  <c:y val="0.052493455606262"/>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7.02</a:t>
                    </a:r>
                    <a:r>
                      <a:t>%</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dLbl>
              <c:idx val="8"/>
              <c:delete val="1"/>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一般公共服务支出</c:v>
                </c:pt>
                <c:pt idx="1">
                  <c:v>公共安全支出</c:v>
                </c:pt>
                <c:pt idx="2">
                  <c:v>社会保障和就业支出</c:v>
                </c:pt>
                <c:pt idx="3">
                  <c:v>卫生健康支出</c:v>
                </c:pt>
                <c:pt idx="4">
                  <c:v>城乡社区支出</c:v>
                </c:pt>
                <c:pt idx="5">
                  <c:v>农林水支出</c:v>
                </c:pt>
                <c:pt idx="6">
                  <c:v>交通运输</c:v>
                </c:pt>
                <c:pt idx="7">
                  <c:v>住房保障支出</c:v>
                </c:pt>
                <c:pt idx="8">
                  <c:v>国防支出</c:v>
                </c:pt>
              </c:strCache>
            </c:strRef>
          </c:cat>
          <c:val>
            <c:numRef>
              <c:f>Sheet1!$B$2:$B$10</c:f>
              <c:numCache>
                <c:formatCode>General</c:formatCode>
                <c:ptCount val="9"/>
                <c:pt idx="0">
                  <c:v>466.58</c:v>
                </c:pt>
                <c:pt idx="1">
                  <c:v>22</c:v>
                </c:pt>
                <c:pt idx="2">
                  <c:v>51.36</c:v>
                </c:pt>
                <c:pt idx="3">
                  <c:v>17.14</c:v>
                </c:pt>
                <c:pt idx="4">
                  <c:v>8</c:v>
                </c:pt>
                <c:pt idx="5">
                  <c:v>623.11</c:v>
                </c:pt>
                <c:pt idx="6">
                  <c:v>400</c:v>
                </c:pt>
                <c:pt idx="7">
                  <c:v>120.06</c:v>
                </c:pt>
                <c:pt idx="8">
                  <c:v>1</c:v>
                </c:pt>
              </c:numCache>
            </c:numRef>
          </c:val>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0878048780487805"/>
          <c:y val="0.930071658018285"/>
          <c:w val="0.772032520325203"/>
          <c:h val="0.0662218927600692"/>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3dba6675-2e83-45bd-9a02-81c1911643ca}"/>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83">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bg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dk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83">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bg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dk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10083">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bg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dk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四川省财政厅</Company>
  <Pages>81</Pages>
  <Words>9311</Words>
  <Characters>10286</Characters>
  <Lines>81</Lines>
  <Paragraphs>22</Paragraphs>
  <TotalTime>25</TotalTime>
  <ScaleCrop>false</ScaleCrop>
  <LinksUpToDate>false</LinksUpToDate>
  <CharactersWithSpaces>10430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2021-09-07T12:04:00Z</dcterms:created>
  <dc:creator>张彬茜</dc:creator>
  <cp:lastModifiedBy>Hoicy</cp:lastModifiedBy>
  <cp:lastPrinted>2025-09-15T03:42:00Z</cp:lastPrinted>
  <dcterms:modified xsi:type="dcterms:W3CDTF">2025-09-29T09:04:15Z</dcterms:modified>
  <dc:title>四川省***</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329B8BA009374A42A024104A7130DEFD_13</vt:lpwstr>
  </property>
  <property fmtid="{D5CDD505-2E9C-101B-9397-08002B2CF9AE}" pid="4" name="KSOTemplateDocerSaveRecord">
    <vt:lpwstr>eyJoZGlkIjoiYWJmNTAxYTA0NTllZTU0OWY5NWY0MWNlMzBjNGU2OTYiLCJ1c2VySWQiOiIyNDU4NTY5MiJ9</vt:lpwstr>
  </property>
</Properties>
</file>