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hint="default" w:ascii="方正小标宋简体" w:hAnsi="宋体" w:eastAsia="方正小标宋简体"/>
          <w:color w:val="auto"/>
          <w:sz w:val="72"/>
          <w:szCs w:val="72"/>
          <w:highlight w:val="none"/>
          <w:lang w:val="en-US" w:eastAsia="zh-CN"/>
        </w:rPr>
      </w:pPr>
      <w:bookmarkStart w:id="0" w:name="_Toc15396597"/>
      <w:bookmarkStart w:id="1" w:name="_Toc15378441"/>
      <w:bookmarkStart w:id="2" w:name="_Toc15396475"/>
      <w:bookmarkStart w:id="3" w:name="_Toc15377425"/>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20</w:t>
      </w:r>
      <w:r>
        <w:rPr>
          <w:rFonts w:hint="eastAsia" w:ascii="方正小标宋简体" w:hAnsi="方正小标宋简体" w:eastAsia="方正小标宋简体" w:cs="方正小标宋简体"/>
          <w:color w:val="auto"/>
          <w:sz w:val="52"/>
          <w:szCs w:val="52"/>
          <w:highlight w:val="none"/>
          <w:lang w:val="en-US" w:eastAsia="zh-CN"/>
        </w:rPr>
        <w:t>21</w:t>
      </w:r>
      <w:r>
        <w:rPr>
          <w:rFonts w:hint="eastAsia" w:ascii="方正小标宋简体" w:hAnsi="方正小标宋简体" w:eastAsia="方正小标宋简体" w:cs="方正小标宋简体"/>
          <w:color w:val="auto"/>
          <w:sz w:val="52"/>
          <w:szCs w:val="5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6" w:name="_Toc15377426"/>
      <w:bookmarkStart w:id="7" w:name="_Toc15377194"/>
      <w:bookmarkStart w:id="8" w:name="_Toc15396476"/>
      <w:bookmarkStart w:id="9" w:name="_Toc15378442"/>
      <w:bookmarkStart w:id="10" w:name="_Toc15396598"/>
      <w:r>
        <w:rPr>
          <w:rFonts w:hint="eastAsia" w:ascii="方正小标宋简体" w:hAnsi="方正小标宋简体" w:eastAsia="方正小标宋简体" w:cs="方正小标宋简体"/>
          <w:color w:val="auto"/>
          <w:sz w:val="52"/>
          <w:szCs w:val="52"/>
          <w:highlight w:val="none"/>
          <w:lang w:val="en-US" w:eastAsia="zh-CN"/>
        </w:rPr>
        <w:t>广元市</w:t>
      </w:r>
      <w:bookmarkEnd w:id="5"/>
      <w:bookmarkStart w:id="11" w:name="_Toc15306268"/>
      <w:r>
        <w:rPr>
          <w:rFonts w:hint="eastAsia" w:ascii="方正小标宋简体" w:hAnsi="方正小标宋简体" w:eastAsia="方正小标宋简体" w:cs="方正小标宋简体"/>
          <w:color w:val="auto"/>
          <w:sz w:val="52"/>
          <w:szCs w:val="52"/>
          <w:highlight w:val="none"/>
          <w:lang w:val="en-US" w:eastAsia="zh-CN"/>
        </w:rPr>
        <w:t>自然资源局单位</w:t>
      </w:r>
      <w:r>
        <w:rPr>
          <w:rFonts w:hint="eastAsia" w:ascii="方正小标宋简体" w:hAnsi="方正小标宋简体" w:eastAsia="方正小标宋简体" w:cs="方正小标宋简体"/>
          <w:color w:val="auto"/>
          <w:sz w:val="52"/>
          <w:szCs w:val="52"/>
          <w:highlight w:val="none"/>
        </w:rPr>
        <w:t>决算</w:t>
      </w:r>
      <w:bookmarkEnd w:id="6"/>
      <w:bookmarkEnd w:id="7"/>
      <w:bookmarkEnd w:id="8"/>
      <w:bookmarkEnd w:id="9"/>
      <w:bookmarkEnd w:id="10"/>
      <w:bookmarkEnd w:id="11"/>
    </w:p>
    <w:p>
      <w:pPr>
        <w:adjustRightInd w:val="0"/>
        <w:snapToGrid w:val="0"/>
        <w:spacing w:line="360" w:lineRule="auto"/>
        <w:jc w:val="center"/>
        <w:outlineLvl w:val="0"/>
        <w:rPr>
          <w:rFonts w:hint="eastAsia" w:ascii="方正小标宋简体" w:hAnsi="宋体" w:eastAsia="方正小标宋简体"/>
          <w:color w:val="auto"/>
          <w:sz w:val="52"/>
          <w:szCs w:val="52"/>
          <w:highlight w:val="none"/>
          <w:lang w:eastAsia="zh-CN"/>
        </w:rPr>
      </w:pPr>
      <w:r>
        <w:rPr>
          <w:rFonts w:hint="eastAsia" w:ascii="方正小标宋简体" w:hAnsi="宋体" w:eastAsia="方正小标宋简体"/>
          <w:color w:val="auto"/>
          <w:sz w:val="52"/>
          <w:szCs w:val="52"/>
          <w:highlight w:val="none"/>
          <w:lang w:eastAsia="zh-CN"/>
        </w:rPr>
        <w:t>（</w:t>
      </w:r>
      <w:r>
        <w:rPr>
          <w:rFonts w:hint="eastAsia" w:ascii="方正小标宋简体" w:hAnsi="宋体" w:eastAsia="方正小标宋简体"/>
          <w:color w:val="auto"/>
          <w:sz w:val="52"/>
          <w:szCs w:val="52"/>
          <w:highlight w:val="none"/>
          <w:lang w:val="en-US" w:eastAsia="zh-CN"/>
        </w:rPr>
        <w:t>本级</w:t>
      </w:r>
      <w:r>
        <w:rPr>
          <w:rFonts w:hint="eastAsia" w:ascii="方正小标宋简体" w:hAnsi="宋体" w:eastAsia="方正小标宋简体"/>
          <w:color w:val="auto"/>
          <w:sz w:val="52"/>
          <w:szCs w:val="52"/>
          <w:highlight w:val="none"/>
          <w:lang w:eastAsia="zh-CN"/>
        </w:rPr>
        <w:t>）</w:t>
      </w:r>
    </w:p>
    <w:p>
      <w:pPr>
        <w:rPr>
          <w:rFonts w:hint="eastAsia" w:ascii="方正小标宋简体" w:hAnsi="宋体" w:eastAsia="方正小标宋简体"/>
          <w:color w:val="auto"/>
          <w:sz w:val="52"/>
          <w:szCs w:val="52"/>
          <w:highlight w:val="none"/>
          <w:lang w:eastAsia="zh-CN"/>
        </w:rPr>
      </w:pPr>
      <w:r>
        <w:rPr>
          <w:rFonts w:hint="eastAsia" w:ascii="方正小标宋简体" w:hAnsi="宋体" w:eastAsia="方正小标宋简体"/>
          <w:color w:val="auto"/>
          <w:sz w:val="52"/>
          <w:szCs w:val="52"/>
          <w:highlight w:val="none"/>
          <w:lang w:eastAsia="zh-CN"/>
        </w:rPr>
        <w:br w:type="page"/>
      </w:r>
    </w:p>
    <w:p>
      <w:pPr>
        <w:pStyle w:val="2"/>
        <w:rPr>
          <w:rFonts w:hint="eastAsia"/>
          <w:lang w:eastAsia="zh-CN"/>
        </w:rPr>
      </w:pPr>
    </w:p>
    <w:p>
      <w:pPr>
        <w:pageBreakBefore w:val="0"/>
        <w:widowControl/>
        <w:kinsoku/>
        <w:wordWrap/>
        <w:overflowPunct/>
        <w:topLinePunct w:val="0"/>
        <w:autoSpaceDE/>
        <w:autoSpaceDN/>
        <w:bidi w:val="0"/>
        <w:spacing w:line="576" w:lineRule="exact"/>
        <w:jc w:val="center"/>
        <w:textAlignment w:val="auto"/>
        <w:rPr>
          <w:rFonts w:hint="eastAsia" w:ascii="方正小标宋_GBK" w:hAnsi="方正小标宋_GBK" w:eastAsia="方正小标宋_GBK" w:cs="方正小标宋_GBK"/>
          <w:color w:val="auto"/>
          <w:sz w:val="44"/>
          <w:szCs w:val="44"/>
          <w:highlight w:val="none"/>
        </w:rPr>
      </w:pPr>
      <w:r>
        <w:rPr>
          <w:rFonts w:ascii="方正小标宋简体" w:hAnsi="宋体" w:eastAsia="方正小标宋简体"/>
          <w:color w:val="auto"/>
          <w:sz w:val="36"/>
          <w:szCs w:val="36"/>
          <w:highlight w:val="none"/>
        </w:rPr>
        <w:br w:type="page"/>
      </w:r>
      <w:r>
        <w:rPr>
          <w:rFonts w:hint="eastAsia" w:ascii="方正小标宋_GBK" w:hAnsi="方正小标宋_GBK" w:eastAsia="方正小标宋_GBK" w:cs="方正小标宋_GBK"/>
          <w:color w:val="auto"/>
          <w:sz w:val="44"/>
          <w:szCs w:val="44"/>
          <w:highlight w:val="none"/>
        </w:rPr>
        <w:t>目</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录</w:t>
      </w:r>
    </w:p>
    <w:p>
      <w:pPr>
        <w:pageBreakBefore w:val="0"/>
        <w:widowControl/>
        <w:kinsoku/>
        <w:wordWrap/>
        <w:overflowPunct/>
        <w:topLinePunct w:val="0"/>
        <w:autoSpaceDE/>
        <w:autoSpaceDN/>
        <w:bidi w:val="0"/>
        <w:spacing w:line="576" w:lineRule="exact"/>
        <w:jc w:val="center"/>
        <w:textAlignment w:val="auto"/>
        <w:rPr>
          <w:rFonts w:ascii="黑体" w:hAnsi="黑体" w:eastAsia="黑体" w:cstheme="minorBidi"/>
          <w:color w:val="auto"/>
          <w:sz w:val="28"/>
          <w:szCs w:val="28"/>
          <w:highlight w:val="none"/>
        </w:rPr>
      </w:pPr>
    </w:p>
    <w:p>
      <w:pPr>
        <w:pStyle w:val="10"/>
        <w:pageBreakBefore w:val="0"/>
        <w:kinsoku/>
        <w:wordWrap/>
        <w:overflowPunct/>
        <w:topLinePunct w:val="0"/>
        <w:autoSpaceDE/>
        <w:autoSpaceDN/>
        <w:bidi w:val="0"/>
        <w:spacing w:before="0" w:line="576" w:lineRule="exact"/>
        <w:textAlignment w:val="auto"/>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17</w:t>
      </w:r>
      <w:r>
        <w:rPr>
          <w:rFonts w:hint="eastAsia"/>
          <w:color w:val="auto"/>
          <w:highlight w:val="none"/>
        </w:rPr>
        <w:t>日</w:t>
      </w:r>
    </w:p>
    <w:p>
      <w:pPr>
        <w:pageBreakBefore w:val="0"/>
        <w:kinsoku/>
        <w:wordWrap/>
        <w:overflowPunct/>
        <w:topLinePunct w:val="0"/>
        <w:autoSpaceDE/>
        <w:autoSpaceDN/>
        <w:bidi w:val="0"/>
        <w:spacing w:line="576" w:lineRule="exact"/>
        <w:textAlignment w:val="auto"/>
        <w:rPr>
          <w:color w:val="auto"/>
          <w:highlight w:val="none"/>
        </w:rPr>
      </w:pP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eastAsia="仿宋"/>
          <w:color w:val="auto"/>
          <w:sz w:val="32"/>
          <w:szCs w:val="32"/>
          <w:highlight w:val="none"/>
          <w:lang w:val="en-US" w:eastAsia="zh-CN"/>
        </w:rPr>
      </w:pPr>
      <w:r>
        <w:rPr>
          <w:rFonts w:hint="eastAsia"/>
          <w:color w:val="auto"/>
          <w:sz w:val="32"/>
          <w:szCs w:val="32"/>
          <w:highlight w:val="none"/>
        </w:rPr>
        <w:t>第一部分部门概况</w:t>
      </w:r>
      <w:r>
        <w:rPr>
          <w:rFonts w:hint="eastAsia"/>
          <w:color w:val="auto"/>
          <w:sz w:val="32"/>
          <w:szCs w:val="32"/>
          <w:highlight w:val="none"/>
          <w:lang w:eastAsia="zh-CN"/>
        </w:rPr>
        <w:t>………………………………………………</w:t>
      </w:r>
      <w:r>
        <w:rPr>
          <w:rFonts w:hint="eastAsia"/>
          <w:color w:val="auto"/>
          <w:sz w:val="32"/>
          <w:szCs w:val="32"/>
          <w:highlight w:val="none"/>
          <w:lang w:val="en-US" w:eastAsia="zh-CN"/>
        </w:rPr>
        <w:t>1</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eastAsia="仿宋"/>
          <w:color w:val="auto"/>
          <w:sz w:val="32"/>
          <w:szCs w:val="32"/>
          <w:highlight w:val="none"/>
          <w:lang w:val="en-US" w:eastAsia="zh-CN"/>
        </w:rPr>
      </w:pPr>
      <w:r>
        <w:rPr>
          <w:rFonts w:hint="eastAsia"/>
          <w:color w:val="auto"/>
          <w:sz w:val="32"/>
          <w:szCs w:val="32"/>
          <w:highlight w:val="none"/>
        </w:rPr>
        <w:t>一、基本职能及主要工作</w:t>
      </w:r>
      <w:r>
        <w:rPr>
          <w:rFonts w:hint="eastAsia"/>
          <w:color w:val="auto"/>
          <w:sz w:val="32"/>
          <w:szCs w:val="32"/>
          <w:highlight w:val="none"/>
          <w:lang w:eastAsia="zh-CN"/>
        </w:rPr>
        <w:t>………………………………………</w:t>
      </w:r>
      <w:r>
        <w:rPr>
          <w:rFonts w:hint="eastAsia"/>
          <w:color w:val="auto"/>
          <w:sz w:val="32"/>
          <w:szCs w:val="32"/>
          <w:highlight w:val="none"/>
          <w:lang w:val="en-US" w:eastAsia="zh-CN"/>
        </w:rPr>
        <w:t>1</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第二部分</w:t>
      </w:r>
      <w:r>
        <w:rPr>
          <w:rFonts w:hint="eastAsia"/>
          <w:color w:val="auto"/>
          <w:sz w:val="32"/>
          <w:szCs w:val="32"/>
          <w:highlight w:val="none"/>
          <w:lang w:val="en-US" w:eastAsia="zh-CN"/>
        </w:rPr>
        <w:t>2021年度</w:t>
      </w:r>
      <w:r>
        <w:rPr>
          <w:rFonts w:hint="eastAsia"/>
          <w:color w:val="auto"/>
          <w:sz w:val="32"/>
          <w:szCs w:val="32"/>
          <w:highlight w:val="none"/>
        </w:rPr>
        <w:t>部门决算情况说明</w:t>
      </w:r>
      <w:r>
        <w:rPr>
          <w:rFonts w:hint="eastAsia"/>
          <w:color w:val="auto"/>
          <w:sz w:val="32"/>
          <w:szCs w:val="32"/>
          <w:highlight w:val="none"/>
          <w:lang w:eastAsia="zh-CN"/>
        </w:rPr>
        <w:t>………………………</w:t>
      </w:r>
      <w:r>
        <w:rPr>
          <w:rFonts w:hint="eastAsia"/>
          <w:color w:val="auto"/>
          <w:sz w:val="32"/>
          <w:szCs w:val="32"/>
          <w:highlight w:val="none"/>
          <w:lang w:val="en-US" w:eastAsia="zh-CN"/>
        </w:rPr>
        <w:t>14</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一、收入支出决算总体情况说明</w:t>
      </w:r>
      <w:r>
        <w:rPr>
          <w:rFonts w:hint="eastAsia"/>
          <w:color w:val="auto"/>
          <w:sz w:val="32"/>
          <w:szCs w:val="32"/>
          <w:highlight w:val="none"/>
          <w:lang w:eastAsia="zh-CN"/>
        </w:rPr>
        <w:t>………………………………</w:t>
      </w:r>
      <w:r>
        <w:rPr>
          <w:rFonts w:hint="eastAsia"/>
          <w:color w:val="auto"/>
          <w:sz w:val="32"/>
          <w:szCs w:val="32"/>
          <w:highlight w:val="none"/>
          <w:lang w:val="en-US" w:eastAsia="zh-CN"/>
        </w:rPr>
        <w:t>14</w:t>
      </w:r>
      <w:r>
        <w:rPr>
          <w:rFonts w:hint="eastAsia"/>
          <w:color w:val="auto"/>
          <w:sz w:val="32"/>
          <w:szCs w:val="32"/>
          <w:highlight w:val="none"/>
        </w:rPr>
        <w:t>二、收入决算情况说明</w:t>
      </w:r>
      <w:r>
        <w:rPr>
          <w:rFonts w:hint="eastAsia"/>
          <w:color w:val="auto"/>
          <w:sz w:val="32"/>
          <w:szCs w:val="32"/>
          <w:highlight w:val="none"/>
          <w:lang w:eastAsia="zh-CN"/>
        </w:rPr>
        <w:t>………………………………………</w:t>
      </w:r>
      <w:r>
        <w:rPr>
          <w:rFonts w:hint="eastAsia"/>
          <w:color w:val="auto"/>
          <w:sz w:val="32"/>
          <w:szCs w:val="32"/>
          <w:highlight w:val="none"/>
          <w:lang w:val="en-US" w:eastAsia="zh-CN"/>
        </w:rPr>
        <w:t>14</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eastAsia"/>
          <w:color w:val="auto"/>
          <w:sz w:val="32"/>
          <w:szCs w:val="32"/>
          <w:highlight w:val="none"/>
          <w:lang w:val="en-US" w:eastAsia="zh-CN"/>
        </w:rPr>
      </w:pPr>
      <w:r>
        <w:rPr>
          <w:rFonts w:hint="eastAsia"/>
          <w:color w:val="auto"/>
          <w:sz w:val="32"/>
          <w:szCs w:val="32"/>
          <w:highlight w:val="none"/>
        </w:rPr>
        <w:t>三、支出决算情况说明</w:t>
      </w:r>
      <w:r>
        <w:rPr>
          <w:rFonts w:hint="eastAsia"/>
          <w:color w:val="auto"/>
          <w:sz w:val="32"/>
          <w:szCs w:val="32"/>
          <w:highlight w:val="none"/>
          <w:lang w:eastAsia="zh-CN"/>
        </w:rPr>
        <w:t>………………………………………</w:t>
      </w:r>
      <w:r>
        <w:rPr>
          <w:rFonts w:hint="eastAsia"/>
          <w:color w:val="auto"/>
          <w:sz w:val="32"/>
          <w:szCs w:val="32"/>
          <w:highlight w:val="none"/>
          <w:lang w:val="en-US" w:eastAsia="zh-CN"/>
        </w:rPr>
        <w:t>15</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eastAsia="zh-CN"/>
        </w:rPr>
      </w:pPr>
      <w:r>
        <w:rPr>
          <w:rFonts w:hint="eastAsia"/>
          <w:color w:val="auto"/>
          <w:sz w:val="32"/>
          <w:szCs w:val="32"/>
          <w:highlight w:val="none"/>
        </w:rPr>
        <w:t>四、财政拨款收入支出决算总体情况说明</w:t>
      </w:r>
      <w:r>
        <w:rPr>
          <w:rFonts w:hint="eastAsia"/>
          <w:color w:val="auto"/>
          <w:sz w:val="32"/>
          <w:szCs w:val="32"/>
          <w:highlight w:val="none"/>
          <w:lang w:eastAsia="zh-CN"/>
        </w:rPr>
        <w:t>…………………</w:t>
      </w:r>
      <w:r>
        <w:rPr>
          <w:rFonts w:hint="eastAsia"/>
          <w:color w:val="auto"/>
          <w:sz w:val="32"/>
          <w:szCs w:val="32"/>
          <w:highlight w:val="none"/>
          <w:lang w:val="en-US" w:eastAsia="zh-CN"/>
        </w:rPr>
        <w:t>15</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五、一般公共预算财政拨款支出决算情况说明</w:t>
      </w:r>
      <w:r>
        <w:rPr>
          <w:rFonts w:hint="eastAsia"/>
          <w:color w:val="auto"/>
          <w:sz w:val="32"/>
          <w:szCs w:val="32"/>
          <w:highlight w:val="none"/>
          <w:lang w:eastAsia="zh-CN"/>
        </w:rPr>
        <w:t>……………</w:t>
      </w:r>
      <w:r>
        <w:rPr>
          <w:rFonts w:hint="eastAsia"/>
          <w:color w:val="auto"/>
          <w:sz w:val="32"/>
          <w:szCs w:val="32"/>
          <w:highlight w:val="none"/>
          <w:lang w:val="en-US" w:eastAsia="zh-CN"/>
        </w:rPr>
        <w:t>16</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六、一般公共预算财政拨款基本支出决算情况说明</w:t>
      </w:r>
      <w:r>
        <w:rPr>
          <w:rFonts w:hint="eastAsia"/>
          <w:color w:val="auto"/>
          <w:sz w:val="32"/>
          <w:szCs w:val="32"/>
          <w:highlight w:val="none"/>
          <w:lang w:eastAsia="zh-CN"/>
        </w:rPr>
        <w:t>………</w:t>
      </w:r>
      <w:r>
        <w:rPr>
          <w:rFonts w:hint="eastAsia"/>
          <w:color w:val="auto"/>
          <w:sz w:val="32"/>
          <w:szCs w:val="32"/>
          <w:highlight w:val="none"/>
          <w:lang w:val="en-US" w:eastAsia="zh-CN"/>
        </w:rPr>
        <w:t>19</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七、</w:t>
      </w:r>
      <w:r>
        <w:rPr>
          <w:rFonts w:hint="eastAsia"/>
          <w:color w:val="auto"/>
          <w:sz w:val="32"/>
          <w:szCs w:val="32"/>
          <w:highlight w:val="none"/>
          <w:lang w:eastAsia="zh-CN"/>
        </w:rPr>
        <w:t>“</w:t>
      </w:r>
      <w:r>
        <w:rPr>
          <w:rFonts w:hint="eastAsia"/>
          <w:color w:val="auto"/>
          <w:sz w:val="32"/>
          <w:szCs w:val="32"/>
          <w:highlight w:val="none"/>
        </w:rPr>
        <w:t>三公”经费财政拨款支出决算情况说明</w:t>
      </w:r>
      <w:r>
        <w:rPr>
          <w:rFonts w:hint="eastAsia"/>
          <w:color w:val="auto"/>
          <w:sz w:val="32"/>
          <w:szCs w:val="32"/>
          <w:highlight w:val="none"/>
          <w:lang w:eastAsia="zh-CN"/>
        </w:rPr>
        <w:t>……………</w:t>
      </w:r>
      <w:r>
        <w:rPr>
          <w:rFonts w:hint="eastAsia"/>
          <w:color w:val="auto"/>
          <w:sz w:val="32"/>
          <w:szCs w:val="32"/>
          <w:highlight w:val="none"/>
          <w:lang w:val="en-US" w:eastAsia="zh-CN"/>
        </w:rPr>
        <w:t>20</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eastAsia"/>
          <w:color w:val="auto"/>
          <w:sz w:val="32"/>
          <w:szCs w:val="32"/>
          <w:highlight w:val="none"/>
          <w:lang w:val="en-US" w:eastAsia="zh-CN"/>
        </w:rPr>
      </w:pPr>
      <w:r>
        <w:rPr>
          <w:rFonts w:hint="eastAsia"/>
          <w:color w:val="auto"/>
          <w:sz w:val="32"/>
          <w:szCs w:val="32"/>
          <w:highlight w:val="none"/>
        </w:rPr>
        <w:t>八、政府性基金预算支出决算情况说明</w:t>
      </w:r>
      <w:r>
        <w:rPr>
          <w:rFonts w:hint="eastAsia"/>
          <w:color w:val="auto"/>
          <w:sz w:val="32"/>
          <w:szCs w:val="32"/>
          <w:highlight w:val="none"/>
          <w:lang w:eastAsia="zh-CN"/>
        </w:rPr>
        <w:t>………………………</w:t>
      </w:r>
      <w:r>
        <w:rPr>
          <w:rFonts w:hint="eastAsia"/>
          <w:color w:val="auto"/>
          <w:sz w:val="32"/>
          <w:szCs w:val="32"/>
          <w:highlight w:val="none"/>
          <w:lang w:val="en-US" w:eastAsia="zh-CN"/>
        </w:rPr>
        <w:t>22</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九、</w:t>
      </w:r>
      <w:r>
        <w:rPr>
          <w:rFonts w:hint="eastAsia"/>
          <w:color w:val="auto"/>
          <w:sz w:val="32"/>
          <w:szCs w:val="32"/>
          <w:highlight w:val="none"/>
          <w:lang w:eastAsia="zh-CN"/>
        </w:rPr>
        <w:t>国</w:t>
      </w:r>
      <w:r>
        <w:rPr>
          <w:rFonts w:hint="eastAsia"/>
          <w:color w:val="auto"/>
          <w:sz w:val="32"/>
          <w:szCs w:val="32"/>
          <w:highlight w:val="none"/>
        </w:rPr>
        <w:t>有资本经营预算支出决算情况说明</w:t>
      </w:r>
      <w:r>
        <w:rPr>
          <w:rFonts w:hint="eastAsia"/>
          <w:color w:val="auto"/>
          <w:sz w:val="32"/>
          <w:szCs w:val="32"/>
          <w:highlight w:val="none"/>
          <w:lang w:eastAsia="zh-CN"/>
        </w:rPr>
        <w:t>……………………</w:t>
      </w:r>
      <w:r>
        <w:rPr>
          <w:rFonts w:hint="eastAsia"/>
          <w:color w:val="auto"/>
          <w:sz w:val="32"/>
          <w:szCs w:val="32"/>
          <w:highlight w:val="none"/>
          <w:lang w:val="en-US" w:eastAsia="zh-CN"/>
        </w:rPr>
        <w:t>22</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lang w:eastAsia="zh-CN"/>
        </w:rPr>
        <w:t>十</w:t>
      </w:r>
      <w:r>
        <w:rPr>
          <w:rFonts w:hint="eastAsia"/>
          <w:color w:val="auto"/>
          <w:sz w:val="32"/>
          <w:szCs w:val="32"/>
          <w:highlight w:val="none"/>
        </w:rPr>
        <w:t>、</w:t>
      </w:r>
      <w:r>
        <w:rPr>
          <w:rFonts w:hint="eastAsia"/>
          <w:color w:val="auto"/>
          <w:sz w:val="32"/>
          <w:szCs w:val="32"/>
          <w:highlight w:val="none"/>
          <w:lang w:val="en-US" w:eastAsia="zh-CN"/>
        </w:rPr>
        <w:t>预算绩效管理情况</w:t>
      </w:r>
      <w:r>
        <w:rPr>
          <w:rFonts w:hint="eastAsia"/>
          <w:color w:val="auto"/>
          <w:sz w:val="32"/>
          <w:szCs w:val="32"/>
          <w:highlight w:val="none"/>
          <w:lang w:eastAsia="zh-CN"/>
        </w:rPr>
        <w:t>…………………………………………</w:t>
      </w:r>
      <w:r>
        <w:rPr>
          <w:rFonts w:hint="eastAsia"/>
          <w:color w:val="auto"/>
          <w:sz w:val="32"/>
          <w:szCs w:val="32"/>
          <w:highlight w:val="none"/>
          <w:lang w:val="en-US" w:eastAsia="zh-CN"/>
        </w:rPr>
        <w:t>22</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eastAsia="zh-CN"/>
        </w:rPr>
      </w:pPr>
      <w:r>
        <w:rPr>
          <w:rFonts w:hint="eastAsia"/>
          <w:color w:val="auto"/>
          <w:sz w:val="32"/>
          <w:szCs w:val="32"/>
          <w:highlight w:val="none"/>
          <w:lang w:val="en-US" w:eastAsia="zh-CN"/>
        </w:rPr>
        <w:t>十一、</w:t>
      </w:r>
      <w:r>
        <w:rPr>
          <w:rFonts w:hint="eastAsia"/>
          <w:color w:val="auto"/>
          <w:sz w:val="32"/>
          <w:szCs w:val="32"/>
          <w:highlight w:val="none"/>
        </w:rPr>
        <w:t>其他重要事项的情况说明</w:t>
      </w:r>
      <w:r>
        <w:rPr>
          <w:rFonts w:hint="eastAsia"/>
          <w:color w:val="auto"/>
          <w:sz w:val="32"/>
          <w:szCs w:val="32"/>
          <w:highlight w:val="none"/>
          <w:lang w:eastAsia="zh-CN"/>
        </w:rPr>
        <w:t>…………………………………</w:t>
      </w:r>
      <w:r>
        <w:rPr>
          <w:rFonts w:hint="eastAsia"/>
          <w:color w:val="auto"/>
          <w:sz w:val="32"/>
          <w:szCs w:val="32"/>
          <w:highlight w:val="none"/>
          <w:lang w:val="en-US" w:eastAsia="zh-CN"/>
        </w:rPr>
        <w:t>23</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第三部分名词解释</w:t>
      </w:r>
      <w:r>
        <w:rPr>
          <w:rFonts w:hint="eastAsia"/>
          <w:color w:val="auto"/>
          <w:sz w:val="32"/>
          <w:szCs w:val="32"/>
          <w:highlight w:val="none"/>
          <w:lang w:eastAsia="zh-CN"/>
        </w:rPr>
        <w:t>………………………………………………</w:t>
      </w:r>
      <w:r>
        <w:rPr>
          <w:rFonts w:hint="eastAsia"/>
          <w:color w:val="auto"/>
          <w:sz w:val="32"/>
          <w:szCs w:val="32"/>
          <w:highlight w:val="none"/>
          <w:lang w:val="en-US" w:eastAsia="zh-CN"/>
        </w:rPr>
        <w:t>24</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第四部分附件</w:t>
      </w:r>
      <w:r>
        <w:rPr>
          <w:rFonts w:hint="eastAsia"/>
          <w:color w:val="auto"/>
          <w:sz w:val="32"/>
          <w:szCs w:val="32"/>
          <w:highlight w:val="none"/>
          <w:lang w:eastAsia="zh-CN"/>
        </w:rPr>
        <w:t>……………………………………………………</w:t>
      </w:r>
      <w:r>
        <w:rPr>
          <w:rFonts w:hint="eastAsia"/>
          <w:color w:val="auto"/>
          <w:sz w:val="32"/>
          <w:szCs w:val="32"/>
          <w:highlight w:val="none"/>
          <w:lang w:val="en-US" w:eastAsia="zh-CN"/>
        </w:rPr>
        <w:t>28</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distribute"/>
        <w:textAlignment w:val="auto"/>
        <w:rPr>
          <w:rFonts w:hint="default"/>
          <w:color w:val="auto"/>
          <w:sz w:val="32"/>
          <w:szCs w:val="32"/>
          <w:highlight w:val="none"/>
          <w:lang w:val="en-US"/>
        </w:rPr>
      </w:pPr>
      <w:r>
        <w:rPr>
          <w:rFonts w:hint="eastAsia"/>
          <w:color w:val="auto"/>
          <w:sz w:val="32"/>
          <w:szCs w:val="32"/>
          <w:highlight w:val="none"/>
        </w:rPr>
        <w:t>第五部分附表</w:t>
      </w:r>
      <w:r>
        <w:rPr>
          <w:rFonts w:hint="eastAsia"/>
          <w:color w:val="auto"/>
          <w:sz w:val="32"/>
          <w:szCs w:val="32"/>
          <w:highlight w:val="none"/>
          <w:lang w:eastAsia="zh-CN"/>
        </w:rPr>
        <w:t>……………………………………………………</w:t>
      </w:r>
      <w:r>
        <w:rPr>
          <w:rFonts w:hint="eastAsia"/>
          <w:color w:val="auto"/>
          <w:sz w:val="32"/>
          <w:szCs w:val="32"/>
          <w:highlight w:val="none"/>
          <w:lang w:val="en-US" w:eastAsia="zh-CN"/>
        </w:rPr>
        <w:t>61</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一、收入支出决算总表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二、收入决算表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三、支出决算表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四、财政拨款收入支出决算总表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五、财政拨款支出决算明细表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六、一般公共预算财政拨款支出决算表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七、一般公共预算财政拨款支出决算明细表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八、一般公共预算财政拨款基本支出决算表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九、一般公共预算财政拨款项目支出决算表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十、一般公共预算财政拨款“三公”经费支出决算表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十一、政府性基金预算财政拨款收入支出决算表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十二、政府性基金预算财政拨款“三公”经费支出决算表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r>
        <w:rPr>
          <w:rFonts w:hint="eastAsia"/>
          <w:color w:val="auto"/>
          <w:sz w:val="32"/>
          <w:szCs w:val="32"/>
          <w:highlight w:val="none"/>
        </w:rPr>
        <w:t>十三、国有资本经营预算</w:t>
      </w:r>
      <w:r>
        <w:rPr>
          <w:rFonts w:hint="eastAsia"/>
          <w:color w:val="auto"/>
          <w:sz w:val="32"/>
          <w:szCs w:val="32"/>
          <w:highlight w:val="none"/>
          <w:lang w:eastAsia="zh-CN"/>
        </w:rPr>
        <w:t>财政拨款收入</w:t>
      </w:r>
      <w:r>
        <w:rPr>
          <w:rFonts w:hint="eastAsia"/>
          <w:color w:val="auto"/>
          <w:sz w:val="32"/>
          <w:szCs w:val="32"/>
          <w:highlight w:val="none"/>
        </w:rPr>
        <w:t>支出决算表</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lang w:val="en-US" w:eastAsia="zh-CN"/>
        </w:rPr>
      </w:pPr>
      <w:r>
        <w:rPr>
          <w:rFonts w:hint="eastAsia"/>
          <w:color w:val="auto"/>
          <w:sz w:val="32"/>
          <w:szCs w:val="32"/>
          <w:highlight w:val="none"/>
          <w:lang w:val="en-US" w:eastAsia="zh-CN"/>
        </w:rPr>
        <w:t>十四、国有资本经营预算财政拨款支出决算表</w:t>
      </w:r>
    </w:p>
    <w:p>
      <w:pPr>
        <w:pStyle w:val="10"/>
        <w:pageBreakBefore w:val="0"/>
        <w:kinsoku/>
        <w:wordWrap/>
        <w:overflowPunct/>
        <w:topLinePunct w:val="0"/>
        <w:autoSpaceDE/>
        <w:autoSpaceDN/>
        <w:bidi w:val="0"/>
        <w:adjustRightInd w:val="0"/>
        <w:snapToGrid w:val="0"/>
        <w:spacing w:before="0" w:line="576" w:lineRule="exact"/>
        <w:jc w:val="left"/>
        <w:textAlignment w:val="auto"/>
        <w:rPr>
          <w:rFonts w:hint="eastAsia"/>
          <w:color w:val="auto"/>
          <w:sz w:val="32"/>
          <w:szCs w:val="32"/>
          <w:highlight w:val="none"/>
        </w:rPr>
      </w:pPr>
    </w:p>
    <w:p>
      <w:pPr>
        <w:pStyle w:val="3"/>
        <w:pageBreakBefore w:val="0"/>
        <w:kinsoku/>
        <w:wordWrap/>
        <w:overflowPunct/>
        <w:topLinePunct w:val="0"/>
        <w:autoSpaceDE/>
        <w:autoSpaceDN/>
        <w:bidi w:val="0"/>
        <w:spacing w:before="0" w:after="0" w:line="576" w:lineRule="exact"/>
        <w:jc w:val="center"/>
        <w:textAlignment w:val="auto"/>
        <w:rPr>
          <w:rFonts w:hint="eastAsia" w:ascii="黑体" w:hAnsi="黑体" w:eastAsia="黑体"/>
          <w:b w:val="0"/>
          <w:color w:val="auto"/>
          <w:highlight w:val="none"/>
        </w:rPr>
        <w:sectPr>
          <w:headerReference r:id="rId3" w:type="default"/>
          <w:footerReference r:id="rId4" w:type="default"/>
          <w:pgSz w:w="11906" w:h="16838"/>
          <w:pgMar w:top="2098" w:right="1474" w:bottom="1984" w:left="1587" w:header="851" w:footer="992" w:gutter="0"/>
          <w:pgNumType w:fmt="decimal" w:start="1"/>
          <w:cols w:space="425" w:num="1"/>
          <w:titlePg/>
          <w:docGrid w:type="lines" w:linePitch="312" w:charSpace="0"/>
        </w:sectPr>
      </w:pPr>
      <w:bookmarkStart w:id="12" w:name="_Toc15377196"/>
      <w:bookmarkStart w:id="13" w:name="_Toc15396599"/>
    </w:p>
    <w:p>
      <w:pPr>
        <w:pStyle w:val="3"/>
        <w:jc w:val="center"/>
        <w:rPr>
          <w:rStyle w:val="16"/>
          <w:rFonts w:ascii="黑体" w:hAnsi="黑体" w:eastAsia="黑体"/>
          <w:b/>
          <w:bCs w:val="0"/>
          <w:color w:val="auto"/>
          <w:highlight w:val="none"/>
        </w:rPr>
      </w:pPr>
      <w:r>
        <w:rPr>
          <w:rFonts w:hint="eastAsia" w:ascii="黑体" w:hAnsi="黑体" w:eastAsia="黑体"/>
          <w:b w:val="0"/>
          <w:color w:val="auto"/>
          <w:highlight w:val="none"/>
        </w:rPr>
        <w:t>第一部分</w:t>
      </w:r>
      <w:r>
        <w:rPr>
          <w:rFonts w:hint="eastAsia" w:ascii="黑体" w:hAnsi="黑体" w:eastAsia="黑体"/>
          <w:b w:val="0"/>
          <w:color w:val="auto"/>
          <w:highlight w:val="none"/>
          <w:lang w:val="en-US" w:eastAsia="zh-CN"/>
        </w:rPr>
        <w:t xml:space="preserve">  </w:t>
      </w:r>
      <w:r>
        <w:rPr>
          <w:rStyle w:val="16"/>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4"/>
        <w:pageBreakBefore w:val="0"/>
        <w:widowControl w:val="0"/>
        <w:kinsoku/>
        <w:wordWrap/>
        <w:overflowPunct/>
        <w:topLinePunct w:val="0"/>
        <w:autoSpaceDE/>
        <w:autoSpaceDN/>
        <w:bidi w:val="0"/>
        <w:spacing w:before="0" w:after="0" w:line="576" w:lineRule="exact"/>
        <w:ind w:left="0" w:leftChars="0" w:right="0" w:firstLine="640" w:firstLineChars="200"/>
        <w:textAlignment w:val="auto"/>
        <w:rPr>
          <w:rStyle w:val="17"/>
          <w:rFonts w:ascii="仿宋" w:hAnsi="仿宋" w:eastAsia="仿宋"/>
          <w:b w:val="0"/>
          <w:bCs w:val="0"/>
          <w:color w:val="auto"/>
          <w:highlight w:val="none"/>
        </w:rPr>
      </w:pPr>
      <w:bookmarkStart w:id="14" w:name="_Toc15377197"/>
      <w:bookmarkStart w:id="15" w:name="_Toc15396600"/>
      <w:r>
        <w:rPr>
          <w:rFonts w:hint="eastAsia" w:ascii="黑体" w:hAnsi="黑体" w:eastAsia="黑体"/>
          <w:b w:val="0"/>
          <w:color w:val="auto"/>
          <w:highlight w:val="none"/>
        </w:rPr>
        <w:t>一、基</w:t>
      </w:r>
      <w:r>
        <w:rPr>
          <w:rStyle w:val="17"/>
          <w:rFonts w:hint="eastAsia" w:ascii="黑体" w:hAnsi="黑体" w:eastAsia="黑体"/>
          <w:b w:val="0"/>
          <w:bCs w:val="0"/>
          <w:color w:val="auto"/>
          <w:highlight w:val="none"/>
        </w:rPr>
        <w:t>本职能及主要工作</w:t>
      </w:r>
      <w:bookmarkEnd w:id="14"/>
      <w:bookmarkEnd w:id="15"/>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楷体_GB2312" w:hAnsi="楷体_GB2312" w:eastAsia="楷体_GB2312" w:cs="楷体_GB2312"/>
          <w:sz w:val="32"/>
          <w:szCs w:val="32"/>
        </w:rPr>
      </w:pPr>
      <w:bookmarkStart w:id="16" w:name="_Toc15378445"/>
      <w:bookmarkStart w:id="17" w:name="_Toc15377198"/>
      <w:r>
        <w:rPr>
          <w:rFonts w:hint="eastAsia" w:ascii="楷体_GB2312" w:hAnsi="楷体_GB2312" w:eastAsia="楷体_GB2312" w:cs="楷体_GB2312"/>
          <w:sz w:val="32"/>
          <w:szCs w:val="32"/>
        </w:rPr>
        <w:t>（一）主要职能。</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规定权限，履行全民所有土地、矿产、森林、湿地、水等自然资源资产所有者职责和所有国土空间用途管制职责。拟订全市自然资源和国土空间规划地方性法规、政策规章草案，制定有关政策措施并监督检查执行情况。</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全市自然资源调查监测评价。依照自然资源调查监测评价的指标体系和统计标准，建立统一的自然资源调查监测评价制度。实施自然资源基础调查、专项调查和监测。负责自然资源调查监测评价成果的监督管理和信息发布。指导县区自然资源调查监测评价工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市自然资源统一确权登记工作。组织实施各类自然资源和不动产统一确权登记、权籍调查、不动产测绘、争议、调处、成果应用的制度、标准、规范。建立健全全市自然资源和不动产登记信息管理基础平台。负责自然资源和不动产登记资料收集、整理、共享、汇交管理等。指导监督自然资源和不动产确权登记工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市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全市自然资源的合理开发利用。组织拟订并实施自然资源发展规划和战略，建立政府公示自然资源价格体系，组织开展自然资源分等定级价格评估，开展自然资源利用评价考核，指导节约集约利用。负责自然资源</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。组织研究自然资源管理涉及宏观调控、区域协调和城乡统筹的政策措施。</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建立全市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统筹全市国土空间生态修复。牵头组织编制全市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组织实施最严格的耕地保护制度。牵头拟订并实施全市耕地保护政策，负责耕地数量、质量、生态保护。组织实施耕地保护责任目标考核和永久基本农田特殊保护。完善耕地占补平衡制度，监督占用耕地补偿制度执行情况。</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管理全市地质勘察和地质工作。拟订全市地质勘查规划并监督检查执行情况。组织实施重大地质矿产勘查专项。负责地质灾害预防和治理，监督管理地下水过量开采及引发的地面沉降等地质问题。负责古生物化石的监督管理。</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全市矿产资源管理工作。负责矿产资源储量管理及压覆矿产资源审核报批。负责矿业权管理。会同有关部门承担保护性开采的特定矿种、优势矿产的调控及相关管理工作。监督指导矿产资源合理利用和保护。</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推动全市自然资源领域科技发展和对外合作。制定并实施全市自然资源领域科技创新发展和人才培养规划、计划。组织实施重大科技专项及创新能力建设，推进自然资源信息化和信息资料的公共服务。组织开展全市自然资源系统对外交流合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配合国家对县区政府落实党中央、国务院关于自然资源和国土空间规划的重大方针政策、决策部署及法律法规执行情况进行督察。按照市委、市政府安排，组织实施自然资源督查相关工作。查处全市自然资源开发利用、国土空间规划等领域重大违法案件。指导县区有关行政执法工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14.负责职责范围内的安全生产和职业健康、生态环境保护、审批服务便民化等工作。</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15.负责测绘地理信息管理。负责基础测绘和测绘行业管理。监督管理全市测绘地理信息安全和市场秩序。负责地理信息公共服务管理和测量标志保护。</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16.统一领导和管理广元市林业局（简称林业局）。</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17.完成市委、市政府交办的其他任务。</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职能转变。落实关于统一行使全民所有自然资源所有者职责，统一行使所有者国土空间用途管制和生态保护修复职责的要求发挥国土空间规划的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19.在自然灾害防救方面的职责分工。</w:t>
      </w:r>
    </w:p>
    <w:bookmarkEnd w:id="16"/>
    <w:bookmarkEnd w:id="17"/>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default" w:ascii="楷体_GB2312" w:hAnsi="楷体_GB2312" w:eastAsia="楷体_GB2312" w:cs="楷体_GB2312"/>
          <w:sz w:val="32"/>
          <w:szCs w:val="32"/>
          <w:lang w:val="en-US" w:eastAsia="zh-CN"/>
        </w:rPr>
      </w:pPr>
      <w:bookmarkStart w:id="18" w:name="_Toc15378446"/>
      <w:bookmarkStart w:id="19" w:name="_Toc15377199"/>
      <w:r>
        <w:rPr>
          <w:rFonts w:hint="eastAsia" w:ascii="楷体_GB2312" w:hAnsi="楷体_GB2312" w:eastAsia="楷体_GB2312" w:cs="楷体_GB2312"/>
          <w:sz w:val="32"/>
          <w:szCs w:val="32"/>
          <w:lang w:val="en-US" w:eastAsia="zh-CN"/>
        </w:rPr>
        <w:t>（二）2021年重点工作完成情况。</w:t>
      </w:r>
      <w:bookmarkEnd w:id="18"/>
      <w:bookmarkEnd w:id="19"/>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聚焦能力素质提升。一是提升了干部政治能力。认真贯彻落实市委关于党史学习教育的各项决策部署，全面开展党史学习教育和建党百年活动，成立党史学习教育领导小组，组织局党委理论学习中心组开展集中学习14次，督促机关各支部开</w:t>
      </w:r>
      <w:r>
        <w:rPr>
          <w:rFonts w:hint="eastAsia" w:ascii="仿宋_GB2312" w:hAnsi="仿宋_GB2312" w:eastAsia="仿宋_GB2312" w:cs="仿宋_GB2312"/>
          <w:sz w:val="32"/>
          <w:szCs w:val="32"/>
        </w:rPr>
        <w:t>展党史学习教育专题学习12次。制定了《广元市自然资源局党史学习教育实施方案》《广元市自然资源局“我为群众办实事”实践活动工作方案》等方案，组织开展了“百名党员讲党史”“百首红歌颂党史”等“六个百”党史学习教育系列活动，举办了纪念五四运动102周年暨青年干部“党史我来讲”活动，</w:t>
      </w:r>
      <w:bookmarkStart w:id="72" w:name="_GoBack"/>
      <w:bookmarkEnd w:id="72"/>
      <w:r>
        <w:rPr>
          <w:rFonts w:hint="eastAsia" w:ascii="仿宋_GB2312" w:hAnsi="仿宋_GB2312" w:eastAsia="仿宋_GB2312" w:cs="仿宋_GB2312"/>
          <w:sz w:val="32"/>
          <w:szCs w:val="32"/>
        </w:rPr>
        <w:t>“迎国庆、升国旗、集体宣誓”活动。二是提升了干部业务水平。开展自然资源综合业务知识大学习，组织系统内干部职工积极参加省厅“自然资源大讲堂”31次、“学习日”12次；组织开展自然资源综合业务知识全员培训，采用集中统一和分层分级相结合方式对全市自然资源系统干部组织开展新《土地管理法》《城乡规划法》等自然资源领域法律法规以及国土空间规划、生态修复、农村土地全域整治、土地、矿产、不动产登记、地质灾害防治等政策规定和综合信息写作的培训。三是提升了干部作风纪律。局党委印发《关于推进2021年全面从严治党、党风廉政建设和反腐败工作的实施意见》，以多种形式开展党风廉政教育。按照“4321”精准监督工作要求，制定了2021年全面从严治党“三张清单”，细化责任目标，进一步完善重点权力廉政风险防控措施。同时，根据市委、市纪委监委关于开展“5+2”重点行业领域突出问题系统治理的工作要求，制定了《广元市自然资源局关于持续深化规划领域突出问题系统治理工作方案》，持续巩固和扩大治理成果。在全市干部纪律作风整顿大会召开后，局党委迅即组织召开党委(扩大)会议传达大会精神，按照市委提出的干部纪律作风整顿重点，对局党委存在的问题进行查摆，通过召开党委会、支部党员大会等形式，查找班子成员问题25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干部职工具体问题654个。制定党委整改措施17条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班子成员整改措施31条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干部职工整改措施724条，均按照整改措施有序推进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制定了《广元市自然资源局干部职工廉政风险防控联系家属制度》，进一步加强对全局干部职工“八小时外”的监督管理。</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聚焦服务质效提升。坚决贯彻落实党中央和省、市决策部署，以过硬作风和有效举措推进川内最优营商环境建设，为建设川陕甘结合部现代化中心城市提供有力保障。一是扎实推进“一网通办”前提下的“最多跑一次”。我局牵头的登记财产指标，做到全省有位、全市领先，其先进做法入选省优化营商环境案例。打造了“全市通办”“掌上办”“自助办”“企业、法院延伸办”等多端可办的服务平台，切实让群众“最多跑一次”及“一次都不跑”，构建“一窗受理、一网通办”的服务模式，让抵押贷款及不动产登记、交易、缴税及水电气视讯等所有登记业务切实实现“一件事一次办”，提供“申请零填表、材料零复印、证书零贴图、邮寄零费用”全流程保姆式服务，实现10类登记即时办结，企业间所有不动产登记1小时办结，除商品房开发项目首次登记“3日内办结”外，其余90%以上登记业务“当日办结”，成功试点“交房即交证”，让群众“便利度最快捷、体验度最舒适、期盼度变现实”。二是持续深化工程建设项目审批制度改革。先后制定《全市自然资源系统“提升服务质效”行动方案》《全面落实全市深化“放管服”改革优化营商环境三大专项攻坚行动任务分工方案》，建立《2021年深化工程建设项目审批制度改革进一步优化营商环境工作任务责任清单》，着力统筹谋划、市县(区)联动，对标对表健全完善工作机制，立足精细管理逐项分解任务目标，突出重点难点狠抓工作落实，营造“人人都是营商环境、事事都是营商环境”的工作氛围。三是加大服务宣传力度。我局工作先进经验被自然资源部、省政府、市政府、省自然资源厅、省发改委、省政务中心等门户网站和中国自然资源报、资源与人居环境、四川在线、川观新闻、广元日报等新闻媒体先后报道60余次，其中“全市通办”经验做法作为全省优秀经验成功入选四川省发展和改革委《四川省营商环境指标提升行动经验做法》(第三批)并在全省推广，在省政务中心组织的“一窗受理”工作汇报会上作经验交流发言，“五零五同步”经验被自然资源部、杭州市规划和自然资源局等官方网站转载，全年共接待绵阳、巴中等市来访学习交流20余次。</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聚焦保障水平提升。始终坚持以全面提升自然资源保障水平为主线，坚持改革创新，促进优化发展，开创自然资源保障工作新局面，全力服务全市经济社会发展大局。一是强化规划引领作用。</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年出具各类建设项目规划条件及用地红线图100余件，有力助推各类建设项目落地实施，为项目前期工作开展提供坚实的规划要素保障。同时，按照市委主要领导“小批量、多频次”组织召开市规委会的要求，市规委会频次从1次/月提升到2次/月。</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，召开市专委会50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期、审查项目230余个；召开市规委会18期、审议项目119个。制定出台《广元市规划管理技术规定(试行2021版)》，为市城区各类项目方案设计、竣工测绘、规划验收等提供技术保障，进一步强化规划的精细化管理，确保规划有效实施，提升城市建设品质。二是提升用地保障能力。科学编制供地计划，2021年市本级及辖区计划供地34696.01亩，共召开市土管会14次，审议供地方案及审批表116份，市本级(含经开区)供应各类建设用地54宗，其中出让31宗1333.83亩，出让收入35.56亿元，全年实现上缴财政入库土地价款23.12亿元，其中土地出让价款收入20.39亿元、划拨价款0.32亿元。坚持土地要素</w:t>
      </w:r>
      <w:r>
        <w:rPr>
          <w:rFonts w:hint="eastAsia" w:ascii="仿宋_GB2312" w:hAnsi="仿宋_GB2312" w:eastAsia="仿宋_GB2312" w:cs="仿宋_GB2312"/>
          <w:sz w:val="32"/>
          <w:szCs w:val="32"/>
          <w:lang w:val="en-US" w:eastAsia="zh-CN"/>
        </w:rPr>
        <w:t>跟</w:t>
      </w:r>
      <w:r>
        <w:rPr>
          <w:rFonts w:hint="eastAsia" w:ascii="仿宋_GB2312" w:hAnsi="仿宋_GB2312" w:eastAsia="仿宋_GB2312" w:cs="仿宋_GB2312"/>
          <w:sz w:val="32"/>
          <w:szCs w:val="32"/>
        </w:rPr>
        <w:t>着项目走，加快推动重大项目落地落实，成立了全市自然资源系统重大项目用地服务保障工作领导小组，建立了重大项目用地服务保障工作机制。同时，不断提高建设用地审批效率和质量，按照自然资源部“双随机、一公开”土地报征审件标准，制定了《广元市自然资源局建设用地智能报征审核办法》，在全市推行土地智能报征，实行网络系统不见面审批，报件人员交叉审件，提高报件质量，减少补正耗时，全年共报征44件次共11148.402亩，其中批次用地37件次6305.9070亩，单独选址项目7件次4842.495亩。三是增强矿产资源保障能力。制定了《广元市矿产资源总体规划(2021-2025年)》(送审稿)，并报市政府审查、省自然资源厅审批。市本级办结采矿权探矿权登记39件，上报省厅15件，全年实现采矿权出让收益31763万元，同比增长1500%。为重点项目保障砂石资源约1000万吨，有力支撑了广平高速、京昆高速绵广复线、绵万高速、西部建材家居城等重点建设项目需求。四是增强生态环境保障能力。率先启动绿色矿山建设，制定了《广元市绿色矿山建设指导意见》，对新出让矿山加强管控，要求业主单位严格按照绿色矿建标准实施建设。11家矿山已编制绿色矿山建设方案，正按时间节点积极推进，预计2022年10月完成绿色矿山建设。同时强化过程管理，督促矿山开发企业“边开采、边修复”，</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年共计修复605亩；累计完成了223个历史遗留矿山生态修复项目省级验收工作，面积6843.9亩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发了《第二轮省环保督察整改工作方案》和《迎接第二轮中央环保督察工作方案》，成立了整改工作专班，对存在问题的86家非煤矿山和142家石材加工小作坊建立了整改台账。非煤露天矿山台阶式开采和修复不到位问题基本规范，石材加工小作坊生态环境问题全部销号。按照市委市政府领导关于砖厂退城的要求，开展了市城区敏感区砖厂调查，提出了退出指导意见</w:t>
      </w:r>
      <w:r>
        <w:rPr>
          <w:rFonts w:hint="eastAsia" w:ascii="仿宋_GB2312" w:hAnsi="仿宋_GB2312" w:eastAsia="仿宋_GB2312" w:cs="仿宋_GB2312"/>
          <w:sz w:val="32"/>
          <w:szCs w:val="32"/>
          <w:lang w:eastAsia="zh-CN"/>
        </w:rPr>
        <w:t>。</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扎实推动“房地一体”农村不动产确权登记颁证工作攻坚行动。全面深化农村集体产权制度改革</w:t>
      </w:r>
      <w:r>
        <w:rPr>
          <w:rFonts w:hint="eastAsia" w:ascii="仿宋_GB2312" w:hAnsi="仿宋_GB2312" w:eastAsia="仿宋_GB2312" w:cs="仿宋_GB2312"/>
          <w:sz w:val="32"/>
          <w:szCs w:val="32"/>
          <w:lang w:eastAsia="zh-CN"/>
        </w:rPr>
        <w:t>总体</w:t>
      </w:r>
      <w:r>
        <w:rPr>
          <w:rFonts w:hint="eastAsia" w:ascii="仿宋_GB2312" w:hAnsi="仿宋_GB2312" w:eastAsia="仿宋_GB2312" w:cs="仿宋_GB2312"/>
          <w:sz w:val="32"/>
          <w:szCs w:val="32"/>
        </w:rPr>
        <w:t>要求，切实保障农民合法权益，全面完成所有县区房地一体的外业测绘和权属调查，并全部通过市级权籍调查阶段验收，及时向省厅汇交权籍数据，实现登记数据实时上传，涉及总宗地数共637529户，总面积9316.23公顷，完成新增农村“房地一体”登记172764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同时在各县区不动产登记大厅均设置农村不动产登记专窗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市“房地一体”颁证工作打下</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坚实基础。</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扎实推动“地灾防治全域综合整治三年行动”攻坚。认真贯彻落实习近平总书记关于防灾减灾救灾系列论述和重要指示批示精神，牢固树立“人民至上、生命至上”的防灾救灾理念。一是制定了《广元市地质灾害全域综合整治三</w:t>
      </w:r>
      <w:r>
        <w:rPr>
          <w:rFonts w:ascii="仿宋" w:hAnsi="仿宋" w:eastAsia="仿宋" w:cs="仿宋"/>
          <w:spacing w:val="6"/>
          <w:sz w:val="31"/>
          <w:szCs w:val="31"/>
        </w:rPr>
        <w:t>年行动</w:t>
      </w:r>
      <w:r>
        <w:rPr>
          <w:rFonts w:hint="eastAsia" w:ascii="仿宋_GB2312" w:hAnsi="仿宋_GB2312" w:eastAsia="仿宋_GB2312" w:cs="仿宋_GB2312"/>
          <w:sz w:val="32"/>
          <w:szCs w:val="32"/>
        </w:rPr>
        <w:t>计划(2021-2023年)任务分配方案(送审稿)》和《广元市地质灾害全域综合整治2021年度实施方案(送审稿)》，</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报市政府常务会议审议通过，以市政府办公室名义印发了《关于印发广元市地质灾害全域综合整治三年行动计划(2021-2023年)的通知》，全面部署了各县区地灾全域综合整治三年行动计划任务。二是学习借鉴先进经验。局分管领导带队赴自贡市学习考察地灾防治全域综合整治中的先进经验做法，制定了《关于加快推进地质灾害全域综合整治治理排危工程工作方案》，明确采取EPC方式实施地质灾害工程治理及排危除险工程。三是切实加强与市级相关部门的横向对接，积极争取财政部门支持，争取到2022年一般债券1.47亿元，用于地质灾害全域综合整治三年行动计划。</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扎实推动“国土空间规划”攻坚。立足自身职责，积极发挥自然资源“规划引领”作用。一是深入推进“三区三线”划定试点工作。市县(区)自然资源局均成立了领导小组，抽定专职工作</w:t>
      </w:r>
      <w:r>
        <w:rPr>
          <w:rFonts w:hint="eastAsia" w:ascii="仿宋_GB2312" w:hAnsi="仿宋_GB2312" w:eastAsia="仿宋_GB2312" w:cs="仿宋_GB2312"/>
          <w:sz w:val="32"/>
          <w:szCs w:val="32"/>
          <w:lang w:val="en-US" w:eastAsia="zh-CN"/>
        </w:rPr>
        <w:t>人员组成工作</w:t>
      </w:r>
      <w:r>
        <w:rPr>
          <w:rFonts w:hint="eastAsia" w:ascii="仿宋_GB2312" w:hAnsi="仿宋_GB2312" w:eastAsia="仿宋_GB2312" w:cs="仿宋_GB2312"/>
          <w:sz w:val="32"/>
          <w:szCs w:val="32"/>
        </w:rPr>
        <w:t>专班，制定了《广元市国土空间规划“三区三线”划定试点工作方案》和《工作任务清单》，进一步明确指导思想、工作任务和时间安排，提出了工作措施和要求，</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8月24-25日，国家“三区三线”试划调研组调研</w:t>
      </w:r>
      <w:r>
        <w:rPr>
          <w:rFonts w:hint="eastAsia" w:ascii="仿宋_GB2312" w:hAnsi="仿宋_GB2312" w:eastAsia="仿宋_GB2312" w:cs="仿宋_GB2312"/>
          <w:sz w:val="32"/>
          <w:szCs w:val="32"/>
          <w:lang w:val="en-US" w:eastAsia="zh-CN"/>
        </w:rPr>
        <w:t>广元</w:t>
      </w:r>
      <w:r>
        <w:rPr>
          <w:rFonts w:hint="eastAsia" w:ascii="仿宋_GB2312" w:hAnsi="仿宋_GB2312" w:eastAsia="仿宋_GB2312" w:cs="仿宋_GB2312"/>
          <w:sz w:val="32"/>
          <w:szCs w:val="32"/>
        </w:rPr>
        <w:t>市第一轮试划工作，给予了充分肯定。</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9月24日，第二轮试划成果通过省级质检，入库省级国土空间规划“一张图”。二是积极推进镇(村)国土空间规划编制试点工作。深度参与县域内片区划分，将全市国土空间规划编制技术力量作为片区划分的技术支撑，主动协调处理工作中的有关问题，全市共划分乡镇级片区33个(含城市片区1个)，村级片区439个，启动了8个片区乡镇(片区)国土空间总体规划编制试点。同时，推进“多规合一”实用性村规划编制试点。同时，按照市委、市政府决策部署，我局以“同步开展、统筹推进、分别编制”的原则，积极推动朝天曾家山片区与旺苍国华片区乡村国土空间规划统筹编制工作，。三是有序推进国土空间规划基础信息平台和“一张图”实施监督信息系统建设。严格按照政府采购相关规定开展了市级“一张图”项目采购工作，督促指导</w:t>
      </w:r>
      <w:r>
        <w:rPr>
          <w:rFonts w:hint="eastAsia" w:ascii="仿宋_GB2312" w:hAnsi="仿宋_GB2312" w:eastAsia="仿宋_GB2312" w:cs="仿宋_GB2312"/>
          <w:sz w:val="32"/>
          <w:szCs w:val="32"/>
          <w:lang w:val="en-US" w:eastAsia="zh-CN"/>
        </w:rPr>
        <w:t>县区</w:t>
      </w:r>
      <w:r>
        <w:rPr>
          <w:rFonts w:hint="eastAsia" w:ascii="仿宋_GB2312" w:hAnsi="仿宋_GB2312" w:eastAsia="仿宋_GB2312" w:cs="仿宋_GB2312"/>
          <w:sz w:val="32"/>
          <w:szCs w:val="32"/>
        </w:rPr>
        <w:t>落实了建设经费，组织市县两级根据国家的相关技术标准开展了项目建设工作，市级“一张图”项目于2021年7月22日开始上线试运行；县级“一张图”已完成框架搭建，即将试运行，确保与国土空间总体规划同步报批。</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扎实推动“违法处置”攻坚。严格贯彻落实部省“源头严防、过程严管、后果严惩”的总要求，以改革思维、创新理念、务实举措推进违建处置，提升自然资源执法监管水平，更加高效服务广元经济社会高质量发展。一是严格开展卫片执法监督检查。2021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自然资源部下发我市卫片执法图斑已全部完成核查填报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同时，已全部完成省厅下发自主监测卫片执法图斑的实地核实和填报。二是稳步推进农村乱占耕地建房问题整改攻坚。扎实开展农村乱占耕地建房问题摸排工作“回头看”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坚决遏制新增违法建房，印发了《关于遏制农村乱占耕地建房新增违法行为的通知》(广农房整治办〔2021〕4号)，再次对农村乱占耕地建房的责任及政策予以明确及强调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三是持续推进土地督察后续问题整改攻坚。2021年全市土地例行督察挂账问题需整改35个，共需还款5.237亿元。</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共还款4.501亿元，已整改13个问题，另22个问题正积极推进中。四是持续推进国务院大督查问题整改攻坚。制定了《迎接国务院第八次大督查工作方案》，成立了以局长为组长，其他党委成员为副组长，各部门负责人为成员的领导小组。通过</w:t>
      </w:r>
      <w:r>
        <w:rPr>
          <w:rFonts w:hint="eastAsia" w:ascii="仿宋_GB2312" w:hAnsi="仿宋_GB2312" w:eastAsia="仿宋_GB2312" w:cs="仿宋_GB2312"/>
          <w:sz w:val="32"/>
          <w:szCs w:val="32"/>
          <w:lang w:val="en-US" w:eastAsia="zh-CN"/>
        </w:rPr>
        <w:t>每</w:t>
      </w:r>
      <w:r>
        <w:rPr>
          <w:rFonts w:hint="eastAsia" w:ascii="仿宋_GB2312" w:hAnsi="仿宋_GB2312" w:eastAsia="仿宋_GB2312" w:cs="仿宋_GB2312"/>
          <w:sz w:val="32"/>
          <w:szCs w:val="32"/>
        </w:rPr>
        <w:t>半月向县区政府通报整改情况、向县区政府发提醒函等方式督促县区加强问题整改。五是全面纵深推进扫黑除恶常态化工作。成立常态化开展扫黑除恶工作领导小组，制定了相关工作方案，落实扫黑除恶斗争常态化及“砂霸”“矿霸”专项整治工作，与水利部门联合开展河道采砂整治，清退广元市境内重要河道沿岸无序违法开采活动，会同经信主管部门关停影响生态环境和存在安全隐患的砂石加工作坊，2021年我局被表彰为全省扫黑除恶专项斗争先进单位。六是积极推进规划领域综合执法改革。按照《中共广元市委机构编制委员会关于印发〈广元市自然资源综合行政执法支队职能配置、内设机构和人员编制规定〉的通知》(广编发〔2021〕33号)要求，主动承接并积极推动市主城区、经开区范围内规划执法工作，抽调人员充实到利州区自然资源综合行政执法大队和经开区事务中心的基础上，协调利州区政府协助开展违法建设巡查、案件查办工作。制定了《规划执法动态巡查工作制度》，明确巡查边界和职责，完善自然资源执法程序和案件审查制度。</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扎实推动“批而未供处置”攻坚。始终坚持以土地利用方式转变推动形成绿色发展方式和生活方式，积极盘活存量土地，促进节约集约用地。</w:t>
      </w:r>
      <w:r>
        <w:rPr>
          <w:rFonts w:hint="eastAsia"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rPr>
        <w:t>年处置批而未供土地13924.6亩、闲置土地1161.8亩，处置率分别达到24.91%、51.47%，超额完成省厅下达的任务，相应产生土地利用计划指标6510.2亩，有效保障了绵苍高速(广元段)、西二环延伸段道路工程、省区域应急救援广元基地等重点项目用地需求。</w:t>
      </w:r>
    </w:p>
    <w:p>
      <w:pPr>
        <w:rPr>
          <w:rFonts w:hint="eastAsia" w:ascii="黑体" w:hAnsi="黑体" w:eastAsia="黑体"/>
          <w:b w:val="0"/>
          <w:bCs/>
          <w:color w:val="auto"/>
          <w:highlight w:val="none"/>
        </w:rPr>
      </w:pPr>
      <w:bookmarkStart w:id="20" w:name="_Toc15396602"/>
      <w:bookmarkStart w:id="21" w:name="_Toc15377204"/>
      <w:r>
        <w:rPr>
          <w:rFonts w:hint="eastAsia" w:ascii="黑体" w:hAnsi="黑体" w:eastAsia="黑体"/>
          <w:b w:val="0"/>
          <w:bCs/>
          <w:color w:val="auto"/>
          <w:highlight w:val="none"/>
        </w:rPr>
        <w:br w:type="page"/>
      </w:r>
    </w:p>
    <w:p>
      <w:pPr>
        <w:pStyle w:val="3"/>
        <w:pageBreakBefore w:val="0"/>
        <w:kinsoku/>
        <w:wordWrap/>
        <w:overflowPunct/>
        <w:topLinePunct w:val="0"/>
        <w:bidi w:val="0"/>
        <w:spacing w:before="0" w:after="0" w:line="576" w:lineRule="exact"/>
        <w:ind w:left="0" w:leftChars="0" w:right="0"/>
        <w:jc w:val="center"/>
        <w:textAlignment w:val="auto"/>
        <w:rPr>
          <w:rStyle w:val="16"/>
          <w:rFonts w:ascii="黑体" w:hAnsi="黑体" w:eastAsia="黑体"/>
          <w:b w:val="0"/>
          <w:bCs/>
          <w:color w:val="auto"/>
          <w:highlight w:val="none"/>
        </w:rPr>
      </w:pPr>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2021年度单位</w:t>
      </w:r>
      <w:r>
        <w:rPr>
          <w:rStyle w:val="16"/>
          <w:rFonts w:hint="eastAsia" w:ascii="黑体" w:hAnsi="黑体" w:eastAsia="黑体"/>
          <w:b w:val="0"/>
          <w:bCs/>
          <w:color w:val="auto"/>
          <w:highlight w:val="none"/>
        </w:rPr>
        <w:t>决算情况说明</w:t>
      </w:r>
      <w:bookmarkEnd w:id="20"/>
      <w:bookmarkEnd w:id="21"/>
    </w:p>
    <w:p>
      <w:pPr>
        <w:pageBreakBefore w:val="0"/>
        <w:kinsoku/>
        <w:wordWrap/>
        <w:overflowPunct/>
        <w:topLinePunct w:val="0"/>
        <w:bidi w:val="0"/>
        <w:spacing w:line="576" w:lineRule="exact"/>
        <w:ind w:left="0" w:leftChars="0" w:right="0"/>
        <w:textAlignment w:val="auto"/>
        <w:rPr>
          <w:color w:val="auto"/>
          <w:highlight w:val="none"/>
        </w:rPr>
      </w:pPr>
    </w:p>
    <w:p>
      <w:pPr>
        <w:keepNext w:val="0"/>
        <w:keepLines w:val="0"/>
        <w:pageBreakBefore w:val="0"/>
        <w:kinsoku/>
        <w:wordWrap/>
        <w:overflowPunct/>
        <w:topLinePunct w:val="0"/>
        <w:bidi w:val="0"/>
        <w:snapToGrid/>
        <w:spacing w:line="576" w:lineRule="exact"/>
        <w:ind w:left="0" w:leftChars="0" w:right="0" w:firstLine="640" w:firstLineChars="200"/>
        <w:textAlignment w:val="auto"/>
        <w:outlineLvl w:val="1"/>
        <w:rPr>
          <w:rFonts w:hint="eastAsia" w:ascii="黑体" w:hAnsi="黑体" w:eastAsia="黑体"/>
          <w:color w:val="auto"/>
          <w:sz w:val="32"/>
          <w:szCs w:val="32"/>
          <w:highlight w:val="none"/>
        </w:rPr>
      </w:pPr>
      <w:bookmarkStart w:id="22" w:name="_Toc15396603"/>
      <w:bookmarkStart w:id="23"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收入支出决算总体情况说明</w:t>
      </w:r>
      <w:bookmarkEnd w:id="22"/>
      <w:bookmarkEnd w:id="23"/>
    </w:p>
    <w:p>
      <w:pPr>
        <w:keepNext w:val="0"/>
        <w:keepLines w:val="0"/>
        <w:pageBreakBefore w:val="0"/>
        <w:widowControl/>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6971.24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689.63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一是基金预算项目和其他收入减少，二</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000000"/>
          <w:sz w:val="32"/>
          <w:szCs w:val="32"/>
        </w:rPr>
        <w:t>严格控制经费，压缩各项支出。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color w:val="auto"/>
          <w:sz w:val="32"/>
          <w:szCs w:val="32"/>
          <w:highlight w:val="none"/>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kinsoku/>
        <w:wordWrap/>
        <w:overflowPunct/>
        <w:topLinePunct w:val="0"/>
        <w:bidi w:val="0"/>
        <w:snapToGrid/>
        <w:spacing w:line="576" w:lineRule="exact"/>
        <w:ind w:left="0" w:leftChars="0" w:right="0" w:firstLine="640" w:firstLineChars="200"/>
        <w:textAlignment w:val="auto"/>
        <w:outlineLvl w:val="1"/>
        <w:rPr>
          <w:rFonts w:hint="eastAsia" w:ascii="黑体" w:hAnsi="黑体" w:eastAsia="黑体"/>
          <w:color w:val="auto"/>
          <w:sz w:val="32"/>
          <w:szCs w:val="32"/>
          <w:highlight w:val="none"/>
        </w:rPr>
      </w:pPr>
      <w:bookmarkStart w:id="24" w:name="_Toc15396604"/>
      <w:bookmarkStart w:id="25" w:name="_Toc15377206"/>
      <w:r>
        <w:rPr>
          <w:rFonts w:hint="eastAsia" w:ascii="黑体" w:hAnsi="黑体" w:eastAsia="黑体"/>
          <w:color w:val="auto"/>
          <w:sz w:val="32"/>
          <w:szCs w:val="32"/>
          <w:highlight w:val="none"/>
          <w:lang w:eastAsia="zh-CN"/>
        </w:rPr>
        <w:t>二、</w:t>
      </w:r>
      <w:bookmarkStart w:id="26" w:name="OLE_LINK1"/>
      <w:r>
        <w:rPr>
          <w:rFonts w:hint="eastAsia" w:ascii="黑体" w:hAnsi="黑体" w:eastAsia="黑体"/>
          <w:color w:val="auto"/>
          <w:sz w:val="32"/>
          <w:szCs w:val="32"/>
          <w:highlight w:val="none"/>
        </w:rPr>
        <w:t>收入</w:t>
      </w:r>
      <w:bookmarkEnd w:id="26"/>
      <w:r>
        <w:rPr>
          <w:rFonts w:hint="eastAsia" w:ascii="黑体" w:hAnsi="黑体" w:eastAsia="黑体"/>
          <w:color w:val="auto"/>
          <w:sz w:val="32"/>
          <w:szCs w:val="32"/>
          <w:highlight w:val="none"/>
        </w:rPr>
        <w:t>决算情况说明</w:t>
      </w:r>
      <w:bookmarkEnd w:id="24"/>
      <w:bookmarkEnd w:id="25"/>
    </w:p>
    <w:p>
      <w:pPr>
        <w:keepNext w:val="0"/>
        <w:keepLines w:val="0"/>
        <w:pageBreakBefore w:val="0"/>
        <w:widowControl/>
        <w:kinsoku/>
        <w:wordWrap/>
        <w:overflowPunct/>
        <w:topLinePunct w:val="0"/>
        <w:bidi w:val="0"/>
        <w:snapToGrid/>
        <w:spacing w:line="576" w:lineRule="exact"/>
        <w:ind w:left="0" w:leftChars="0" w:right="0" w:firstLine="640" w:firstLineChars="200"/>
        <w:jc w:val="left"/>
        <w:textAlignment w:val="auto"/>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5496.47</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1459.68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26.56</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4023.26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73.19</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13.53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0.25</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pPr>
      <w:r>
        <w:drawing>
          <wp:inline distT="0" distB="0" distL="114300" distR="114300">
            <wp:extent cx="4572000" cy="2876550"/>
            <wp:effectExtent l="4445" t="4445" r="14605" b="1460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kinsoku/>
        <w:wordWrap/>
        <w:overflowPunct/>
        <w:topLinePunct w:val="0"/>
        <w:bidi w:val="0"/>
        <w:snapToGrid/>
        <w:spacing w:line="576" w:lineRule="exact"/>
        <w:ind w:left="0" w:leftChars="0" w:right="0" w:firstLine="640" w:firstLineChars="200"/>
        <w:textAlignment w:val="auto"/>
        <w:outlineLvl w:val="1"/>
        <w:rPr>
          <w:rFonts w:hint="eastAsia" w:ascii="黑体" w:hAnsi="黑体" w:eastAsia="黑体"/>
          <w:color w:val="auto"/>
          <w:sz w:val="32"/>
          <w:szCs w:val="32"/>
          <w:highlight w:val="none"/>
        </w:rPr>
      </w:pPr>
      <w:bookmarkStart w:id="27" w:name="_Toc15396605"/>
      <w:bookmarkStart w:id="28"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支出决算情况说明</w:t>
      </w:r>
      <w:bookmarkEnd w:id="27"/>
      <w:bookmarkEnd w:id="28"/>
    </w:p>
    <w:p>
      <w:pPr>
        <w:keepNext w:val="0"/>
        <w:keepLines w:val="0"/>
        <w:pageBreakBefore w:val="0"/>
        <w:widowControl/>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5959.27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1191.42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4767.85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rPr>
      </w:pPr>
      <w:r>
        <w:drawing>
          <wp:inline distT="0" distB="0" distL="114300" distR="114300">
            <wp:extent cx="4572000" cy="2743200"/>
            <wp:effectExtent l="4445" t="4445" r="14605" b="1460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textAlignment w:val="auto"/>
        <w:outlineLvl w:val="1"/>
        <w:rPr>
          <w:rStyle w:val="17"/>
          <w:rFonts w:ascii="黑体" w:hAnsi="黑体" w:eastAsia="黑体"/>
          <w:b w:val="0"/>
          <w:color w:val="auto"/>
          <w:highlight w:val="none"/>
        </w:rPr>
      </w:pPr>
      <w:bookmarkStart w:id="29" w:name="_Toc15377208"/>
      <w:bookmarkStart w:id="30" w:name="_Toc15396606"/>
      <w:r>
        <w:rPr>
          <w:rFonts w:hint="eastAsia" w:ascii="黑体" w:hAnsi="黑体" w:eastAsia="黑体"/>
          <w:color w:val="auto"/>
          <w:sz w:val="32"/>
          <w:szCs w:val="32"/>
          <w:highlight w:val="none"/>
        </w:rPr>
        <w:t>四、财</w:t>
      </w:r>
      <w:r>
        <w:rPr>
          <w:rStyle w:val="17"/>
          <w:rFonts w:hint="eastAsia" w:ascii="黑体" w:hAnsi="黑体" w:eastAsia="黑体"/>
          <w:b w:val="0"/>
          <w:color w:val="auto"/>
          <w:highlight w:val="none"/>
        </w:rPr>
        <w:t>政拨款收入支出决算总体情况说明</w:t>
      </w:r>
      <w:bookmarkEnd w:id="29"/>
      <w:bookmarkEnd w:id="30"/>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6661.11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w:t>
      </w:r>
      <w:r>
        <w:rPr>
          <w:rFonts w:hint="eastAsia" w:ascii="仿宋_GB2312" w:hAnsi="仿宋_GB2312" w:eastAsia="仿宋_GB2312" w:cs="仿宋_GB2312"/>
          <w:color w:val="auto"/>
          <w:sz w:val="32"/>
          <w:szCs w:val="32"/>
          <w:highlight w:val="none"/>
          <w:lang w:val="en-US" w:eastAsia="zh-CN"/>
        </w:rPr>
        <w:t>减少636.69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下降8.72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2021年度基金预算拨款减少。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pPr>
      <w:r>
        <w:drawing>
          <wp:inline distT="0" distB="0" distL="114300" distR="114300">
            <wp:extent cx="4500880" cy="2550795"/>
            <wp:effectExtent l="4445" t="5080" r="9525" b="1587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kinsoku/>
        <w:wordWrap/>
        <w:overflowPunct/>
        <w:topLinePunct w:val="0"/>
        <w:bidi w:val="0"/>
        <w:snapToGrid/>
        <w:spacing w:line="576" w:lineRule="exact"/>
        <w:ind w:left="0" w:leftChars="0" w:right="0" w:firstLine="640" w:firstLineChars="200"/>
        <w:textAlignment w:val="auto"/>
        <w:outlineLvl w:val="1"/>
        <w:rPr>
          <w:rStyle w:val="17"/>
          <w:rFonts w:ascii="黑体" w:hAnsi="黑体" w:eastAsia="黑体"/>
          <w:b w:val="0"/>
          <w:color w:val="auto"/>
          <w:highlight w:val="none"/>
        </w:rPr>
      </w:pPr>
      <w:bookmarkStart w:id="31" w:name="_Toc15377209"/>
      <w:bookmarkStart w:id="32"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般公共预算财政拨款支出决算情况说明</w:t>
      </w:r>
      <w:bookmarkEnd w:id="31"/>
      <w:bookmarkEnd w:id="32"/>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楷体_GB2312" w:hAnsi="楷体_GB2312" w:eastAsia="楷体_GB2312" w:cs="楷体_GB2312"/>
          <w:color w:val="auto"/>
          <w:sz w:val="32"/>
          <w:szCs w:val="32"/>
          <w:highlight w:val="none"/>
        </w:rPr>
      </w:pPr>
      <w:bookmarkStart w:id="33" w:name="_Toc15377210"/>
      <w:r>
        <w:rPr>
          <w:rFonts w:hint="eastAsia" w:ascii="楷体_GB2312" w:hAnsi="楷体_GB2312" w:eastAsia="楷体_GB2312" w:cs="楷体_GB2312"/>
          <w:color w:val="auto"/>
          <w:sz w:val="32"/>
          <w:szCs w:val="32"/>
          <w:highlight w:val="none"/>
        </w:rPr>
        <w:t>（一）一般公共预算财政拨款支出决算总体情况</w:t>
      </w:r>
      <w:bookmarkEnd w:id="33"/>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1821.46</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27.34</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增加573.42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45.94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一是2021年我局部分职能职责增加，市城管局划转6人入我局，人员及公用支出增加。二是项目经费增加。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rPr>
      </w:pPr>
      <w:bookmarkStart w:id="34" w:name="_Toc15377211"/>
      <w:r>
        <w:drawing>
          <wp:inline distT="0" distB="0" distL="114300" distR="114300">
            <wp:extent cx="4248150" cy="2510790"/>
            <wp:effectExtent l="4445" t="4445" r="14605" b="18415"/>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（二）一般公共预算财政拨款支出决算结构情况</w:t>
      </w:r>
      <w:bookmarkEnd w:id="34"/>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1821.46</w:t>
      </w:r>
      <w:r>
        <w:rPr>
          <w:rFonts w:hint="eastAsia" w:ascii="仿宋_GB2312" w:hAnsi="仿宋_GB2312" w:eastAsia="仿宋_GB2312" w:cs="仿宋_GB2312"/>
          <w:color w:val="auto"/>
          <w:sz w:val="32"/>
          <w:szCs w:val="32"/>
          <w:highlight w:val="none"/>
        </w:rPr>
        <w:t>万元，主要用于以下方面:社会保障和就业（类）支出</w:t>
      </w:r>
      <w:r>
        <w:rPr>
          <w:rFonts w:hint="eastAsia" w:ascii="仿宋_GB2312" w:hAnsi="仿宋_GB2312" w:eastAsia="仿宋_GB2312" w:cs="仿宋_GB2312"/>
          <w:color w:val="auto"/>
          <w:sz w:val="32"/>
          <w:szCs w:val="32"/>
          <w:highlight w:val="none"/>
          <w:lang w:val="en-US" w:eastAsia="zh-CN"/>
        </w:rPr>
        <w:t>137.19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7.53</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39.28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2.16</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126.48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6.94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自然资源海洋气象等支出1468.5万元，占80.62%；其他支出50.00万元，占2.75%。</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lang w:val="en-US" w:eastAsia="zh-CN"/>
        </w:rPr>
      </w:pPr>
      <w:r>
        <w:drawing>
          <wp:inline distT="0" distB="0" distL="114300" distR="114300">
            <wp:extent cx="5614670" cy="3108960"/>
            <wp:effectExtent l="4445" t="4445" r="19685" b="10795"/>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楷体_GB2312" w:hAnsi="楷体_GB2312" w:eastAsia="楷体_GB2312" w:cs="楷体_GB2312"/>
          <w:color w:val="auto"/>
          <w:sz w:val="32"/>
          <w:szCs w:val="32"/>
          <w:highlight w:val="none"/>
        </w:rPr>
      </w:pPr>
      <w:bookmarkStart w:id="35" w:name="_Toc15377212"/>
      <w:r>
        <w:rPr>
          <w:rFonts w:hint="eastAsia" w:ascii="楷体_GB2312" w:hAnsi="楷体_GB2312" w:eastAsia="楷体_GB2312" w:cs="楷体_GB2312"/>
          <w:color w:val="auto"/>
          <w:sz w:val="32"/>
          <w:szCs w:val="32"/>
          <w:highlight w:val="none"/>
        </w:rPr>
        <w:t>（三）一般公共预算财政拨款支出决算具体情况</w:t>
      </w:r>
      <w:bookmarkEnd w:id="35"/>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bookmarkStart w:id="36" w:name="_Toc15377213"/>
      <w:bookmarkStart w:id="37" w:name="_Toc15377444"/>
      <w:bookmarkStart w:id="38" w:name="_Toc15378460"/>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般公共预算支出决算数为</w:t>
      </w:r>
      <w:r>
        <w:rPr>
          <w:rFonts w:hint="eastAsia" w:ascii="仿宋_GB2312" w:hAnsi="仿宋_GB2312" w:eastAsia="仿宋_GB2312" w:cs="仿宋_GB2312"/>
          <w:color w:val="auto"/>
          <w:sz w:val="32"/>
          <w:szCs w:val="32"/>
          <w:highlight w:val="none"/>
          <w:lang w:val="en-US" w:eastAsia="zh-CN"/>
        </w:rPr>
        <w:t>1821.46</w:t>
      </w:r>
      <w:r>
        <w:rPr>
          <w:rFonts w:hint="eastAsia" w:ascii="仿宋_GB2312" w:hAnsi="仿宋_GB2312" w:eastAsia="仿宋_GB2312" w:cs="仿宋_GB2312"/>
          <w:color w:val="auto"/>
          <w:sz w:val="32"/>
          <w:szCs w:val="32"/>
          <w:highlight w:val="none"/>
        </w:rPr>
        <w:t>，完成预算</w:t>
      </w:r>
      <w:r>
        <w:rPr>
          <w:rFonts w:hint="eastAsia" w:ascii="仿宋_GB2312" w:hAnsi="仿宋_GB2312" w:eastAsia="仿宋_GB2312" w:cs="仿宋_GB2312"/>
          <w:color w:val="auto"/>
          <w:sz w:val="32"/>
          <w:szCs w:val="32"/>
          <w:highlight w:val="none"/>
          <w:lang w:val="en-US" w:eastAsia="zh-CN"/>
        </w:rPr>
        <w:t>89.17</w:t>
      </w:r>
      <w:r>
        <w:rPr>
          <w:rFonts w:hint="eastAsia" w:ascii="仿宋_GB2312" w:hAnsi="仿宋_GB2312" w:eastAsia="仿宋_GB2312" w:cs="仿宋_GB2312"/>
          <w:color w:val="auto"/>
          <w:sz w:val="32"/>
          <w:szCs w:val="32"/>
          <w:highlight w:val="none"/>
        </w:rPr>
        <w:t>%。其中：</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社会保障和就业（类）</w:t>
      </w:r>
      <w:r>
        <w:rPr>
          <w:rFonts w:hint="eastAsia" w:ascii="仿宋_GB2312" w:hAnsi="仿宋_GB2312" w:eastAsia="仿宋_GB2312" w:cs="仿宋_GB2312"/>
          <w:color w:val="auto"/>
          <w:sz w:val="32"/>
          <w:szCs w:val="32"/>
          <w:highlight w:val="none"/>
          <w:lang w:val="en-US" w:eastAsia="zh-CN"/>
        </w:rPr>
        <w:t>人力资源和社会保障管理事务</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其他人力资源和社会保障管理事务</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支出决算数为11.55万元，完成预算的100%。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.社会保障和就业（类）行政事业单位离退休（款）机关事业单位基本养老保险缴费支出（项）:支出决算</w:t>
      </w:r>
      <w:r>
        <w:rPr>
          <w:rFonts w:hint="eastAsia" w:ascii="仿宋_GB2312" w:hAnsi="仿宋_GB2312" w:eastAsia="仿宋_GB2312" w:cs="仿宋_GB2312"/>
          <w:color w:val="auto"/>
          <w:sz w:val="32"/>
          <w:szCs w:val="32"/>
          <w:highlight w:val="none"/>
          <w:lang w:val="en-US" w:eastAsia="zh-CN"/>
        </w:rPr>
        <w:t>数为73.25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.社会保障和就业（类）行政事业单位离退休（款）机关事业单位职业年金缴费支出（项）:支出决算</w:t>
      </w:r>
      <w:r>
        <w:rPr>
          <w:rFonts w:hint="eastAsia" w:ascii="仿宋_GB2312" w:hAnsi="仿宋_GB2312" w:eastAsia="仿宋_GB2312" w:cs="仿宋_GB2312"/>
          <w:color w:val="auto"/>
          <w:sz w:val="32"/>
          <w:szCs w:val="32"/>
          <w:highlight w:val="none"/>
          <w:lang w:val="en-US" w:eastAsia="zh-CN"/>
        </w:rPr>
        <w:t>数为26.01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社会保障和就业（类）</w:t>
      </w:r>
      <w:r>
        <w:rPr>
          <w:rFonts w:hint="eastAsia" w:ascii="仿宋_GB2312" w:hAnsi="仿宋_GB2312" w:eastAsia="仿宋_GB2312" w:cs="仿宋_GB2312"/>
          <w:color w:val="auto"/>
          <w:sz w:val="32"/>
          <w:szCs w:val="32"/>
          <w:highlight w:val="none"/>
          <w:lang w:val="en-US" w:eastAsia="zh-CN"/>
        </w:rPr>
        <w:t>其他社会保障和就业支出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其他社会保障和就业支出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支出决算数为26.38万元，完成预算的100%。</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.卫生健康（类）行政事业单位医疗（款）行政单位医疗（项）:支出决算</w:t>
      </w:r>
      <w:r>
        <w:rPr>
          <w:rFonts w:hint="eastAsia" w:ascii="仿宋_GB2312" w:hAnsi="仿宋_GB2312" w:eastAsia="仿宋_GB2312" w:cs="仿宋_GB2312"/>
          <w:color w:val="auto"/>
          <w:sz w:val="32"/>
          <w:szCs w:val="32"/>
          <w:highlight w:val="none"/>
          <w:lang w:val="en-US" w:eastAsia="zh-CN"/>
        </w:rPr>
        <w:t>数为39.28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.自然资源海洋气象等支出（类）自然资源事务（款）行政运行(项）：支出决算数</w:t>
      </w:r>
      <w:r>
        <w:rPr>
          <w:rFonts w:hint="eastAsia" w:ascii="仿宋_GB2312" w:hAnsi="仿宋_GB2312" w:eastAsia="仿宋_GB2312" w:cs="仿宋_GB2312"/>
          <w:color w:val="auto"/>
          <w:sz w:val="32"/>
          <w:szCs w:val="32"/>
          <w:highlight w:val="none"/>
          <w:lang w:val="en-US" w:eastAsia="zh-CN"/>
        </w:rPr>
        <w:t>为879.56</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的82.7</w:t>
      </w:r>
      <w:r>
        <w:rPr>
          <w:rFonts w:hint="eastAsia" w:ascii="仿宋_GB2312" w:hAnsi="仿宋_GB2312" w:eastAsia="仿宋_GB2312" w:cs="仿宋_GB2312"/>
          <w:color w:val="auto"/>
          <w:sz w:val="32"/>
          <w:szCs w:val="32"/>
          <w:highlight w:val="none"/>
        </w:rPr>
        <w:t>%，决算数小于预算数主要原因</w:t>
      </w:r>
      <w:r>
        <w:rPr>
          <w:rFonts w:hint="eastAsia" w:ascii="仿宋_GB2312" w:hAnsi="仿宋_GB2312" w:eastAsia="仿宋_GB2312" w:cs="仿宋_GB2312"/>
          <w:color w:val="auto"/>
          <w:sz w:val="32"/>
          <w:szCs w:val="32"/>
          <w:highlight w:val="none"/>
          <w:lang w:val="en-US" w:eastAsia="zh-CN"/>
        </w:rPr>
        <w:t>一是年初有结转经费，二是</w:t>
      </w:r>
      <w:r>
        <w:rPr>
          <w:rFonts w:hint="eastAsia" w:ascii="仿宋_GB2312" w:hAnsi="仿宋_GB2312" w:eastAsia="仿宋_GB2312" w:cs="仿宋_GB2312"/>
          <w:color w:val="auto"/>
          <w:sz w:val="32"/>
          <w:szCs w:val="32"/>
          <w:highlight w:val="none"/>
        </w:rPr>
        <w:t>严格控制经费，压缩各项</w:t>
      </w:r>
      <w:r>
        <w:rPr>
          <w:rFonts w:hint="eastAsia" w:ascii="仿宋_GB2312" w:hAnsi="仿宋_GB2312" w:eastAsia="仿宋_GB2312" w:cs="仿宋_GB2312"/>
          <w:color w:val="auto"/>
          <w:sz w:val="32"/>
          <w:szCs w:val="32"/>
          <w:highlight w:val="none"/>
          <w:lang w:val="en-US" w:eastAsia="zh-CN"/>
        </w:rPr>
        <w:t>开支</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.自然资源海洋气象等支出（类）自然资源事务（款）自然资源利用与保护（项）：支出决算数</w:t>
      </w:r>
      <w:r>
        <w:rPr>
          <w:rFonts w:hint="eastAsia" w:ascii="仿宋_GB2312" w:hAnsi="仿宋_GB2312" w:eastAsia="仿宋_GB2312" w:cs="仿宋_GB2312"/>
          <w:color w:val="auto"/>
          <w:sz w:val="32"/>
          <w:szCs w:val="32"/>
          <w:highlight w:val="none"/>
          <w:lang w:val="en-US" w:eastAsia="zh-CN"/>
        </w:rPr>
        <w:t>为19.94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.自然资源海洋气象等支出（类）自然资源事务（款）</w:t>
      </w:r>
      <w:r>
        <w:rPr>
          <w:rFonts w:hint="eastAsia" w:ascii="仿宋_GB2312" w:hAnsi="仿宋_GB2312" w:eastAsia="仿宋_GB2312" w:cs="仿宋_GB2312"/>
          <w:color w:val="auto"/>
          <w:sz w:val="32"/>
          <w:szCs w:val="32"/>
          <w:highlight w:val="none"/>
          <w:lang w:val="en-US" w:eastAsia="zh-CN"/>
        </w:rPr>
        <w:t>自然资源调查与确权登记</w:t>
      </w:r>
      <w:r>
        <w:rPr>
          <w:rFonts w:hint="eastAsia" w:ascii="仿宋_GB2312" w:hAnsi="仿宋_GB2312" w:eastAsia="仿宋_GB2312" w:cs="仿宋_GB2312"/>
          <w:color w:val="auto"/>
          <w:sz w:val="32"/>
          <w:szCs w:val="32"/>
          <w:highlight w:val="none"/>
        </w:rPr>
        <w:t>（项）：支出决算数</w:t>
      </w:r>
      <w:r>
        <w:rPr>
          <w:rFonts w:hint="eastAsia" w:ascii="仿宋_GB2312" w:hAnsi="仿宋_GB2312" w:eastAsia="仿宋_GB2312" w:cs="仿宋_GB2312"/>
          <w:color w:val="auto"/>
          <w:sz w:val="32"/>
          <w:szCs w:val="32"/>
          <w:highlight w:val="none"/>
          <w:lang w:val="en-US" w:eastAsia="zh-CN"/>
        </w:rPr>
        <w:t>为12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自然资源海洋气象等支出（类）自然资源事务（款）地质勘察与矿产资源管理（项）：</w:t>
      </w:r>
      <w:r>
        <w:rPr>
          <w:rFonts w:hint="eastAsia" w:ascii="仿宋_GB2312" w:hAnsi="仿宋_GB2312" w:eastAsia="仿宋_GB2312" w:cs="仿宋_GB2312"/>
          <w:color w:val="auto"/>
          <w:sz w:val="32"/>
          <w:szCs w:val="32"/>
          <w:highlight w:val="none"/>
          <w:lang w:val="en-US" w:eastAsia="zh-CN"/>
        </w:rPr>
        <w:t>支出决算数为105.76，完成预算的100%。</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自然资源海洋气象等支出（类）自然资源事务（款）</w:t>
      </w:r>
      <w:r>
        <w:rPr>
          <w:rFonts w:hint="eastAsia" w:ascii="仿宋_GB2312" w:hAnsi="仿宋_GB2312" w:eastAsia="仿宋_GB2312" w:cs="仿宋_GB2312"/>
          <w:color w:val="auto"/>
          <w:sz w:val="32"/>
          <w:szCs w:val="32"/>
          <w:highlight w:val="none"/>
          <w:lang w:val="en-US" w:eastAsia="zh-CN"/>
        </w:rPr>
        <w:t>基础测绘与地理信息监管</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决算数为93万元，完成预算的98.54%，决算数小于预算数的原因是预算数是94.37万元，招投标数为93万元，余1.37万元财政2022年度收回。</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.自然资源海洋气象等支出（类）自然资源事务（款）其他自然资源事务（项）：支出决算数</w:t>
      </w:r>
      <w:r>
        <w:rPr>
          <w:rFonts w:hint="eastAsia" w:ascii="仿宋_GB2312" w:hAnsi="仿宋_GB2312" w:eastAsia="仿宋_GB2312" w:cs="仿宋_GB2312"/>
          <w:color w:val="auto"/>
          <w:sz w:val="32"/>
          <w:szCs w:val="32"/>
          <w:highlight w:val="none"/>
          <w:lang w:val="en-US" w:eastAsia="zh-CN"/>
        </w:rPr>
        <w:t>为358.24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.住房保障（类）住房改革（款）住房公积金（项）:支出决算</w:t>
      </w:r>
      <w:r>
        <w:rPr>
          <w:rFonts w:hint="eastAsia" w:ascii="仿宋_GB2312" w:hAnsi="仿宋_GB2312" w:eastAsia="仿宋_GB2312" w:cs="仿宋_GB2312"/>
          <w:color w:val="auto"/>
          <w:sz w:val="32"/>
          <w:szCs w:val="32"/>
          <w:highlight w:val="none"/>
          <w:lang w:val="en-US" w:eastAsia="zh-CN"/>
        </w:rPr>
        <w:t>数</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102.48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.住房保障（类）住房改革（款）购房补贴（项）：支出决算数</w:t>
      </w:r>
      <w:r>
        <w:rPr>
          <w:rFonts w:hint="eastAsia" w:ascii="仿宋_GB2312" w:hAnsi="仿宋_GB2312" w:eastAsia="仿宋_GB2312" w:cs="仿宋_GB2312"/>
          <w:color w:val="auto"/>
          <w:sz w:val="32"/>
          <w:szCs w:val="32"/>
          <w:highlight w:val="none"/>
          <w:lang w:val="en-US" w:eastAsia="zh-CN"/>
        </w:rPr>
        <w:t>为24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14.其他支出</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其他支出</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val="en-US" w:eastAsia="zh-CN"/>
        </w:rPr>
        <w:t>其他支出</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决算数为50万元，完成预算的100%。</w:t>
      </w:r>
    </w:p>
    <w:p>
      <w:pPr>
        <w:keepNext w:val="0"/>
        <w:keepLines w:val="0"/>
        <w:pageBreakBefore w:val="0"/>
        <w:widowControl w:val="0"/>
        <w:tabs>
          <w:tab w:val="right" w:pos="8306"/>
        </w:tabs>
        <w:kinsoku/>
        <w:wordWrap/>
        <w:overflowPunct/>
        <w:topLinePunct w:val="0"/>
        <w:bidi w:val="0"/>
        <w:snapToGrid/>
        <w:spacing w:line="576" w:lineRule="exact"/>
        <w:ind w:left="0" w:leftChars="0" w:right="0" w:firstLine="640" w:firstLineChars="200"/>
        <w:textAlignment w:val="auto"/>
        <w:outlineLvl w:val="1"/>
        <w:rPr>
          <w:rStyle w:val="17"/>
          <w:color w:val="auto"/>
          <w:highlight w:val="none"/>
        </w:rPr>
      </w:pPr>
      <w:bookmarkStart w:id="39" w:name="_Toc15396608"/>
      <w:bookmarkStart w:id="40"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39"/>
      <w:bookmarkEnd w:id="40"/>
      <w:r>
        <w:rPr>
          <w:rStyle w:val="17"/>
          <w:rFonts w:ascii="黑体" w:hAnsi="黑体" w:eastAsia="黑体"/>
          <w:b w:val="0"/>
          <w:color w:val="auto"/>
          <w:highlight w:val="none"/>
        </w:rPr>
        <w:tab/>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1182.52</w:t>
      </w:r>
      <w:r>
        <w:rPr>
          <w:rFonts w:hint="eastAsia"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965.53</w:t>
      </w:r>
      <w:r>
        <w:rPr>
          <w:rFonts w:hint="eastAsia" w:ascii="仿宋_GB2312" w:hAnsi="仿宋_GB2312" w:eastAsia="仿宋_GB2312" w:cs="仿宋_GB2312"/>
          <w:color w:val="auto"/>
          <w:sz w:val="32"/>
          <w:szCs w:val="32"/>
          <w:highlight w:val="none"/>
        </w:rPr>
        <w:t>万元，主要包括：基本工资、津贴补贴、奖金、机关事业单位基本养老保险缴费、职业年金缴费、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其他社会保障缴费、其他工资福利支出、生活补助、住房公积金等。</w:t>
      </w:r>
    </w:p>
    <w:p>
      <w:pPr>
        <w:pStyle w:val="2"/>
        <w:rPr>
          <w:rFonts w:hint="eastAsia"/>
          <w:lang w:eastAsia="zh-CN"/>
        </w:rPr>
      </w:pP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216.99</w:t>
      </w:r>
      <w:r>
        <w:rPr>
          <w:rFonts w:hint="eastAsia" w:ascii="仿宋_GB2312" w:hAnsi="仿宋_GB2312" w:eastAsia="仿宋_GB2312" w:cs="仿宋_GB2312"/>
          <w:color w:val="auto"/>
          <w:sz w:val="32"/>
          <w:szCs w:val="32"/>
          <w:highlight w:val="none"/>
        </w:rPr>
        <w:t>万元，主要包括：办公费、印刷费、手续费、水费、电费、邮电费、物业管理费、差旅费、租赁费、会议费、培训费、公务接待费、劳务费、工会经费、福利费、公务用车运行维护费、其他交通费、其他商品和服务支出</w:t>
      </w:r>
      <w:r>
        <w:rPr>
          <w:rFonts w:hint="eastAsia" w:ascii="仿宋_GB2312" w:hAnsi="仿宋_GB2312" w:eastAsia="仿宋_GB2312" w:cs="仿宋_GB2312"/>
          <w:color w:val="auto"/>
          <w:sz w:val="32"/>
          <w:szCs w:val="32"/>
          <w:highlight w:val="none"/>
          <w:lang w:eastAsia="zh-CN"/>
        </w:rPr>
        <w:t>。</w:t>
      </w:r>
    </w:p>
    <w:p>
      <w:pPr>
        <w:pStyle w:val="2"/>
        <w:rPr>
          <w:rFonts w:hint="eastAsia"/>
          <w:lang w:eastAsia="zh-CN"/>
        </w:rPr>
      </w:pP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1"/>
        <w:rPr>
          <w:rStyle w:val="17"/>
          <w:rFonts w:ascii="黑体" w:hAnsi="黑体" w:eastAsia="黑体"/>
          <w:b w:val="0"/>
          <w:color w:val="auto"/>
          <w:highlight w:val="none"/>
        </w:rPr>
      </w:pPr>
      <w:bookmarkStart w:id="41" w:name="_Toc15377215"/>
      <w:bookmarkStart w:id="42" w:name="_Toc15396609"/>
      <w:r>
        <w:rPr>
          <w:rFonts w:hint="eastAsia" w:ascii="黑体" w:eastAsia="黑体"/>
          <w:color w:val="auto"/>
          <w:sz w:val="32"/>
          <w:szCs w:val="32"/>
          <w:highlight w:val="none"/>
        </w:rPr>
        <w:t>七、</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三公”经费财政拨款支出决算情况说明</w:t>
      </w:r>
      <w:bookmarkEnd w:id="41"/>
      <w:bookmarkEnd w:id="42"/>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43"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43"/>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18.42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的85.67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决算数小于预算数的原因是公务接待费厉行勤俭节约，压缩开支。</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44"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44"/>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15.12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82.03</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3.31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17.97</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pPr>
      <w:r>
        <w:drawing>
          <wp:inline distT="0" distB="0" distL="114300" distR="114300">
            <wp:extent cx="4584065" cy="2505075"/>
            <wp:effectExtent l="4445" t="4445" r="21590" b="5080"/>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出国因公出国（境）支出决算</w:t>
      </w:r>
      <w:r>
        <w:rPr>
          <w:rFonts w:hint="eastAsia" w:ascii="仿宋_GB2312" w:eastAsia="仿宋_GB2312"/>
          <w:color w:val="auto"/>
          <w:sz w:val="32"/>
          <w:szCs w:val="32"/>
          <w:highlight w:val="none"/>
          <w:lang w:val="en-US"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15.12</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厉行勤俭节约</w:t>
      </w:r>
      <w:r>
        <w:rPr>
          <w:rFonts w:hint="eastAsia" w:ascii="仿宋_GB2312" w:eastAsia="仿宋_GB2312"/>
          <w:color w:val="auto"/>
          <w:sz w:val="32"/>
          <w:szCs w:val="32"/>
          <w:highlight w:val="none"/>
          <w:lang w:val="en-US" w:eastAsia="zh-CN"/>
        </w:rPr>
        <w:t>，压缩开支。</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其中：越野车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keepNext w:val="0"/>
        <w:keepLines w:val="0"/>
        <w:pageBreakBefore w:val="0"/>
        <w:widowControl w:val="0"/>
        <w:kinsoku/>
        <w:wordWrap/>
        <w:overflowPunct/>
        <w:topLinePunct w:val="0"/>
        <w:bidi w:val="0"/>
        <w:snapToGrid/>
        <w:spacing w:line="576" w:lineRule="exact"/>
        <w:ind w:left="0" w:leftChars="0" w:right="0" w:firstLine="642" w:firstLineChars="200"/>
        <w:jc w:val="left"/>
        <w:textAlignment w:val="auto"/>
        <w:rPr>
          <w:rFonts w:hint="eastAsia" w:ascii="仿宋_GB2312" w:hAnsi="仿宋_GB2312" w:eastAsia="仿宋_GB2312" w:cs="仿宋_GB2312"/>
          <w:color w:val="000000"/>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15.11</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000000"/>
          <w:sz w:val="32"/>
          <w:szCs w:val="32"/>
        </w:rPr>
        <w:t>开展自然资源管理工作、</w:t>
      </w:r>
      <w:r>
        <w:rPr>
          <w:rFonts w:hint="eastAsia" w:ascii="仿宋_GB2312" w:hAnsi="仿宋_GB2312" w:eastAsia="仿宋_GB2312" w:cs="仿宋_GB2312"/>
          <w:color w:val="000000"/>
          <w:sz w:val="32"/>
          <w:szCs w:val="32"/>
          <w:lang w:val="en-US" w:eastAsia="zh-CN"/>
        </w:rPr>
        <w:t>地质灾害防治、耕地保护、矿业权管理、地籍测绘、土地整理、乡村振兴</w:t>
      </w:r>
      <w:r>
        <w:rPr>
          <w:rFonts w:hint="eastAsia" w:ascii="仿宋_GB2312" w:hAnsi="仿宋_GB2312" w:eastAsia="仿宋_GB2312" w:cs="仿宋_GB2312"/>
          <w:color w:val="000000"/>
          <w:sz w:val="32"/>
          <w:szCs w:val="32"/>
        </w:rPr>
        <w:t>、下乡帮扶等所需的公务用车燃料费、维修费、过路过桥费、保险费等支出。</w:t>
      </w: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3.31</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的60.18</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0.41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11.02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厉行勤俭节约</w:t>
      </w:r>
      <w:r>
        <w:rPr>
          <w:rFonts w:hint="eastAsia" w:ascii="仿宋_GB2312" w:eastAsia="仿宋_GB2312"/>
          <w:color w:val="auto"/>
          <w:sz w:val="32"/>
          <w:szCs w:val="32"/>
          <w:highlight w:val="none"/>
          <w:lang w:val="en-US" w:eastAsia="zh-CN"/>
        </w:rPr>
        <w:t>，压缩开支</w:t>
      </w:r>
      <w:r>
        <w:rPr>
          <w:rFonts w:hint="eastAsia" w:ascii="仿宋_GB2312" w:eastAsia="仿宋_GB2312"/>
          <w:color w:val="auto"/>
          <w:sz w:val="32"/>
          <w:szCs w:val="32"/>
          <w:highlight w:val="none"/>
        </w:rPr>
        <w:t>。其中：</w:t>
      </w:r>
    </w:p>
    <w:p>
      <w:pPr>
        <w:keepNext w:val="0"/>
        <w:keepLines w:val="0"/>
        <w:pageBreakBefore w:val="0"/>
        <w:widowControl w:val="0"/>
        <w:kinsoku/>
        <w:wordWrap/>
        <w:overflowPunct/>
        <w:topLinePunct w:val="0"/>
        <w:bidi w:val="0"/>
        <w:snapToGrid/>
        <w:spacing w:line="576" w:lineRule="exact"/>
        <w:ind w:left="0" w:leftChars="0" w:right="0" w:firstLine="642" w:firstLineChars="200"/>
        <w:jc w:val="left"/>
        <w:textAlignment w:val="auto"/>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3.31</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000000"/>
          <w:sz w:val="32"/>
          <w:szCs w:val="32"/>
        </w:rPr>
        <w:t>省自然资源厅、上级部门及其他市州的各类检查、督查、调研和县区自然资源局来我局交流汇报等</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38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309</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3.31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eastAsia="仿宋_GB2312"/>
          <w:color w:val="auto"/>
          <w:sz w:val="32"/>
          <w:szCs w:val="32"/>
          <w:highlight w:val="none"/>
          <w:lang w:val="en-US" w:eastAsia="zh-CN"/>
        </w:rPr>
        <w:t>其中：全年接待县区局来人对接汇报关于人事、党建、纪检、信息、卫片执法、大棚房整改等接待费0.59万元，德阳自然资源局来我局考察学习接待费0.24万元，凉山州、阿坝州来我局考察学习接待费0.16万元，自然资源部来人接待费0.21万元，省厅派驻督察员公众对接接待费0.08万元，省厅宣教中心来人接待费0.09万元，省厅来人关于城乡增减挂钩、安全生产地灾防治接待费0.19万元，省厅督导2021年自然资源领域生态环境问题整改工作接待费0.1万元，全年省厅来人关于调研三线划定矿产资源管理、地质灾害防治、党建、人事等接待费1.04万元，省矿产资源保护监督处来人关于矿产资源管理接待费0.07万元，省国土空间生态修复与地质研究院对接生态修复工作接待费0.12万元，省国土空间规划院对接国土空间规划工作接待费0.11万元，省国土资源执法监察总队关于对接大棚房整改、卫片执法工作接待费0.17万元，四川绿初原牧业集团考察接待费0.14万元。</w:t>
      </w:r>
    </w:p>
    <w:p>
      <w:pPr>
        <w:keepNext w:val="0"/>
        <w:keepLines w:val="0"/>
        <w:pageBreakBefore w:val="0"/>
        <w:widowControl w:val="0"/>
        <w:kinsoku/>
        <w:wordWrap/>
        <w:overflowPunct/>
        <w:topLinePunct w:val="0"/>
        <w:bidi w:val="0"/>
        <w:snapToGrid/>
        <w:spacing w:line="576" w:lineRule="exact"/>
        <w:ind w:left="0" w:leftChars="0" w:right="0" w:firstLine="642"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1"/>
        <w:rPr>
          <w:rStyle w:val="17"/>
          <w:rFonts w:ascii="黑体" w:hAnsi="黑体" w:eastAsia="黑体"/>
          <w:color w:val="auto"/>
          <w:highlight w:val="none"/>
        </w:rPr>
      </w:pPr>
      <w:bookmarkStart w:id="45" w:name="_Toc15377218"/>
      <w:bookmarkStart w:id="46" w:name="_Toc15396610"/>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45"/>
      <w:bookmarkEnd w:id="46"/>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4080.41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未在政府基金预算中安排三公经费。</w:t>
      </w:r>
    </w:p>
    <w:p>
      <w:pPr>
        <w:keepNext w:val="0"/>
        <w:keepLines w:val="0"/>
        <w:pageBreakBefore w:val="0"/>
        <w:widowControl w:val="0"/>
        <w:numPr>
          <w:ilvl w:val="0"/>
          <w:numId w:val="1"/>
        </w:numPr>
        <w:kinsoku/>
        <w:wordWrap/>
        <w:overflowPunct/>
        <w:topLinePunct w:val="0"/>
        <w:bidi w:val="0"/>
        <w:snapToGrid/>
        <w:spacing w:line="576" w:lineRule="exact"/>
        <w:ind w:left="0" w:leftChars="0" w:right="0" w:firstLine="640" w:firstLineChars="200"/>
        <w:textAlignment w:val="auto"/>
        <w:outlineLvl w:val="1"/>
        <w:rPr>
          <w:rStyle w:val="17"/>
          <w:rFonts w:ascii="黑体" w:hAnsi="黑体" w:eastAsia="黑体"/>
          <w:b w:val="0"/>
          <w:color w:val="auto"/>
          <w:highlight w:val="none"/>
        </w:rPr>
      </w:pPr>
      <w:bookmarkStart w:id="47" w:name="_Toc15396611"/>
      <w:bookmarkStart w:id="48" w:name="_Toc15377219"/>
      <w:r>
        <w:rPr>
          <w:rStyle w:val="17"/>
          <w:rFonts w:hint="eastAsia" w:ascii="黑体" w:hAnsi="黑体" w:eastAsia="黑体"/>
          <w:b w:val="0"/>
          <w:color w:val="auto"/>
          <w:highlight w:val="none"/>
        </w:rPr>
        <w:t>国有资本经营预算支出决算情况说明</w:t>
      </w:r>
      <w:bookmarkEnd w:id="47"/>
      <w:bookmarkEnd w:id="48"/>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9" w:name="_Toc15396612"/>
      <w:bookmarkStart w:id="50" w:name="_Toc15377221"/>
    </w:p>
    <w:p>
      <w:pPr>
        <w:keepNext w:val="0"/>
        <w:keepLines w:val="0"/>
        <w:pageBreakBefore w:val="0"/>
        <w:widowControl w:val="0"/>
        <w:numPr>
          <w:ilvl w:val="0"/>
          <w:numId w:val="1"/>
        </w:numPr>
        <w:kinsoku/>
        <w:wordWrap/>
        <w:overflowPunct/>
        <w:topLinePunct w:val="0"/>
        <w:bidi w:val="0"/>
        <w:snapToGrid/>
        <w:spacing w:line="576" w:lineRule="exact"/>
        <w:ind w:left="0" w:leftChars="0" w:right="0" w:firstLine="640" w:firstLineChars="200"/>
        <w:textAlignment w:val="auto"/>
        <w:outlineLvl w:val="1"/>
        <w:rPr>
          <w:rStyle w:val="17"/>
          <w:rFonts w:hint="eastAsia" w:ascii="黑体" w:hAnsi="黑体" w:eastAsia="黑体"/>
          <w:b w:val="0"/>
          <w:color w:val="auto"/>
          <w:highlight w:val="none"/>
        </w:rPr>
      </w:pPr>
      <w:r>
        <w:rPr>
          <w:rStyle w:val="17"/>
          <w:rFonts w:hint="eastAsia" w:ascii="黑体" w:hAnsi="黑体" w:eastAsia="黑体"/>
          <w:b w:val="0"/>
          <w:color w:val="auto"/>
          <w:highlight w:val="none"/>
          <w:lang w:val="en-US" w:eastAsia="zh-CN"/>
        </w:rPr>
        <w:t>预算绩效管理情况</w:t>
      </w:r>
    </w:p>
    <w:p>
      <w:pPr>
        <w:keepNext w:val="0"/>
        <w:keepLines w:val="0"/>
        <w:pageBreakBefore w:val="0"/>
        <w:widowControl w:val="0"/>
        <w:numPr>
          <w:ilvl w:val="0"/>
          <w:numId w:val="0"/>
        </w:numPr>
        <w:kinsoku/>
        <w:wordWrap/>
        <w:overflowPunct/>
        <w:topLinePunct w:val="0"/>
        <w:bidi w:val="0"/>
        <w:snapToGrid/>
        <w:spacing w:line="576" w:lineRule="exact"/>
        <w:ind w:left="0" w:leftChars="0" w:right="0"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开展预算事前绩效评估，对</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1"/>
        </w:numPr>
        <w:kinsoku/>
        <w:wordWrap/>
        <w:overflowPunct/>
        <w:topLinePunct w:val="0"/>
        <w:bidi w:val="0"/>
        <w:snapToGrid/>
        <w:spacing w:line="576" w:lineRule="exact"/>
        <w:ind w:left="0" w:leftChars="0" w:right="0" w:firstLine="640" w:firstLineChars="200"/>
        <w:textAlignment w:val="auto"/>
        <w:outlineLvl w:val="1"/>
        <w:rPr>
          <w:rStyle w:val="17"/>
          <w:rFonts w:hint="eastAsia" w:ascii="黑体" w:hAnsi="黑体" w:eastAsia="黑体"/>
          <w:b w:val="0"/>
          <w:color w:val="auto"/>
          <w:highlight w:val="none"/>
        </w:rPr>
      </w:pPr>
      <w:r>
        <w:rPr>
          <w:rStyle w:val="17"/>
          <w:rFonts w:hint="eastAsia" w:ascii="黑体" w:hAnsi="黑体" w:eastAsia="黑体"/>
          <w:b w:val="0"/>
          <w:color w:val="auto"/>
          <w:highlight w:val="none"/>
        </w:rPr>
        <w:t>其他重要事项的情况说明</w:t>
      </w:r>
      <w:bookmarkEnd w:id="49"/>
      <w:bookmarkEnd w:id="50"/>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51" w:name="_Toc15377222"/>
      <w:r>
        <w:rPr>
          <w:rFonts w:hint="eastAsia" w:ascii="楷体_GB2312" w:hAnsi="楷体_GB2312" w:eastAsia="楷体_GB2312" w:cs="楷体_GB2312"/>
          <w:b w:val="0"/>
          <w:bCs/>
          <w:color w:val="auto"/>
          <w:sz w:val="32"/>
          <w:szCs w:val="32"/>
          <w:highlight w:val="none"/>
        </w:rPr>
        <w:t>（一）机关运行经费支出情况</w:t>
      </w:r>
      <w:bookmarkEnd w:id="51"/>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广元市自然资源局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216.99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31.56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17.02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部门职能职责增加，经费增加。</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52" w:name="_Toc15377223"/>
      <w:r>
        <w:rPr>
          <w:rFonts w:hint="eastAsia" w:ascii="楷体_GB2312" w:hAnsi="楷体_GB2312" w:eastAsia="楷体_GB2312" w:cs="楷体_GB2312"/>
          <w:b w:val="0"/>
          <w:bCs/>
          <w:color w:val="auto"/>
          <w:sz w:val="32"/>
          <w:szCs w:val="32"/>
          <w:highlight w:val="none"/>
        </w:rPr>
        <w:t>（二）政府采购支出情况</w:t>
      </w:r>
      <w:bookmarkEnd w:id="52"/>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广元市自然资源局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1053.75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109.64</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944.11</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国土空间规划一张图硬件升级、服务采购，“天地图.广元”地理信息公共服务平台建设资金采购、广元市秦巴山脉重要生态系统保护修复工程实施方案项目、不动产登记项目采购及日常办公设备采购</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26.73</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24.74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26.73</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24.74</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576" w:lineRule="exact"/>
        <w:ind w:left="0" w:leftChars="0" w:right="0"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53" w:name="_Toc15377224"/>
      <w:r>
        <w:rPr>
          <w:rFonts w:hint="eastAsia" w:ascii="楷体_GB2312" w:hAnsi="楷体_GB2312" w:eastAsia="楷体_GB2312" w:cs="楷体_GB2312"/>
          <w:b w:val="0"/>
          <w:bCs/>
          <w:color w:val="auto"/>
          <w:sz w:val="32"/>
          <w:szCs w:val="32"/>
          <w:highlight w:val="none"/>
        </w:rPr>
        <w:t>（三）国有资产占有使用情况</w:t>
      </w:r>
      <w:bookmarkEnd w:id="53"/>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广元市自然资源局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一般公务、业务用车。</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keepNext w:val="0"/>
        <w:keepLines w:val="0"/>
        <w:pageBreakBefore w:val="0"/>
        <w:widowControl w:val="0"/>
        <w:kinsoku/>
        <w:wordWrap/>
        <w:overflowPunct/>
        <w:topLinePunct w:val="0"/>
        <w:bidi w:val="0"/>
        <w:snapToGrid/>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br w:type="page"/>
      </w:r>
    </w:p>
    <w:p>
      <w:pPr>
        <w:keepNext w:val="0"/>
        <w:keepLines w:val="0"/>
        <w:pageBreakBefore w:val="0"/>
        <w:widowControl w:val="0"/>
        <w:numPr>
          <w:ilvl w:val="0"/>
          <w:numId w:val="2"/>
        </w:numPr>
        <w:kinsoku/>
        <w:wordWrap/>
        <w:overflowPunct/>
        <w:topLinePunct w:val="0"/>
        <w:bidi w:val="0"/>
        <w:snapToGrid/>
        <w:spacing w:line="576" w:lineRule="exact"/>
        <w:ind w:left="0" w:leftChars="0" w:right="0" w:firstLine="660" w:firstLineChars="150"/>
        <w:jc w:val="center"/>
        <w:textAlignment w:val="auto"/>
        <w:outlineLvl w:val="0"/>
        <w:rPr>
          <w:rStyle w:val="16"/>
          <w:rFonts w:ascii="黑体" w:hAnsi="黑体" w:eastAsia="黑体"/>
          <w:b w:val="0"/>
          <w:color w:val="auto"/>
          <w:highlight w:val="none"/>
        </w:rPr>
      </w:pPr>
      <w:bookmarkStart w:id="54" w:name="_Toc15377225"/>
      <w:bookmarkStart w:id="55" w:name="_Toc15396613"/>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54"/>
      <w:bookmarkEnd w:id="55"/>
    </w:p>
    <w:p>
      <w:pPr>
        <w:keepNext w:val="0"/>
        <w:keepLines w:val="0"/>
        <w:pageBreakBefore w:val="0"/>
        <w:widowControl w:val="0"/>
        <w:kinsoku/>
        <w:wordWrap/>
        <w:overflowPunct/>
        <w:topLinePunct w:val="0"/>
        <w:bidi w:val="0"/>
        <w:snapToGrid/>
        <w:spacing w:line="576" w:lineRule="exact"/>
        <w:ind w:left="0" w:leftChars="0" w:right="0"/>
        <w:jc w:val="left"/>
        <w:textAlignment w:val="auto"/>
        <w:rPr>
          <w:rFonts w:ascii="宋体"/>
          <w:b/>
          <w:color w:val="auto"/>
          <w:sz w:val="44"/>
          <w:szCs w:val="44"/>
          <w:highlight w:val="none"/>
        </w:rPr>
      </w:pP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2.其他收入：指单位取得的除上述收入以外的各项收入。主要是单位银行存款利息和财政未通过大平台拨付的项目资金。</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3.年初结转和结余：指以前年度尚未完成、结转到本年按有关规定继续使用的资金。</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4.年末结转和结余：指单位按有关规定结转到下年或以后年度继续使用的资金。</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val="en-US" w:eastAsia="zh-CN"/>
        </w:rPr>
        <w:t>人力资源和社会保障管理实务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其他人力资源和社会保障管理实务</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至引进人才相关费用。</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.社会保障和就业（类）行政事业单位离退休（款）机关事业单位基本养老保险缴费支出（项）:指机关事业单位实施养老保险制度由单位缴纳的基本养老保险费支出。</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.社会保障和就业（类）行政事业单位离退休（款）机关事业单位职业年金缴费支出（项）:指机关事业单位实施养老保险制度由单位实际缴纳的职业年金支出。</w:t>
      </w:r>
    </w:p>
    <w:p>
      <w:pPr>
        <w:pStyle w:val="25"/>
        <w:keepNext w:val="0"/>
        <w:keepLines w:val="0"/>
        <w:pageBreakBefore w:val="0"/>
        <w:widowControl w:val="0"/>
        <w:kinsoku/>
        <w:wordWrap/>
        <w:overflowPunct/>
        <w:topLinePunct w:val="0"/>
        <w:bidi w:val="0"/>
        <w:snapToGrid/>
        <w:spacing w:line="576"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指退休“中人”一次性待遇补助。</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.卫生健康（类）行政事业单位医疗（款）行政单位医疗（项）：指局机关用于缴纳单位基本医疗保险支出。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城区社区</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国有土地使用权出让安排的支出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征地拆迁补偿</w:t>
      </w:r>
      <w:r>
        <w:rPr>
          <w:rFonts w:hint="eastAsia" w:ascii="仿宋_GB2312" w:hAnsi="仿宋_GB2312" w:eastAsia="仿宋_GB2312" w:cs="仿宋_GB2312"/>
          <w:sz w:val="32"/>
          <w:szCs w:val="32"/>
        </w:rPr>
        <w:t>支出（项）：</w:t>
      </w:r>
      <w:r>
        <w:rPr>
          <w:rFonts w:hint="eastAsia" w:ascii="仿宋_GB2312" w:hAnsi="仿宋_GB2312" w:eastAsia="仿宋_GB2312" w:cs="仿宋_GB2312"/>
          <w:sz w:val="32"/>
          <w:szCs w:val="32"/>
          <w:lang w:val="en-US" w:eastAsia="zh-CN"/>
        </w:rPr>
        <w:t>指征</w:t>
      </w:r>
      <w:r>
        <w:rPr>
          <w:rFonts w:hint="eastAsia" w:ascii="仿宋_GB2312" w:hAnsi="仿宋_GB2312" w:eastAsia="仿宋_GB2312" w:cs="仿宋_GB2312"/>
          <w:sz w:val="32"/>
          <w:szCs w:val="32"/>
        </w:rPr>
        <w:t>土地开发及出让项目发生的土地拆迁补偿支出</w:t>
      </w:r>
      <w:r>
        <w:rPr>
          <w:rFonts w:hint="eastAsia" w:ascii="仿宋_GB2312" w:hAnsi="仿宋_GB2312" w:eastAsia="仿宋_GB2312" w:cs="仿宋_GB2312"/>
          <w:sz w:val="32"/>
          <w:szCs w:val="32"/>
          <w:lang w:eastAsia="zh-CN"/>
        </w:rPr>
        <w:t>。</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城区社区</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国有土地使用权出让安排的支出</w:t>
      </w:r>
      <w:r>
        <w:rPr>
          <w:rFonts w:hint="eastAsia" w:ascii="仿宋_GB2312" w:hAnsi="仿宋_GB2312" w:eastAsia="仿宋_GB2312" w:cs="仿宋_GB2312"/>
          <w:sz w:val="32"/>
          <w:szCs w:val="32"/>
        </w:rPr>
        <w:t>（款）土地开发</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（项）：指土地开发及出让项目发生的业务支出</w:t>
      </w:r>
      <w:r>
        <w:rPr>
          <w:rFonts w:hint="eastAsia" w:ascii="仿宋_GB2312" w:hAnsi="仿宋_GB2312" w:eastAsia="仿宋_GB2312" w:cs="仿宋_GB2312"/>
          <w:sz w:val="32"/>
          <w:szCs w:val="32"/>
          <w:lang w:eastAsia="zh-CN"/>
        </w:rPr>
        <w:t>。</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城区社区</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国有土地使用权出让安排的支出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城市建设支出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指城市建设方面的支出。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城区社区</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国有土地使用权出让安排的支出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土地出让支出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rPr>
        <w:t>出让</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发生的土地出让业务支出。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.自然资源海洋气象等（类）自然资源事务（款）行政运行（项）：指局行政机关用于保障机构正常运行、开展日常工作的基本支出。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.自然资源海洋气象等支出（类）自然资源事务（款）自然资源利用与保护（项）：指地质环境治理和土地整治方面的支出。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.自然资源海洋气象等支出（类）自然资源事务（款）地质勘察与矿产资源管理（项）：指矿业权管理、矿产资源合理利用和保护方面的支出。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自然资源海洋气象等支出（类）自然资源事务（款）</w:t>
      </w:r>
      <w:r>
        <w:rPr>
          <w:rFonts w:hint="eastAsia" w:ascii="仿宋_GB2312" w:hAnsi="仿宋_GB2312" w:eastAsia="仿宋_GB2312" w:cs="仿宋_GB2312"/>
          <w:sz w:val="32"/>
          <w:szCs w:val="32"/>
          <w:lang w:val="en-US" w:eastAsia="zh-CN"/>
        </w:rPr>
        <w:t>自然资源调查与确权登记</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指土地调查与确权登记方面的支出。</w:t>
      </w:r>
    </w:p>
    <w:p>
      <w:pPr>
        <w:pStyle w:val="25"/>
        <w:pageBreakBefore w:val="0"/>
        <w:kinsoku/>
        <w:wordWrap/>
        <w:overflowPunct/>
        <w:topLinePunct w:val="0"/>
        <w:bidi w:val="0"/>
        <w:spacing w:line="576"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自然资源海洋气象等支出（类）自然资源事务（款）</w:t>
      </w:r>
      <w:r>
        <w:rPr>
          <w:rFonts w:hint="eastAsia" w:ascii="仿宋_GB2312" w:hAnsi="仿宋_GB2312" w:eastAsia="仿宋_GB2312" w:cs="仿宋_GB2312"/>
          <w:sz w:val="32"/>
          <w:szCs w:val="32"/>
          <w:lang w:val="en-US" w:eastAsia="zh-CN"/>
        </w:rPr>
        <w:t>基础测绘与地理信息监督</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指地理信息方面的支出。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.自然资源海洋气象等支出（类）自然资源事务（款）其他自然资源事务（项）：指除财政一般公共预算安排的项目之外的项目支出。</w:t>
      </w:r>
    </w:p>
    <w:p>
      <w:pPr>
        <w:pStyle w:val="25"/>
        <w:pageBreakBefore w:val="0"/>
        <w:kinsoku/>
        <w:wordWrap/>
        <w:overflowPunct/>
        <w:topLinePunct w:val="0"/>
        <w:bidi w:val="0"/>
        <w:spacing w:line="576"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20.其他支出（类）其他支出（款）其他支出（项）：至局机关农村乱占耕地建房问题处置经费。</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.住房保障（类）住房改革支出（款）住房公积金（项）：指指局机关及事业单位按行政事业单位按</w:t>
      </w:r>
      <w:r>
        <w:rPr>
          <w:rFonts w:hint="eastAsia" w:ascii="仿宋_GB2312" w:hAnsi="仿宋_GB2312" w:eastAsia="仿宋_GB2312" w:cs="仿宋_GB2312"/>
          <w:sz w:val="32"/>
          <w:szCs w:val="32"/>
          <w:lang w:eastAsia="zh-CN"/>
        </w:rPr>
        <w:t>人力资源和社会保障部</w:t>
      </w:r>
      <w:r>
        <w:rPr>
          <w:rFonts w:hint="eastAsia" w:ascii="仿宋_GB2312" w:hAnsi="仿宋_GB2312" w:eastAsia="仿宋_GB2312" w:cs="仿宋_GB2312"/>
          <w:sz w:val="32"/>
          <w:szCs w:val="32"/>
        </w:rPr>
        <w:t>、财政部规定的基本工资和津贴补贴以及规定比例为职工缴纳的住房公积金。</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.住房保障（类）住房改革支出（款）购房补贴（项）：印记的研究生和选调生的安家补助费。</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.基本支出：指为保障机构正常运转、完成日常工作任务而发生的人员支出和公用支出。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.项目支出：指在基本支出之外为完成特定行政任务和事业发展目标所发生的支出。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pageBreakBefore w:val="0"/>
        <w:kinsoku/>
        <w:wordWrap/>
        <w:overflowPunct/>
        <w:topLinePunct w:val="0"/>
        <w:bidi w:val="0"/>
        <w:spacing w:line="576" w:lineRule="exact"/>
        <w:ind w:left="0" w:leftChars="0" w:right="0" w:firstLine="640" w:firstLineChars="200"/>
        <w:textAlignment w:val="auto"/>
        <w:rPr>
          <w:rFonts w:hint="eastAsia" w:ascii="仿宋_GB2312" w:hAnsi="仿宋_GB2312" w:eastAsia="仿宋_GB2312" w:cs="仿宋_GB2312"/>
          <w:sz w:val="32"/>
          <w:szCs w:val="32"/>
        </w:rPr>
      </w:pPr>
    </w:p>
    <w:p>
      <w:pPr>
        <w:rPr>
          <w:rFonts w:hint="eastAsia" w:ascii="黑体" w:hAnsi="黑体" w:eastAsia="黑体"/>
          <w:color w:val="auto"/>
          <w:sz w:val="44"/>
          <w:szCs w:val="44"/>
          <w:highlight w:val="none"/>
        </w:rPr>
      </w:pPr>
      <w:bookmarkStart w:id="56" w:name="_Toc15396614"/>
      <w:bookmarkStart w:id="57" w:name="_Toc15377226"/>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br w:type="page"/>
      </w:r>
    </w:p>
    <w:bookmarkEnd w:id="56"/>
    <w:p>
      <w:pPr>
        <w:pStyle w:val="6"/>
        <w:jc w:val="center"/>
        <w:rPr>
          <w:rFonts w:hint="eastAsia" w:ascii="黑体" w:hAnsi="黑体" w:eastAsia="黑体" w:cs="黑体"/>
          <w:color w:val="auto"/>
          <w:sz w:val="44"/>
          <w:szCs w:val="44"/>
          <w:highlight w:val="none"/>
          <w:lang w:val="zh-CN"/>
        </w:rPr>
      </w:pPr>
      <w:r>
        <w:rPr>
          <w:rFonts w:hint="eastAsia" w:ascii="黑体" w:hAnsi="黑体" w:eastAsia="黑体" w:cs="黑体"/>
          <w:color w:val="auto"/>
          <w:kern w:val="0"/>
          <w:sz w:val="44"/>
          <w:szCs w:val="44"/>
          <w:highlight w:val="none"/>
          <w:shd w:val="clear" w:color="auto" w:fill="FFFFFF"/>
          <w:lang w:val="zh-CN"/>
        </w:rPr>
        <w:t>第四部分</w:t>
      </w:r>
      <w:r>
        <w:rPr>
          <w:rFonts w:hint="eastAsia" w:ascii="黑体" w:hAnsi="黑体" w:eastAsia="黑体" w:cs="黑体"/>
          <w:color w:val="auto"/>
          <w:kern w:val="0"/>
          <w:sz w:val="44"/>
          <w:szCs w:val="44"/>
          <w:highlight w:val="none"/>
          <w:shd w:val="clear" w:color="auto" w:fill="FFFFFF"/>
          <w:lang w:val="en-US" w:eastAsia="zh-CN"/>
        </w:rPr>
        <w:t xml:space="preserve">  </w:t>
      </w:r>
      <w:r>
        <w:rPr>
          <w:rFonts w:hint="eastAsia" w:ascii="黑体" w:hAnsi="黑体" w:eastAsia="黑体" w:cs="黑体"/>
          <w:color w:val="auto"/>
          <w:kern w:val="0"/>
          <w:sz w:val="44"/>
          <w:szCs w:val="44"/>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仿宋_GB2312" w:hAnsi="宋体" w:eastAsia="仿宋_GB2312" w:cs="Times New Roman"/>
          <w:color w:val="auto"/>
          <w:kern w:val="2"/>
          <w:sz w:val="32"/>
          <w:szCs w:val="32"/>
          <w:highlight w:val="none"/>
          <w:lang w:val="zh-CN" w:eastAsia="zh-CN" w:bidi="ar-SA"/>
        </w:rPr>
      </w:pPr>
    </w:p>
    <w:p>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lang w:val="zh-CN"/>
        </w:rPr>
        <w:t>地质灾害防治工作经费项目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绩效评价报告</w:t>
      </w:r>
    </w:p>
    <w:p>
      <w:pPr>
        <w:spacing w:line="600" w:lineRule="exact"/>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．职能职责</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我局</w:t>
      </w:r>
      <w:r>
        <w:rPr>
          <w:rFonts w:hint="eastAsia" w:ascii="仿宋_GB2312" w:hAnsi="仿宋_GB2312" w:eastAsia="仿宋_GB2312" w:cs="仿宋_GB2312"/>
          <w:sz w:val="30"/>
          <w:szCs w:val="30"/>
        </w:rPr>
        <w:t>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《关于加强地质灾害防治工作的决定》（国发〔2011〕20号）。</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我局制定了《三重一大制度》，《财务管理制度》和《项目管理制度》，支付时严格按照相关制度执行，项目资金专款专用。</w:t>
      </w:r>
    </w:p>
    <w:p>
      <w:pPr>
        <w:numPr>
          <w:ilvl w:val="0"/>
          <w:numId w:val="0"/>
        </w:num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此项目是一项常规性项目，只是日常的工作经费，财政根据我局年初编报的项目绩效目标和市人大的审核后直接下达指标。</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60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落实各项防灾措施，分层次开展宣传培训和避险演练，有效提升全社会防灾避险能力。提高全市地质灾害隐患点群测群防水平，搞好汛期排查，汛中巡查和核查工作，实现地灾隐患点零伤亡。</w:t>
      </w:r>
    </w:p>
    <w:p>
      <w:pPr>
        <w:numPr>
          <w:ilvl w:val="0"/>
          <w:numId w:val="3"/>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预期实现完成全市地质灾害隐患点检查</w:t>
      </w:r>
      <w:r>
        <w:rPr>
          <w:rFonts w:hint="eastAsia" w:ascii="仿宋_GB2312" w:hAnsi="宋体" w:eastAsia="仿宋_GB2312"/>
          <w:sz w:val="32"/>
          <w:szCs w:val="32"/>
          <w:lang w:val="en-US" w:eastAsia="zh-CN"/>
        </w:rPr>
        <w:t>完成</w:t>
      </w:r>
      <w:r>
        <w:rPr>
          <w:rFonts w:hint="eastAsia" w:ascii="仿宋_GB2312" w:hAnsi="宋体" w:eastAsia="仿宋_GB2312"/>
          <w:sz w:val="32"/>
          <w:szCs w:val="32"/>
        </w:rPr>
        <w:t>1</w:t>
      </w:r>
      <w:r>
        <w:rPr>
          <w:rFonts w:hint="eastAsia" w:ascii="仿宋_GB2312" w:hAnsi="宋体" w:eastAsia="仿宋_GB2312"/>
          <w:sz w:val="32"/>
          <w:szCs w:val="32"/>
          <w:lang w:val="en-US" w:eastAsia="zh-CN"/>
        </w:rPr>
        <w:t>500</w:t>
      </w:r>
      <w:r>
        <w:rPr>
          <w:rFonts w:hint="eastAsia" w:ascii="仿宋_GB2312" w:hAnsi="宋体" w:eastAsia="仿宋_GB2312"/>
          <w:sz w:val="32"/>
          <w:szCs w:val="32"/>
        </w:rPr>
        <w:t>处，完成汛期隐患点排查、检查大于</w:t>
      </w:r>
      <w:r>
        <w:rPr>
          <w:rFonts w:hint="eastAsia" w:ascii="仿宋_GB2312" w:hAnsi="宋体" w:eastAsia="仿宋_GB2312"/>
          <w:sz w:val="32"/>
          <w:szCs w:val="32"/>
          <w:lang w:val="en-US" w:eastAsia="zh-CN"/>
        </w:rPr>
        <w:t>900</w:t>
      </w:r>
      <w:r>
        <w:rPr>
          <w:rFonts w:hint="eastAsia" w:ascii="仿宋_GB2312" w:hAnsi="宋体" w:eastAsia="仿宋_GB2312"/>
          <w:sz w:val="32"/>
          <w:szCs w:val="32"/>
        </w:rPr>
        <w:t>次，安排实施全市各县区地质灾害避险演练大于</w:t>
      </w:r>
      <w:r>
        <w:rPr>
          <w:rFonts w:hint="eastAsia" w:ascii="仿宋_GB2312" w:hAnsi="宋体" w:eastAsia="仿宋_GB2312"/>
          <w:sz w:val="32"/>
          <w:szCs w:val="32"/>
          <w:lang w:val="en-US" w:eastAsia="zh-CN"/>
        </w:rPr>
        <w:t>90</w:t>
      </w:r>
      <w:r>
        <w:rPr>
          <w:rFonts w:hint="eastAsia" w:ascii="仿宋_GB2312" w:hAnsi="宋体" w:eastAsia="仿宋_GB2312"/>
          <w:sz w:val="32"/>
          <w:szCs w:val="32"/>
        </w:rPr>
        <w:t>次，组织全市地质灾害防治宣传培训大于5次。</w:t>
      </w:r>
    </w:p>
    <w:p>
      <w:pPr>
        <w:numPr>
          <w:ilvl w:val="0"/>
          <w:numId w:val="3"/>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评价申报内容与实际相符，申报目标合理可行。</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年末通过数量指标、质量指标及产生的社会效益和政府满意度等来自评项目绩效完成情况。</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年初我局申报地质灾害防治工作经费</w:t>
      </w:r>
      <w:r>
        <w:rPr>
          <w:rFonts w:hint="eastAsia" w:ascii="仿宋_GB2312" w:hAnsi="宋体" w:eastAsia="仿宋_GB2312"/>
          <w:sz w:val="32"/>
          <w:szCs w:val="32"/>
          <w:lang w:val="en-US" w:eastAsia="zh-CN"/>
        </w:rPr>
        <w:t>20</w:t>
      </w:r>
      <w:r>
        <w:rPr>
          <w:rFonts w:hint="eastAsia" w:ascii="仿宋_GB2312" w:hAnsi="宋体" w:eastAsia="仿宋_GB2312"/>
          <w:sz w:val="32"/>
          <w:szCs w:val="32"/>
        </w:rPr>
        <w:t>万元，财政批复</w:t>
      </w:r>
      <w:r>
        <w:rPr>
          <w:rFonts w:hint="eastAsia" w:ascii="仿宋_GB2312" w:hAnsi="宋体" w:eastAsia="仿宋_GB2312"/>
          <w:sz w:val="32"/>
          <w:szCs w:val="32"/>
          <w:lang w:val="en-US" w:eastAsia="zh-CN"/>
        </w:rPr>
        <w:t>14</w:t>
      </w:r>
      <w:r>
        <w:rPr>
          <w:rFonts w:hint="eastAsia" w:ascii="仿宋_GB2312" w:hAnsi="宋体" w:eastAsia="仿宋_GB2312"/>
          <w:sz w:val="32"/>
          <w:szCs w:val="32"/>
        </w:rPr>
        <w:t>.78万元。</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（二）资金计划、到位及使用情况</w:t>
      </w:r>
    </w:p>
    <w:p>
      <w:pPr>
        <w:adjustRightInd w:val="0"/>
        <w:snapToGrid w:val="0"/>
        <w:spacing w:line="580" w:lineRule="exact"/>
        <w:ind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此项目属于常规工作经费项目，财政用一般公共预算资金安排</w:t>
      </w:r>
      <w:r>
        <w:rPr>
          <w:rFonts w:hint="eastAsia" w:ascii="楷体_GB2312" w:hAnsi="宋体" w:eastAsia="楷体_GB2312"/>
          <w:sz w:val="32"/>
          <w:szCs w:val="32"/>
        </w:rPr>
        <w:t>24.78万元</w:t>
      </w:r>
      <w:r>
        <w:rPr>
          <w:rFonts w:hint="eastAsia" w:ascii="楷体_GB2312" w:hAnsi="宋体" w:eastAsia="楷体_GB2312"/>
          <w:sz w:val="32"/>
          <w:szCs w:val="32"/>
          <w:lang w:val="zh-CN"/>
        </w:rPr>
        <w:t>。</w:t>
      </w:r>
    </w:p>
    <w:p>
      <w:pPr>
        <w:numPr>
          <w:ilvl w:val="0"/>
          <w:numId w:val="0"/>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en-US" w:eastAsia="zh-CN"/>
        </w:rPr>
        <w:t>2.</w:t>
      </w:r>
      <w:r>
        <w:rPr>
          <w:rFonts w:hint="eastAsia" w:ascii="楷体_GB2312" w:hAnsi="宋体" w:eastAsia="楷体_GB2312"/>
          <w:sz w:val="32"/>
          <w:szCs w:val="32"/>
          <w:lang w:val="zh-CN"/>
        </w:rPr>
        <w:t>资金到位。</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截至2021年</w:t>
      </w:r>
      <w:r>
        <w:rPr>
          <w:rFonts w:hint="eastAsia" w:ascii="仿宋_GB2312" w:hAnsi="宋体" w:eastAsia="仿宋_GB2312"/>
          <w:sz w:val="32"/>
          <w:szCs w:val="32"/>
        </w:rPr>
        <w:t>12月31日，此项目到位资金</w:t>
      </w:r>
      <w:r>
        <w:rPr>
          <w:rFonts w:hint="eastAsia" w:ascii="仿宋_GB2312" w:hAnsi="宋体" w:eastAsia="仿宋_GB2312"/>
          <w:sz w:val="32"/>
          <w:szCs w:val="32"/>
          <w:lang w:val="en-US" w:eastAsia="zh-CN"/>
        </w:rPr>
        <w:t>1</w:t>
      </w:r>
      <w:r>
        <w:rPr>
          <w:rFonts w:hint="eastAsia" w:ascii="仿宋_GB2312" w:hAnsi="宋体" w:eastAsia="仿宋_GB2312"/>
          <w:sz w:val="32"/>
          <w:szCs w:val="32"/>
        </w:rPr>
        <w:t>4.78万元，100%到位，此资金属于市级一般公共预算资金。</w:t>
      </w:r>
    </w:p>
    <w:p>
      <w:pPr>
        <w:numPr>
          <w:ilvl w:val="0"/>
          <w:numId w:val="0"/>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en-US" w:eastAsia="zh-CN"/>
        </w:rPr>
        <w:t>3.</w:t>
      </w:r>
      <w:r>
        <w:rPr>
          <w:rFonts w:hint="eastAsia" w:ascii="楷体_GB2312" w:hAnsi="宋体" w:eastAsia="楷体_GB2312"/>
          <w:sz w:val="32"/>
          <w:szCs w:val="32"/>
          <w:lang w:val="zh-CN"/>
        </w:rPr>
        <w:t>资金使用。</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全年支付合计</w:t>
      </w:r>
      <w:r>
        <w:rPr>
          <w:rFonts w:hint="eastAsia" w:ascii="仿宋_GB2312" w:hAnsi="宋体" w:eastAsia="仿宋_GB2312"/>
          <w:sz w:val="32"/>
          <w:szCs w:val="32"/>
          <w:lang w:val="en-US" w:eastAsia="zh-CN"/>
        </w:rPr>
        <w:t>1</w:t>
      </w:r>
      <w:r>
        <w:rPr>
          <w:rFonts w:hint="eastAsia" w:ascii="仿宋_GB2312" w:hAnsi="宋体" w:eastAsia="仿宋_GB2312"/>
          <w:sz w:val="32"/>
          <w:szCs w:val="32"/>
        </w:rPr>
        <w:t>4.78万元，包括全市地质灾害隐患点检查、汛期隐患点排查、督查差旅费，地质灾害避险演练费、地质灾害培训宣传费。</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adjustRightInd w:val="0"/>
        <w:snapToGrid w:val="0"/>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我局制度了《财务管理制度》和《专项资金管理制度》和《三重一大制度》，项目支付过程中严格执行相关制度，专款专用，无截留，无挪用的现象。</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地质灾害防治工作经费属于财政下达的常规性一般公共项目，都是工作经费，专门用于地质灾害防治日常经费。</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sz w:val="32"/>
          <w:szCs w:val="32"/>
          <w:lang w:val="en-US" w:eastAsia="zh-CN"/>
        </w:rPr>
        <w:t>我局认真贯彻落实习近平总书记关于防灾减灾救灾系列论述和重要指示精神。一是制定了《广元市地质灾害全域综合整治三年行动计划（2021-2023）任务）任务分配和《广元市地质灾害全域综合整治2021年度实施方案》并报市政府常务会议审议通过。二是切实加强与市级相关部门的横向对接，积极争取财政部门支持，争取到2022年一般债券1.47亿元，用于地质灾害全域综合整治第三年行动计划。三是全年开展群防群策1010处，完成全市地质灾害隐患点1500点，完成汛期隐患点排查、监测和督导1000榆次，开展地质灾害培训和演练95次。通过该项目的实施，达到连续实现地灾隐患点“零”伤亡的目标，</w:t>
      </w:r>
      <w:r>
        <w:rPr>
          <w:rFonts w:hint="eastAsia" w:ascii="仿宋_GB2312" w:hAnsi="宋体" w:eastAsia="仿宋_GB2312" w:cs="仿宋_GB2312"/>
          <w:color w:val="000000"/>
          <w:kern w:val="0"/>
          <w:sz w:val="32"/>
          <w:szCs w:val="32"/>
          <w:shd w:val="clear" w:color="auto" w:fill="FFFFFF"/>
        </w:rPr>
        <w:t>最大限度减少国家和人民群众的人身和财产损失。</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产生的经济效益是最大限度减少国家和人民群众的财产损失。社会效益：保护人民群众生命财产安全，不断提升地质灾害防治能力，维护社会和谐稳定。可持续效益：大型地质灾害隐患点的威胁和因地质灾害造成的人员伤亡和财产损失明显减少，</w:t>
      </w:r>
      <w:r>
        <w:rPr>
          <w:rFonts w:hint="eastAsia" w:ascii="仿宋_GB2312" w:eastAsia="仿宋_GB2312"/>
          <w:sz w:val="32"/>
          <w:szCs w:val="32"/>
        </w:rPr>
        <w:t>成功实现连续十二年地灾预案点内“零伤亡”。</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通过自评，自评得分</w:t>
      </w:r>
      <w:r>
        <w:rPr>
          <w:rFonts w:hint="eastAsia" w:ascii="仿宋_GB2312" w:hAnsi="宋体" w:eastAsia="仿宋_GB2312"/>
          <w:sz w:val="32"/>
          <w:szCs w:val="32"/>
        </w:rPr>
        <w:t>98分。</w:t>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预算指标需进一步细化。</w:t>
      </w:r>
      <w:r>
        <w:rPr>
          <w:rFonts w:ascii="仿宋_GB2312" w:hAnsi="宋体" w:eastAsia="仿宋_GB2312"/>
          <w:sz w:val="32"/>
          <w:szCs w:val="32"/>
          <w:lang w:val="zh-CN"/>
        </w:rPr>
        <w:tab/>
      </w:r>
    </w:p>
    <w:p>
      <w:pPr>
        <w:adjustRightInd w:val="0"/>
        <w:snapToGrid w:val="0"/>
        <w:spacing w:line="600" w:lineRule="exact"/>
        <w:ind w:firstLine="72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Times New Roman"/>
          <w:sz w:val="32"/>
          <w:szCs w:val="32"/>
          <w:lang w:val="zh-CN" w:eastAsia="zh-CN"/>
        </w:rPr>
        <w:t>为了提高预算编制的科学性、合理性，下一步改进措施是完善绩效目标相关指标,建立健全项目管理制度,层层分解任务,明确相关人员责任,落实到位。</w:t>
      </w:r>
      <w:r>
        <w:rPr>
          <w:rFonts w:hint="eastAsia" w:ascii="仿宋_GB2312" w:hAnsi="仿宋_GB2312" w:eastAsia="仿宋_GB2312" w:cs="仿宋_GB2312"/>
          <w:sz w:val="32"/>
          <w:szCs w:val="32"/>
        </w:rPr>
        <w:t>一是完善内控制度，简化流程，促进项目及时开展。二是引进预算编制系统，进行预算指标细化分解。</w:t>
      </w:r>
    </w:p>
    <w:p>
      <w:pP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br w:type="page"/>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项目绩效目标自评表</w:t>
      </w:r>
    </w:p>
    <w:p>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i w:val="0"/>
          <w:iCs w:val="0"/>
          <w:color w:val="000000"/>
          <w:kern w:val="0"/>
          <w:sz w:val="32"/>
          <w:szCs w:val="32"/>
          <w:u w:val="none"/>
          <w:lang w:val="en-US" w:eastAsia="zh-CN" w:bidi="ar"/>
        </w:rPr>
        <w:t>(2021年度)</w:t>
      </w:r>
    </w:p>
    <w:tbl>
      <w:tblPr>
        <w:tblStyle w:val="12"/>
        <w:tblW w:w="89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779"/>
        <w:gridCol w:w="848"/>
        <w:gridCol w:w="1846"/>
        <w:gridCol w:w="973"/>
        <w:gridCol w:w="593"/>
        <w:gridCol w:w="1415"/>
        <w:gridCol w:w="641"/>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74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地质灾害防治工作经费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预算单位</w:t>
            </w:r>
          </w:p>
        </w:tc>
        <w:tc>
          <w:tcPr>
            <w:tcW w:w="74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广元市自然资源局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5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预算执行情况(万元)</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14.78</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执行数:</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5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14.78</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5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年度目标完成情况</w:t>
            </w:r>
          </w:p>
        </w:tc>
        <w:tc>
          <w:tcPr>
            <w:tcW w:w="3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预期目标</w:t>
            </w:r>
          </w:p>
        </w:tc>
        <w:tc>
          <w:tcPr>
            <w:tcW w:w="4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3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落实各项防灾措施，分层次开展培训和应急演练，有效提升全社会防灾避险能力。实现全市地质灾害隐患点群防群策，搞好汛期排查、汛期巡查和讯后核查工作，实现地质灾害隐患点“零”伤亡。</w:t>
            </w:r>
          </w:p>
        </w:tc>
        <w:tc>
          <w:tcPr>
            <w:tcW w:w="4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我局认真贯彻落实习近平总书记关于防灾减灾救灾系列论述和重要指示精神，一是制定了《广元市地质灾害全域综合整治三年行动计划（2021-2023年）任务分配方案和《广元市地质灾害全域综合整治2021年度实施方案》并报市政府常务会议审议通过。二是切实加强与市级相关部门的横向对接，积极争取财政部门支持，争取到2022年一般债券1.47亿元，用于地质灾害全域综合整治第三年行动计划。三是全年开展群防群策1010处，完成全市地质灾害隐患点1500点，完成汛期隐患点排查、检查和督导1000余次，开展地质灾害培训和演练95次。通过项目的实施，达到连续实现地灾隐患点“零”伤亡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年度绩效指标完成情况</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二级指标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三级指标</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预期指标值(包含数字及文字描述)</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实际完成指标值(包含数字及文字描述)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项目完成指标</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强化地质灾害防治工作，完成全市地质灾害隐患点监测</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1200点</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完成汛期隐患点排查、检查、督导次数</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900次</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1000余次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实施全市各县地质灾害应急演练和宣传培训</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90次</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时效指标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完成时间</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完成汛期隐患点排查、检查、督导差旅费</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9万元</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9万元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地质灾害应急演练、宣传和培训费</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5.78万元</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5.78万元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项目效果指标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经济效益指标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项目实施后保护财产</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21300万元</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21300万元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4"/>
                <w:szCs w:val="24"/>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社会效益</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项目实施后保护人数</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4160人</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4160人</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仿宋_GB2312" w:hAnsi="仿宋_GB2312" w:eastAsia="仿宋_GB2312" w:cs="仿宋_GB2312"/>
                <w:i w:val="0"/>
                <w:iCs w:val="0"/>
                <w:color w:val="000000"/>
                <w:sz w:val="24"/>
                <w:szCs w:val="24"/>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监测预警区地质灾害防御能力</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服务对象指标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实施区域群众防灾减灾参与度</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良好</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良好</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实施区域受益人群满意度</w:t>
            </w:r>
          </w:p>
        </w:tc>
        <w:tc>
          <w:tcPr>
            <w:tcW w:w="1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良好</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良好</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bl>
    <w:p>
      <w:pPr>
        <w:spacing w:line="580" w:lineRule="exact"/>
        <w:rPr>
          <w:rFonts w:hint="eastAsia" w:ascii="方正小标宋简体" w:hAnsi="宋体" w:eastAsia="方正小标宋简体"/>
          <w:color w:val="000000"/>
          <w:kern w:val="0"/>
          <w:sz w:val="44"/>
          <w:szCs w:val="44"/>
          <w:lang w:val="zh-CN"/>
        </w:rPr>
      </w:pPr>
    </w:p>
    <w:p>
      <w:pPr>
        <w:spacing w:line="580" w:lineRule="exact"/>
        <w:rPr>
          <w:rFonts w:ascii="宋体" w:hAnsi="宋体" w:eastAsia="宋体" w:cs="Times New Roman"/>
          <w:color w:val="auto"/>
          <w:kern w:val="2"/>
          <w:sz w:val="32"/>
          <w:szCs w:val="32"/>
          <w:highlight w:val="none"/>
          <w:lang w:val="zh-CN" w:eastAsia="zh-CN" w:bidi="ar-SA"/>
        </w:rPr>
      </w:pPr>
      <w:r>
        <w:rPr>
          <w:rFonts w:hint="eastAsia" w:ascii="方正小标宋简体" w:hAnsi="宋体" w:eastAsia="方正小标宋简体"/>
          <w:color w:val="000000"/>
          <w:kern w:val="0"/>
          <w:sz w:val="44"/>
          <w:szCs w:val="44"/>
          <w:lang w:val="zh-CN"/>
        </w:rPr>
        <w:br w:type="page"/>
      </w:r>
    </w:p>
    <w:p>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lang w:val="zh-CN"/>
        </w:rPr>
        <w:t>土地整理和报征工作经费项目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58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640" w:firstLineChars="200"/>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．职能职责。</w:t>
      </w:r>
    </w:p>
    <w:p>
      <w:pPr>
        <w:adjustRightInd w:val="0"/>
        <w:snapToGrid w:val="0"/>
        <w:spacing w:line="580" w:lineRule="exact"/>
        <w:ind w:firstLine="600" w:firstLineChars="200"/>
        <w:rPr>
          <w:rFonts w:hint="eastAsia" w:ascii="仿宋_GB2312" w:hAnsi="宋体" w:eastAsia="仿宋_GB2312"/>
          <w:sz w:val="32"/>
          <w:szCs w:val="32"/>
          <w:lang w:val="zh-CN"/>
        </w:rPr>
      </w:pPr>
      <w:r>
        <w:rPr>
          <w:rFonts w:hint="eastAsia" w:ascii="仿宋_GB2312" w:hAnsi="仿宋_GB2312" w:eastAsia="仿宋_GB2312" w:cs="仿宋_GB2312"/>
          <w:sz w:val="30"/>
          <w:szCs w:val="30"/>
        </w:rPr>
        <w:t>负责组织实施最严格的耕地保护制度。牵头拟订并实施全市耕地保护政策，负责耕地数量、质量、生态保护。组织实施耕地保护责任目标考核和永久基本农田特殊保护。完善耕地占补平衡制度，监督占用耕地补偿制度执行情况。</w:t>
      </w:r>
    </w:p>
    <w:p>
      <w:pPr>
        <w:numPr>
          <w:ilvl w:val="0"/>
          <w:numId w:val="4"/>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根据《土地管理法》相关政策，我局202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年申报土地整理和土地报征工作经费</w:t>
      </w:r>
      <w:r>
        <w:rPr>
          <w:rFonts w:hint="eastAsia" w:ascii="仿宋_GB2312" w:hAnsi="宋体" w:eastAsia="仿宋_GB2312"/>
          <w:sz w:val="32"/>
          <w:szCs w:val="32"/>
          <w:lang w:val="en-US" w:eastAsia="zh-CN"/>
        </w:rPr>
        <w:t>10</w:t>
      </w:r>
      <w:r>
        <w:rPr>
          <w:rFonts w:hint="eastAsia" w:ascii="仿宋_GB2312" w:hAnsi="宋体" w:eastAsia="仿宋_GB2312"/>
          <w:sz w:val="32"/>
          <w:szCs w:val="32"/>
        </w:rPr>
        <w:t>万元。</w:t>
      </w:r>
    </w:p>
    <w:p>
      <w:pPr>
        <w:numPr>
          <w:ilvl w:val="0"/>
          <w:numId w:val="4"/>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我局制定了《三重一大制度》，《财务管理制度》和《项目管理制度》，支付时严格按照相关制度执行，项目资金专款专用。</w:t>
      </w:r>
    </w:p>
    <w:p>
      <w:pPr>
        <w:numPr>
          <w:ilvl w:val="0"/>
          <w:numId w:val="4"/>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此项目是一项财政一般公共预算的常规性项目，只是日常的工作经费，财政根据我局年初编报的项目绩效目标和通过市人大的审核后直接下达指标。</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按照省厅下达我市土地利用年度计划，完成年度土地报征工作。开展全市土地整治项目监督管理和技术核查，</w:t>
      </w:r>
      <w:r>
        <w:rPr>
          <w:rFonts w:hint="eastAsia" w:ascii="仿宋_GB2312" w:hAnsi="宋体" w:eastAsia="仿宋_GB2312"/>
          <w:sz w:val="32"/>
          <w:szCs w:val="32"/>
          <w:lang w:val="zh-CN"/>
        </w:rPr>
        <w:t>完成</w:t>
      </w:r>
      <w:r>
        <w:rPr>
          <w:rFonts w:hint="eastAsia" w:ascii="仿宋_GB2312" w:hAnsi="宋体" w:eastAsia="仿宋_GB2312"/>
          <w:sz w:val="32"/>
          <w:szCs w:val="32"/>
        </w:rPr>
        <w:t>2020年以前竣工项目的验收工作，开展202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年度土地整理项目实施管理，开展土地整理项目入库、立项和资料整理入库</w:t>
      </w:r>
      <w:r>
        <w:rPr>
          <w:rFonts w:hint="eastAsia" w:ascii="仿宋_GB2312" w:hAnsi="宋体" w:eastAsia="仿宋_GB2312"/>
          <w:sz w:val="32"/>
          <w:szCs w:val="32"/>
          <w:lang w:val="en-US" w:eastAsia="zh-CN"/>
        </w:rPr>
        <w:t>等实施管理工作。</w:t>
      </w:r>
    </w:p>
    <w:p>
      <w:pPr>
        <w:numPr>
          <w:ilvl w:val="0"/>
          <w:numId w:val="5"/>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预期完成</w:t>
      </w:r>
      <w:r>
        <w:rPr>
          <w:rFonts w:hint="eastAsia" w:ascii="仿宋_GB2312" w:hAnsi="宋体" w:eastAsia="仿宋_GB2312"/>
          <w:sz w:val="32"/>
          <w:szCs w:val="32"/>
          <w:lang w:val="en-US" w:eastAsia="zh-CN"/>
        </w:rPr>
        <w:t>基本农田划定358.88亩，完成设施农用地备案870宗8731亩，新增土地整理项目9个，预计新增耕地3500亩。完成县区用地审查和转包、市本级土地报征，预计全年报征土地44件次共11148.4亩。</w:t>
      </w:r>
    </w:p>
    <w:p>
      <w:pPr>
        <w:numPr>
          <w:ilvl w:val="0"/>
          <w:numId w:val="5"/>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土地整理和土地报征项目申报的内容与实际相符，申报目标合理可行。</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年末通过数量指标、质量指标及产生的社会效益和政府满意度来自评项目绩效完成情况。</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年初我局申报土地整理和土地报征项目工作经费</w:t>
      </w:r>
      <w:r>
        <w:rPr>
          <w:rFonts w:hint="eastAsia" w:ascii="仿宋_GB2312" w:hAnsi="宋体" w:eastAsia="仿宋_GB2312"/>
          <w:sz w:val="32"/>
          <w:szCs w:val="32"/>
        </w:rPr>
        <w:t>15万元，财政用一般公共预算资金批复</w:t>
      </w:r>
      <w:r>
        <w:rPr>
          <w:rFonts w:hint="eastAsia" w:ascii="仿宋_GB2312" w:hAnsi="宋体" w:eastAsia="仿宋_GB2312"/>
          <w:sz w:val="32"/>
          <w:szCs w:val="32"/>
          <w:lang w:val="en-US" w:eastAsia="zh-CN"/>
        </w:rPr>
        <w:t>10</w:t>
      </w:r>
      <w:r>
        <w:rPr>
          <w:rFonts w:hint="eastAsia" w:ascii="仿宋_GB2312" w:hAnsi="宋体" w:eastAsia="仿宋_GB2312"/>
          <w:sz w:val="32"/>
          <w:szCs w:val="32"/>
        </w:rPr>
        <w:t>万元。</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（二）资金计划、到位及使用情况（可用表格形式反映）</w:t>
      </w:r>
    </w:p>
    <w:p>
      <w:pPr>
        <w:adjustRightInd w:val="0"/>
        <w:snapToGrid w:val="0"/>
        <w:spacing w:line="580" w:lineRule="exact"/>
        <w:ind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此项目属于常规性工作经费项目，财政用一般公共预算资金安排资金</w:t>
      </w:r>
      <w:r>
        <w:rPr>
          <w:rFonts w:hint="eastAsia" w:ascii="楷体_GB2312" w:hAnsi="宋体" w:eastAsia="楷体_GB2312"/>
          <w:sz w:val="32"/>
          <w:szCs w:val="32"/>
          <w:lang w:val="en-US" w:eastAsia="zh-CN"/>
        </w:rPr>
        <w:t>10</w:t>
      </w:r>
      <w:r>
        <w:rPr>
          <w:rFonts w:hint="eastAsia" w:ascii="楷体_GB2312" w:hAnsi="宋体" w:eastAsia="楷体_GB2312"/>
          <w:sz w:val="32"/>
          <w:szCs w:val="32"/>
        </w:rPr>
        <w:t>万元。</w:t>
      </w:r>
    </w:p>
    <w:p>
      <w:pPr>
        <w:numPr>
          <w:ilvl w:val="0"/>
          <w:numId w:val="6"/>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资金到位。</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截至2021年12月31日，财政拨付到位资金</w:t>
      </w:r>
      <w:r>
        <w:rPr>
          <w:rFonts w:hint="eastAsia" w:ascii="仿宋_GB2312" w:hAnsi="宋体" w:eastAsia="仿宋_GB2312"/>
          <w:sz w:val="32"/>
          <w:szCs w:val="32"/>
          <w:lang w:val="en-US" w:eastAsia="zh-CN"/>
        </w:rPr>
        <w:t>10</w:t>
      </w:r>
      <w:r>
        <w:rPr>
          <w:rFonts w:hint="eastAsia" w:ascii="仿宋_GB2312" w:hAnsi="宋体" w:eastAsia="仿宋_GB2312"/>
          <w:sz w:val="32"/>
          <w:szCs w:val="32"/>
          <w:lang w:val="zh-CN"/>
        </w:rPr>
        <w:t>万元。</w:t>
      </w:r>
    </w:p>
    <w:p>
      <w:pPr>
        <w:numPr>
          <w:ilvl w:val="0"/>
          <w:numId w:val="6"/>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资金使用。</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全年支付工作经费合计</w:t>
      </w:r>
      <w:r>
        <w:rPr>
          <w:rFonts w:hint="eastAsia" w:ascii="仿宋_GB2312" w:hAnsi="宋体" w:eastAsia="仿宋_GB2312"/>
          <w:sz w:val="32"/>
          <w:szCs w:val="32"/>
          <w:lang w:val="en-US" w:eastAsia="zh-CN"/>
        </w:rPr>
        <w:t>10</w:t>
      </w:r>
      <w:r>
        <w:rPr>
          <w:rFonts w:hint="eastAsia" w:ascii="仿宋_GB2312" w:hAnsi="宋体" w:eastAsia="仿宋_GB2312"/>
          <w:sz w:val="32"/>
          <w:szCs w:val="32"/>
          <w:lang w:val="zh-CN"/>
        </w:rPr>
        <w:t>万元，包括土地整理项目验收费用、土地报征的差旅费、</w:t>
      </w:r>
      <w:r>
        <w:rPr>
          <w:rFonts w:hint="eastAsia" w:ascii="仿宋_GB2312" w:hAnsi="宋体" w:eastAsia="仿宋_GB2312"/>
          <w:sz w:val="32"/>
          <w:szCs w:val="32"/>
          <w:lang w:val="en-US" w:eastAsia="zh-CN"/>
        </w:rPr>
        <w:t>租车费、</w:t>
      </w:r>
      <w:r>
        <w:rPr>
          <w:rFonts w:hint="eastAsia" w:ascii="仿宋_GB2312" w:hAnsi="宋体" w:eastAsia="仿宋_GB2312"/>
          <w:sz w:val="32"/>
          <w:szCs w:val="32"/>
          <w:lang w:val="zh-CN"/>
        </w:rPr>
        <w:t>文件打印费。</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我局制度了《财务管理制度》和《专项资金管理制度》和《三重一大制度》，项目支付过程中严格执行相关制度，专款专用，无截留，无挪用的现象。</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土地整理和土地报征工作经费属于财政下达的一般公共常规项目，都是工作经费，专门用于土地整理项目验收和报征土地日常经费。</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一</w:t>
      </w:r>
      <w:r>
        <w:rPr>
          <w:rFonts w:hint="eastAsia" w:ascii="仿宋_GB2312" w:hAnsi="宋体" w:eastAsia="仿宋_GB2312"/>
          <w:sz w:val="32"/>
          <w:szCs w:val="32"/>
          <w:lang w:val="zh-CN" w:eastAsia="zh-CN"/>
        </w:rPr>
        <w:t>是按试计划“三区三线”两轮试划中的基本农田核实划定工作，建立和完善划定数据库，将现状耕地应划尽划为基本农田后，我市试划基本农田358.88万亩；二是完成设施农用地备案870宗8731亩；三是新争取土地整理项目9个，预算总投资1.46亿元，预计可新增耕地3500亩；四是督促4个被省厅撤销项目涉及的县区加快项目验收并将4个项目转为地方投资的土地整理项目；五是超额完成土地报征全年目标任务，全年共报征土地44件次共11148.402亩，其中批次用地37件次6305.9070亩，单独选址项目7件次4842.495亩，确保项目合法用地。六是完成补充耕地项目问题整改，预计新增耕地指标200.79亩；七是结合永久基本农田核实整改补足工作，已完成退耕还林占用基本农田7779.04亩的土地利用变更调查工作，按相关政策要求纳入基本农田管理范畴。八是指导县区编制土地成片开发方案共19个，面积14254.5195亩，保障重点项目用地指标。</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1.保障各类建设项目用地，为征收土地提供了政策保障，达到了维护社会稳定，促进全市社会经济发展的目的。</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2.建设占用耕地面积按规定落实了占补平衡，土地整治和高标准农田建设项目实施取得了良好成效。</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3.对全市225个省市重点项目、市领导挂联重点项目及省级</w:t>
      </w:r>
      <w:r>
        <w:rPr>
          <w:rFonts w:hint="eastAsia" w:ascii="仿宋_GB2312" w:eastAsia="仿宋_GB2312"/>
          <w:sz w:val="32"/>
          <w:szCs w:val="32"/>
        </w:rPr>
        <w:t>重点推进项目用地情况进行全面梳理，积极协调苍溪县、青川县调整剩余指标到利州区和朝天区，有力保障了川陕甘高铁快运物流基地项目用地。</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adjustRightInd w:val="0"/>
        <w:snapToGrid w:val="0"/>
        <w:spacing w:line="58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通过自评，自评得分</w:t>
      </w:r>
      <w:r>
        <w:rPr>
          <w:rFonts w:hint="eastAsia" w:ascii="仿宋_GB2312" w:hAnsi="宋体" w:eastAsia="仿宋_GB2312"/>
          <w:sz w:val="32"/>
          <w:szCs w:val="32"/>
        </w:rPr>
        <w:t>100分。</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预算指标需进一步细化。</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1.完善预算编制体系，提高预算编制科学性</w:t>
      </w:r>
    </w:p>
    <w:p>
      <w:pPr>
        <w:adjustRightInd w:val="0"/>
        <w:snapToGrid w:val="0"/>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根据财政部门的具体要求，完善财务预算编制的相关业务流程。预算编制工作是一项政策性、技术性和实效性要求都很强的工作，需要预算编制人员及部门具有较高的政策水平、专业技术水平很强的执行力。提高预算编制的准确性和前瞻性。同时，充分分析部门业务特点，总结部门历史经验合理编制单位预算。</w:t>
      </w:r>
    </w:p>
    <w:p>
      <w:pPr>
        <w:adjustRightInd w:val="0"/>
        <w:snapToGrid w:val="0"/>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2.绩效目标的设置</w:t>
      </w:r>
    </w:p>
    <w:p>
      <w:pPr>
        <w:adjustRightInd w:val="0"/>
        <w:snapToGrid w:val="0"/>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科学合理地设置绩效指标，提高预算绩效指标的针对性和可测性，充分发挥预算绩效目标管理的导向作用。</w:t>
      </w:r>
    </w:p>
    <w:p>
      <w:pP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olor w:val="000000"/>
          <w:kern w:val="0"/>
          <w:sz w:val="44"/>
          <w:szCs w:val="44"/>
          <w:u w:val="none"/>
          <w:lang w:val="zh-CN"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项目支出绩效目标自评表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kern w:val="0"/>
          <w:sz w:val="32"/>
          <w:szCs w:val="32"/>
          <w:lang w:val="zh-CN"/>
        </w:rPr>
      </w:pPr>
      <w:r>
        <w:rPr>
          <w:rFonts w:hint="eastAsia" w:ascii="楷体_GB2312" w:hAnsi="楷体_GB2312" w:eastAsia="楷体_GB2312" w:cs="楷体_GB2312"/>
          <w:i w:val="0"/>
          <w:iCs w:val="0"/>
          <w:color w:val="000000"/>
          <w:kern w:val="0"/>
          <w:sz w:val="32"/>
          <w:szCs w:val="32"/>
          <w:u w:val="none"/>
          <w:lang w:val="en-US" w:eastAsia="zh-CN" w:bidi="ar"/>
        </w:rPr>
        <w:t>(2021年度)</w:t>
      </w:r>
    </w:p>
    <w:tbl>
      <w:tblPr>
        <w:tblStyle w:val="12"/>
        <w:tblW w:w="9176"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828"/>
        <w:gridCol w:w="256"/>
        <w:gridCol w:w="654"/>
        <w:gridCol w:w="1293"/>
        <w:gridCol w:w="1452"/>
        <w:gridCol w:w="284"/>
        <w:gridCol w:w="1752"/>
        <w:gridCol w:w="231"/>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项目名称</w:t>
            </w:r>
          </w:p>
        </w:tc>
        <w:tc>
          <w:tcPr>
            <w:tcW w:w="7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土地整治和土地报征工作经费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预算单位</w:t>
            </w:r>
          </w:p>
        </w:tc>
        <w:tc>
          <w:tcPr>
            <w:tcW w:w="722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预算执行情况</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(万元)</w:t>
            </w: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执行数:</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其中-财政拨款:</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其中-财政拨款:</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年度目标完成情况</w:t>
            </w:r>
          </w:p>
        </w:tc>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预期目标</w:t>
            </w:r>
          </w:p>
        </w:tc>
        <w:tc>
          <w:tcPr>
            <w:tcW w:w="5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30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照省厅下达我市土地利用年度计划，完成年度土地报征工作。开展全市土地整治项目监督管理和技术核查，完成2020年以前已竣工的验收工作，开展2021年土地整治项目可研入库、立项和资料归档等实施管理工作。</w:t>
            </w:r>
          </w:p>
        </w:tc>
        <w:tc>
          <w:tcPr>
            <w:tcW w:w="528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按试计划“三区三线”两轮试划中的基本农田核实划定工作，建立和完善划定数据库，将现状耕地应划尽划为基本农田后，我市试划基本农田358.88万亩；二是完成设施农用地备案870宗8731亩；三是新争取土地整理项目9个，预算总投资1.46亿元，预计可新增耕地3500亩；四是督促4个被省厅撤销项目涉及的县区加快项目验收并将4个项目转为地方投资的土地整理项目；五是超额完成土地报征全年目标任务，全年共报征土地44件次共11148.402亩，其中批次用地37件次6305.9070亩，单独选址项目7件次4842.495亩，确保项目合法用地。六是完成补充耕地项目问题整改，预计新增耕地指标200.79亩；七是结合永久基本农田核实整改补足工作，已完成退耕还林占用基本农田7779.04亩的土地利用变更调查工作，按相关政策要求纳入基本农田管理范畴。八是指导县区编制土地成片开发方案共19个，面积14254.5195亩，保障重点项目用地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年度绩效指标完成情况</w:t>
            </w:r>
          </w:p>
        </w:tc>
        <w:tc>
          <w:tcPr>
            <w:tcW w:w="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一级指标</w:t>
            </w:r>
          </w:p>
        </w:tc>
        <w:tc>
          <w:tcPr>
            <w:tcW w:w="91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二级指标</w:t>
            </w:r>
          </w:p>
        </w:tc>
        <w:tc>
          <w:tcPr>
            <w:tcW w:w="12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三级指标</w:t>
            </w:r>
          </w:p>
        </w:tc>
        <w:tc>
          <w:tcPr>
            <w:tcW w:w="173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预期指标值(包含数字及文字描述)</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实际完成指标值(包含数字及文字描述)</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项目完成指标</w:t>
            </w:r>
          </w:p>
        </w:tc>
        <w:tc>
          <w:tcPr>
            <w:tcW w:w="910" w:type="dxa"/>
            <w:gridSpan w:val="2"/>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数量指标</w:t>
            </w:r>
          </w:p>
        </w:tc>
        <w:tc>
          <w:tcPr>
            <w:tcW w:w="12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基本农田试划定</w:t>
            </w:r>
          </w:p>
        </w:tc>
        <w:tc>
          <w:tcPr>
            <w:tcW w:w="1736"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基本农田试划定358.88万亩</w:t>
            </w:r>
          </w:p>
        </w:tc>
        <w:tc>
          <w:tcPr>
            <w:tcW w:w="198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基本农田试划定358.88万亩</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设施农用地备案</w:t>
            </w:r>
          </w:p>
        </w:tc>
        <w:tc>
          <w:tcPr>
            <w:tcW w:w="173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完成设施农用地备案870宗8731亩</w:t>
            </w:r>
          </w:p>
        </w:tc>
        <w:tc>
          <w:tcPr>
            <w:tcW w:w="198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完成设施农用地备案870宗8731亩</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12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新增土地整理项目</w:t>
            </w:r>
          </w:p>
        </w:tc>
        <w:tc>
          <w:tcPr>
            <w:tcW w:w="1736"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新增土地整理项目9个，预计新增耕地3500亩。</w:t>
            </w:r>
          </w:p>
        </w:tc>
        <w:tc>
          <w:tcPr>
            <w:tcW w:w="198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新增土地整理项目9个，预计新增耕地3500亩。</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12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完成县区用地的审查和转报、完成市本级土地报征</w:t>
            </w:r>
          </w:p>
        </w:tc>
        <w:tc>
          <w:tcPr>
            <w:tcW w:w="173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全年共报征土地44件次共11148.4亩</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全年共报征土地44件次共11148.4亩，指导县区编制土地征收成片开发方案共19个，面积14254.5195亩。</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时效指标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完成时间</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1年</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1年</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成本指标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项目验收和监督管理</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3万元</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3万元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项目入库和立项</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3万元</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3万元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完成市本级土地报征</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4万元</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4万元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质量指标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已竣工的项目</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达到相关的验收补助标准</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达到相关的验收补助标准</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入库和立项的项目</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达到相关的立库和立项的标准</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达到相关的立库和立项的标准</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审查和转报县区土地报征资料</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依法依规按程序审查，达到报征标准。</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依法依规按程序审查，达到报征标准</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6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完成市本级土地报征</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达到保证标准，取得用地批复。</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依法依规按程序审查，达到报征标准</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项目效果指标</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社会效益</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增加耕地面积，提供项目用地保障。</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提高粮食生产能力，改善项目区群众生产和生活水平</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提高粮食生产能力，改善项目区群众生产和生活水平</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经济效益</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推动经济发展</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推动经济发展</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推动经济发展</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宋体" w:eastAsia="仿宋_GB2312" w:cs="仿宋_GB2312"/>
                <w:i w:val="0"/>
                <w:iCs w:val="0"/>
                <w:color w:val="000000"/>
                <w:sz w:val="24"/>
                <w:szCs w:val="24"/>
                <w:u w:val="none"/>
              </w:rPr>
            </w:pP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服务对象满意度</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项目区群众满意度</w:t>
            </w:r>
          </w:p>
        </w:tc>
        <w:tc>
          <w:tcPr>
            <w:tcW w:w="1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良好</w:t>
            </w:r>
          </w:p>
        </w:tc>
        <w:tc>
          <w:tcPr>
            <w:tcW w:w="1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良好</w:t>
            </w: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br w:type="page"/>
      </w:r>
    </w:p>
    <w:p>
      <w:pPr>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lang w:val="zh-CN"/>
        </w:rPr>
        <w:t>矿业权管理专项业务经费项目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58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．职能职责</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负责全市矿产资源管理工作。负责矿产资源储量管理及压覆矿产资源审核报批。负责矿业权管理。会同有关部门承担保护性开采的特定矿种、优势矿产的调控及相关管理工作。监督指导矿产资源合理利用和保护。</w:t>
      </w:r>
    </w:p>
    <w:p>
      <w:pPr>
        <w:numPr>
          <w:ilvl w:val="0"/>
          <w:numId w:val="7"/>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广元市财政局、</w:t>
      </w:r>
      <w:r>
        <w:rPr>
          <w:rFonts w:hint="eastAsia" w:ascii="仿宋_GB2312" w:hAnsi="宋体" w:eastAsia="仿宋_GB2312"/>
          <w:sz w:val="32"/>
          <w:szCs w:val="32"/>
        </w:rPr>
        <w:t>广元市国土资源局、中国人民银行广元市中心支行关于印发《广元市矿业权出让收益征收管理实施细则》（暂行）（广财投〔2018〕69号）。</w:t>
      </w:r>
    </w:p>
    <w:p>
      <w:pPr>
        <w:numPr>
          <w:ilvl w:val="0"/>
          <w:numId w:val="7"/>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我局制定了《三重一大制度》，《财务管理制度》和《项目管理制度》，支付时严格按照相关制度执行，项目资金实行专款专用。</w:t>
      </w:r>
    </w:p>
    <w:p>
      <w:pPr>
        <w:numPr>
          <w:ilvl w:val="0"/>
          <w:numId w:val="7"/>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此项目是一项财政一般公共预算的常规性项目，只是日常的工作经费，财政根据我局年初编报的项目绩效目标和通过市人大的审核后直接下达指标。</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开展市级出让矿业权前期地质调查、资源勘查、储量核实及出让收益评估等工作。</w:t>
      </w:r>
    </w:p>
    <w:p>
      <w:pPr>
        <w:numPr>
          <w:ilvl w:val="0"/>
          <w:numId w:val="8"/>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开展市级出让矿业权</w:t>
      </w:r>
      <w:r>
        <w:rPr>
          <w:rFonts w:hint="eastAsia" w:ascii="仿宋_GB2312" w:hAnsi="宋体" w:eastAsia="仿宋_GB2312"/>
          <w:sz w:val="32"/>
          <w:szCs w:val="32"/>
          <w:lang w:val="en-US" w:eastAsia="zh-CN"/>
        </w:rPr>
        <w:t>4</w:t>
      </w:r>
      <w:r>
        <w:rPr>
          <w:rFonts w:hint="eastAsia" w:ascii="仿宋_GB2312" w:hAnsi="宋体" w:eastAsia="仿宋_GB2312"/>
          <w:sz w:val="32"/>
          <w:szCs w:val="32"/>
        </w:rPr>
        <w:t>个，</w:t>
      </w:r>
      <w:r>
        <w:rPr>
          <w:rFonts w:hint="eastAsia" w:ascii="仿宋_GB2312" w:hAnsi="宋体" w:eastAsia="仿宋_GB2312"/>
          <w:sz w:val="32"/>
          <w:szCs w:val="32"/>
          <w:lang w:val="en-US" w:eastAsia="zh-CN"/>
        </w:rPr>
        <w:t>出让可信储量3300万吨，重点项目保障砂石1000万吨，办结采矿权探矿权等级39件，实现政府收益。</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矿业权管理专项业务经费申报的内容与实际相符，申报目标合理可行。</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年末通过数量指标、质量指标及产生的社会效益和政府满意度来自评项目绩效完成情况。</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年初我局申报</w:t>
      </w:r>
      <w:r>
        <w:rPr>
          <w:rFonts w:hint="eastAsia" w:ascii="仿宋_GB2312" w:hAnsi="仿宋_GB2312" w:eastAsia="仿宋_GB2312" w:cs="仿宋_GB2312"/>
          <w:sz w:val="30"/>
          <w:szCs w:val="30"/>
        </w:rPr>
        <w:t>矿产资源管理</w:t>
      </w:r>
      <w:r>
        <w:rPr>
          <w:rFonts w:hint="eastAsia" w:ascii="仿宋_GB2312" w:hAnsi="宋体" w:eastAsia="仿宋_GB2312"/>
          <w:sz w:val="32"/>
          <w:szCs w:val="32"/>
          <w:lang w:val="zh-CN"/>
        </w:rPr>
        <w:t>工作经费</w:t>
      </w:r>
      <w:r>
        <w:rPr>
          <w:rFonts w:hint="eastAsia" w:ascii="仿宋_GB2312" w:hAnsi="宋体" w:eastAsia="仿宋_GB2312"/>
          <w:sz w:val="32"/>
          <w:szCs w:val="32"/>
          <w:lang w:val="en-US" w:eastAsia="zh-CN"/>
        </w:rPr>
        <w:t>20</w:t>
      </w:r>
      <w:r>
        <w:rPr>
          <w:rFonts w:hint="eastAsia" w:ascii="仿宋_GB2312" w:hAnsi="宋体" w:eastAsia="仿宋_GB2312"/>
          <w:sz w:val="32"/>
          <w:szCs w:val="32"/>
        </w:rPr>
        <w:t>万元，财政批复10万元。</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（二）资金计划、到位及使用情况（可用表格形式反映）</w:t>
      </w:r>
    </w:p>
    <w:p>
      <w:pPr>
        <w:adjustRightInd w:val="0"/>
        <w:snapToGrid w:val="0"/>
        <w:spacing w:line="580" w:lineRule="exact"/>
        <w:ind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此项目属于常规性工作经费项目，财政用一般公共预算资金安排资金10.00万元。</w:t>
      </w:r>
    </w:p>
    <w:p>
      <w:pPr>
        <w:numPr>
          <w:ilvl w:val="0"/>
          <w:numId w:val="9"/>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资金到位。</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截至2021年12月31日，财政拨付一般公共预算项目资金10.00万元。</w:t>
      </w:r>
    </w:p>
    <w:p>
      <w:pPr>
        <w:numPr>
          <w:ilvl w:val="0"/>
          <w:numId w:val="9"/>
        </w:numPr>
        <w:adjustRightInd w:val="0"/>
        <w:snapToGrid w:val="0"/>
        <w:spacing w:line="580"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资金使用。</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全年支付矿业权管理专项经费</w:t>
      </w:r>
      <w:r>
        <w:rPr>
          <w:rFonts w:hint="eastAsia" w:ascii="仿宋_GB2312" w:hAnsi="宋体" w:eastAsia="仿宋_GB2312"/>
          <w:sz w:val="32"/>
          <w:szCs w:val="32"/>
        </w:rPr>
        <w:t>10万元，主要包括矿权出让评估、规划编制费、矿权储量核实的差旅费，打印费、宣传费等费用。</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adjustRightInd w:val="0"/>
        <w:snapToGrid w:val="0"/>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我局制度了《财务管理制度》和《专项资金管理制度》，项目支付过程中严格执行相关制度，专款专用，无截留，无挪用的现象。</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矿业权管理专项业务经费属于财政下达的常规一般公共项目，都是工作经费，专门用于全市市级矿业权前期地质调查、资源勘查、储量核实及出让收益等日常工作经费，资金使用坚持专款专用，完成预期计划。</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是矿产资源规划完成。完成了《广元市矿产资源总体规划（2021-2025）》（送审稿），提出了以砂石建材保障重要门户枢纽建设、以全域地热温泉支撑康养旅游胜地、以优势矿产资源高质量开发助力幸福美丽家园，为全面建设社会主义现代化广元提供有力保障。二是重点项目资源保障落实。公开挂牌出让的青川建峰镇青风村灰岩矿、清溪平桥村蒲家沟灰岩矿及剑阁下寺灰岩4个采矿权成功摘牌，出让可信储量3300万吨。二是完成市级办结采矿权探矿权登记39件，上报省厅15件，全市实现采矿权出让收益31763万元，同比增长1500%，为重点项目保障砂石资源约1000万吨，有力支撑了广平高速、京昆高速绵广复线、绵万高速、西部建材家居城等建设项目需求。三是完成了矿业权出让基准价调整更新。四是全面系统完成了矿业权专项清理工作，共清理全市有效采矿权157个，有效探矿权33个。</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1.全年实现市本级矿权出让</w:t>
      </w:r>
      <w:r>
        <w:rPr>
          <w:rFonts w:hint="eastAsia" w:ascii="仿宋_GB2312" w:eastAsia="仿宋_GB2312"/>
          <w:sz w:val="32"/>
          <w:szCs w:val="32"/>
          <w:lang w:val="en-US" w:eastAsia="zh-CN"/>
        </w:rPr>
        <w:t>4</w:t>
      </w:r>
      <w:r>
        <w:rPr>
          <w:rFonts w:hint="eastAsia" w:ascii="仿宋_GB2312" w:eastAsia="仿宋_GB2312"/>
          <w:sz w:val="32"/>
          <w:szCs w:val="32"/>
        </w:rPr>
        <w:t>个</w:t>
      </w:r>
      <w:r>
        <w:rPr>
          <w:rFonts w:hint="eastAsia" w:ascii="仿宋_GB2312" w:eastAsia="仿宋_GB2312"/>
          <w:sz w:val="32"/>
          <w:szCs w:val="32"/>
          <w:lang w:val="en-US" w:eastAsia="zh-CN"/>
        </w:rPr>
        <w:t>出让可信储量3300万吨，重点项目保障砂石1000万吨，办结采矿权探矿权39件，实现政府收益31763万元。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2.有力支撑了广平高速、京昆高速绵广复线、绵万高速、西部建材家居城等建设项目需求</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通过自评，自评得分</w:t>
      </w:r>
      <w:r>
        <w:rPr>
          <w:rFonts w:hint="eastAsia" w:ascii="仿宋_GB2312" w:hAnsi="宋体" w:eastAsia="仿宋_GB2312"/>
          <w:sz w:val="32"/>
          <w:szCs w:val="32"/>
        </w:rPr>
        <w:t>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sz w:val="32"/>
          <w:szCs w:val="32"/>
          <w:lang w:val="zh-CN"/>
        </w:rPr>
      </w:pPr>
      <w:r>
        <w:rPr>
          <w:rFonts w:hint="eastAsia" w:ascii="仿宋_GB2312" w:hAnsi="宋体" w:eastAsia="仿宋_GB2312"/>
          <w:sz w:val="32"/>
          <w:szCs w:val="32"/>
          <w:lang w:val="zh-CN"/>
        </w:rPr>
        <w:t>预算指标需进一步细化。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为了提高预算编制的科学性、合理性，下一步改进措施是完善绩效目标相关指标,建立健全项目管理制度,层层分解任务,明确相关人员责任,落实到位。</w:t>
      </w:r>
    </w:p>
    <w:p>
      <w:pPr>
        <w:pStyle w:val="2"/>
        <w:rPr>
          <w:rFonts w:hint="eastAsia" w:ascii="仿宋_GB2312" w:hAnsi="宋体" w:eastAsia="仿宋_GB2312" w:cs="宋体"/>
          <w:b w:val="0"/>
          <w:bCs w:val="0"/>
          <w:color w:val="auto"/>
          <w:kern w:val="0"/>
          <w:sz w:val="32"/>
          <w:szCs w:val="32"/>
          <w:highlight w:val="none"/>
          <w:shd w:val="clear" w:color="auto" w:fill="FFFFFF"/>
          <w:lang w:val="zh-CN"/>
        </w:rPr>
      </w:pPr>
    </w:p>
    <w:p>
      <w:pPr>
        <w:rPr>
          <w:rFonts w:hint="eastAsia" w:ascii="方正小标宋简体" w:hAnsi="宋体" w:eastAsia="方正小标宋简体"/>
          <w:color w:val="000000"/>
          <w:kern w:val="0"/>
          <w:sz w:val="44"/>
          <w:szCs w:val="44"/>
          <w:lang w:val="zh-CN"/>
        </w:rPr>
      </w:pPr>
    </w:p>
    <w:p>
      <w:pPr>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br w:type="page"/>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i w:val="0"/>
          <w:iCs w:val="0"/>
          <w:color w:val="000000"/>
          <w:kern w:val="0"/>
          <w:sz w:val="44"/>
          <w:szCs w:val="44"/>
          <w:u w:val="none"/>
          <w:lang w:val="zh-CN"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项目支出绩效目标自评表</w:t>
      </w:r>
    </w:p>
    <w:p>
      <w:pPr>
        <w:jc w:val="center"/>
        <w:rPr>
          <w:rFonts w:hint="eastAsia"/>
          <w:lang w:val="zh-CN"/>
        </w:rPr>
      </w:pPr>
      <w:r>
        <w:rPr>
          <w:rFonts w:hint="eastAsia" w:ascii="楷体_GB2312" w:hAnsi="楷体_GB2312" w:eastAsia="楷体_GB2312" w:cs="楷体_GB2312"/>
          <w:i w:val="0"/>
          <w:iCs w:val="0"/>
          <w:color w:val="000000"/>
          <w:kern w:val="0"/>
          <w:sz w:val="32"/>
          <w:szCs w:val="32"/>
          <w:u w:val="none"/>
          <w:lang w:val="en-US" w:eastAsia="zh-CN" w:bidi="ar"/>
        </w:rPr>
        <w:t>(2021年度)</w:t>
      </w:r>
    </w:p>
    <w:tbl>
      <w:tblPr>
        <w:tblStyle w:val="12"/>
        <w:tblW w:w="89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9"/>
        <w:gridCol w:w="855"/>
        <w:gridCol w:w="397"/>
        <w:gridCol w:w="1405"/>
        <w:gridCol w:w="2051"/>
        <w:gridCol w:w="2051"/>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项目名称</w:t>
            </w:r>
          </w:p>
        </w:tc>
        <w:tc>
          <w:tcPr>
            <w:tcW w:w="67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矿业权管理专项业务经费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预算单位</w:t>
            </w:r>
          </w:p>
        </w:tc>
        <w:tc>
          <w:tcPr>
            <w:tcW w:w="67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广元市自然资源局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预算执行情况(万元)</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预算数: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执行数:</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其中-财政拨款:</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其中-财政拨款:</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0</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其他资金:</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年度目标完成情况</w:t>
            </w:r>
          </w:p>
        </w:tc>
        <w:tc>
          <w:tcPr>
            <w:tcW w:w="26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预期目标</w:t>
            </w:r>
          </w:p>
        </w:tc>
        <w:tc>
          <w:tcPr>
            <w:tcW w:w="5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5"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6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矿业权市场基准价确定；矿山地质保护与土地复垦方案审查，市级颁证的矿产资源储量、开发利用方案、矿山地质环境保护与土地督察方案等技术报告审查，市级出让矿业权的评估费用等。</w:t>
            </w:r>
          </w:p>
        </w:tc>
        <w:tc>
          <w:tcPr>
            <w:tcW w:w="53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是矿产资源规划完成。完成了《广元市矿产资源总体规划（2021-2025）》（送审稿），提出了以砂石建材保障重要门户枢纽建设、以全域地热温泉支撑康养旅游胜地、以优势矿产资源高质量开发助力幸福美丽家园，为全面建设社会主义现代化广元提供有力保障。二是重点项目资源保障落实。公开挂牌出让的青川建峰镇青风村灰岩矿、清溪平桥村蒲家沟灰岩矿及剑阁下寺灰岩4个采矿权成功摘牌，出让可信储量3300万吨。二是完成市级办结采矿权探矿权登记39件，上报省厅15件，全市实现采矿权出让收益31763万元，同比增长1500%，为重点项目保障砂石资源约1000万吨，有力支撑了广平高速、京昆高速绵广复线、绵万高速、西部建材家居城等建设项目需求。三是完成了矿业权出让基准价调整更新。四是全面系统完成了矿业权专项清理工作，共清理全市有效采矿权157个，有效探矿权33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年度绩效指标完成情况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一级指标</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二级指标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预期指标值(包含数字及文字描述)</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实际完成指标值(包含数字及文字描述)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项目完成指标</w:t>
            </w:r>
          </w:p>
        </w:tc>
        <w:tc>
          <w:tcPr>
            <w:tcW w:w="18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采矿权挂牌出让4个</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采矿权挂牌出让4个，出让可信储量3300万吨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重点项目保障砂石1000万吨</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重点项目保障砂石1000万吨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以实际发生数</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办结采矿权探矿权登记39件，实现政府收益31763万元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时效指标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1年</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成本指标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地质核查、矿产资源勘察、储量核实经费</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10万元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质量指标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成果资料100%通过各级验收。</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成果资料100%通过各级验收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项目效果指标</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社会效益指标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为矿业权出让提供基础资料</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为矿业权出让提供基础资料</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经济效益</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矿业权招拍挂出让实现政府收益31763万元。</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矿业权招拍挂出让实现政府收益31763万元。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满意度指标</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矿业权人满意度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良好</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良好</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上级主管部门满意度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良好</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良好</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完成</w:t>
            </w:r>
          </w:p>
        </w:tc>
      </w:tr>
    </w:tbl>
    <w:p>
      <w:pP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br w:type="page"/>
      </w:r>
    </w:p>
    <w:p>
      <w:pPr>
        <w:spacing w:line="58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卫片执法及案件查处、动态巡查工作经费</w:t>
      </w:r>
    </w:p>
    <w:p>
      <w:pPr>
        <w:spacing w:line="58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w:t>
      </w:r>
      <w:r>
        <w:rPr>
          <w:rFonts w:hint="eastAsia" w:ascii="方正小标宋简体" w:hAnsi="宋体" w:eastAsia="方正小标宋简体"/>
          <w:color w:val="000000"/>
          <w:kern w:val="0"/>
          <w:sz w:val="44"/>
          <w:szCs w:val="44"/>
        </w:rPr>
        <w:t>目</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58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．职能职责</w:t>
      </w:r>
    </w:p>
    <w:p>
      <w:pPr>
        <w:spacing w:line="58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配合国家对县区政府落实党中央、国务院关于自然资源和国土空间规划的重大方针政策、决策部署及法律法规执行情况进行督察。按照市委、市政府安排，组织实施自然资源督查相关工作。查处全市自然资源开发利用、国土空间规划等领域重大违法案件。指导县区有关行政执法工作。</w:t>
      </w:r>
    </w:p>
    <w:p>
      <w:pPr>
        <w:numPr>
          <w:ilvl w:val="0"/>
          <w:numId w:val="10"/>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四川省国土资源执法监察动态巡查工作暂行办法（川国土资发〔</w:t>
      </w:r>
      <w:r>
        <w:rPr>
          <w:rFonts w:hint="eastAsia" w:ascii="仿宋_GB2312" w:hAnsi="宋体" w:eastAsia="仿宋_GB2312"/>
          <w:sz w:val="32"/>
          <w:szCs w:val="32"/>
        </w:rPr>
        <w:t>2008</w:t>
      </w:r>
      <w:r>
        <w:rPr>
          <w:rFonts w:hint="eastAsia" w:ascii="仿宋_GB2312" w:hAnsi="宋体" w:eastAsia="仿宋_GB2312"/>
          <w:sz w:val="32"/>
          <w:szCs w:val="32"/>
          <w:lang w:val="zh-CN"/>
        </w:rPr>
        <w:t>〕</w:t>
      </w:r>
      <w:r>
        <w:rPr>
          <w:rFonts w:hint="eastAsia" w:ascii="仿宋_GB2312" w:hAnsi="宋体" w:eastAsia="仿宋_GB2312"/>
          <w:sz w:val="32"/>
          <w:szCs w:val="32"/>
        </w:rPr>
        <w:t>97号</w:t>
      </w:r>
      <w:r>
        <w:rPr>
          <w:rFonts w:hint="eastAsia" w:ascii="仿宋_GB2312" w:hAnsi="宋体" w:eastAsia="仿宋_GB2312"/>
          <w:sz w:val="32"/>
          <w:szCs w:val="32"/>
          <w:lang w:val="zh-CN"/>
        </w:rPr>
        <w:t>）。</w:t>
      </w:r>
    </w:p>
    <w:p>
      <w:pPr>
        <w:numPr>
          <w:ilvl w:val="0"/>
          <w:numId w:val="10"/>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我局制定了《三重一大制度》，《财务管理制度》和《项目管理制度》，支付时严格按照相关制度执行，项目资金专款专用。</w:t>
      </w:r>
    </w:p>
    <w:p>
      <w:pPr>
        <w:numPr>
          <w:ilvl w:val="0"/>
          <w:numId w:val="10"/>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此项目是一项财政一般公共预算的常规性项目，只是日常的工作经费，财政根据我局年初编报的项目绩效目标和通过市人大的审核后直接下达指标。</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zh-CN"/>
        </w:rPr>
        <w:t>完成2021年度自然资源动态巡查600次（含三个区），完成2021年度自然资源违法违规案件查处。</w:t>
      </w:r>
    </w:p>
    <w:p>
      <w:pPr>
        <w:numPr>
          <w:ilvl w:val="0"/>
          <w:numId w:val="11"/>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全年共组织开展动态巡查600次，重点区域巡查覆盖率大于95%。全年组织各县区局立案查处自然资源违法案130件。完成2021年部、厅下发的卫片执法图斑核查填报3000个以上。</w:t>
      </w:r>
    </w:p>
    <w:p>
      <w:pPr>
        <w:numPr>
          <w:ilvl w:val="0"/>
          <w:numId w:val="11"/>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申报内容与实际相符，申报目标合理可行。</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年末通过数量指标、质量指标及产生的社会效益和政府满意度来自评项目绩效完成情况。</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年初我局申报项目工作经费</w:t>
      </w:r>
      <w:r>
        <w:rPr>
          <w:rFonts w:hint="eastAsia" w:ascii="仿宋_GB2312" w:hAnsi="宋体" w:eastAsia="仿宋_GB2312"/>
          <w:sz w:val="32"/>
          <w:szCs w:val="32"/>
          <w:lang w:val="en-US" w:eastAsia="zh-CN"/>
        </w:rPr>
        <w:t>15</w:t>
      </w:r>
      <w:r>
        <w:rPr>
          <w:rFonts w:hint="eastAsia" w:ascii="仿宋_GB2312" w:hAnsi="宋体" w:eastAsia="仿宋_GB2312"/>
          <w:sz w:val="32"/>
          <w:szCs w:val="32"/>
        </w:rPr>
        <w:t>万元，财政批复</w:t>
      </w:r>
      <w:r>
        <w:rPr>
          <w:rFonts w:hint="eastAsia" w:ascii="仿宋_GB2312" w:hAnsi="宋体" w:eastAsia="仿宋_GB2312"/>
          <w:sz w:val="32"/>
          <w:szCs w:val="32"/>
          <w:lang w:val="en-US" w:eastAsia="zh-CN"/>
        </w:rPr>
        <w:t>8</w:t>
      </w:r>
      <w:r>
        <w:rPr>
          <w:rFonts w:hint="eastAsia" w:ascii="仿宋_GB2312" w:hAnsi="宋体" w:eastAsia="仿宋_GB2312"/>
          <w:sz w:val="32"/>
          <w:szCs w:val="32"/>
        </w:rPr>
        <w:t>万元。</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（二）资金计划、到位及使用情况</w:t>
      </w:r>
    </w:p>
    <w:p>
      <w:pPr>
        <w:adjustRightInd w:val="0"/>
        <w:snapToGrid w:val="0"/>
        <w:spacing w:line="580" w:lineRule="exact"/>
        <w:ind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此项目属于常规性工作经费项目，财政用一般公共预算资金安排资金</w:t>
      </w:r>
      <w:r>
        <w:rPr>
          <w:rFonts w:hint="eastAsia" w:ascii="楷体_GB2312" w:hAnsi="宋体" w:eastAsia="楷体_GB2312"/>
          <w:sz w:val="32"/>
          <w:szCs w:val="32"/>
          <w:lang w:val="en-US" w:eastAsia="zh-CN"/>
        </w:rPr>
        <w:t>8</w:t>
      </w:r>
      <w:r>
        <w:rPr>
          <w:rFonts w:hint="eastAsia" w:ascii="楷体_GB2312" w:hAnsi="宋体" w:eastAsia="楷体_GB2312"/>
          <w:sz w:val="32"/>
          <w:szCs w:val="32"/>
        </w:rPr>
        <w:t>万元</w:t>
      </w:r>
      <w:r>
        <w:rPr>
          <w:rFonts w:hint="eastAsia" w:ascii="仿宋_GB2312" w:hAnsi="宋体" w:eastAsia="仿宋_GB2312"/>
          <w:sz w:val="32"/>
          <w:szCs w:val="32"/>
          <w:lang w:val="zh-CN"/>
        </w:rPr>
        <w:t>。</w:t>
      </w:r>
    </w:p>
    <w:p>
      <w:pPr>
        <w:numPr>
          <w:ilvl w:val="0"/>
          <w:numId w:val="12"/>
        </w:numPr>
        <w:adjustRightInd w:val="0"/>
        <w:snapToGrid w:val="0"/>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lang w:val="zh-CN"/>
        </w:rPr>
        <w:t>资金到位。截至2021年</w:t>
      </w:r>
      <w:r>
        <w:rPr>
          <w:rFonts w:hint="eastAsia" w:ascii="楷体_GB2312" w:hAnsi="宋体" w:eastAsia="楷体_GB2312"/>
          <w:sz w:val="32"/>
          <w:szCs w:val="32"/>
        </w:rPr>
        <w:t>12月31日，财政拨付一般公共预算项目资金</w:t>
      </w:r>
      <w:r>
        <w:rPr>
          <w:rFonts w:hint="eastAsia" w:ascii="楷体_GB2312" w:hAnsi="宋体" w:eastAsia="楷体_GB2312"/>
          <w:sz w:val="32"/>
          <w:szCs w:val="32"/>
          <w:lang w:val="en-US" w:eastAsia="zh-CN"/>
        </w:rPr>
        <w:t>8</w:t>
      </w:r>
      <w:r>
        <w:rPr>
          <w:rFonts w:hint="eastAsia" w:ascii="楷体_GB2312" w:hAnsi="宋体" w:eastAsia="楷体_GB2312"/>
          <w:sz w:val="32"/>
          <w:szCs w:val="32"/>
        </w:rPr>
        <w:t>万元。</w:t>
      </w:r>
    </w:p>
    <w:p>
      <w:pPr>
        <w:adjustRightInd w:val="0"/>
        <w:snapToGrid w:val="0"/>
        <w:spacing w:line="580" w:lineRule="exact"/>
        <w:ind w:firstLine="640" w:firstLineChars="20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全年支付卫片执法及案件查处、动态巡查经费</w:t>
      </w:r>
      <w:r>
        <w:rPr>
          <w:rFonts w:hint="eastAsia" w:ascii="仿宋_GB2312" w:hAnsi="宋体" w:eastAsia="仿宋_GB2312"/>
          <w:sz w:val="32"/>
          <w:szCs w:val="32"/>
        </w:rPr>
        <w:t>10万元，主要包括案件查处及动态巡查的差旅费、打印费、宣传费等费用。</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adjustRightInd w:val="0"/>
        <w:snapToGrid w:val="0"/>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我局制度了《财务管理制度》和《专项资金管理制度》，项目支付过程中严格执行相关制度，专款专用，无截留，无挪用的现象。</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卫片执法及案件查处、动态巡查工作经费属于财政下达的常规性一般公共项目，都是工作经费，专门用于</w:t>
      </w:r>
      <w:r>
        <w:rPr>
          <w:rFonts w:hint="eastAsia" w:ascii="仿宋_GB2312" w:hAnsi="宋体" w:eastAsia="仿宋_GB2312"/>
          <w:sz w:val="32"/>
          <w:szCs w:val="32"/>
        </w:rPr>
        <w:t>案件查处及动态巡查的差旅费、打印费、宣传费等费用，</w:t>
      </w:r>
      <w:r>
        <w:rPr>
          <w:rFonts w:hint="eastAsia" w:ascii="仿宋_GB2312" w:hAnsi="宋体" w:eastAsia="仿宋_GB2312"/>
          <w:sz w:val="32"/>
          <w:szCs w:val="32"/>
          <w:lang w:val="zh-CN"/>
        </w:rPr>
        <w:t>资金使用坚持专款专用，完成预期计划。</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1.全年共组织开展动态巡查3100余次，参与巡查人员4200人次，重点区域巡查覆盖率100%。</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全年组织各县区局立案查处自然资源违法案133件,收缴罚没款14290.71万元。其中土地违法案件118件，违法占地面积10025亩，没收建筑物136393平方米，拆除建筑物57340平方米，收缴罚没款14163.96万元；矿产违法案件15件，收缴罚没款126.85万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3.2021年，部、厅共下发我市卫片执法图斑 8398个，已全部完成核查填报。经核查判定共发现土地违法用地图斑 303个，涉及土地面积5146.62亩，发现矿产违法图斑4个。截至目前，已全部完成省厅下发的307个自主监测的实地核实和填报。全力推进农村乱占耕地建房问题整治，现场摸排房屋图斑18.22万个，已完成房屋的外业核查和问题图斑提取并提交省级审核，上报问题图斑4万个。同时积极推进扫黑除恶专项斗争，出台了《2020年扫黑除恶专项斗争全市自然资源行业领域乱象整治方案》《扫黑除恶专项斗争2020年工作要点》和《全市自然资源行业乱象整治工作责任分工》，摸排行业乱象线索31个，整治率100%。</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pStyle w:val="2"/>
        <w:rPr>
          <w:rFonts w:hint="eastAsia"/>
        </w:rPr>
      </w:pP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1.经济效益：通过违法案件查处，罚没收入缴入财政专户，增加政府的经济效益。</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2.社会效益：打击自然资源违法违规行为，维护良好的社会秩序。</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3.对象满意度：上级主管部门</w:t>
      </w:r>
      <w:r>
        <w:rPr>
          <w:rFonts w:hint="eastAsia" w:ascii="仿宋_GB2312" w:hAnsi="宋体" w:eastAsia="仿宋_GB2312"/>
          <w:sz w:val="32"/>
          <w:szCs w:val="32"/>
          <w:lang w:val="en-US" w:eastAsia="zh-CN"/>
        </w:rPr>
        <w:t>反映良好，</w:t>
      </w:r>
      <w:r>
        <w:rPr>
          <w:rFonts w:hint="eastAsia" w:ascii="仿宋_GB2312" w:hAnsi="宋体" w:eastAsia="仿宋_GB2312"/>
          <w:sz w:val="32"/>
          <w:szCs w:val="32"/>
        </w:rPr>
        <w:t>当事人</w:t>
      </w:r>
      <w:r>
        <w:rPr>
          <w:rFonts w:hint="eastAsia" w:ascii="仿宋_GB2312" w:hAnsi="宋体" w:eastAsia="仿宋_GB2312"/>
          <w:sz w:val="32"/>
          <w:szCs w:val="32"/>
          <w:lang w:val="en-US" w:eastAsia="zh-CN"/>
        </w:rPr>
        <w:t>反映良好</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adjustRightInd w:val="0"/>
        <w:snapToGrid w:val="0"/>
        <w:spacing w:line="58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通过自评，自评得分</w:t>
      </w:r>
      <w:r>
        <w:rPr>
          <w:rFonts w:hint="eastAsia" w:ascii="仿宋_GB2312" w:hAnsi="宋体" w:eastAsia="仿宋_GB2312"/>
          <w:sz w:val="32"/>
          <w:szCs w:val="32"/>
        </w:rPr>
        <w:t>100分。</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通过自评，预算单位业务科室未提供充足的文件依据支撑，导致预算资金不能满足正常开展此项工作。</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1.完善预算编制体系，提高预算编制科学性。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部门的具体要求，完善财务预算编制的相关业务流程。预算编制工作是一项政策性、技术性和实效性要求都很强的工作，需要预算编制人员及部门具有较高的政策水平、专业技术水平很强的执行力。提高预算编制的准确性和前瞻性。同时，充分分析部门业务特点，总结部门历史经验合理编制单位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2.绩效目标的设置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仿宋_GB2312" w:eastAsia="仿宋_GB2312" w:cs="仿宋_GB2312"/>
          <w:sz w:val="32"/>
          <w:szCs w:val="32"/>
          <w:lang w:val="en-US" w:eastAsia="zh-CN"/>
        </w:rPr>
        <w:t>科学合理地设置绩效指标，提高预算绩效指标的针对性和可测性，充分发挥预算绩效目标管理的导向作用。</w:t>
      </w:r>
      <w:r>
        <w:rPr>
          <w:rFonts w:hint="eastAsia" w:ascii="仿宋_GB2312" w:hAnsi="宋体" w:eastAsia="仿宋_GB2312"/>
          <w:sz w:val="32"/>
          <w:szCs w:val="32"/>
          <w:lang w:val="zh-CN"/>
        </w:rPr>
        <w:t>一是完善内控制度，简化流程，促进项目及时开展。二是引进预算编制系统，进行预算指标细化分解。</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i w:val="0"/>
          <w:iCs w:val="0"/>
          <w:color w:val="000000"/>
          <w:kern w:val="0"/>
          <w:sz w:val="48"/>
          <w:szCs w:val="48"/>
          <w:u w:val="none"/>
          <w:lang w:val="en-US" w:eastAsia="zh-CN" w:bidi="ar"/>
        </w:rPr>
        <w:t>项目支出绩效目标自评表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Style w:val="31"/>
          <w:rFonts w:hint="eastAsia" w:ascii="楷体_GB2312" w:hAnsi="楷体_GB2312" w:eastAsia="楷体_GB2312" w:cs="楷体_GB2312"/>
          <w:sz w:val="32"/>
          <w:szCs w:val="32"/>
          <w:lang w:val="en-US" w:eastAsia="zh-CN" w:bidi="ar"/>
        </w:rPr>
        <w:t>（2021</w:t>
      </w:r>
      <w:r>
        <w:rPr>
          <w:rStyle w:val="30"/>
          <w:rFonts w:hint="eastAsia" w:ascii="楷体_GB2312" w:hAnsi="楷体_GB2312" w:eastAsia="楷体_GB2312" w:cs="楷体_GB2312"/>
          <w:sz w:val="32"/>
          <w:szCs w:val="32"/>
          <w:lang w:val="en-US" w:eastAsia="zh-CN" w:bidi="ar"/>
        </w:rPr>
        <w:t>年度）</w:t>
      </w:r>
    </w:p>
    <w:tbl>
      <w:tblPr>
        <w:tblStyle w:val="12"/>
        <w:tblW w:w="9259" w:type="dxa"/>
        <w:tblInd w:w="-2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915"/>
        <w:gridCol w:w="3"/>
        <w:gridCol w:w="948"/>
        <w:gridCol w:w="884"/>
        <w:gridCol w:w="188"/>
        <w:gridCol w:w="728"/>
        <w:gridCol w:w="916"/>
        <w:gridCol w:w="12"/>
        <w:gridCol w:w="1362"/>
        <w:gridCol w:w="458"/>
        <w:gridCol w:w="1036"/>
        <w:gridCol w:w="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4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卫片执法及案件查处、动态巡查工作经费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主管单位</w:t>
            </w:r>
          </w:p>
        </w:tc>
        <w:tc>
          <w:tcPr>
            <w:tcW w:w="27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广元市自然资源局</w:t>
            </w:r>
          </w:p>
        </w:tc>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8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预算执行情况</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8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8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64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完成2021年度自然资源动态巡查600次（含三个区），完成2021年度自然资源违法违规案件查处。</w:t>
            </w:r>
          </w:p>
        </w:tc>
        <w:tc>
          <w:tcPr>
            <w:tcW w:w="64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1.全年共组织开展动态巡查3100余次，参与巡查人员4200人次，重点区域巡查覆盖率100%。</w:t>
            </w:r>
          </w:p>
          <w:p>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全年组织各县区局立案查处自然资源违法案133件,收缴罚没款14290.71万元。其中土地违法案件118件，违法占地面积10025亩，没收建筑物136393平方米，拆除建筑物57340平方米，收缴罚没款14163.96万元；矿产违法案件15件，收缴罚没款126.85万元。</w:t>
            </w:r>
          </w:p>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3.2021年，部、厅共下发我市卫片执法图斑8398个，已全部完成核查填报。经核查判定共发现土地违法用地图斑303个，涉及土地面积5146.62亩，发现矿产违法图斑4个。截至目前，已全部完成省厅下发的307个自主监测的实地核实和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绩效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情况</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指标值（包含数字及文字描述）</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实际完成指标值（包含数字及文字描述）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项目完成指标</w:t>
            </w: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指标1：完成2021年自然资源动态巡查600次</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全年共组织开展动态巡查600次，重点区域巡查覆盖率大于95%。</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全年共组织开展动态巡查3100余次，参与巡查人员4200人次，重点区域巡查覆盖率100%。通过动态巡查共发现自然资源违法行为56件，制止56件,切实做到违法行为“早发现、早制止”。</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指标2：完成2021年度违法案件及查处130宗</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全年组织各县区局立案查处自然资源违法案130件。</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组织各县区局立案查处自然资源违法案133件,收缴罚没款14290.71万元。其中土地违法案件118件，违法占地面积10025亩，没收建筑物136393平方米，拆除建筑物57340平方米，收缴罚没款14163.96万元；矿产违法案件15件，收缴罚没款126.85万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指标3：完成2021年度卫片执法图斑核查整改。</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完成2021年部、厅下发的卫片执法图斑核查填报3000个以上。</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2021年，部、厅共下发我市卫片执法图斑8398个，已全部完成核查填报。经核查判定共发现土地违法用地图斑303个，涉及土地面积5146.62亩，发现矿产违法图斑4个。</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自然资源动态巡查率</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违法案件核查及查处率</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自然资源卫片执法图斑核查整改率</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1"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自然资源动态巡查及违法案件查处经费</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5万元</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5万元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卫片执法图斑核查整改</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3万元</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3万元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项目效果指标</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罚没收入</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增加政府经济收入400万元</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增加政府经济收入14290.71万元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违法案件查处</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打击自然资源违法违规行为，维护良好的社会秩序，全力推进农村乱占耕地建房问题整治。</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打击自然资源违法违规行为，维护良好的社会秩序，全力推进农村乱占耕地建房问题整治。</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当事人满意度</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良好</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良好</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w:t>
            </w: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8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项目工作经费</w:t>
      </w: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580"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．职能职责</w:t>
      </w:r>
    </w:p>
    <w:p>
      <w:pPr>
        <w:pageBreakBefore w:val="0"/>
        <w:widowControl w:val="0"/>
        <w:kinsoku/>
        <w:wordWrap/>
        <w:overflowPunct/>
        <w:topLinePunct w:val="0"/>
        <w:autoSpaceDE/>
        <w:autoSpaceDN/>
        <w:bidi w:val="0"/>
        <w:spacing w:line="576"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全市自然资源领域科技发展和对外合作。制定并实施全市自然资源领域科技创新发展和人才培养规划、计划。组织实施重大科技专项及创新能力建设，推进自然资源信息化和信息资料的公共服务。组织开展全市自然资源系统对外交流合作。</w:t>
      </w:r>
      <w:r>
        <w:rPr>
          <w:rFonts w:hint="eastAsia" w:ascii="仿宋_GB2312" w:hAnsi="仿宋_GB2312" w:eastAsia="仿宋_GB2312" w:cs="仿宋_GB2312"/>
          <w:i w:val="0"/>
          <w:iCs w:val="0"/>
          <w:kern w:val="2"/>
          <w:sz w:val="32"/>
          <w:szCs w:val="32"/>
          <w:u w:val="none"/>
          <w:lang w:val="en-US" w:eastAsia="zh-CN" w:bidi="ar"/>
        </w:rPr>
        <w:t>根据政府下达的目标任务及经济建设和项目投资“大比武”战略，积极向上争取资金约2.9亿元。</w:t>
      </w:r>
    </w:p>
    <w:p>
      <w:pPr>
        <w:spacing w:line="580" w:lineRule="exact"/>
        <w:ind w:firstLine="600" w:firstLineChars="200"/>
        <w:rPr>
          <w:rFonts w:ascii="仿宋_GB2312" w:hAnsi="仿宋_GB2312" w:eastAsia="仿宋_GB2312" w:cs="仿宋_GB2312"/>
          <w:sz w:val="30"/>
          <w:szCs w:val="30"/>
        </w:rPr>
      </w:pPr>
    </w:p>
    <w:p>
      <w:pPr>
        <w:numPr>
          <w:ilvl w:val="0"/>
          <w:numId w:val="13"/>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根据政府下达的目标任务及经济建设和项目投资“大比武”战略，积极向上争取资金约2.9亿元。通过积极争取中央和省级专项资金及土地增减挂钩结余指标流转，达到增加政府收益，促进我市的经济建设和自然资源各项管理工作。</w:t>
      </w:r>
    </w:p>
    <w:p>
      <w:pPr>
        <w:numPr>
          <w:ilvl w:val="0"/>
          <w:numId w:val="13"/>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我局制定了《三重一大制度》，《财务管理制度》和《项目管理制度》，支付时严格按照相关制度执行，项目资金专款专用。</w:t>
      </w:r>
    </w:p>
    <w:p>
      <w:pPr>
        <w:numPr>
          <w:ilvl w:val="0"/>
          <w:numId w:val="13"/>
        </w:num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此项目是一项财政一般公共预算的常规性项目，只是日常的工作经费，财政根据我局年初编报的项目绩效目标和通过市人大的审核后直接下达指标。</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58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numPr>
          <w:ilvl w:val="0"/>
          <w:numId w:val="0"/>
        </w:numPr>
        <w:adjustRightInd w:val="0"/>
        <w:snapToGrid w:val="0"/>
        <w:spacing w:line="580" w:lineRule="exact"/>
        <w:rPr>
          <w:rFonts w:hint="eastAsia" w:ascii="仿宋_GB2312" w:hAnsi="宋体" w:eastAsia="仿宋_GB2312"/>
          <w:sz w:val="32"/>
          <w:szCs w:val="32"/>
          <w:lang w:val="zh-CN"/>
        </w:rPr>
      </w:pPr>
      <w:r>
        <w:rPr>
          <w:rFonts w:hint="eastAsia" w:ascii="仿宋_GB2312" w:hAnsi="宋体" w:eastAsia="仿宋_GB2312"/>
          <w:sz w:val="32"/>
          <w:szCs w:val="32"/>
          <w:lang w:val="zh-CN"/>
        </w:rPr>
        <w:t>根据政府下达的目标任务及经济建设和项目投资“大比武”战略，积极向上争取资金约2.9亿元。通过积极争取中央和省级专项资金及土地增减挂钩结余指标流转，达到增加政府收益，促进我市的经济建设和自然资源各项管理工作。项目应实现的具体绩效目标，包括目标的量化、细化情况以及项目实施进度计划等。</w:t>
      </w:r>
    </w:p>
    <w:p>
      <w:pPr>
        <w:adjustRightInd w:val="0"/>
        <w:snapToGrid w:val="0"/>
        <w:spacing w:line="580" w:lineRule="exact"/>
        <w:ind w:firstLine="640" w:firstLineChars="200"/>
        <w:rPr>
          <w:rFonts w:hint="eastAsia" w:ascii="仿宋_GB2312" w:hAnsi="宋体" w:eastAsia="仿宋_GB2312"/>
          <w:sz w:val="32"/>
          <w:szCs w:val="32"/>
          <w:lang w:val="zh-CN"/>
        </w:rPr>
      </w:pPr>
    </w:p>
    <w:p>
      <w:pPr>
        <w:numPr>
          <w:ilvl w:val="0"/>
          <w:numId w:val="0"/>
        </w:numPr>
        <w:adjustRightInd w:val="0"/>
        <w:snapToGrid w:val="0"/>
        <w:spacing w:line="580" w:lineRule="exact"/>
        <w:ind w:firstLine="640" w:firstLineChars="200"/>
        <w:rPr>
          <w:rFonts w:hint="eastAsia" w:ascii="仿宋_GB2312" w:hAnsi="宋体" w:eastAsia="仿宋_GB2312"/>
          <w:sz w:val="32"/>
          <w:szCs w:val="32"/>
          <w:lang w:val="zh-CN"/>
        </w:rPr>
      </w:pPr>
      <w:r>
        <w:rPr>
          <w:rFonts w:hint="default" w:ascii="仿宋_GB2312" w:hAnsi="宋体" w:eastAsia="仿宋_GB2312"/>
          <w:sz w:val="32"/>
          <w:szCs w:val="32"/>
          <w:lang w:val="zh-CN" w:eastAsia="zh-CN"/>
        </w:rPr>
        <w:t>2.</w:t>
      </w:r>
      <w:r>
        <w:rPr>
          <w:rFonts w:hint="eastAsia" w:ascii="仿宋_GB2312" w:hAnsi="宋体" w:eastAsia="仿宋_GB2312"/>
          <w:sz w:val="32"/>
          <w:szCs w:val="32"/>
          <w:lang w:val="zh-CN"/>
        </w:rPr>
        <w:t>分析评价申报内容是否与实际相符，申报目标是否合理可行。</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申报内容与实际相符，申报目标合理可行。</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年末通过数量指标、质量指标及产生的社会效益和政府满意度来自评项目绩效完成情况。</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年初我局申报项目工作经费</w:t>
      </w:r>
      <w:r>
        <w:rPr>
          <w:rFonts w:hint="eastAsia" w:ascii="仿宋_GB2312" w:hAnsi="宋体" w:eastAsia="仿宋_GB2312"/>
          <w:sz w:val="32"/>
          <w:szCs w:val="32"/>
          <w:lang w:val="en-US" w:eastAsia="zh-CN"/>
        </w:rPr>
        <w:t>20</w:t>
      </w:r>
      <w:r>
        <w:rPr>
          <w:rFonts w:hint="eastAsia" w:ascii="仿宋_GB2312" w:hAnsi="宋体" w:eastAsia="仿宋_GB2312"/>
          <w:sz w:val="32"/>
          <w:szCs w:val="32"/>
        </w:rPr>
        <w:t>万元，财政批复</w:t>
      </w:r>
      <w:r>
        <w:rPr>
          <w:rFonts w:hint="eastAsia" w:ascii="仿宋_GB2312" w:hAnsi="宋体" w:eastAsia="仿宋_GB2312"/>
          <w:sz w:val="32"/>
          <w:szCs w:val="32"/>
          <w:lang w:val="en-US" w:eastAsia="zh-CN"/>
        </w:rPr>
        <w:t>15</w:t>
      </w:r>
      <w:r>
        <w:rPr>
          <w:rFonts w:hint="eastAsia" w:ascii="仿宋_GB2312" w:hAnsi="宋体" w:eastAsia="仿宋_GB2312"/>
          <w:sz w:val="32"/>
          <w:szCs w:val="32"/>
        </w:rPr>
        <w:t>万元。</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（二）资金计划、到位及使用情况</w:t>
      </w:r>
    </w:p>
    <w:p>
      <w:pPr>
        <w:adjustRightInd w:val="0"/>
        <w:snapToGrid w:val="0"/>
        <w:spacing w:line="580" w:lineRule="exact"/>
        <w:ind w:firstLine="640" w:firstLineChars="200"/>
        <w:rPr>
          <w:rFonts w:hint="eastAsia" w:ascii="楷体_GB2312" w:hAnsi="宋体" w:eastAsia="楷体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此项目属于常规性工作经费项目，财政用一般公共预算资金安排资金</w:t>
      </w:r>
      <w:r>
        <w:rPr>
          <w:rFonts w:hint="eastAsia" w:ascii="楷体_GB2312" w:hAnsi="宋体" w:eastAsia="楷体_GB2312"/>
          <w:sz w:val="32"/>
          <w:szCs w:val="32"/>
          <w:lang w:val="en-US" w:eastAsia="zh-CN"/>
        </w:rPr>
        <w:t>15</w:t>
      </w:r>
      <w:r>
        <w:rPr>
          <w:rFonts w:hint="eastAsia" w:ascii="楷体_GB2312" w:hAnsi="宋体" w:eastAsia="楷体_GB2312"/>
          <w:sz w:val="32"/>
          <w:szCs w:val="32"/>
        </w:rPr>
        <w:t>万元</w:t>
      </w:r>
      <w:r>
        <w:rPr>
          <w:rFonts w:hint="eastAsia" w:ascii="仿宋_GB2312" w:hAnsi="宋体" w:eastAsia="仿宋_GB2312"/>
          <w:sz w:val="32"/>
          <w:szCs w:val="32"/>
          <w:lang w:val="zh-CN"/>
        </w:rPr>
        <w:t>。</w:t>
      </w:r>
    </w:p>
    <w:p>
      <w:pPr>
        <w:numPr>
          <w:ilvl w:val="0"/>
          <w:numId w:val="12"/>
        </w:numPr>
        <w:adjustRightInd w:val="0"/>
        <w:snapToGrid w:val="0"/>
        <w:spacing w:line="580" w:lineRule="exact"/>
        <w:ind w:firstLine="640" w:firstLineChars="200"/>
        <w:rPr>
          <w:rFonts w:hint="eastAsia" w:ascii="楷体_GB2312" w:hAnsi="宋体" w:eastAsia="楷体_GB2312"/>
          <w:sz w:val="32"/>
          <w:szCs w:val="32"/>
        </w:rPr>
      </w:pPr>
      <w:r>
        <w:rPr>
          <w:rFonts w:hint="eastAsia" w:ascii="楷体_GB2312" w:hAnsi="宋体" w:eastAsia="楷体_GB2312"/>
          <w:sz w:val="32"/>
          <w:szCs w:val="32"/>
          <w:lang w:val="zh-CN"/>
        </w:rPr>
        <w:t>资金到位。截至2021年</w:t>
      </w:r>
      <w:r>
        <w:rPr>
          <w:rFonts w:hint="eastAsia" w:ascii="楷体_GB2312" w:hAnsi="宋体" w:eastAsia="楷体_GB2312"/>
          <w:sz w:val="32"/>
          <w:szCs w:val="32"/>
        </w:rPr>
        <w:t>12月31日，财政拨付一般公共预算项目资金</w:t>
      </w:r>
      <w:r>
        <w:rPr>
          <w:rFonts w:hint="eastAsia" w:ascii="楷体_GB2312" w:hAnsi="宋体" w:eastAsia="楷体_GB2312"/>
          <w:sz w:val="32"/>
          <w:szCs w:val="32"/>
          <w:lang w:val="en-US" w:eastAsia="zh-CN"/>
        </w:rPr>
        <w:t>15</w:t>
      </w:r>
      <w:r>
        <w:rPr>
          <w:rFonts w:hint="eastAsia" w:ascii="楷体_GB2312" w:hAnsi="宋体" w:eastAsia="楷体_GB2312"/>
          <w:sz w:val="32"/>
          <w:szCs w:val="32"/>
        </w:rPr>
        <w:t>万元。</w:t>
      </w:r>
    </w:p>
    <w:p>
      <w:pPr>
        <w:adjustRightInd w:val="0"/>
        <w:snapToGrid w:val="0"/>
        <w:spacing w:line="580" w:lineRule="exact"/>
        <w:ind w:firstLine="640" w:firstLineChars="20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全年支付用于</w:t>
      </w:r>
      <w:r>
        <w:rPr>
          <w:rFonts w:hint="eastAsia" w:ascii="仿宋_GB2312" w:hAnsi="宋体" w:eastAsia="仿宋_GB2312"/>
          <w:sz w:val="32"/>
          <w:szCs w:val="32"/>
          <w:lang w:val="en-US" w:eastAsia="zh-CN"/>
        </w:rPr>
        <w:t>向上争取项目资金</w:t>
      </w:r>
      <w:r>
        <w:rPr>
          <w:rFonts w:hint="eastAsia" w:ascii="仿宋_GB2312" w:hAnsi="宋体" w:eastAsia="仿宋_GB2312"/>
          <w:sz w:val="32"/>
          <w:szCs w:val="32"/>
        </w:rPr>
        <w:t>的差旅费、打印费、宣传费等费用</w:t>
      </w:r>
      <w:r>
        <w:rPr>
          <w:rFonts w:hint="eastAsia" w:ascii="仿宋_GB2312" w:hAnsi="宋体" w:eastAsia="仿宋_GB2312"/>
          <w:sz w:val="32"/>
          <w:szCs w:val="32"/>
          <w:lang w:eastAsia="zh-CN"/>
        </w:rPr>
        <w:t>。</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adjustRightInd w:val="0"/>
        <w:snapToGrid w:val="0"/>
        <w:spacing w:line="580" w:lineRule="exact"/>
        <w:ind w:firstLine="640" w:firstLineChars="200"/>
        <w:rPr>
          <w:rFonts w:hint="eastAsia" w:ascii="楷体_GB2312" w:hAnsi="宋体" w:eastAsia="楷体_GB2312"/>
          <w:bCs/>
          <w:sz w:val="32"/>
          <w:szCs w:val="32"/>
        </w:rPr>
      </w:pPr>
      <w:r>
        <w:rPr>
          <w:rFonts w:hint="eastAsia" w:ascii="楷体_GB2312" w:hAnsi="宋体" w:eastAsia="楷体_GB2312"/>
          <w:bCs/>
          <w:sz w:val="32"/>
          <w:szCs w:val="32"/>
        </w:rPr>
        <w:t>我局制度了《财务管理制度》和《专项资金管理制度》，项目支付过程中严格执行相关制度，专款专用，无截留，无挪用的现象。</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en-US" w:eastAsia="zh-CN"/>
        </w:rPr>
        <w:t>项目</w:t>
      </w:r>
      <w:r>
        <w:rPr>
          <w:rFonts w:hint="eastAsia" w:ascii="仿宋_GB2312" w:hAnsi="宋体" w:eastAsia="仿宋_GB2312"/>
          <w:sz w:val="32"/>
          <w:szCs w:val="32"/>
          <w:lang w:val="zh-CN"/>
        </w:rPr>
        <w:t>工作经费属于财政下达的常规性一般公共项目，都是工作经费，专门用于</w:t>
      </w:r>
      <w:r>
        <w:rPr>
          <w:rFonts w:hint="eastAsia" w:ascii="仿宋_GB2312" w:hAnsi="宋体" w:eastAsia="仿宋_GB2312"/>
          <w:sz w:val="32"/>
          <w:szCs w:val="32"/>
          <w:lang w:val="en-US" w:eastAsia="zh-CN"/>
        </w:rPr>
        <w:t>向上争取项目资金</w:t>
      </w:r>
      <w:r>
        <w:rPr>
          <w:rFonts w:hint="eastAsia" w:ascii="仿宋_GB2312" w:hAnsi="宋体" w:eastAsia="仿宋_GB2312"/>
          <w:sz w:val="32"/>
          <w:szCs w:val="32"/>
        </w:rPr>
        <w:t>的差旅费、打印费、宣传费等费用，</w:t>
      </w:r>
      <w:r>
        <w:rPr>
          <w:rFonts w:hint="eastAsia" w:ascii="仿宋_GB2312" w:hAnsi="宋体" w:eastAsia="仿宋_GB2312"/>
          <w:sz w:val="32"/>
          <w:szCs w:val="32"/>
          <w:lang w:val="zh-CN"/>
        </w:rPr>
        <w:t>资金使用坚持专款专用，完成预期计划。</w:t>
      </w:r>
    </w:p>
    <w:p>
      <w:pPr>
        <w:adjustRightInd w:val="0"/>
        <w:snapToGrid w:val="0"/>
        <w:spacing w:line="580" w:lineRule="exact"/>
        <w:ind w:firstLine="640" w:firstLineChars="2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全年完成向上争取资金3亿元，超额完成政府下达的目标任务。其中：实现城乡增减挂钩指标流转到账金额1.5亿元，土地整理项目资金、省级地灾专项资金、生态修复治理资金合计1.5亿元。通过项目的实施，增加政府收益，促进广元的经济发展和自然资源各项管理工作。</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pStyle w:val="2"/>
        <w:rPr>
          <w:rFonts w:hint="eastAsia"/>
        </w:rPr>
      </w:pPr>
    </w:p>
    <w:p>
      <w:pPr>
        <w:adjustRightInd w:val="0"/>
        <w:snapToGrid w:val="0"/>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1.经济效益：</w:t>
      </w:r>
      <w:r>
        <w:rPr>
          <w:rFonts w:hint="eastAsia" w:ascii="仿宋_GB2312" w:eastAsia="仿宋_GB2312"/>
          <w:sz w:val="32"/>
          <w:szCs w:val="32"/>
        </w:rPr>
        <w:t>通过项目的实施，增加政府收益，促进广元的经济发展和自然资源各项管理工作。</w:t>
      </w:r>
    </w:p>
    <w:p>
      <w:pPr>
        <w:adjustRightInd w:val="0"/>
        <w:snapToGrid w:val="0"/>
        <w:spacing w:line="58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2.可持续指标</w:t>
      </w:r>
      <w:r>
        <w:rPr>
          <w:rFonts w:hint="eastAsia" w:ascii="仿宋_GB2312" w:hAnsi="宋体" w:eastAsia="仿宋_GB2312"/>
          <w:sz w:val="32"/>
          <w:szCs w:val="32"/>
          <w:lang w:val="en-US" w:eastAsia="zh-CN"/>
        </w:rPr>
        <w:t>;每年开展的工作，极大地推动了我市经济建设和自然资源的各项管理工作。</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3.对象满意度：上级主管部门100%满意。</w:t>
      </w:r>
    </w:p>
    <w:p>
      <w:pPr>
        <w:adjustRightInd w:val="0"/>
        <w:snapToGrid w:val="0"/>
        <w:spacing w:line="580" w:lineRule="exact"/>
        <w:ind w:firstLine="640" w:firstLineChars="20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adjustRightInd w:val="0"/>
        <w:snapToGrid w:val="0"/>
        <w:spacing w:line="58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通过自评，自评得分</w:t>
      </w:r>
      <w:r>
        <w:rPr>
          <w:rFonts w:hint="eastAsia" w:ascii="仿宋_GB2312" w:hAnsi="宋体" w:eastAsia="仿宋_GB2312"/>
          <w:sz w:val="32"/>
          <w:szCs w:val="32"/>
        </w:rPr>
        <w:t>100分。</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仿宋_GB2312" w:hAnsi="宋体" w:eastAsia="仿宋_GB2312"/>
          <w:sz w:val="32"/>
          <w:szCs w:val="32"/>
          <w:lang w:val="zh-CN"/>
        </w:rPr>
        <w:t>预算指标需进一步细化。</w:t>
      </w:r>
    </w:p>
    <w:p>
      <w:pPr>
        <w:adjustRightInd w:val="0"/>
        <w:snapToGrid w:val="0"/>
        <w:spacing w:line="580" w:lineRule="exact"/>
        <w:ind w:firstLine="640" w:firstLineChars="200"/>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adjustRightInd w:val="0"/>
        <w:snapToGrid w:val="0"/>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一是完善内控制度，简化流程，促进项目及时开展。二是引进预算编制系统，进行预算指标细化分解。</w:t>
      </w:r>
    </w:p>
    <w:p>
      <w:pPr>
        <w:pStyle w:val="2"/>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项目支出绩效目标自评表</w:t>
      </w:r>
    </w:p>
    <w:p>
      <w:pPr>
        <w:pStyle w:val="2"/>
        <w:jc w:val="center"/>
        <w:rPr>
          <w:rFonts w:hint="eastAsia" w:ascii="楷体_GB2312" w:hAnsi="楷体_GB2312" w:eastAsia="楷体_GB2312" w:cs="楷体_GB2312"/>
          <w:sz w:val="32"/>
          <w:szCs w:val="32"/>
        </w:rPr>
      </w:pPr>
      <w:r>
        <w:rPr>
          <w:rFonts w:hint="eastAsia" w:ascii="楷体_GB2312" w:hAnsi="楷体_GB2312" w:eastAsia="楷体_GB2312" w:cs="楷体_GB2312"/>
          <w:i w:val="0"/>
          <w:iCs w:val="0"/>
          <w:color w:val="000000"/>
          <w:kern w:val="0"/>
          <w:sz w:val="32"/>
          <w:szCs w:val="32"/>
          <w:u w:val="none"/>
          <w:lang w:val="en-US" w:eastAsia="zh-CN" w:bidi="ar"/>
        </w:rPr>
        <w:t>(2021年度)</w:t>
      </w:r>
    </w:p>
    <w:tbl>
      <w:tblPr>
        <w:tblStyle w:val="12"/>
        <w:tblW w:w="893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904"/>
        <w:gridCol w:w="1286"/>
        <w:gridCol w:w="1940"/>
        <w:gridCol w:w="1351"/>
        <w:gridCol w:w="1429"/>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6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trPr>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预算单位</w:t>
            </w:r>
          </w:p>
        </w:tc>
        <w:tc>
          <w:tcPr>
            <w:tcW w:w="6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广元市自然资源局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7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预算执行情况(万元)</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预算数:</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执行数: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730"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7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年度目标完成情况</w:t>
            </w:r>
          </w:p>
        </w:tc>
        <w:tc>
          <w:tcPr>
            <w:tcW w:w="4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1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政府下达的目标任务及经济建设和项目投资“大比武”战略，积极向上争取资金约2.9亿元。通过积极争取中央和省级专项资金及土地增减挂钩结余指标流转，大大增加政府收益，促进我市的经济建设和自然资源各项管理工作。</w:t>
            </w:r>
          </w:p>
        </w:tc>
        <w:tc>
          <w:tcPr>
            <w:tcW w:w="40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年完成向上争取资金3亿元，超额完成政府下达的目标任务。其中：实现城乡增减挂钩指标流转到账金额1.5亿元，土地整理项目资金、省级地灾专项资金、生态修复治理资金合计1.5亿元。通过项目的实施，增加政府收益，促进广元的经济发展和自然资源各项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1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0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1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0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1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40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年度绩效指标完成情况</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二级指标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三级指标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预期指标值(包含数字及文字描述)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实际完成指标值(包含数字及文字描述)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项目完成指标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中央和省级财政专项资金（地灾补助、土地整理项目、生态修复资金）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1.4亿元</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1.5亿元</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增减挂钩结余指标流转资金</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1.5亿元</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1.5亿元</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向上争取资金工作经费</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15万元</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15万元</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项目效果指标</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经济效益</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增加政府收益</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2.9亿元</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3亿元</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可持续指标</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常年开展的工作</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极大地推动了我市经济建设</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极大地推动了我市经济建设</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政府满意度</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良好</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良好</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000000"/>
                <w:sz w:val="24"/>
                <w:szCs w:val="24"/>
                <w:u w:val="none"/>
              </w:rPr>
            </w:pPr>
          </w:p>
        </w:tc>
      </w:tr>
    </w:tbl>
    <w:p>
      <w:pPr>
        <w:spacing w:line="580" w:lineRule="exact"/>
        <w:rPr>
          <w:rStyle w:val="16"/>
          <w:rFonts w:ascii="黑体" w:hAnsi="黑体" w:eastAsia="黑体"/>
          <w:b w:val="0"/>
          <w:color w:val="auto"/>
          <w:highlight w:val="none"/>
        </w:rPr>
      </w:pPr>
    </w:p>
    <w:p>
      <w:pPr>
        <w:widowControl/>
        <w:jc w:val="left"/>
        <w:rPr>
          <w:rStyle w:val="16"/>
          <w:rFonts w:ascii="黑体" w:hAnsi="黑体" w:eastAsia="黑体"/>
          <w:b w:val="0"/>
          <w:color w:val="auto"/>
          <w:highlight w:val="none"/>
        </w:rPr>
      </w:pPr>
      <w:r>
        <w:rPr>
          <w:rStyle w:val="16"/>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58" w:name="_Toc15396618"/>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lang w:eastAsia="zh-CN"/>
        </w:rPr>
        <w:t>五</w:t>
      </w:r>
      <w:r>
        <w:rPr>
          <w:rStyle w:val="16"/>
          <w:rFonts w:hint="eastAsia" w:ascii="黑体" w:hAnsi="黑体" w:eastAsia="黑体"/>
          <w:b w:val="0"/>
          <w:color w:val="auto"/>
          <w:highlight w:val="none"/>
        </w:rPr>
        <w:t>部分附表</w:t>
      </w:r>
      <w:bookmarkEnd w:id="57"/>
      <w:bookmarkEnd w:id="58"/>
      <w:bookmarkStart w:id="59" w:name="_Toc15396619"/>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17"/>
          <w:rFonts w:hint="eastAsia" w:ascii="仿宋" w:hAnsi="仿宋" w:eastAsia="仿宋"/>
          <w:b w:val="0"/>
          <w:bCs w:val="0"/>
          <w:color w:val="auto"/>
          <w:highlight w:val="none"/>
        </w:rPr>
        <w:t>入支出决算总表</w:t>
      </w:r>
      <w:bookmarkEnd w:id="59"/>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0" w:name="_Toc15396620"/>
      <w:r>
        <w:rPr>
          <w:rFonts w:hint="eastAsia" w:ascii="仿宋" w:hAnsi="仿宋" w:eastAsia="仿宋"/>
          <w:b w:val="0"/>
          <w:color w:val="auto"/>
          <w:highlight w:val="none"/>
        </w:rPr>
        <w:t>二、收</w:t>
      </w:r>
      <w:r>
        <w:rPr>
          <w:rStyle w:val="17"/>
          <w:rFonts w:hint="eastAsia" w:ascii="仿宋" w:hAnsi="仿宋" w:eastAsia="仿宋"/>
          <w:b w:val="0"/>
          <w:bCs w:val="0"/>
          <w:color w:val="auto"/>
          <w:highlight w:val="none"/>
        </w:rPr>
        <w:t>入决算表</w:t>
      </w:r>
      <w:bookmarkEnd w:id="60"/>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1" w:name="_Toc15396621"/>
      <w:r>
        <w:rPr>
          <w:rStyle w:val="1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7"/>
          <w:rFonts w:hint="eastAsia" w:ascii="仿宋" w:hAnsi="仿宋" w:eastAsia="仿宋"/>
          <w:b w:val="0"/>
          <w:bCs w:val="0"/>
          <w:color w:val="auto"/>
          <w:highlight w:val="none"/>
        </w:rPr>
        <w:t>出决算表</w:t>
      </w:r>
      <w:bookmarkEnd w:id="61"/>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color w:val="auto"/>
          <w:highlight w:val="none"/>
        </w:rPr>
      </w:pPr>
      <w:bookmarkStart w:id="62" w:name="_Toc15396622"/>
      <w:r>
        <w:rPr>
          <w:rStyle w:val="1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政拨款收入支出决算总表</w:t>
      </w:r>
      <w:bookmarkEnd w:id="62"/>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17"/>
          <w:rFonts w:ascii="仿宋" w:hAnsi="仿宋" w:eastAsia="仿宋"/>
          <w:b w:val="0"/>
          <w:bCs w:val="0"/>
          <w:color w:val="auto"/>
          <w:highlight w:val="none"/>
        </w:rPr>
      </w:pPr>
      <w:bookmarkStart w:id="63" w:name="_Toc15396623"/>
      <w:r>
        <w:rPr>
          <w:rStyle w:val="1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政拨款支出决算明细表</w:t>
      </w:r>
      <w:bookmarkEnd w:id="63"/>
      <w:bookmarkStart w:id="64" w:name="_Toc1539662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r>
        <w:rPr>
          <w:rStyle w:val="1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般公共预算财政拨款支出决算表</w:t>
      </w:r>
      <w:bookmarkEnd w:id="6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5" w:name="_Toc15396625"/>
      <w:r>
        <w:rPr>
          <w:rStyle w:val="1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般公共预算财政拨款支出决算明细表</w:t>
      </w:r>
      <w:bookmarkEnd w:id="65"/>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6" w:name="_Toc15396626"/>
      <w:r>
        <w:rPr>
          <w:rStyle w:val="1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般公共预算财政拨款基本支出决算表</w:t>
      </w:r>
      <w:bookmarkEnd w:id="66"/>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7" w:name="_Toc15396627"/>
      <w:r>
        <w:rPr>
          <w:rStyle w:val="1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般公共预算财政拨款项目支出决算表</w:t>
      </w:r>
      <w:bookmarkEnd w:id="67"/>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8" w:name="_Toc15396628"/>
      <w:r>
        <w:rPr>
          <w:rStyle w:val="1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般公共预算财政拨款“三公”经费支出决算表</w:t>
      </w:r>
      <w:bookmarkEnd w:id="68"/>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69" w:name="_Toc15396629"/>
      <w:r>
        <w:rPr>
          <w:rStyle w:val="1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17"/>
          <w:rFonts w:hint="eastAsia" w:ascii="仿宋" w:hAnsi="仿宋" w:eastAsia="仿宋"/>
          <w:b w:val="0"/>
          <w:bCs w:val="0"/>
          <w:color w:val="auto"/>
          <w:highlight w:val="none"/>
        </w:rPr>
        <w:t>府性基金预算财政拨款收入支出决算表</w:t>
      </w:r>
      <w:bookmarkEnd w:id="69"/>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70" w:name="_Toc15396630"/>
      <w:r>
        <w:rPr>
          <w:rStyle w:val="1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17"/>
          <w:rFonts w:hint="eastAsia" w:ascii="仿宋" w:hAnsi="仿宋" w:eastAsia="仿宋"/>
          <w:b w:val="0"/>
          <w:bCs w:val="0"/>
          <w:color w:val="auto"/>
          <w:highlight w:val="none"/>
        </w:rPr>
        <w:t>府性基金预算财政拨款“三公”经费支出决算表</w:t>
      </w:r>
      <w:bookmarkEnd w:id="70"/>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17"/>
          <w:rFonts w:hint="eastAsia" w:ascii="仿宋" w:hAnsi="仿宋" w:eastAsia="仿宋"/>
          <w:b w:val="0"/>
          <w:bCs w:val="0"/>
          <w:color w:val="auto"/>
          <w:highlight w:val="none"/>
        </w:rPr>
      </w:pPr>
      <w:bookmarkStart w:id="71" w:name="_Toc15396631"/>
      <w:r>
        <w:rPr>
          <w:rStyle w:val="1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17"/>
          <w:rFonts w:hint="eastAsia" w:ascii="仿宋" w:hAnsi="仿宋" w:eastAsia="仿宋"/>
          <w:b w:val="0"/>
          <w:bCs w:val="0"/>
          <w:color w:val="auto"/>
          <w:highlight w:val="none"/>
        </w:rPr>
        <w:t>有资本经营预算</w:t>
      </w:r>
      <w:r>
        <w:rPr>
          <w:rStyle w:val="17"/>
          <w:rFonts w:hint="eastAsia" w:ascii="仿宋" w:hAnsi="仿宋" w:eastAsia="仿宋"/>
          <w:b w:val="0"/>
          <w:bCs w:val="0"/>
          <w:color w:val="auto"/>
          <w:highlight w:val="none"/>
          <w:lang w:eastAsia="zh-CN"/>
        </w:rPr>
        <w:t>财政拨款收入</w:t>
      </w:r>
      <w:r>
        <w:rPr>
          <w:rStyle w:val="17"/>
          <w:rFonts w:hint="eastAsia" w:ascii="仿宋" w:hAnsi="仿宋" w:eastAsia="仿宋"/>
          <w:b w:val="0"/>
          <w:bCs w:val="0"/>
          <w:color w:val="auto"/>
          <w:highlight w:val="none"/>
        </w:rPr>
        <w:t>支出决算表</w:t>
      </w:r>
      <w:bookmarkEnd w:id="71"/>
    </w:p>
    <w:p>
      <w:pPr>
        <w:pageBreakBefore w:val="0"/>
        <w:widowControl w:val="0"/>
        <w:kinsoku/>
        <w:wordWrap/>
        <w:overflowPunct/>
        <w:topLinePunct w:val="0"/>
        <w:autoSpaceDE/>
        <w:autoSpaceDN/>
        <w:bidi w:val="0"/>
        <w:adjustRightInd/>
        <w:snapToGrid/>
        <w:spacing w:line="576" w:lineRule="exact"/>
        <w:textAlignment w:val="auto"/>
        <w:rPr>
          <w:rFonts w:hint="eastAsia" w:eastAsia="仿宋"/>
          <w:color w:val="auto"/>
          <w:highlight w:val="none"/>
          <w:lang w:eastAsia="zh-CN"/>
        </w:rPr>
      </w:pPr>
      <w:r>
        <w:rPr>
          <w:rStyle w:val="17"/>
          <w:rFonts w:hint="eastAsia" w:ascii="仿宋" w:hAnsi="仿宋" w:eastAsia="仿宋"/>
          <w:b w:val="0"/>
          <w:bCs w:val="0"/>
          <w:color w:val="auto"/>
          <w:highlight w:val="none"/>
          <w:lang w:eastAsia="zh-CN"/>
        </w:rPr>
        <w:t>十四、国有资本经营预算财政拨款支出决算表</w:t>
      </w:r>
    </w:p>
    <w:sectPr>
      <w:footerReference r:id="rId6" w:type="first"/>
      <w:footerReference r:id="rId5" w:type="default"/>
      <w:pgSz w:w="11906" w:h="16838"/>
      <w:pgMar w:top="2098" w:right="1474" w:bottom="1984" w:left="1587" w:header="851" w:footer="155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0ABC6"/>
    <w:multiLevelType w:val="singleLevel"/>
    <w:tmpl w:val="8340ABC6"/>
    <w:lvl w:ilvl="0" w:tentative="0">
      <w:start w:val="2"/>
      <w:numFmt w:val="decimal"/>
      <w:suff w:val="nothing"/>
      <w:lvlText w:val="%1．"/>
      <w:lvlJc w:val="left"/>
    </w:lvl>
  </w:abstractNum>
  <w:abstractNum w:abstractNumId="1">
    <w:nsid w:val="87B89245"/>
    <w:multiLevelType w:val="singleLevel"/>
    <w:tmpl w:val="87B89245"/>
    <w:lvl w:ilvl="0" w:tentative="0">
      <w:start w:val="2"/>
      <w:numFmt w:val="decimal"/>
      <w:suff w:val="nothing"/>
      <w:lvlText w:val="%1．"/>
      <w:lvlJc w:val="left"/>
    </w:lvl>
  </w:abstractNum>
  <w:abstractNum w:abstractNumId="2">
    <w:nsid w:val="9DF97ADA"/>
    <w:multiLevelType w:val="singleLevel"/>
    <w:tmpl w:val="9DF97ADA"/>
    <w:lvl w:ilvl="0" w:tentative="0">
      <w:start w:val="2"/>
      <w:numFmt w:val="decimal"/>
      <w:suff w:val="nothing"/>
      <w:lvlText w:val="%1．"/>
      <w:lvlJc w:val="left"/>
    </w:lvl>
  </w:abstractNum>
  <w:abstractNum w:abstractNumId="3">
    <w:nsid w:val="A4040266"/>
    <w:multiLevelType w:val="singleLevel"/>
    <w:tmpl w:val="A4040266"/>
    <w:lvl w:ilvl="0" w:tentative="0">
      <w:start w:val="2"/>
      <w:numFmt w:val="decimal"/>
      <w:suff w:val="nothing"/>
      <w:lvlText w:val="%1．"/>
      <w:lvlJc w:val="left"/>
    </w:lvl>
  </w:abstractNum>
  <w:abstractNum w:abstractNumId="4">
    <w:nsid w:val="BDA1E998"/>
    <w:multiLevelType w:val="singleLevel"/>
    <w:tmpl w:val="BDA1E998"/>
    <w:lvl w:ilvl="0" w:tentative="0">
      <w:start w:val="2"/>
      <w:numFmt w:val="decimal"/>
      <w:suff w:val="nothing"/>
      <w:lvlText w:val="%1．"/>
      <w:lvlJc w:val="left"/>
    </w:lvl>
  </w:abstractNum>
  <w:abstractNum w:abstractNumId="5">
    <w:nsid w:val="CF652CEC"/>
    <w:multiLevelType w:val="singleLevel"/>
    <w:tmpl w:val="CF652CEC"/>
    <w:lvl w:ilvl="0" w:tentative="0">
      <w:start w:val="9"/>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E943F072"/>
    <w:multiLevelType w:val="singleLevel"/>
    <w:tmpl w:val="E943F072"/>
    <w:lvl w:ilvl="0" w:tentative="0">
      <w:start w:val="2"/>
      <w:numFmt w:val="decimal"/>
      <w:suff w:val="nothing"/>
      <w:lvlText w:val="%1．"/>
      <w:lvlJc w:val="left"/>
    </w:lvl>
  </w:abstractNum>
  <w:abstractNum w:abstractNumId="8">
    <w:nsid w:val="EACDA710"/>
    <w:multiLevelType w:val="singleLevel"/>
    <w:tmpl w:val="EACDA710"/>
    <w:lvl w:ilvl="0" w:tentative="0">
      <w:start w:val="2"/>
      <w:numFmt w:val="decimal"/>
      <w:suff w:val="nothing"/>
      <w:lvlText w:val="%1．"/>
      <w:lvlJc w:val="left"/>
    </w:lvl>
  </w:abstractNum>
  <w:abstractNum w:abstractNumId="9">
    <w:nsid w:val="21BE1798"/>
    <w:multiLevelType w:val="singleLevel"/>
    <w:tmpl w:val="21BE1798"/>
    <w:lvl w:ilvl="0" w:tentative="0">
      <w:start w:val="2"/>
      <w:numFmt w:val="decimal"/>
      <w:suff w:val="nothing"/>
      <w:lvlText w:val="%1．"/>
      <w:lvlJc w:val="left"/>
    </w:lvl>
  </w:abstractNum>
  <w:abstractNum w:abstractNumId="10">
    <w:nsid w:val="27D54E26"/>
    <w:multiLevelType w:val="singleLevel"/>
    <w:tmpl w:val="27D54E26"/>
    <w:lvl w:ilvl="0" w:tentative="0">
      <w:start w:val="2"/>
      <w:numFmt w:val="decimal"/>
      <w:suff w:val="nothing"/>
      <w:lvlText w:val="%1．"/>
      <w:lvlJc w:val="left"/>
    </w:lvl>
  </w:abstractNum>
  <w:abstractNum w:abstractNumId="11">
    <w:nsid w:val="6413E882"/>
    <w:multiLevelType w:val="singleLevel"/>
    <w:tmpl w:val="6413E882"/>
    <w:lvl w:ilvl="0" w:tentative="0">
      <w:start w:val="2"/>
      <w:numFmt w:val="decimal"/>
      <w:suff w:val="nothing"/>
      <w:lvlText w:val="%1．"/>
      <w:lvlJc w:val="left"/>
    </w:lvl>
  </w:abstractNum>
  <w:abstractNum w:abstractNumId="12">
    <w:nsid w:val="73C9D8B0"/>
    <w:multiLevelType w:val="singleLevel"/>
    <w:tmpl w:val="73C9D8B0"/>
    <w:lvl w:ilvl="0" w:tentative="0">
      <w:start w:val="2"/>
      <w:numFmt w:val="decimal"/>
      <w:suff w:val="nothing"/>
      <w:lvlText w:val="%1．"/>
      <w:lvlJc w:val="left"/>
    </w:lvl>
  </w:abstractNum>
  <w:num w:numId="1">
    <w:abstractNumId w:val="5"/>
  </w:num>
  <w:num w:numId="2">
    <w:abstractNumId w:val="6"/>
  </w:num>
  <w:num w:numId="3">
    <w:abstractNumId w:val="1"/>
  </w:num>
  <w:num w:numId="4">
    <w:abstractNumId w:val="9"/>
  </w:num>
  <w:num w:numId="5">
    <w:abstractNumId w:val="11"/>
  </w:num>
  <w:num w:numId="6">
    <w:abstractNumId w:val="0"/>
  </w:num>
  <w:num w:numId="7">
    <w:abstractNumId w:val="2"/>
  </w:num>
  <w:num w:numId="8">
    <w:abstractNumId w:val="7"/>
  </w:num>
  <w:num w:numId="9">
    <w:abstractNumId w:val="3"/>
  </w:num>
  <w:num w:numId="10">
    <w:abstractNumId w:val="12"/>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revisionView w:markup="0"/>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962A3"/>
    <w:rsid w:val="002A31DE"/>
    <w:rsid w:val="002B2613"/>
    <w:rsid w:val="002D6D05"/>
    <w:rsid w:val="002D6EB6"/>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43BF"/>
    <w:rsid w:val="004E6DF7"/>
    <w:rsid w:val="004F0FBD"/>
    <w:rsid w:val="00505A47"/>
    <w:rsid w:val="00512FDA"/>
    <w:rsid w:val="00520DA0"/>
    <w:rsid w:val="005664BB"/>
    <w:rsid w:val="00566FFA"/>
    <w:rsid w:val="0057481D"/>
    <w:rsid w:val="0058486E"/>
    <w:rsid w:val="00585B33"/>
    <w:rsid w:val="0059014D"/>
    <w:rsid w:val="005935A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1377"/>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1FEE"/>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4A57"/>
    <w:rsid w:val="00F754A1"/>
    <w:rsid w:val="00F81FD9"/>
    <w:rsid w:val="00F841AA"/>
    <w:rsid w:val="00F84A94"/>
    <w:rsid w:val="00F87E96"/>
    <w:rsid w:val="00FA23E8"/>
    <w:rsid w:val="00FD3CC1"/>
    <w:rsid w:val="00FF1E02"/>
    <w:rsid w:val="00FF30B4"/>
    <w:rsid w:val="010F371D"/>
    <w:rsid w:val="01134AC9"/>
    <w:rsid w:val="011B1505"/>
    <w:rsid w:val="011D2710"/>
    <w:rsid w:val="012D77E5"/>
    <w:rsid w:val="01527EDF"/>
    <w:rsid w:val="0160298A"/>
    <w:rsid w:val="01803C25"/>
    <w:rsid w:val="0187402D"/>
    <w:rsid w:val="01D152A8"/>
    <w:rsid w:val="01D66FFB"/>
    <w:rsid w:val="022469E5"/>
    <w:rsid w:val="024261A6"/>
    <w:rsid w:val="025C1016"/>
    <w:rsid w:val="029D33DC"/>
    <w:rsid w:val="02B926FC"/>
    <w:rsid w:val="02BC1AB4"/>
    <w:rsid w:val="02BD5EFC"/>
    <w:rsid w:val="02C1356F"/>
    <w:rsid w:val="02D908B8"/>
    <w:rsid w:val="02F1298E"/>
    <w:rsid w:val="032806C5"/>
    <w:rsid w:val="03304250"/>
    <w:rsid w:val="03321D76"/>
    <w:rsid w:val="03474887"/>
    <w:rsid w:val="034B3C52"/>
    <w:rsid w:val="03F1578E"/>
    <w:rsid w:val="040D6149"/>
    <w:rsid w:val="04142512"/>
    <w:rsid w:val="0442248D"/>
    <w:rsid w:val="045662B7"/>
    <w:rsid w:val="046F1EFE"/>
    <w:rsid w:val="04714B20"/>
    <w:rsid w:val="04AD230E"/>
    <w:rsid w:val="04AE2542"/>
    <w:rsid w:val="04DE727E"/>
    <w:rsid w:val="05031C1C"/>
    <w:rsid w:val="050B287F"/>
    <w:rsid w:val="053E0222"/>
    <w:rsid w:val="05AE0A35"/>
    <w:rsid w:val="05B27F66"/>
    <w:rsid w:val="05C313AC"/>
    <w:rsid w:val="05E549E5"/>
    <w:rsid w:val="06002A76"/>
    <w:rsid w:val="06463F87"/>
    <w:rsid w:val="066E0107"/>
    <w:rsid w:val="066F239D"/>
    <w:rsid w:val="0680104B"/>
    <w:rsid w:val="06F85085"/>
    <w:rsid w:val="070C28DE"/>
    <w:rsid w:val="07996F6E"/>
    <w:rsid w:val="07D21D7A"/>
    <w:rsid w:val="0802559E"/>
    <w:rsid w:val="082F4AD6"/>
    <w:rsid w:val="083546A7"/>
    <w:rsid w:val="08354E1D"/>
    <w:rsid w:val="086C7545"/>
    <w:rsid w:val="08D37B58"/>
    <w:rsid w:val="08EC2023"/>
    <w:rsid w:val="091F0FEF"/>
    <w:rsid w:val="09397950"/>
    <w:rsid w:val="098E2048"/>
    <w:rsid w:val="0992531D"/>
    <w:rsid w:val="09946486"/>
    <w:rsid w:val="09C22D36"/>
    <w:rsid w:val="09D148E8"/>
    <w:rsid w:val="09E322CB"/>
    <w:rsid w:val="0A0A75A9"/>
    <w:rsid w:val="0A173EF3"/>
    <w:rsid w:val="0A2032A3"/>
    <w:rsid w:val="0A3C4889"/>
    <w:rsid w:val="0AA65491"/>
    <w:rsid w:val="0AB2247F"/>
    <w:rsid w:val="0AF56431"/>
    <w:rsid w:val="0AFC2274"/>
    <w:rsid w:val="0B061558"/>
    <w:rsid w:val="0B143EFA"/>
    <w:rsid w:val="0B3D461F"/>
    <w:rsid w:val="0B4D1E43"/>
    <w:rsid w:val="0B5331D2"/>
    <w:rsid w:val="0B902890"/>
    <w:rsid w:val="0B9510F4"/>
    <w:rsid w:val="0BBB1167"/>
    <w:rsid w:val="0BCD05CB"/>
    <w:rsid w:val="0BDE0CED"/>
    <w:rsid w:val="0C18333A"/>
    <w:rsid w:val="0C280580"/>
    <w:rsid w:val="0C411943"/>
    <w:rsid w:val="0C775E1A"/>
    <w:rsid w:val="0C802607"/>
    <w:rsid w:val="0CEB5F40"/>
    <w:rsid w:val="0D6D5C68"/>
    <w:rsid w:val="0D9D4820"/>
    <w:rsid w:val="0E15651D"/>
    <w:rsid w:val="0E250E55"/>
    <w:rsid w:val="0E6843EE"/>
    <w:rsid w:val="0E835B7C"/>
    <w:rsid w:val="0E8F314D"/>
    <w:rsid w:val="0E9E5EC5"/>
    <w:rsid w:val="0EA93670"/>
    <w:rsid w:val="0EB52101"/>
    <w:rsid w:val="0ED26F75"/>
    <w:rsid w:val="0F583E54"/>
    <w:rsid w:val="0F6626CE"/>
    <w:rsid w:val="0F985657"/>
    <w:rsid w:val="0FB56209"/>
    <w:rsid w:val="0FD0678A"/>
    <w:rsid w:val="0FD068F7"/>
    <w:rsid w:val="0FF22FB9"/>
    <w:rsid w:val="100D7DF3"/>
    <w:rsid w:val="101860EC"/>
    <w:rsid w:val="101F58FA"/>
    <w:rsid w:val="10B244F7"/>
    <w:rsid w:val="10C055FF"/>
    <w:rsid w:val="10D03F68"/>
    <w:rsid w:val="10EC7A09"/>
    <w:rsid w:val="10F22B45"/>
    <w:rsid w:val="11281153"/>
    <w:rsid w:val="112C6057"/>
    <w:rsid w:val="116021A5"/>
    <w:rsid w:val="118107EC"/>
    <w:rsid w:val="11A71B81"/>
    <w:rsid w:val="11AF094B"/>
    <w:rsid w:val="11C8033D"/>
    <w:rsid w:val="11CB5DD2"/>
    <w:rsid w:val="11E16BFE"/>
    <w:rsid w:val="11E3705D"/>
    <w:rsid w:val="12346E88"/>
    <w:rsid w:val="12375E94"/>
    <w:rsid w:val="123C676E"/>
    <w:rsid w:val="12435D4E"/>
    <w:rsid w:val="12557610"/>
    <w:rsid w:val="125F2B4D"/>
    <w:rsid w:val="126F08F1"/>
    <w:rsid w:val="127E7A95"/>
    <w:rsid w:val="130B4727"/>
    <w:rsid w:val="13516249"/>
    <w:rsid w:val="13A444BF"/>
    <w:rsid w:val="13C82402"/>
    <w:rsid w:val="13D50BC4"/>
    <w:rsid w:val="140011F2"/>
    <w:rsid w:val="141B04F4"/>
    <w:rsid w:val="141C6857"/>
    <w:rsid w:val="149E726C"/>
    <w:rsid w:val="150D619F"/>
    <w:rsid w:val="15233C15"/>
    <w:rsid w:val="1525173B"/>
    <w:rsid w:val="15504752"/>
    <w:rsid w:val="15573DEB"/>
    <w:rsid w:val="15793835"/>
    <w:rsid w:val="15A163F4"/>
    <w:rsid w:val="15B13E96"/>
    <w:rsid w:val="15B34F99"/>
    <w:rsid w:val="15E05662"/>
    <w:rsid w:val="16610551"/>
    <w:rsid w:val="168E3F56"/>
    <w:rsid w:val="16BB723D"/>
    <w:rsid w:val="16D302D7"/>
    <w:rsid w:val="16F5338F"/>
    <w:rsid w:val="17084E70"/>
    <w:rsid w:val="17163A31"/>
    <w:rsid w:val="175D205E"/>
    <w:rsid w:val="17614581"/>
    <w:rsid w:val="17996410"/>
    <w:rsid w:val="17D15BAA"/>
    <w:rsid w:val="17D30CB5"/>
    <w:rsid w:val="17D905BB"/>
    <w:rsid w:val="17E646B4"/>
    <w:rsid w:val="1861354D"/>
    <w:rsid w:val="18CB69C6"/>
    <w:rsid w:val="18CD3B7B"/>
    <w:rsid w:val="18DE48B4"/>
    <w:rsid w:val="19393A07"/>
    <w:rsid w:val="19670574"/>
    <w:rsid w:val="199D21E8"/>
    <w:rsid w:val="19A31463"/>
    <w:rsid w:val="1A353C5E"/>
    <w:rsid w:val="1A3E4B0B"/>
    <w:rsid w:val="1A4B1C44"/>
    <w:rsid w:val="1A584361"/>
    <w:rsid w:val="1A5A2518"/>
    <w:rsid w:val="1A651F57"/>
    <w:rsid w:val="1A78055F"/>
    <w:rsid w:val="1A7867B1"/>
    <w:rsid w:val="1AB84DFF"/>
    <w:rsid w:val="1AFB6B25"/>
    <w:rsid w:val="1B18447E"/>
    <w:rsid w:val="1B407591"/>
    <w:rsid w:val="1B961B24"/>
    <w:rsid w:val="1BE8440E"/>
    <w:rsid w:val="1C010327"/>
    <w:rsid w:val="1C4701E9"/>
    <w:rsid w:val="1C4F52EF"/>
    <w:rsid w:val="1C774AE2"/>
    <w:rsid w:val="1C90210E"/>
    <w:rsid w:val="1C99656B"/>
    <w:rsid w:val="1CE4012E"/>
    <w:rsid w:val="1CF75746"/>
    <w:rsid w:val="1D155CEE"/>
    <w:rsid w:val="1D5148A0"/>
    <w:rsid w:val="1D5232E9"/>
    <w:rsid w:val="1D71791A"/>
    <w:rsid w:val="1DCF7231"/>
    <w:rsid w:val="1DDD5C48"/>
    <w:rsid w:val="1DE1641B"/>
    <w:rsid w:val="1E13698D"/>
    <w:rsid w:val="1E380731"/>
    <w:rsid w:val="1E4427E1"/>
    <w:rsid w:val="1E607BCE"/>
    <w:rsid w:val="1E9777B7"/>
    <w:rsid w:val="1EA82F1B"/>
    <w:rsid w:val="1EF043C6"/>
    <w:rsid w:val="1F1164D9"/>
    <w:rsid w:val="1F1D0AC1"/>
    <w:rsid w:val="1F5866E8"/>
    <w:rsid w:val="1FB042F7"/>
    <w:rsid w:val="1FC26633"/>
    <w:rsid w:val="1FD54716"/>
    <w:rsid w:val="20182F0D"/>
    <w:rsid w:val="20411465"/>
    <w:rsid w:val="204E2629"/>
    <w:rsid w:val="20684BD2"/>
    <w:rsid w:val="209503A6"/>
    <w:rsid w:val="20D12777"/>
    <w:rsid w:val="20D54EBB"/>
    <w:rsid w:val="20E34258"/>
    <w:rsid w:val="20FE6750"/>
    <w:rsid w:val="210112AE"/>
    <w:rsid w:val="21013250"/>
    <w:rsid w:val="212E7BC9"/>
    <w:rsid w:val="21647282"/>
    <w:rsid w:val="216E446A"/>
    <w:rsid w:val="219C78F8"/>
    <w:rsid w:val="21B55BF5"/>
    <w:rsid w:val="21B8281C"/>
    <w:rsid w:val="21C5052E"/>
    <w:rsid w:val="21CF481A"/>
    <w:rsid w:val="21FD0D9F"/>
    <w:rsid w:val="22055EDA"/>
    <w:rsid w:val="22097CEF"/>
    <w:rsid w:val="221B1958"/>
    <w:rsid w:val="22E83DA8"/>
    <w:rsid w:val="22ED7AA6"/>
    <w:rsid w:val="235651B5"/>
    <w:rsid w:val="236C49D9"/>
    <w:rsid w:val="23860B96"/>
    <w:rsid w:val="239570C5"/>
    <w:rsid w:val="23A61C99"/>
    <w:rsid w:val="23BB64CE"/>
    <w:rsid w:val="23BF71FF"/>
    <w:rsid w:val="23C71FE8"/>
    <w:rsid w:val="23C95987"/>
    <w:rsid w:val="23CE11F0"/>
    <w:rsid w:val="23D26F32"/>
    <w:rsid w:val="23FB5AE3"/>
    <w:rsid w:val="240371BF"/>
    <w:rsid w:val="243E45C7"/>
    <w:rsid w:val="24457704"/>
    <w:rsid w:val="24A361D8"/>
    <w:rsid w:val="24CE594B"/>
    <w:rsid w:val="24E925E2"/>
    <w:rsid w:val="24EC692C"/>
    <w:rsid w:val="24F3486D"/>
    <w:rsid w:val="256E2C8A"/>
    <w:rsid w:val="25734CB2"/>
    <w:rsid w:val="260871FC"/>
    <w:rsid w:val="26190E48"/>
    <w:rsid w:val="26492107"/>
    <w:rsid w:val="26541E80"/>
    <w:rsid w:val="265A2982"/>
    <w:rsid w:val="26713556"/>
    <w:rsid w:val="268B161A"/>
    <w:rsid w:val="26BC082B"/>
    <w:rsid w:val="26D66D39"/>
    <w:rsid w:val="27223D2C"/>
    <w:rsid w:val="27565784"/>
    <w:rsid w:val="275F7F2B"/>
    <w:rsid w:val="27823335"/>
    <w:rsid w:val="279A7D67"/>
    <w:rsid w:val="27A33F5C"/>
    <w:rsid w:val="27E115FA"/>
    <w:rsid w:val="283261F1"/>
    <w:rsid w:val="287B5167"/>
    <w:rsid w:val="28884063"/>
    <w:rsid w:val="28E82D54"/>
    <w:rsid w:val="2905044A"/>
    <w:rsid w:val="2927387C"/>
    <w:rsid w:val="29296853"/>
    <w:rsid w:val="295D441B"/>
    <w:rsid w:val="298A2C91"/>
    <w:rsid w:val="29B517D6"/>
    <w:rsid w:val="29C5616A"/>
    <w:rsid w:val="29D95866"/>
    <w:rsid w:val="29FD04D3"/>
    <w:rsid w:val="2A0D690A"/>
    <w:rsid w:val="2A0E08CF"/>
    <w:rsid w:val="2A201139"/>
    <w:rsid w:val="2A280EB2"/>
    <w:rsid w:val="2A2E0C3A"/>
    <w:rsid w:val="2A7C7FEA"/>
    <w:rsid w:val="2AAC347C"/>
    <w:rsid w:val="2ACE6839"/>
    <w:rsid w:val="2B400742"/>
    <w:rsid w:val="2B6477C6"/>
    <w:rsid w:val="2B940F71"/>
    <w:rsid w:val="2B984862"/>
    <w:rsid w:val="2BB86A0D"/>
    <w:rsid w:val="2BC96E6C"/>
    <w:rsid w:val="2BCC4267"/>
    <w:rsid w:val="2C1A6BF6"/>
    <w:rsid w:val="2C245E51"/>
    <w:rsid w:val="2C577B7F"/>
    <w:rsid w:val="2C820DC9"/>
    <w:rsid w:val="2C8A61B5"/>
    <w:rsid w:val="2C9E3E55"/>
    <w:rsid w:val="2CA74639"/>
    <w:rsid w:val="2CB01DDA"/>
    <w:rsid w:val="2CE0416E"/>
    <w:rsid w:val="2D037C66"/>
    <w:rsid w:val="2D0F77F4"/>
    <w:rsid w:val="2D22512B"/>
    <w:rsid w:val="2D3E56E7"/>
    <w:rsid w:val="2D5C786C"/>
    <w:rsid w:val="2D7C1CBC"/>
    <w:rsid w:val="2D984780"/>
    <w:rsid w:val="2DB9081B"/>
    <w:rsid w:val="2DE37BA3"/>
    <w:rsid w:val="2DF04E50"/>
    <w:rsid w:val="2E1B5870"/>
    <w:rsid w:val="2E23041C"/>
    <w:rsid w:val="2E3C006F"/>
    <w:rsid w:val="2E444588"/>
    <w:rsid w:val="2E9B6172"/>
    <w:rsid w:val="2EEE2746"/>
    <w:rsid w:val="2EFE609D"/>
    <w:rsid w:val="2F173D0A"/>
    <w:rsid w:val="2F1E4CE0"/>
    <w:rsid w:val="2F2F348A"/>
    <w:rsid w:val="2F835584"/>
    <w:rsid w:val="2FAA48BF"/>
    <w:rsid w:val="2FB4573E"/>
    <w:rsid w:val="30274161"/>
    <w:rsid w:val="30446AC1"/>
    <w:rsid w:val="305A6B4F"/>
    <w:rsid w:val="3095013F"/>
    <w:rsid w:val="30977539"/>
    <w:rsid w:val="30AE03DF"/>
    <w:rsid w:val="312132A7"/>
    <w:rsid w:val="313C3C3D"/>
    <w:rsid w:val="31456F95"/>
    <w:rsid w:val="3160752F"/>
    <w:rsid w:val="31717D8A"/>
    <w:rsid w:val="31853836"/>
    <w:rsid w:val="318A0E4C"/>
    <w:rsid w:val="319F7F4E"/>
    <w:rsid w:val="31C33F8D"/>
    <w:rsid w:val="31EF5153"/>
    <w:rsid w:val="32026C34"/>
    <w:rsid w:val="3222053A"/>
    <w:rsid w:val="3259205E"/>
    <w:rsid w:val="329A6E6D"/>
    <w:rsid w:val="32D05E03"/>
    <w:rsid w:val="32E8331A"/>
    <w:rsid w:val="32E97DF4"/>
    <w:rsid w:val="331B7930"/>
    <w:rsid w:val="333460D2"/>
    <w:rsid w:val="334B63B9"/>
    <w:rsid w:val="33664D1A"/>
    <w:rsid w:val="33831F7C"/>
    <w:rsid w:val="33897B6E"/>
    <w:rsid w:val="33DE5D97"/>
    <w:rsid w:val="33ED4B94"/>
    <w:rsid w:val="341C3615"/>
    <w:rsid w:val="34556809"/>
    <w:rsid w:val="345B087E"/>
    <w:rsid w:val="34752C1F"/>
    <w:rsid w:val="348924A4"/>
    <w:rsid w:val="34993154"/>
    <w:rsid w:val="34AA332B"/>
    <w:rsid w:val="34C860DC"/>
    <w:rsid w:val="34CC177B"/>
    <w:rsid w:val="34D16D92"/>
    <w:rsid w:val="34EB3110"/>
    <w:rsid w:val="34FA12A7"/>
    <w:rsid w:val="350B5D5C"/>
    <w:rsid w:val="350D7E03"/>
    <w:rsid w:val="35531DB4"/>
    <w:rsid w:val="35714216"/>
    <w:rsid w:val="358108B6"/>
    <w:rsid w:val="359F7AA1"/>
    <w:rsid w:val="35AD64B9"/>
    <w:rsid w:val="35CC761F"/>
    <w:rsid w:val="35EB565F"/>
    <w:rsid w:val="36185F1A"/>
    <w:rsid w:val="361B6516"/>
    <w:rsid w:val="365437D6"/>
    <w:rsid w:val="3656750B"/>
    <w:rsid w:val="36784375"/>
    <w:rsid w:val="369938DF"/>
    <w:rsid w:val="36AA5135"/>
    <w:rsid w:val="371B2546"/>
    <w:rsid w:val="375F68D7"/>
    <w:rsid w:val="37B1722C"/>
    <w:rsid w:val="37D942E0"/>
    <w:rsid w:val="37E16F03"/>
    <w:rsid w:val="381274A5"/>
    <w:rsid w:val="382E64F6"/>
    <w:rsid w:val="385C4476"/>
    <w:rsid w:val="38767A34"/>
    <w:rsid w:val="38834608"/>
    <w:rsid w:val="38A0719C"/>
    <w:rsid w:val="38AC222F"/>
    <w:rsid w:val="38B04056"/>
    <w:rsid w:val="38C70290"/>
    <w:rsid w:val="394E6C03"/>
    <w:rsid w:val="39562F52"/>
    <w:rsid w:val="397D1296"/>
    <w:rsid w:val="399C731A"/>
    <w:rsid w:val="39A63F7D"/>
    <w:rsid w:val="39C173D5"/>
    <w:rsid w:val="39DE0EC7"/>
    <w:rsid w:val="3A3851BE"/>
    <w:rsid w:val="3A52627F"/>
    <w:rsid w:val="3A5913BB"/>
    <w:rsid w:val="3A8A1990"/>
    <w:rsid w:val="3AAD7959"/>
    <w:rsid w:val="3AB63EE5"/>
    <w:rsid w:val="3AD60C5E"/>
    <w:rsid w:val="3AD93C2E"/>
    <w:rsid w:val="3AE07D2F"/>
    <w:rsid w:val="3AEF0A57"/>
    <w:rsid w:val="3B0C2FF7"/>
    <w:rsid w:val="3B7D37CF"/>
    <w:rsid w:val="3B9F54F4"/>
    <w:rsid w:val="3BB464F1"/>
    <w:rsid w:val="3BE41B48"/>
    <w:rsid w:val="3BE66A30"/>
    <w:rsid w:val="3C1B6FEC"/>
    <w:rsid w:val="3C526A0A"/>
    <w:rsid w:val="3C8717B9"/>
    <w:rsid w:val="3CB74ABF"/>
    <w:rsid w:val="3D7B75D2"/>
    <w:rsid w:val="3D98207C"/>
    <w:rsid w:val="3DE713D4"/>
    <w:rsid w:val="3E0E4BB3"/>
    <w:rsid w:val="3E9A1FA2"/>
    <w:rsid w:val="3ED6747E"/>
    <w:rsid w:val="3F1E0E25"/>
    <w:rsid w:val="3F2B09AF"/>
    <w:rsid w:val="3F4F5483"/>
    <w:rsid w:val="3F755CA2"/>
    <w:rsid w:val="3F825CCD"/>
    <w:rsid w:val="3F8530B4"/>
    <w:rsid w:val="3FA6178A"/>
    <w:rsid w:val="3FE23C01"/>
    <w:rsid w:val="3FF85B48"/>
    <w:rsid w:val="4061546E"/>
    <w:rsid w:val="408E0203"/>
    <w:rsid w:val="40980764"/>
    <w:rsid w:val="409A4C1F"/>
    <w:rsid w:val="40B2553A"/>
    <w:rsid w:val="40CF687B"/>
    <w:rsid w:val="413640CF"/>
    <w:rsid w:val="419E7FFC"/>
    <w:rsid w:val="41CF4659"/>
    <w:rsid w:val="41E73751"/>
    <w:rsid w:val="41EA5A45"/>
    <w:rsid w:val="41F75756"/>
    <w:rsid w:val="41FD69F2"/>
    <w:rsid w:val="421A58D4"/>
    <w:rsid w:val="421D081D"/>
    <w:rsid w:val="42513BA8"/>
    <w:rsid w:val="427271B5"/>
    <w:rsid w:val="42784CF1"/>
    <w:rsid w:val="429C2867"/>
    <w:rsid w:val="429E4757"/>
    <w:rsid w:val="42B256B0"/>
    <w:rsid w:val="42B5384F"/>
    <w:rsid w:val="42FF2D1C"/>
    <w:rsid w:val="43170066"/>
    <w:rsid w:val="43187E67"/>
    <w:rsid w:val="43776D56"/>
    <w:rsid w:val="43923CA1"/>
    <w:rsid w:val="43E1333A"/>
    <w:rsid w:val="43F07682"/>
    <w:rsid w:val="44020D16"/>
    <w:rsid w:val="4420603D"/>
    <w:rsid w:val="442E1752"/>
    <w:rsid w:val="443C5BC9"/>
    <w:rsid w:val="44486426"/>
    <w:rsid w:val="444A4D6B"/>
    <w:rsid w:val="445552E9"/>
    <w:rsid w:val="447361F2"/>
    <w:rsid w:val="44911A6B"/>
    <w:rsid w:val="44B30262"/>
    <w:rsid w:val="44E268DA"/>
    <w:rsid w:val="44F92119"/>
    <w:rsid w:val="45114BB3"/>
    <w:rsid w:val="45467F62"/>
    <w:rsid w:val="458D57CB"/>
    <w:rsid w:val="45B47DEE"/>
    <w:rsid w:val="45FE3C92"/>
    <w:rsid w:val="461F5BAF"/>
    <w:rsid w:val="469B3247"/>
    <w:rsid w:val="46F26E20"/>
    <w:rsid w:val="46FA5CD4"/>
    <w:rsid w:val="475B5B30"/>
    <w:rsid w:val="47661423"/>
    <w:rsid w:val="476B6BD2"/>
    <w:rsid w:val="476F070E"/>
    <w:rsid w:val="47720CA9"/>
    <w:rsid w:val="47C87B80"/>
    <w:rsid w:val="47CF53B3"/>
    <w:rsid w:val="47E0311C"/>
    <w:rsid w:val="47EF15B1"/>
    <w:rsid w:val="4828061F"/>
    <w:rsid w:val="489049D5"/>
    <w:rsid w:val="48DC7D87"/>
    <w:rsid w:val="492257BF"/>
    <w:rsid w:val="493D56EB"/>
    <w:rsid w:val="495A3F62"/>
    <w:rsid w:val="49753CDE"/>
    <w:rsid w:val="497C6E74"/>
    <w:rsid w:val="497C7BB7"/>
    <w:rsid w:val="499A60AC"/>
    <w:rsid w:val="499B5FB0"/>
    <w:rsid w:val="49B605D8"/>
    <w:rsid w:val="49BE123B"/>
    <w:rsid w:val="49C75EDA"/>
    <w:rsid w:val="49D44288"/>
    <w:rsid w:val="4A0A26D2"/>
    <w:rsid w:val="4A13511B"/>
    <w:rsid w:val="4A2527FA"/>
    <w:rsid w:val="4A325D14"/>
    <w:rsid w:val="4A3812C5"/>
    <w:rsid w:val="4A5F69CD"/>
    <w:rsid w:val="4A627F82"/>
    <w:rsid w:val="4A7933B4"/>
    <w:rsid w:val="4A7B35D0"/>
    <w:rsid w:val="4AB37D9C"/>
    <w:rsid w:val="4AB50890"/>
    <w:rsid w:val="4ABA40F8"/>
    <w:rsid w:val="4AE86BD6"/>
    <w:rsid w:val="4AF05CF0"/>
    <w:rsid w:val="4AF57E89"/>
    <w:rsid w:val="4B07435B"/>
    <w:rsid w:val="4B210495"/>
    <w:rsid w:val="4B271062"/>
    <w:rsid w:val="4B4F25DA"/>
    <w:rsid w:val="4B834D5C"/>
    <w:rsid w:val="4B885FA4"/>
    <w:rsid w:val="4B99071D"/>
    <w:rsid w:val="4B9C37FE"/>
    <w:rsid w:val="4BAE4815"/>
    <w:rsid w:val="4BB34B28"/>
    <w:rsid w:val="4BD41705"/>
    <w:rsid w:val="4BE068DB"/>
    <w:rsid w:val="4BF51E47"/>
    <w:rsid w:val="4C117E7E"/>
    <w:rsid w:val="4C5E5B67"/>
    <w:rsid w:val="4C5F29D1"/>
    <w:rsid w:val="4C87000A"/>
    <w:rsid w:val="4C885B30"/>
    <w:rsid w:val="4CBE1C24"/>
    <w:rsid w:val="4CC2421E"/>
    <w:rsid w:val="4CCC1EC1"/>
    <w:rsid w:val="4CD520AB"/>
    <w:rsid w:val="4D115B26"/>
    <w:rsid w:val="4D2E0486"/>
    <w:rsid w:val="4D577224"/>
    <w:rsid w:val="4D8B58D8"/>
    <w:rsid w:val="4DAE228C"/>
    <w:rsid w:val="4DB74FE1"/>
    <w:rsid w:val="4E2062BB"/>
    <w:rsid w:val="4E2B2C17"/>
    <w:rsid w:val="4E612ADD"/>
    <w:rsid w:val="4E7F29F4"/>
    <w:rsid w:val="4E816CDB"/>
    <w:rsid w:val="4EAB630A"/>
    <w:rsid w:val="4ECE2238"/>
    <w:rsid w:val="4EE15B4A"/>
    <w:rsid w:val="4EFB22D4"/>
    <w:rsid w:val="4EFB24A3"/>
    <w:rsid w:val="4F011C22"/>
    <w:rsid w:val="4F2E4127"/>
    <w:rsid w:val="4F4066F6"/>
    <w:rsid w:val="4F4531FA"/>
    <w:rsid w:val="4FBA24A4"/>
    <w:rsid w:val="4FC74BC1"/>
    <w:rsid w:val="4FD712A8"/>
    <w:rsid w:val="4FF754A7"/>
    <w:rsid w:val="4FFF4529"/>
    <w:rsid w:val="50306F92"/>
    <w:rsid w:val="50323960"/>
    <w:rsid w:val="5060129E"/>
    <w:rsid w:val="50715259"/>
    <w:rsid w:val="50772144"/>
    <w:rsid w:val="50B155D8"/>
    <w:rsid w:val="50CD6246"/>
    <w:rsid w:val="50CF155F"/>
    <w:rsid w:val="50DE3F85"/>
    <w:rsid w:val="515A7EAD"/>
    <w:rsid w:val="51A24FFA"/>
    <w:rsid w:val="51C21D07"/>
    <w:rsid w:val="51DD247A"/>
    <w:rsid w:val="51F37EF0"/>
    <w:rsid w:val="51FD2B1C"/>
    <w:rsid w:val="520B5239"/>
    <w:rsid w:val="52195BA8"/>
    <w:rsid w:val="523522B6"/>
    <w:rsid w:val="523E6CBE"/>
    <w:rsid w:val="5253098E"/>
    <w:rsid w:val="525B7C9D"/>
    <w:rsid w:val="52FD2299"/>
    <w:rsid w:val="53183DAC"/>
    <w:rsid w:val="536A5F90"/>
    <w:rsid w:val="53B271C1"/>
    <w:rsid w:val="53BF452D"/>
    <w:rsid w:val="53CD5876"/>
    <w:rsid w:val="540E7263"/>
    <w:rsid w:val="5454111A"/>
    <w:rsid w:val="545E2186"/>
    <w:rsid w:val="545F361A"/>
    <w:rsid w:val="54641348"/>
    <w:rsid w:val="54AF45A2"/>
    <w:rsid w:val="54B519C4"/>
    <w:rsid w:val="54DC6E73"/>
    <w:rsid w:val="552F4B9D"/>
    <w:rsid w:val="553B7BE4"/>
    <w:rsid w:val="55630EE8"/>
    <w:rsid w:val="558D41B7"/>
    <w:rsid w:val="55CA6D37"/>
    <w:rsid w:val="55FF646A"/>
    <w:rsid w:val="564E15E0"/>
    <w:rsid w:val="567D5FDA"/>
    <w:rsid w:val="56A2126A"/>
    <w:rsid w:val="56A93273"/>
    <w:rsid w:val="56BC2FA6"/>
    <w:rsid w:val="56C33DF7"/>
    <w:rsid w:val="570867FA"/>
    <w:rsid w:val="57106E4E"/>
    <w:rsid w:val="57325A3B"/>
    <w:rsid w:val="5789732C"/>
    <w:rsid w:val="57DB3900"/>
    <w:rsid w:val="57E5315C"/>
    <w:rsid w:val="58274A6F"/>
    <w:rsid w:val="583D4273"/>
    <w:rsid w:val="587C3D42"/>
    <w:rsid w:val="58CD149A"/>
    <w:rsid w:val="59594DF9"/>
    <w:rsid w:val="595A5723"/>
    <w:rsid w:val="59623267"/>
    <w:rsid w:val="59851D75"/>
    <w:rsid w:val="59A541C5"/>
    <w:rsid w:val="59A71CEC"/>
    <w:rsid w:val="59AC5A57"/>
    <w:rsid w:val="59CD1026"/>
    <w:rsid w:val="59E90DF8"/>
    <w:rsid w:val="5A074538"/>
    <w:rsid w:val="5A7163E2"/>
    <w:rsid w:val="5A806D36"/>
    <w:rsid w:val="5AF92295"/>
    <w:rsid w:val="5AFA16D7"/>
    <w:rsid w:val="5B464AF4"/>
    <w:rsid w:val="5B4A7B5B"/>
    <w:rsid w:val="5B590DC3"/>
    <w:rsid w:val="5B751328"/>
    <w:rsid w:val="5BAF5B66"/>
    <w:rsid w:val="5C276B6D"/>
    <w:rsid w:val="5C4A4BB0"/>
    <w:rsid w:val="5C7B745F"/>
    <w:rsid w:val="5C8D34B1"/>
    <w:rsid w:val="5CBC3CC2"/>
    <w:rsid w:val="5CD050B5"/>
    <w:rsid w:val="5CD71FC4"/>
    <w:rsid w:val="5CE90889"/>
    <w:rsid w:val="5CF5105E"/>
    <w:rsid w:val="5D212940"/>
    <w:rsid w:val="5D5B3EC6"/>
    <w:rsid w:val="5DBF512A"/>
    <w:rsid w:val="5DCD7847"/>
    <w:rsid w:val="5DEF0B4F"/>
    <w:rsid w:val="5DF474C9"/>
    <w:rsid w:val="5E1770DF"/>
    <w:rsid w:val="5E2D4789"/>
    <w:rsid w:val="5E580DF8"/>
    <w:rsid w:val="5E622841"/>
    <w:rsid w:val="5EB01642"/>
    <w:rsid w:val="5ECC3FA2"/>
    <w:rsid w:val="5EEA66C9"/>
    <w:rsid w:val="5EFD3CC2"/>
    <w:rsid w:val="5F0B19F9"/>
    <w:rsid w:val="5F2345A8"/>
    <w:rsid w:val="5F2479A8"/>
    <w:rsid w:val="5F304531"/>
    <w:rsid w:val="5F3062DF"/>
    <w:rsid w:val="5F5B0685"/>
    <w:rsid w:val="5FBA6905"/>
    <w:rsid w:val="5FF27A39"/>
    <w:rsid w:val="60100EE9"/>
    <w:rsid w:val="60164F7F"/>
    <w:rsid w:val="601D3D0F"/>
    <w:rsid w:val="603409BC"/>
    <w:rsid w:val="603513F0"/>
    <w:rsid w:val="604632C7"/>
    <w:rsid w:val="60F577E0"/>
    <w:rsid w:val="61135EB8"/>
    <w:rsid w:val="615A10A4"/>
    <w:rsid w:val="616109D2"/>
    <w:rsid w:val="61700C15"/>
    <w:rsid w:val="61720E31"/>
    <w:rsid w:val="617E77D6"/>
    <w:rsid w:val="618C0652"/>
    <w:rsid w:val="61C728E5"/>
    <w:rsid w:val="62514EEA"/>
    <w:rsid w:val="62585EBE"/>
    <w:rsid w:val="62841CF8"/>
    <w:rsid w:val="632C3261"/>
    <w:rsid w:val="63471E49"/>
    <w:rsid w:val="63870498"/>
    <w:rsid w:val="639A641D"/>
    <w:rsid w:val="63D35C60"/>
    <w:rsid w:val="63EB0C9B"/>
    <w:rsid w:val="63F64CE2"/>
    <w:rsid w:val="64191A38"/>
    <w:rsid w:val="646D768E"/>
    <w:rsid w:val="64827D86"/>
    <w:rsid w:val="648570CD"/>
    <w:rsid w:val="64AF5EF8"/>
    <w:rsid w:val="654E3963"/>
    <w:rsid w:val="65803B72"/>
    <w:rsid w:val="65982E30"/>
    <w:rsid w:val="660047AC"/>
    <w:rsid w:val="66041825"/>
    <w:rsid w:val="66376316"/>
    <w:rsid w:val="663A5C95"/>
    <w:rsid w:val="666F593F"/>
    <w:rsid w:val="667E51BF"/>
    <w:rsid w:val="6689569E"/>
    <w:rsid w:val="6694184A"/>
    <w:rsid w:val="66C0263F"/>
    <w:rsid w:val="66D5058F"/>
    <w:rsid w:val="67185FD7"/>
    <w:rsid w:val="6744501E"/>
    <w:rsid w:val="67694A84"/>
    <w:rsid w:val="67857527"/>
    <w:rsid w:val="679775DB"/>
    <w:rsid w:val="67A56234"/>
    <w:rsid w:val="689E2F34"/>
    <w:rsid w:val="68A00EC9"/>
    <w:rsid w:val="68A613C0"/>
    <w:rsid w:val="68D07916"/>
    <w:rsid w:val="691E3EB9"/>
    <w:rsid w:val="696077C1"/>
    <w:rsid w:val="6978073E"/>
    <w:rsid w:val="69BE2739"/>
    <w:rsid w:val="69F13925"/>
    <w:rsid w:val="6A204398"/>
    <w:rsid w:val="6A4E5433"/>
    <w:rsid w:val="6A8F43E4"/>
    <w:rsid w:val="6AAC083E"/>
    <w:rsid w:val="6AAE27AE"/>
    <w:rsid w:val="6AB82DB9"/>
    <w:rsid w:val="6AB9187F"/>
    <w:rsid w:val="6AD40467"/>
    <w:rsid w:val="6AF20C42"/>
    <w:rsid w:val="6AFE7291"/>
    <w:rsid w:val="6B122D3D"/>
    <w:rsid w:val="6B572E46"/>
    <w:rsid w:val="6B6A491A"/>
    <w:rsid w:val="6B741C4A"/>
    <w:rsid w:val="6B87197D"/>
    <w:rsid w:val="6B99345E"/>
    <w:rsid w:val="6B9F20D5"/>
    <w:rsid w:val="6BA50B91"/>
    <w:rsid w:val="6BBA3B00"/>
    <w:rsid w:val="6C2669CE"/>
    <w:rsid w:val="6C3171FA"/>
    <w:rsid w:val="6C4A05C8"/>
    <w:rsid w:val="6C5F6393"/>
    <w:rsid w:val="6C896D9A"/>
    <w:rsid w:val="6CAA5543"/>
    <w:rsid w:val="6CCF20FC"/>
    <w:rsid w:val="6D042B59"/>
    <w:rsid w:val="6D5A6BDF"/>
    <w:rsid w:val="6D6142C0"/>
    <w:rsid w:val="6D8A7502"/>
    <w:rsid w:val="6DC9627D"/>
    <w:rsid w:val="6DCC18C9"/>
    <w:rsid w:val="6E370799"/>
    <w:rsid w:val="6E492F1A"/>
    <w:rsid w:val="6E7E3605"/>
    <w:rsid w:val="6E9106AB"/>
    <w:rsid w:val="6F040A48"/>
    <w:rsid w:val="6F5E5FF6"/>
    <w:rsid w:val="6F637CC1"/>
    <w:rsid w:val="6FF5CC65"/>
    <w:rsid w:val="7001215B"/>
    <w:rsid w:val="701C7B9B"/>
    <w:rsid w:val="70512559"/>
    <w:rsid w:val="70683E52"/>
    <w:rsid w:val="707B75D6"/>
    <w:rsid w:val="70DC4BD7"/>
    <w:rsid w:val="70F73101"/>
    <w:rsid w:val="714F4CEB"/>
    <w:rsid w:val="715C0E4B"/>
    <w:rsid w:val="71940950"/>
    <w:rsid w:val="71BB2380"/>
    <w:rsid w:val="71EF202A"/>
    <w:rsid w:val="720E0702"/>
    <w:rsid w:val="72127AC6"/>
    <w:rsid w:val="721D5DCD"/>
    <w:rsid w:val="72347190"/>
    <w:rsid w:val="72402885"/>
    <w:rsid w:val="72734D90"/>
    <w:rsid w:val="732E2ED4"/>
    <w:rsid w:val="733817AF"/>
    <w:rsid w:val="733A3F3A"/>
    <w:rsid w:val="735B2A48"/>
    <w:rsid w:val="73A806E2"/>
    <w:rsid w:val="73AD73D5"/>
    <w:rsid w:val="73B60E7A"/>
    <w:rsid w:val="73B6EB34"/>
    <w:rsid w:val="74115083"/>
    <w:rsid w:val="745C066F"/>
    <w:rsid w:val="74887696"/>
    <w:rsid w:val="74896888"/>
    <w:rsid w:val="748E607C"/>
    <w:rsid w:val="74CC6652"/>
    <w:rsid w:val="74CD278B"/>
    <w:rsid w:val="74E92D60"/>
    <w:rsid w:val="75574CCD"/>
    <w:rsid w:val="757E52DA"/>
    <w:rsid w:val="758A34DD"/>
    <w:rsid w:val="75B96BD7"/>
    <w:rsid w:val="75C4732A"/>
    <w:rsid w:val="75D304D0"/>
    <w:rsid w:val="762C55A2"/>
    <w:rsid w:val="76C747C2"/>
    <w:rsid w:val="76E063E5"/>
    <w:rsid w:val="772F3D97"/>
    <w:rsid w:val="773E1EF4"/>
    <w:rsid w:val="775C4FEC"/>
    <w:rsid w:val="775F730A"/>
    <w:rsid w:val="77860D3A"/>
    <w:rsid w:val="780E632E"/>
    <w:rsid w:val="78101BE7"/>
    <w:rsid w:val="785D08CE"/>
    <w:rsid w:val="78840F53"/>
    <w:rsid w:val="78915BE9"/>
    <w:rsid w:val="789F45BB"/>
    <w:rsid w:val="78C65FEB"/>
    <w:rsid w:val="78CE4F4D"/>
    <w:rsid w:val="78F2088A"/>
    <w:rsid w:val="791B1AEC"/>
    <w:rsid w:val="791C386B"/>
    <w:rsid w:val="79254583"/>
    <w:rsid w:val="792F71B0"/>
    <w:rsid w:val="794401B0"/>
    <w:rsid w:val="79A6571F"/>
    <w:rsid w:val="79BC6C95"/>
    <w:rsid w:val="79E85CDC"/>
    <w:rsid w:val="79EB30D7"/>
    <w:rsid w:val="79EE5BA4"/>
    <w:rsid w:val="79F006ED"/>
    <w:rsid w:val="7A010B4C"/>
    <w:rsid w:val="7A150154"/>
    <w:rsid w:val="7A3525A4"/>
    <w:rsid w:val="7A4F26D7"/>
    <w:rsid w:val="7A526B0A"/>
    <w:rsid w:val="7A7C6425"/>
    <w:rsid w:val="7A862E00"/>
    <w:rsid w:val="7A894339"/>
    <w:rsid w:val="7AF64C83"/>
    <w:rsid w:val="7AF95CC7"/>
    <w:rsid w:val="7B246192"/>
    <w:rsid w:val="7B294867"/>
    <w:rsid w:val="7B643141"/>
    <w:rsid w:val="7B8E4662"/>
    <w:rsid w:val="7C570EF7"/>
    <w:rsid w:val="7CC663F8"/>
    <w:rsid w:val="7CC876FF"/>
    <w:rsid w:val="7CE15D97"/>
    <w:rsid w:val="7D297F29"/>
    <w:rsid w:val="7D31799A"/>
    <w:rsid w:val="7D34301D"/>
    <w:rsid w:val="7D5176F5"/>
    <w:rsid w:val="7DA63EE4"/>
    <w:rsid w:val="7DF82A04"/>
    <w:rsid w:val="7DFFC977"/>
    <w:rsid w:val="7E15297A"/>
    <w:rsid w:val="7E2A79ED"/>
    <w:rsid w:val="7E2D0162"/>
    <w:rsid w:val="7EB20667"/>
    <w:rsid w:val="7EB8294B"/>
    <w:rsid w:val="7EC70EC3"/>
    <w:rsid w:val="7EEF11D3"/>
    <w:rsid w:val="7EFC5D86"/>
    <w:rsid w:val="7F0864D9"/>
    <w:rsid w:val="7F365E6B"/>
    <w:rsid w:val="7F5343B1"/>
    <w:rsid w:val="7F7E69BB"/>
    <w:rsid w:val="7FA13EF4"/>
    <w:rsid w:val="7FA30C79"/>
    <w:rsid w:val="7FC96657"/>
    <w:rsid w:val="7FFE0205"/>
    <w:rsid w:val="956DC009"/>
    <w:rsid w:val="9F1F5F9E"/>
    <w:rsid w:val="D4F76F01"/>
    <w:rsid w:val="D8D6DB89"/>
    <w:rsid w:val="DB6F4CAB"/>
    <w:rsid w:val="DF6F9789"/>
    <w:rsid w:val="F1EE4CCA"/>
    <w:rsid w:val="F9DA7C7E"/>
    <w:rsid w:val="FAD74D4D"/>
    <w:rsid w:val="FB707B96"/>
    <w:rsid w:val="FDEDB5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标题 1 Char"/>
    <w:basedOn w:val="13"/>
    <w:link w:val="3"/>
    <w:qFormat/>
    <w:uiPriority w:val="9"/>
    <w:rPr>
      <w:rFonts w:ascii="Times New Roman" w:hAnsi="Times New Roman"/>
      <w:b/>
      <w:bCs/>
      <w:kern w:val="44"/>
      <w:sz w:val="44"/>
      <w:szCs w:val="44"/>
    </w:rPr>
  </w:style>
  <w:style w:type="character" w:customStyle="1" w:styleId="17">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18">
    <w:name w:val="标题 3 Char"/>
    <w:basedOn w:val="13"/>
    <w:link w:val="5"/>
    <w:qFormat/>
    <w:uiPriority w:val="9"/>
    <w:rPr>
      <w:rFonts w:ascii="Times New Roman" w:hAnsi="Times New Roman"/>
      <w:b/>
      <w:bCs/>
      <w:kern w:val="2"/>
      <w:sz w:val="32"/>
      <w:szCs w:val="32"/>
    </w:rPr>
  </w:style>
  <w:style w:type="character" w:customStyle="1" w:styleId="19">
    <w:name w:val="Header Char"/>
    <w:basedOn w:val="13"/>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3"/>
    <w:semiHidden/>
    <w:qFormat/>
    <w:uiPriority w:val="99"/>
    <w:rPr>
      <w:rFonts w:ascii="Times New Roman" w:hAnsi="Times New Roman"/>
      <w:sz w:val="18"/>
      <w:szCs w:val="18"/>
    </w:rPr>
  </w:style>
  <w:style w:type="character" w:customStyle="1" w:styleId="22">
    <w:name w:val="页脚 Char"/>
    <w:link w:val="2"/>
    <w:qFormat/>
    <w:locked/>
    <w:uiPriority w:val="99"/>
    <w:rPr>
      <w:sz w:val="18"/>
    </w:rPr>
  </w:style>
  <w:style w:type="character" w:customStyle="1" w:styleId="23">
    <w:name w:val="Body Text Char"/>
    <w:basedOn w:val="13"/>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8"/>
    <w:semiHidden/>
    <w:qFormat/>
    <w:uiPriority w:val="99"/>
    <w:rPr>
      <w:rFonts w:ascii="Times New Roman" w:hAnsi="Times New Roman"/>
      <w:kern w:val="2"/>
      <w:sz w:val="18"/>
      <w:szCs w:val="18"/>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2&#24180;\&#36130;&#21153;&#31185;\&#24066;&#26412;&#32423;&#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2&#24180;\&#36130;&#21153;&#31185;\&#24066;&#26412;&#32423;&#26609;&#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2&#24180;\&#36130;&#21153;&#31185;\&#24066;&#26412;&#32423;&#26609;&#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22&#24180;\&#36130;&#21153;&#31185;\&#24066;&#26412;&#32423;&#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2&#24180;\&#36130;&#21153;&#31185;\&#24066;&#26412;&#32423;&#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2&#24180;\&#36130;&#21153;&#31185;\&#24066;&#26412;&#32423;&#26609;&#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2&#24180;\&#36130;&#21153;&#31185;\&#24066;&#26412;&#32423;&#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[市本级柱状图.xlsx]Sheet1!$A$2:$B$2</c:f>
              <c:strCache>
                <c:ptCount val="2"/>
                <c:pt idx="0">
                  <c:v>2020年度收、支总计</c:v>
                </c:pt>
                <c:pt idx="1">
                  <c:v>2021年度收、支总计</c:v>
                </c:pt>
              </c:strCache>
            </c:strRef>
          </c:cat>
          <c:val>
            <c:numRef>
              <c:f>[市本级柱状图.xlsx]Sheet1!$A$3:$B$3</c:f>
              <c:numCache>
                <c:formatCode>General</c:formatCode>
                <c:ptCount val="2"/>
                <c:pt idx="0">
                  <c:v>7660.87</c:v>
                </c:pt>
                <c:pt idx="1">
                  <c:v>6971.24</c:v>
                </c:pt>
              </c:numCache>
            </c:numRef>
          </c:val>
        </c:ser>
        <c:dLbls>
          <c:showLegendKey val="false"/>
          <c:showVal val="true"/>
          <c:showCatName val="false"/>
          <c:showSerName val="false"/>
          <c:showPercent val="false"/>
          <c:showBubbleSize val="false"/>
        </c:dLbls>
        <c:gapWidth val="219"/>
        <c:overlap val="-27"/>
        <c:axId val="920776494"/>
        <c:axId val="446173666"/>
      </c:barChart>
      <c:catAx>
        <c:axId val="92077649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46173666"/>
        <c:crosses val="autoZero"/>
        <c:auto val="true"/>
        <c:lblAlgn val="ctr"/>
        <c:lblOffset val="100"/>
        <c:noMultiLvlLbl val="false"/>
      </c:catAx>
      <c:valAx>
        <c:axId val="44617366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077649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26.56</a:t>
                    </a:r>
                    <a:r>
                      <a:t>7%</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73.19</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0</a:t>
                    </a:r>
                    <a:r>
                      <a:rPr lang="en-US" altLang="zh-CN"/>
                      <a:t>.25</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[市本级柱状图.xlsx]Sheet1!$A$12:$C$12</c:f>
              <c:strCache>
                <c:ptCount val="3"/>
                <c:pt idx="0">
                  <c:v>一般公共预算财政拨款收入1459.68万元</c:v>
                </c:pt>
                <c:pt idx="1">
                  <c:v>政府性基金预算财政拨款收入4023.26万元</c:v>
                </c:pt>
                <c:pt idx="2">
                  <c:v>其他收入13.53万元</c:v>
                </c:pt>
              </c:strCache>
            </c:strRef>
          </c:cat>
          <c:val>
            <c:numRef>
              <c:f>[市本级柱状图.xlsx]Sheet1!$A$13:$C$13</c:f>
              <c:numCache>
                <c:formatCode>General</c:formatCode>
                <c:ptCount val="3"/>
                <c:pt idx="0">
                  <c:v>1459.68</c:v>
                </c:pt>
                <c:pt idx="1">
                  <c:v>4023.26</c:v>
                </c:pt>
                <c:pt idx="2">
                  <c:v>13.53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[市本级柱状图.xlsx]Sheet1!$A$20:$B$20</c:f>
              <c:strCache>
                <c:ptCount val="2"/>
                <c:pt idx="0">
                  <c:v>基本支出1191.42万元</c:v>
                </c:pt>
                <c:pt idx="1">
                  <c:v>项目支出4767.85万元</c:v>
                </c:pt>
              </c:strCache>
            </c:strRef>
          </c:cat>
          <c:val>
            <c:numRef>
              <c:f>[市本级柱状图.xlsx]Sheet1!$A$21:$B$21</c:f>
              <c:numCache>
                <c:formatCode>General</c:formatCode>
                <c:ptCount val="2"/>
                <c:pt idx="0">
                  <c:v>1191.42</c:v>
                </c:pt>
                <c:pt idx="1">
                  <c:v>4767.85</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[市本级柱状图.xlsx]Sheet1!$A$29:$B$29</c:f>
              <c:strCache>
                <c:ptCount val="2"/>
                <c:pt idx="0">
                  <c:v>2020年财政拨款收、支总计</c:v>
                </c:pt>
                <c:pt idx="1">
                  <c:v>2021年财政拨款收、支总计</c:v>
                </c:pt>
              </c:strCache>
            </c:strRef>
          </c:cat>
          <c:val>
            <c:numRef>
              <c:f>[市本级柱状图.xlsx]Sheet1!$A$30:$B$30</c:f>
              <c:numCache>
                <c:formatCode>General</c:formatCode>
                <c:ptCount val="2"/>
                <c:pt idx="0">
                  <c:v>7297.8</c:v>
                </c:pt>
                <c:pt idx="1">
                  <c:v>6661.11</c:v>
                </c:pt>
              </c:numCache>
            </c:numRef>
          </c:val>
        </c:ser>
        <c:dLbls>
          <c:showLegendKey val="false"/>
          <c:showVal val="true"/>
          <c:showCatName val="false"/>
          <c:showSerName val="false"/>
          <c:showPercent val="false"/>
          <c:showBubbleSize val="false"/>
        </c:dLbls>
        <c:gapWidth val="150"/>
        <c:overlap val="0"/>
        <c:axId val="284579770"/>
        <c:axId val="592634977"/>
      </c:barChart>
      <c:catAx>
        <c:axId val="28457977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92634977"/>
        <c:crosses val="autoZero"/>
        <c:auto val="true"/>
        <c:lblAlgn val="ctr"/>
        <c:lblOffset val="100"/>
        <c:noMultiLvlLbl val="false"/>
      </c:catAx>
      <c:valAx>
        <c:axId val="59263497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457977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320" b="0" i="0" u="none" strike="noStrike" kern="1200" spc="0" baseline="0">
                <a:solidFill>
                  <a:schemeClr val="tx1">
                    <a:lumMod val="65000"/>
                    <a:lumOff val="35000"/>
                  </a:schemeClr>
                </a:solidFill>
                <a:latin typeface="+mn-lt"/>
                <a:ea typeface="+mn-ea"/>
                <a:cs typeface="+mn-cs"/>
              </a:defRPr>
            </a:pPr>
            <a:r>
              <a:rPr sz="1100"/>
              <a:t>一般公共预算财政拨款支出决算变动情况（单位：万元）</a:t>
            </a:r>
            <a:endParaRPr sz="110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1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[市本级柱状图.xlsx]Sheet1!$A$38:$B$38</c:f>
              <c:strCache>
                <c:ptCount val="2"/>
                <c:pt idx="0">
                  <c:v>2020年支出</c:v>
                </c:pt>
                <c:pt idx="1">
                  <c:v>2021年支出</c:v>
                </c:pt>
              </c:strCache>
            </c:strRef>
          </c:cat>
          <c:val>
            <c:numRef>
              <c:f>[市本级柱状图.xlsx]Sheet1!$A$39:$B$39</c:f>
              <c:numCache>
                <c:formatCode>General</c:formatCode>
                <c:ptCount val="2"/>
                <c:pt idx="0">
                  <c:v>1248.04</c:v>
                </c:pt>
                <c:pt idx="1">
                  <c:v>1821.46</c:v>
                </c:pt>
              </c:numCache>
            </c:numRef>
          </c:val>
        </c:ser>
        <c:dLbls>
          <c:showLegendKey val="false"/>
          <c:showVal val="true"/>
          <c:showCatName val="false"/>
          <c:showSerName val="false"/>
          <c:showPercent val="false"/>
          <c:showBubbleSize val="false"/>
        </c:dLbls>
        <c:gapWidth val="219"/>
        <c:overlap val="-27"/>
        <c:axId val="254077419"/>
        <c:axId val="790428537"/>
      </c:barChart>
      <c:catAx>
        <c:axId val="25407741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1100" b="0" i="0" u="none" strike="noStrike" kern="1200" baseline="0">
                <a:solidFill>
                  <a:schemeClr val="tx1">
                    <a:lumMod val="65000"/>
                    <a:lumOff val="35000"/>
                  </a:schemeClr>
                </a:solidFill>
                <a:latin typeface="+mn-lt"/>
                <a:ea typeface="+mn-ea"/>
                <a:cs typeface="+mn-cs"/>
              </a:defRPr>
            </a:pPr>
          </a:p>
        </c:txPr>
        <c:crossAx val="790428537"/>
        <c:crosses val="autoZero"/>
        <c:auto val="true"/>
        <c:lblAlgn val="ctr"/>
        <c:lblOffset val="100"/>
        <c:noMultiLvlLbl val="false"/>
      </c:catAx>
      <c:valAx>
        <c:axId val="79042853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1100" b="0" i="0" u="none" strike="noStrike" kern="1200" baseline="0">
                <a:solidFill>
                  <a:schemeClr val="tx1">
                    <a:lumMod val="65000"/>
                    <a:lumOff val="35000"/>
                  </a:schemeClr>
                </a:solidFill>
                <a:latin typeface="+mn-lt"/>
                <a:ea typeface="+mn-ea"/>
                <a:cs typeface="+mn-cs"/>
              </a:defRPr>
            </a:pPr>
          </a:p>
        </c:txPr>
        <c:crossAx val="25407741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7</a:t>
                    </a:r>
                    <a:r>
                      <a:rPr lang="en-US" altLang="zh-CN"/>
                      <a:t>.53</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2</a:t>
                    </a:r>
                    <a:r>
                      <a:rPr lang="en-US" altLang="zh-CN"/>
                      <a:t>.16</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6.94</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8</a:t>
                    </a:r>
                    <a:r>
                      <a:rPr lang="en-US" altLang="zh-CN"/>
                      <a:t>0.62</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2.75</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[市本级柱状图.xlsx]Sheet1!$A$49:$E$49</c:f>
              <c:strCache>
                <c:ptCount val="5"/>
                <c:pt idx="0">
                  <c:v>社会保障和就业（类）支出137.19万元</c:v>
                </c:pt>
                <c:pt idx="1">
                  <c:v>卫生健康支出39.29万元</c:v>
                </c:pt>
                <c:pt idx="2">
                  <c:v>住房保障支出126.48万元</c:v>
                </c:pt>
                <c:pt idx="3">
                  <c:v>自然资源海洋气象等支出1468.5万元</c:v>
                </c:pt>
                <c:pt idx="4">
                  <c:v>其他支出50.00万元</c:v>
                </c:pt>
              </c:strCache>
            </c:strRef>
          </c:cat>
          <c:val>
            <c:numRef>
              <c:f>[市本级柱状图.xlsx]Sheet1!$A$50:$E$50</c:f>
              <c:numCache>
                <c:formatCode>General</c:formatCode>
                <c:ptCount val="5"/>
                <c:pt idx="0">
                  <c:v>137.19</c:v>
                </c:pt>
                <c:pt idx="1">
                  <c:v>39.29</c:v>
                </c:pt>
                <c:pt idx="2">
                  <c:v>126.48</c:v>
                </c:pt>
                <c:pt idx="3">
                  <c:v>1468.5</c:v>
                </c:pt>
                <c:pt idx="4">
                  <c:v>50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0416664490633889"/>
                  <c:y val="0.118092592592096"/>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8</a:t>
                    </a:r>
                    <a:r>
                      <a:rPr lang="en-US" altLang="zh-CN"/>
                      <a:t>2.03</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7.97</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[市本级柱状图.xlsx]Sheet1!$A$62:$C$62</c:f>
              <c:strCache>
                <c:ptCount val="3"/>
                <c:pt idx="0">
                  <c:v>公出国（境）费支出决算0万元</c:v>
                </c:pt>
                <c:pt idx="1">
                  <c:v>公务用车购置及运行维护费支出决算15.11万元</c:v>
                </c:pt>
                <c:pt idx="2">
                  <c:v>公务接待费支出决算3.31万元</c:v>
                </c:pt>
              </c:strCache>
            </c:strRef>
          </c:cat>
          <c:val>
            <c:numRef>
              <c:f>[市本级柱状图.xlsx]Sheet1!$A$63:$C$63</c:f>
              <c:numCache>
                <c:formatCode>General</c:formatCode>
                <c:ptCount val="3"/>
                <c:pt idx="0">
                  <c:v>0</c:v>
                </c:pt>
                <c:pt idx="1">
                  <c:v>15.11</c:v>
                </c:pt>
                <c:pt idx="2">
                  <c:v>3.31</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65</Pages>
  <Words>26052</Words>
  <Characters>27880</Characters>
  <Lines>61</Lines>
  <Paragraphs>17</Paragraphs>
  <TotalTime>10</TotalTime>
  <ScaleCrop>false</ScaleCrop>
  <LinksUpToDate>false</LinksUpToDate>
  <CharactersWithSpaces>27933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 </cp:lastModifiedBy>
  <cp:lastPrinted>2022-10-18T11:22:00Z</cp:lastPrinted>
  <dcterms:modified xsi:type="dcterms:W3CDTF">2026-01-29T16:36:33Z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21EBE1730F6440219D52362B4837B10E_13</vt:lpwstr>
  </property>
</Properties>
</file>