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widowControl/>
        <w:jc w:val="center"/>
        <w:rPr>
          <w:rFonts w:ascii="黑体" w:hAnsi="黑体" w:eastAsia="黑体"/>
          <w:sz w:val="48"/>
          <w:szCs w:val="48"/>
        </w:rPr>
      </w:pPr>
      <w:bookmarkStart w:id="1" w:name="_Toc15377193"/>
      <w:bookmarkStart w:id="2" w:name="_Toc15396475"/>
      <w:bookmarkStart w:id="3" w:name="_Toc15378441"/>
      <w:bookmarkStart w:id="4" w:name="_Toc15396597"/>
      <w:bookmarkStart w:id="5" w:name="_Toc15377425"/>
      <w:r>
        <w:rPr>
          <w:rFonts w:hint="eastAsia" w:ascii="黑体" w:hAnsi="黑体" w:eastAsia="黑体"/>
          <w:sz w:val="48"/>
          <w:szCs w:val="48"/>
        </w:rPr>
        <w:t>2021年度</w:t>
      </w:r>
      <w:bookmarkEnd w:id="1"/>
      <w:bookmarkEnd w:id="2"/>
      <w:bookmarkEnd w:id="3"/>
      <w:bookmarkEnd w:id="4"/>
      <w:bookmarkEnd w:id="5"/>
    </w:p>
    <w:p>
      <w:pPr>
        <w:pStyle w:val="2"/>
        <w:spacing w:before="93"/>
      </w:pPr>
    </w:p>
    <w:bookmarkEnd w:id="0"/>
    <w:p>
      <w:pPr>
        <w:widowControl/>
        <w:jc w:val="center"/>
        <w:rPr>
          <w:rFonts w:ascii="黑体" w:hAnsi="黑体" w:eastAsia="黑体"/>
          <w:sz w:val="48"/>
          <w:szCs w:val="48"/>
        </w:rPr>
      </w:pPr>
      <w:bookmarkStart w:id="6" w:name="_Toc15377194"/>
      <w:bookmarkStart w:id="7" w:name="_Toc15306268"/>
      <w:bookmarkStart w:id="8" w:name="_Toc15396598"/>
      <w:bookmarkStart w:id="9" w:name="_Toc15396476"/>
      <w:bookmarkStart w:id="10" w:name="_Toc15378442"/>
      <w:bookmarkStart w:id="11" w:name="_Toc15377426"/>
      <w:r>
        <w:rPr>
          <w:rFonts w:hint="eastAsia" w:ascii="黑体" w:hAnsi="黑体" w:eastAsia="黑体"/>
          <w:sz w:val="48"/>
          <w:szCs w:val="48"/>
        </w:rPr>
        <w:t>四川省广元外国语学校单位决算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公开时间：2022年10月9日</w:t>
      </w:r>
    </w:p>
    <w:p/>
    <w:p>
      <w:pPr>
        <w:pStyle w:val="10"/>
        <w:adjustRightInd w:val="0"/>
        <w:snapToGrid w:val="0"/>
        <w:spacing w:before="0" w:line="440" w:lineRule="exact"/>
        <w:jc w:val="left"/>
        <w:rPr>
          <w:rFonts w:cstheme="minorBidi"/>
          <w:sz w:val="24"/>
          <w:szCs w:val="24"/>
        </w:rPr>
      </w:pPr>
      <w:r>
        <w:rPr>
          <w:rFonts w:hint="eastAsia"/>
          <w:sz w:val="24"/>
        </w:rPr>
        <w:t>第一部分单位概况</w:t>
      </w:r>
    </w:p>
    <w:p>
      <w:pPr>
        <w:pStyle w:val="11"/>
        <w:numPr>
          <w:ilvl w:val="0"/>
          <w:numId w:val="1"/>
        </w:numPr>
        <w:adjustRightInd w:val="0"/>
        <w:snapToGrid w:val="0"/>
        <w:spacing w:line="440" w:lineRule="exact"/>
        <w:jc w:val="left"/>
        <w:rPr>
          <w:rFonts w:hint="eastAsia"/>
          <w:sz w:val="24"/>
        </w:rPr>
      </w:pPr>
      <w:r>
        <w:rPr>
          <w:rFonts w:hint="eastAsia"/>
          <w:sz w:val="24"/>
        </w:rPr>
        <w:t>职能简介</w:t>
      </w:r>
      <w:r>
        <w:rPr>
          <w:rFonts w:asciiTheme="minorEastAsia" w:hAnsiTheme="minorEastAsia" w:eastAsiaTheme="minorEastAsia" w:cstheme="minorEastAsia"/>
          <w:sz w:val="24"/>
        </w:rPr>
        <w:t>………………………………………………………………</w:t>
      </w:r>
      <w:r>
        <w:rPr>
          <w:rFonts w:hint="eastAsia"/>
          <w:sz w:val="24"/>
        </w:rPr>
        <w:t xml:space="preserve">4 </w:t>
      </w:r>
    </w:p>
    <w:p>
      <w:pPr>
        <w:pStyle w:val="11"/>
        <w:adjustRightInd w:val="0"/>
        <w:snapToGrid w:val="0"/>
        <w:spacing w:line="440" w:lineRule="exact"/>
        <w:jc w:val="left"/>
      </w:pPr>
      <w:r>
        <w:rPr>
          <w:rFonts w:hint="eastAsia" w:asciiTheme="minorEastAsia" w:hAnsiTheme="minorEastAsia" w:eastAsiaTheme="minorEastAsia" w:cstheme="minorEastAsia"/>
          <w:sz w:val="24"/>
        </w:rPr>
        <w:t>二、</w:t>
      </w:r>
      <w:r>
        <w:rPr>
          <w:rFonts w:hint="eastAsia" w:asciiTheme="minorEastAsia" w:hAnsiTheme="minorEastAsia" w:eastAsiaTheme="minorEastAsia" w:cstheme="minorEastAsia"/>
          <w:sz w:val="24"/>
          <w:lang w:eastAsia="zh-CN"/>
        </w:rPr>
        <w:t>机构设置</w:t>
      </w:r>
      <w:r>
        <w:rPr>
          <w:rFonts w:asciiTheme="minorEastAsia" w:hAnsiTheme="minorEastAsia" w:eastAsiaTheme="minorEastAsia" w:cstheme="minorEastAsia"/>
          <w:sz w:val="24"/>
        </w:rPr>
        <w:t>………………………………………………………………</w:t>
      </w:r>
      <w:r>
        <w:rPr>
          <w:rFonts w:hint="eastAsia"/>
          <w:sz w:val="24"/>
        </w:rPr>
        <w:t>4</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三</w:t>
      </w:r>
      <w:r>
        <w:rPr>
          <w:rFonts w:hint="eastAsia" w:asciiTheme="minorEastAsia" w:hAnsiTheme="minorEastAsia" w:eastAsiaTheme="minorEastAsia" w:cstheme="minorEastAsia"/>
          <w:sz w:val="24"/>
        </w:rPr>
        <w:t>、2021年重点工作完成情况</w:t>
      </w:r>
      <w:r>
        <w:rPr>
          <w:rFonts w:asciiTheme="minorEastAsia" w:hAnsiTheme="minorEastAsia" w:eastAsiaTheme="minorEastAsia" w:cstheme="minorEastAsia"/>
          <w:sz w:val="24"/>
        </w:rPr>
        <w:t>……………………………………………</w:t>
      </w:r>
      <w:r>
        <w:rPr>
          <w:rFonts w:hint="eastAsia"/>
          <w:sz w:val="24"/>
        </w:rPr>
        <w:t>4</w:t>
      </w:r>
    </w:p>
    <w:p>
      <w:pPr>
        <w:pStyle w:val="10"/>
        <w:adjustRightInd w:val="0"/>
        <w:snapToGrid w:val="0"/>
        <w:spacing w:before="0" w:line="440" w:lineRule="exact"/>
        <w:jc w:val="left"/>
        <w:rPr>
          <w:sz w:val="24"/>
          <w:szCs w:val="24"/>
        </w:rPr>
      </w:pPr>
      <w:r>
        <w:rPr>
          <w:rFonts w:hint="eastAsia"/>
          <w:sz w:val="24"/>
        </w:rPr>
        <w:t>第二部分 2021年度单位决算情况说明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w:t>
      </w:r>
      <w:r>
        <w:rPr>
          <w:rFonts w:asciiTheme="minorEastAsia" w:hAnsiTheme="minorEastAsia" w:eastAsiaTheme="minorEastAsia" w:cstheme="minorEastAsia"/>
          <w:sz w:val="24"/>
        </w:rPr>
        <w:t>……………………………………………</w:t>
      </w:r>
      <w:r>
        <w:rPr>
          <w:rFonts w:hint="eastAsia"/>
          <w:sz w:val="24"/>
        </w:rPr>
        <w:t>4</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r>
        <w:rPr>
          <w:rFonts w:asciiTheme="minorEastAsia" w:hAnsiTheme="minorEastAsia" w:eastAsiaTheme="minorEastAsia" w:cstheme="minorEastAsia"/>
          <w:sz w:val="24"/>
        </w:rPr>
        <w:t>……………………………………………………</w:t>
      </w:r>
      <w:r>
        <w:rPr>
          <w:rFonts w:hint="eastAsia"/>
          <w:sz w:val="24"/>
        </w:rPr>
        <w:t>5</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r>
        <w:rPr>
          <w:rFonts w:asciiTheme="minorEastAsia" w:hAnsiTheme="minorEastAsia" w:eastAsiaTheme="minorEastAsia" w:cstheme="minorEastAsia"/>
          <w:sz w:val="24"/>
        </w:rPr>
        <w:t>……………………………………………………</w:t>
      </w:r>
      <w:r>
        <w:rPr>
          <w:rFonts w:hint="eastAsia"/>
          <w:sz w:val="24"/>
        </w:rPr>
        <w:t>6</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asciiTheme="minorEastAsia" w:hAnsiTheme="minorEastAsia" w:eastAsiaTheme="minorEastAsia" w:cstheme="minorEastAsia"/>
          <w:sz w:val="24"/>
        </w:rPr>
        <w:t>………………………………</w:t>
      </w:r>
      <w:r>
        <w:rPr>
          <w:rFonts w:hint="eastAsia"/>
          <w:sz w:val="24"/>
        </w:rPr>
        <w:t>6</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asciiTheme="minorEastAsia" w:hAnsiTheme="minorEastAsia" w:eastAsiaTheme="minorEastAsia" w:cstheme="minorEastAsia"/>
          <w:sz w:val="24"/>
        </w:rPr>
        <w:t>…………………………</w:t>
      </w:r>
      <w:r>
        <w:rPr>
          <w:rFonts w:hint="eastAsia"/>
          <w:sz w:val="24"/>
        </w:rPr>
        <w:t>8</w:t>
      </w:r>
    </w:p>
    <w:p>
      <w:pPr>
        <w:pStyle w:val="11"/>
        <w:adjustRightInd w:val="0"/>
        <w:snapToGrid w:val="0"/>
        <w:spacing w:line="440" w:lineRule="exact"/>
        <w:jc w:val="left"/>
        <w:rPr>
          <w:sz w:val="24"/>
        </w:rPr>
      </w:pPr>
      <w:r>
        <w:rPr>
          <w:rFonts w:hint="eastAsia"/>
          <w:sz w:val="24"/>
        </w:rPr>
        <w:t>六、一般公共预算财政拨款基本支出决算情况说明</w:t>
      </w:r>
      <w:r>
        <w:rPr>
          <w:rFonts w:asciiTheme="minorEastAsia" w:hAnsiTheme="minorEastAsia" w:eastAsiaTheme="minorEastAsia" w:cstheme="minorEastAsia"/>
          <w:sz w:val="24"/>
        </w:rPr>
        <w:t>……………………</w:t>
      </w:r>
      <w:r>
        <w:rPr>
          <w:rFonts w:hint="eastAsia"/>
          <w:sz w:val="24"/>
        </w:rPr>
        <w:t>9</w:t>
      </w:r>
    </w:p>
    <w:p>
      <w:pPr>
        <w:pStyle w:val="11"/>
        <w:adjustRightInd w:val="0"/>
        <w:snapToGrid w:val="0"/>
        <w:spacing w:line="440" w:lineRule="exact"/>
        <w:jc w:val="left"/>
        <w:rPr>
          <w:rFonts w:ascii="仿宋" w:hAnsi="仿宋" w:eastAsia="仿宋" w:cstheme="minorBidi"/>
          <w:sz w:val="24"/>
        </w:rPr>
      </w:pPr>
      <w:r>
        <w:rPr>
          <w:rFonts w:hint="eastAsia"/>
          <w:sz w:val="24"/>
        </w:rPr>
        <w:t>七、“三公”经费财政拨款支出决算情况说明</w:t>
      </w:r>
      <w:r>
        <w:rPr>
          <w:rFonts w:asciiTheme="minorEastAsia" w:hAnsiTheme="minorEastAsia" w:eastAsiaTheme="minorEastAsia" w:cstheme="minorEastAsia"/>
          <w:sz w:val="24"/>
        </w:rPr>
        <w:t>……………………………</w:t>
      </w:r>
      <w:r>
        <w:rPr>
          <w:rFonts w:hint="eastAsia"/>
          <w:sz w:val="24"/>
        </w:rPr>
        <w:t>10</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asciiTheme="minorEastAsia" w:hAnsiTheme="minorEastAsia" w:eastAsiaTheme="minorEastAsia" w:cstheme="minorEastAsia"/>
          <w:sz w:val="24"/>
        </w:rPr>
        <w:t>…………………………………</w:t>
      </w:r>
      <w:r>
        <w:rPr>
          <w:rFonts w:hint="eastAsia"/>
          <w:sz w:val="24"/>
        </w:rPr>
        <w:t>10</w:t>
      </w:r>
    </w:p>
    <w:p>
      <w:pPr>
        <w:pStyle w:val="11"/>
        <w:adjustRightInd w:val="0"/>
        <w:snapToGrid w:val="0"/>
        <w:spacing w:line="440" w:lineRule="exact"/>
        <w:jc w:val="left"/>
        <w:rPr>
          <w:sz w:val="24"/>
        </w:rPr>
      </w:pPr>
      <w:r>
        <w:rPr>
          <w:rFonts w:hint="eastAsia"/>
          <w:sz w:val="24"/>
        </w:rPr>
        <w:t>九、国有资本经营预算支出决算情况说明</w:t>
      </w:r>
      <w:r>
        <w:rPr>
          <w:rFonts w:asciiTheme="minorEastAsia" w:hAnsiTheme="minorEastAsia" w:eastAsiaTheme="minorEastAsia" w:cstheme="minorEastAsia"/>
          <w:sz w:val="24"/>
        </w:rPr>
        <w:t>………………………………</w:t>
      </w:r>
      <w:r>
        <w:rPr>
          <w:rFonts w:hint="eastAsia"/>
          <w:sz w:val="24"/>
        </w:rPr>
        <w:t>10</w:t>
      </w:r>
    </w:p>
    <w:p>
      <w:pPr>
        <w:pStyle w:val="11"/>
        <w:adjustRightInd w:val="0"/>
        <w:snapToGrid w:val="0"/>
        <w:spacing w:line="440" w:lineRule="exact"/>
        <w:jc w:val="left"/>
      </w:pPr>
      <w:r>
        <w:rPr>
          <w:rFonts w:hint="eastAsia"/>
          <w:sz w:val="24"/>
        </w:rPr>
        <w:t>十、</w:t>
      </w:r>
      <w:r>
        <w:rPr>
          <w:rFonts w:hint="eastAsia" w:asciiTheme="minorEastAsia" w:hAnsiTheme="minorEastAsia" w:eastAsiaTheme="minorEastAsia" w:cstheme="minorEastAsia"/>
          <w:sz w:val="24"/>
        </w:rPr>
        <w:t>预算绩效管理情况</w:t>
      </w:r>
      <w:r>
        <w:rPr>
          <w:rFonts w:asciiTheme="minorEastAsia" w:hAnsiTheme="minorEastAsia" w:eastAsiaTheme="minorEastAsia" w:cstheme="minorEastAsia"/>
          <w:sz w:val="24"/>
        </w:rPr>
        <w:t>……………………………………………………</w:t>
      </w:r>
      <w:r>
        <w:rPr>
          <w:rFonts w:hint="eastAsia"/>
          <w:sz w:val="24"/>
        </w:rPr>
        <w:t>10</w:t>
      </w:r>
    </w:p>
    <w:p>
      <w:pPr>
        <w:pStyle w:val="11"/>
        <w:adjustRightInd w:val="0"/>
        <w:snapToGrid w:val="0"/>
        <w:spacing w:line="440" w:lineRule="exact"/>
        <w:jc w:val="left"/>
      </w:pPr>
      <w:r>
        <w:rPr>
          <w:rFonts w:hint="eastAsia"/>
          <w:sz w:val="24"/>
        </w:rPr>
        <w:t>十一、其他重要事项的情况说明</w:t>
      </w:r>
      <w:r>
        <w:rPr>
          <w:rFonts w:asciiTheme="minorEastAsia" w:hAnsiTheme="minorEastAsia" w:eastAsiaTheme="minorEastAsia" w:cstheme="minorEastAsia"/>
          <w:sz w:val="24"/>
        </w:rPr>
        <w:t>…………………………………………</w:t>
      </w:r>
      <w:r>
        <w:rPr>
          <w:rFonts w:hint="eastAsia"/>
          <w:sz w:val="24"/>
        </w:rPr>
        <w:t>11</w:t>
      </w:r>
    </w:p>
    <w:p>
      <w:pPr>
        <w:pStyle w:val="10"/>
        <w:adjustRightInd w:val="0"/>
        <w:snapToGrid w:val="0"/>
        <w:spacing w:before="0" w:line="440" w:lineRule="exact"/>
        <w:jc w:val="left"/>
        <w:rPr>
          <w:rFonts w:cstheme="minorBidi"/>
          <w:sz w:val="24"/>
          <w:szCs w:val="24"/>
        </w:rPr>
      </w:pPr>
      <w:r>
        <w:rPr>
          <w:rFonts w:hint="eastAsia"/>
          <w:sz w:val="24"/>
        </w:rPr>
        <w:t>第三部分名词解释</w:t>
      </w:r>
      <w:r>
        <w:rPr>
          <w:rFonts w:asciiTheme="minorEastAsia" w:hAnsiTheme="minorEastAsia" w:eastAsiaTheme="minorEastAsia" w:cstheme="minorEastAsia"/>
          <w:sz w:val="24"/>
        </w:rPr>
        <w:t>………………………………………………………………</w:t>
      </w:r>
      <w:r>
        <w:rPr>
          <w:rFonts w:hint="eastAsia" w:ascii="Times New Roman" w:hAnsi="Times New Roman" w:eastAsia="宋体"/>
          <w:sz w:val="24"/>
        </w:rPr>
        <w:t>12</w:t>
      </w:r>
    </w:p>
    <w:p>
      <w:pPr>
        <w:pStyle w:val="10"/>
        <w:adjustRightInd w:val="0"/>
        <w:snapToGrid w:val="0"/>
        <w:spacing w:before="0" w:line="440" w:lineRule="exact"/>
        <w:jc w:val="left"/>
        <w:rPr>
          <w:rFonts w:cstheme="minorBidi"/>
          <w:sz w:val="24"/>
          <w:szCs w:val="24"/>
        </w:rPr>
      </w:pPr>
      <w:r>
        <w:rPr>
          <w:rFonts w:hint="eastAsia"/>
          <w:sz w:val="24"/>
        </w:rPr>
        <w:t>第四部分附件</w:t>
      </w:r>
      <w:r>
        <w:rPr>
          <w:rFonts w:asciiTheme="minorEastAsia" w:hAnsiTheme="minorEastAsia" w:eastAsiaTheme="minorEastAsia" w:cstheme="minorEastAsia"/>
          <w:sz w:val="24"/>
        </w:rPr>
        <w:t>……………………………………………………………………</w:t>
      </w:r>
      <w:r>
        <w:rPr>
          <w:rFonts w:hint="eastAsia" w:ascii="Times New Roman" w:hAnsi="Times New Roman" w:eastAsia="宋体"/>
          <w:sz w:val="24"/>
        </w:rPr>
        <w:t>13</w:t>
      </w:r>
    </w:p>
    <w:p>
      <w:pPr>
        <w:pStyle w:val="10"/>
        <w:adjustRightInd w:val="0"/>
        <w:snapToGrid w:val="0"/>
        <w:spacing w:before="0" w:line="440" w:lineRule="exact"/>
        <w:jc w:val="left"/>
        <w:rPr>
          <w:rFonts w:cstheme="minorBidi"/>
          <w:sz w:val="24"/>
          <w:szCs w:val="24"/>
        </w:rPr>
      </w:pPr>
      <w:r>
        <w:rPr>
          <w:rFonts w:hint="eastAsia"/>
          <w:sz w:val="24"/>
        </w:rPr>
        <w:t>第五部分附表</w:t>
      </w:r>
      <w:r>
        <w:rPr>
          <w:rFonts w:asciiTheme="minorEastAsia" w:hAnsiTheme="minorEastAsia" w:eastAsiaTheme="minorEastAsia" w:cstheme="minorEastAsia"/>
          <w:sz w:val="24"/>
        </w:rPr>
        <w:t>……………………………………………………………………</w:t>
      </w:r>
      <w:r>
        <w:rPr>
          <w:rFonts w:hint="eastAsia" w:ascii="Times New Roman" w:hAnsi="Times New Roman" w:eastAsia="宋体"/>
          <w:sz w:val="24"/>
        </w:rPr>
        <w:t>14</w:t>
      </w:r>
    </w:p>
    <w:p>
      <w:pPr>
        <w:pStyle w:val="11"/>
        <w:tabs>
          <w:tab w:val="right" w:pos="8306"/>
          <w:tab w:val="clear" w:pos="8296"/>
        </w:tabs>
        <w:adjustRightInd w:val="0"/>
        <w:snapToGrid w:val="0"/>
        <w:spacing w:line="440" w:lineRule="exact"/>
        <w:jc w:val="left"/>
        <w:rPr>
          <w:sz w:val="24"/>
        </w:rPr>
      </w:pPr>
      <w:r>
        <w:rPr>
          <w:rFonts w:hint="eastAsia"/>
          <w:sz w:val="24"/>
        </w:rPr>
        <w:t>一、收入支出决算总表</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Z01</w:t>
      </w:r>
    </w:p>
    <w:p>
      <w:pPr>
        <w:pStyle w:val="11"/>
        <w:adjustRightInd w:val="0"/>
        <w:snapToGrid w:val="0"/>
        <w:spacing w:line="440" w:lineRule="exact"/>
        <w:jc w:val="left"/>
        <w:rPr>
          <w:sz w:val="24"/>
        </w:rPr>
      </w:pPr>
      <w:r>
        <w:rPr>
          <w:rFonts w:hint="eastAsia"/>
          <w:sz w:val="24"/>
        </w:rPr>
        <w:t>二、收入决算表</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Z02</w:t>
      </w:r>
    </w:p>
    <w:p>
      <w:pPr>
        <w:pStyle w:val="11"/>
        <w:adjustRightInd w:val="0"/>
        <w:snapToGrid w:val="0"/>
        <w:spacing w:line="440" w:lineRule="exact"/>
        <w:jc w:val="left"/>
        <w:rPr>
          <w:sz w:val="24"/>
        </w:rPr>
      </w:pPr>
      <w:r>
        <w:rPr>
          <w:rFonts w:hint="eastAsia"/>
          <w:sz w:val="24"/>
        </w:rPr>
        <w:t>三、支出决算表</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Z03</w:t>
      </w:r>
    </w:p>
    <w:p>
      <w:pPr>
        <w:pStyle w:val="11"/>
        <w:adjustRightInd w:val="0"/>
        <w:snapToGrid w:val="0"/>
        <w:spacing w:line="440" w:lineRule="exact"/>
        <w:jc w:val="left"/>
        <w:rPr>
          <w:sz w:val="24"/>
        </w:rPr>
      </w:pPr>
      <w:r>
        <w:rPr>
          <w:rFonts w:hint="eastAsia"/>
          <w:sz w:val="24"/>
        </w:rPr>
        <w:t>四、财政拨款收入支出决算总表</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Z04</w:t>
      </w:r>
    </w:p>
    <w:p>
      <w:pPr>
        <w:pStyle w:val="11"/>
        <w:adjustRightInd w:val="0"/>
        <w:snapToGrid w:val="0"/>
        <w:spacing w:line="440" w:lineRule="exact"/>
        <w:jc w:val="left"/>
        <w:rPr>
          <w:sz w:val="24"/>
        </w:rPr>
      </w:pPr>
      <w:r>
        <w:rPr>
          <w:rFonts w:hint="eastAsia"/>
          <w:sz w:val="24"/>
        </w:rPr>
        <w:t>五、财政拨款支出决算明细表</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Z05</w:t>
      </w:r>
    </w:p>
    <w:p>
      <w:pPr>
        <w:pStyle w:val="11"/>
        <w:adjustRightInd w:val="0"/>
        <w:snapToGrid w:val="0"/>
        <w:spacing w:line="440" w:lineRule="exact"/>
        <w:jc w:val="left"/>
        <w:rPr>
          <w:sz w:val="24"/>
        </w:rPr>
      </w:pPr>
      <w:r>
        <w:rPr>
          <w:rFonts w:hint="eastAsia"/>
          <w:sz w:val="24"/>
        </w:rPr>
        <w:t>六、一般公共预算财政拨款支出决算表</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Z06</w:t>
      </w:r>
    </w:p>
    <w:p>
      <w:pPr>
        <w:pStyle w:val="11"/>
        <w:adjustRightInd w:val="0"/>
        <w:snapToGrid w:val="0"/>
        <w:spacing w:line="440" w:lineRule="exact"/>
        <w:jc w:val="left"/>
        <w:rPr>
          <w:sz w:val="24"/>
        </w:rPr>
      </w:pPr>
      <w:r>
        <w:rPr>
          <w:rFonts w:hint="eastAsia"/>
          <w:sz w:val="24"/>
        </w:rPr>
        <w:t>七、一般公共预算财政拨款支出决算明细表</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Z07</w:t>
      </w:r>
    </w:p>
    <w:p>
      <w:pPr>
        <w:pStyle w:val="11"/>
        <w:adjustRightInd w:val="0"/>
        <w:snapToGrid w:val="0"/>
        <w:spacing w:line="440" w:lineRule="exact"/>
        <w:jc w:val="left"/>
        <w:rPr>
          <w:sz w:val="24"/>
        </w:rPr>
      </w:pPr>
      <w:r>
        <w:rPr>
          <w:rFonts w:hint="eastAsia"/>
          <w:sz w:val="24"/>
        </w:rPr>
        <w:t>八、一般公共预算财政拨款基本支出决算表</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Z08</w:t>
      </w:r>
    </w:p>
    <w:p>
      <w:pPr>
        <w:pStyle w:val="11"/>
        <w:adjustRightInd w:val="0"/>
        <w:snapToGrid w:val="0"/>
        <w:spacing w:line="440" w:lineRule="exact"/>
        <w:jc w:val="left"/>
        <w:rPr>
          <w:sz w:val="24"/>
        </w:rPr>
      </w:pPr>
      <w:r>
        <w:rPr>
          <w:rFonts w:hint="eastAsia"/>
          <w:sz w:val="24"/>
        </w:rPr>
        <w:t>九、一般公共预算财政拨款项目支出决算表</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Z09</w:t>
      </w:r>
    </w:p>
    <w:p>
      <w:pPr>
        <w:pStyle w:val="11"/>
        <w:adjustRightInd w:val="0"/>
        <w:snapToGrid w:val="0"/>
        <w:spacing w:line="440" w:lineRule="exact"/>
        <w:jc w:val="left"/>
        <w:rPr>
          <w:sz w:val="24"/>
        </w:rPr>
      </w:pPr>
      <w:r>
        <w:rPr>
          <w:rFonts w:hint="eastAsia"/>
          <w:sz w:val="24"/>
        </w:rPr>
        <w:t>十、一般公共预算财政拨款“三公”经费支出决算表</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Z10</w:t>
      </w:r>
    </w:p>
    <w:p>
      <w:pPr>
        <w:pStyle w:val="11"/>
        <w:adjustRightInd w:val="0"/>
        <w:snapToGrid w:val="0"/>
        <w:spacing w:line="440" w:lineRule="exact"/>
        <w:jc w:val="left"/>
        <w:rPr>
          <w:sz w:val="24"/>
        </w:rPr>
      </w:pPr>
      <w:r>
        <w:rPr>
          <w:rFonts w:hint="eastAsia"/>
          <w:sz w:val="24"/>
        </w:rPr>
        <w:t>十一、政府性基金预算财政拨款收入支出决算表</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Z11</w:t>
      </w:r>
    </w:p>
    <w:p>
      <w:pPr>
        <w:pStyle w:val="11"/>
        <w:adjustRightInd w:val="0"/>
        <w:snapToGrid w:val="0"/>
        <w:spacing w:line="440" w:lineRule="exact"/>
        <w:jc w:val="left"/>
        <w:rPr>
          <w:sz w:val="24"/>
        </w:rPr>
      </w:pPr>
      <w:r>
        <w:rPr>
          <w:rFonts w:hint="eastAsia"/>
          <w:sz w:val="24"/>
        </w:rPr>
        <w:t>十二、政府性基金预算财政拨款“三公”经费支出决算表</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Z12</w:t>
      </w:r>
    </w:p>
    <w:p>
      <w:pPr>
        <w:pStyle w:val="11"/>
        <w:adjustRightInd w:val="0"/>
        <w:snapToGrid w:val="0"/>
        <w:spacing w:line="440" w:lineRule="exact"/>
        <w:jc w:val="left"/>
        <w:rPr>
          <w:sz w:val="24"/>
        </w:rPr>
      </w:pPr>
      <w:r>
        <w:rPr>
          <w:rFonts w:hint="eastAsia"/>
          <w:sz w:val="24"/>
        </w:rPr>
        <w:t>十三、国有资本经营预算财政拨款收入支出决算表</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Z13</w:t>
      </w:r>
    </w:p>
    <w:p>
      <w:pPr>
        <w:pStyle w:val="11"/>
        <w:adjustRightInd w:val="0"/>
        <w:snapToGrid w:val="0"/>
        <w:spacing w:line="440" w:lineRule="exact"/>
        <w:jc w:val="left"/>
        <w:rPr>
          <w:sz w:val="24"/>
        </w:rPr>
      </w:pPr>
      <w:r>
        <w:rPr>
          <w:rFonts w:hint="eastAsia"/>
          <w:sz w:val="24"/>
        </w:rPr>
        <w:t>十四、国有资本经营预算财政拨款支出决算表</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Z14</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Fonts w:ascii="黑体" w:hAnsi="黑体" w:eastAsia="黑体"/>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pStyle w:val="4"/>
        <w:numPr>
          <w:ilvl w:val="0"/>
          <w:numId w:val="2"/>
        </w:numPr>
        <w:rPr>
          <w:rStyle w:val="25"/>
          <w:rFonts w:ascii="黑体" w:hAnsi="黑体" w:eastAsia="黑体"/>
          <w:b w:val="0"/>
          <w:bCs w:val="0"/>
        </w:rPr>
      </w:pPr>
      <w:bookmarkStart w:id="14" w:name="_Toc15377197"/>
      <w:bookmarkStart w:id="15" w:name="_Toc15396600"/>
      <w:r>
        <w:rPr>
          <w:rStyle w:val="25"/>
          <w:rFonts w:hint="eastAsia" w:ascii="黑体" w:hAnsi="黑体" w:eastAsia="黑体"/>
          <w:b w:val="0"/>
          <w:bCs w:val="0"/>
        </w:rPr>
        <w:t>职能简介</w:t>
      </w:r>
      <w:bookmarkStart w:id="16" w:name="_Toc15378445"/>
      <w:bookmarkStart w:id="17" w:name="_Toc15377198"/>
    </w:p>
    <w:p>
      <w:pPr>
        <w:widowControl/>
        <w:shd w:val="clear" w:color="auto" w:fill="FFFFFF"/>
        <w:spacing w:before="100" w:beforeAutospacing="1" w:after="100" w:afterAutospacing="1" w:line="480" w:lineRule="auto"/>
        <w:rPr>
          <w:rFonts w:hint="eastAsia"/>
          <w:sz w:val="24"/>
        </w:rPr>
      </w:pPr>
      <w:r>
        <w:rPr>
          <w:rFonts w:hint="eastAsia"/>
          <w:sz w:val="24"/>
        </w:rPr>
        <w:t>实施小学、初中义务教育以及高中教育，促进基础教育发展。</w:t>
      </w:r>
    </w:p>
    <w:p>
      <w:pPr>
        <w:pStyle w:val="4"/>
        <w:rPr>
          <w:rFonts w:hint="eastAsia" w:ascii="黑体" w:hAnsi="黑体" w:eastAsia="黑体"/>
          <w:b w:val="0"/>
          <w:lang w:eastAsia="zh-CN"/>
        </w:rPr>
      </w:pPr>
      <w:r>
        <w:rPr>
          <w:rFonts w:hint="eastAsia" w:ascii="黑体" w:hAnsi="黑体" w:eastAsia="黑体"/>
          <w:b w:val="0"/>
          <w:lang w:eastAsia="zh-CN"/>
        </w:rPr>
        <w:t>二、机构设置</w:t>
      </w:r>
    </w:p>
    <w:p>
      <w:pPr>
        <w:spacing w:line="600" w:lineRule="exact"/>
        <w:ind w:firstLine="640" w:firstLineChars="200"/>
      </w:pPr>
      <w:r>
        <w:rPr>
          <w:rFonts w:hint="eastAsia" w:ascii="仿宋_GB2312" w:hAnsi="仿宋" w:eastAsia="仿宋_GB2312"/>
          <w:sz w:val="32"/>
          <w:szCs w:val="32"/>
          <w:lang w:eastAsia="zh-CN"/>
        </w:rPr>
        <w:t>四川省广元外国语学校属于广元市教育局部门下属的二级预算单位，下设独立编制机构</w:t>
      </w:r>
      <w:r>
        <w:rPr>
          <w:rFonts w:hint="eastAsia" w:ascii="仿宋_GB2312" w:hAnsi="仿宋" w:eastAsia="仿宋_GB2312"/>
          <w:sz w:val="32"/>
          <w:szCs w:val="32"/>
          <w:lang w:val="en-US" w:eastAsia="zh-CN"/>
        </w:rPr>
        <w:t>1个，其中行政机构0个，参照公务员法管理的事业机构0个，其他事业机构1个。纳入2021年度单位决算编制范围的独立编制机构包括：</w:t>
      </w:r>
      <w:r>
        <w:rPr>
          <w:rFonts w:hint="eastAsia" w:ascii="仿宋_GB2312" w:hAnsi="仿宋" w:eastAsia="仿宋_GB2312"/>
          <w:sz w:val="32"/>
          <w:szCs w:val="32"/>
          <w:lang w:eastAsia="zh-CN"/>
        </w:rPr>
        <w:t>四川省广元外国语学校</w:t>
      </w:r>
      <w:r>
        <w:rPr>
          <w:rFonts w:hint="eastAsia" w:ascii="仿宋_GB2312" w:hAnsi="仿宋" w:eastAsia="仿宋_GB2312"/>
          <w:sz w:val="32"/>
          <w:szCs w:val="32"/>
          <w:lang w:eastAsia="zh-CN"/>
        </w:rPr>
        <w:t>。</w:t>
      </w:r>
    </w:p>
    <w:bookmarkEnd w:id="16"/>
    <w:bookmarkEnd w:id="17"/>
    <w:p>
      <w:pPr>
        <w:pStyle w:val="4"/>
        <w:rPr>
          <w:rFonts w:ascii="黑体" w:hAnsi="黑体" w:eastAsia="黑体"/>
          <w:b w:val="0"/>
        </w:rPr>
      </w:pPr>
      <w:r>
        <w:rPr>
          <w:rFonts w:hint="eastAsia" w:ascii="黑体" w:hAnsi="黑体" w:eastAsia="黑体"/>
          <w:b w:val="0"/>
          <w:lang w:eastAsia="zh-CN"/>
        </w:rPr>
        <w:t>三</w:t>
      </w:r>
      <w:bookmarkStart w:id="69" w:name="_GoBack"/>
      <w:bookmarkEnd w:id="69"/>
      <w:r>
        <w:rPr>
          <w:rFonts w:hint="eastAsia" w:ascii="黑体" w:hAnsi="黑体" w:eastAsia="黑体"/>
          <w:b w:val="0"/>
        </w:rPr>
        <w:t>、2021年重点工作</w:t>
      </w:r>
      <w:bookmarkEnd w:id="14"/>
      <w:bookmarkEnd w:id="15"/>
      <w:r>
        <w:rPr>
          <w:rFonts w:hint="eastAsia" w:ascii="黑体" w:hAnsi="黑体" w:eastAsia="黑体"/>
          <w:b w:val="0"/>
        </w:rPr>
        <w:t>完成情况</w:t>
      </w:r>
      <w:bookmarkStart w:id="18" w:name="_Toc15396602"/>
      <w:bookmarkStart w:id="19" w:name="_Toc15377204"/>
    </w:p>
    <w:p>
      <w:pPr>
        <w:spacing w:line="600" w:lineRule="exact"/>
        <w:rPr>
          <w:rFonts w:ascii="仿宋" w:hAnsi="仿宋" w:eastAsia="仿宋"/>
          <w:sz w:val="32"/>
          <w:szCs w:val="32"/>
        </w:rPr>
      </w:pPr>
      <w:r>
        <w:rPr>
          <w:rFonts w:hint="eastAsia" w:ascii="仿宋" w:hAnsi="仿宋" w:eastAsia="仿宋"/>
          <w:sz w:val="32"/>
          <w:szCs w:val="32"/>
        </w:rPr>
        <w:t>1.努力建设新课程标准体系、针对新高考改革、新教材、核心价值、核心素养、高阶思维、学校评价、教师评价、学业水平评价、综合素质评价、教师队伍建设等项目研究制定出广外实施意见和行动方案；</w:t>
      </w:r>
    </w:p>
    <w:p>
      <w:pPr>
        <w:pStyle w:val="2"/>
        <w:spacing w:before="93"/>
        <w:rPr>
          <w:rFonts w:ascii="仿宋" w:hAnsi="仿宋" w:eastAsia="仿宋"/>
          <w:kern w:val="2"/>
          <w:sz w:val="32"/>
          <w:szCs w:val="32"/>
        </w:rPr>
      </w:pPr>
      <w:r>
        <w:rPr>
          <w:rFonts w:hint="eastAsia" w:ascii="仿宋" w:hAnsi="仿宋" w:eastAsia="仿宋"/>
          <w:kern w:val="2"/>
          <w:sz w:val="32"/>
          <w:szCs w:val="32"/>
        </w:rPr>
        <w:t>2. 认真学习、深刻领会、对标落实省第12次党代会、市第八次党代会精神，特别是“建设四川知名教育高地”、“教育提质工程”等要求，研究制定广外“建设四川知名教育高地行动方案”和“教育提质工程实施办法”；</w:t>
      </w:r>
    </w:p>
    <w:p>
      <w:pPr>
        <w:pStyle w:val="2"/>
        <w:spacing w:before="93"/>
        <w:rPr>
          <w:rFonts w:hint="eastAsia" w:ascii="仿宋" w:hAnsi="仿宋" w:eastAsia="仿宋"/>
          <w:kern w:val="2"/>
          <w:sz w:val="32"/>
          <w:szCs w:val="32"/>
        </w:rPr>
      </w:pPr>
      <w:r>
        <w:rPr>
          <w:rFonts w:hint="eastAsia" w:ascii="仿宋" w:hAnsi="仿宋" w:eastAsia="仿宋"/>
          <w:kern w:val="2"/>
          <w:sz w:val="32"/>
          <w:szCs w:val="32"/>
        </w:rPr>
        <w:t>3. 结合广外第四个“五年发展规划” ，科学制定学校发展的“二次曲线”，努力实现“差异化、特色化、国际化、高质量”的发展。</w:t>
      </w:r>
    </w:p>
    <w:p>
      <w:pPr>
        <w:pStyle w:val="2"/>
        <w:spacing w:before="93"/>
        <w:rPr>
          <w:rFonts w:hint="eastAsia" w:ascii="仿宋" w:hAnsi="仿宋" w:eastAsia="仿宋"/>
          <w:kern w:val="2"/>
          <w:sz w:val="32"/>
          <w:szCs w:val="32"/>
        </w:rPr>
      </w:pPr>
    </w:p>
    <w:p>
      <w:pPr>
        <w:pStyle w:val="3"/>
        <w:ind w:right="440"/>
        <w:jc w:val="center"/>
        <w:rPr>
          <w:rFonts w:ascii="黑体" w:hAnsi="黑体" w:eastAsia="黑体"/>
          <w:b w:val="0"/>
        </w:rPr>
      </w:pPr>
      <w:r>
        <w:rPr>
          <w:rFonts w:hint="eastAsia" w:ascii="黑体" w:hAnsi="黑体" w:eastAsia="黑体"/>
          <w:b w:val="0"/>
        </w:rPr>
        <w:t>第二部分 2021年度</w:t>
      </w:r>
      <w:r>
        <w:rPr>
          <w:rStyle w:val="24"/>
          <w:rFonts w:hint="eastAsia" w:ascii="黑体" w:hAnsi="黑体" w:eastAsia="黑体"/>
          <w:b w:val="0"/>
          <w:bCs/>
        </w:rPr>
        <w:t>单位决算情况说明</w:t>
      </w:r>
      <w:bookmarkEnd w:id="18"/>
      <w:bookmarkEnd w:id="19"/>
    </w:p>
    <w:p>
      <w:pPr>
        <w:pStyle w:val="23"/>
        <w:numPr>
          <w:ilvl w:val="0"/>
          <w:numId w:val="3"/>
        </w:numPr>
        <w:spacing w:line="600" w:lineRule="exact"/>
        <w:ind w:firstLineChars="0"/>
        <w:outlineLvl w:val="1"/>
        <w:rPr>
          <w:rStyle w:val="25"/>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20"/>
      <w:bookmarkEnd w:id="21"/>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2021年度收、支总计1005.22万元。与2020年相比，收、支总计各增加3.73万元，增长了0.37</w:t>
      </w:r>
      <w:r>
        <w:rPr>
          <w:rFonts w:ascii="仿宋" w:hAnsi="仿宋" w:eastAsia="仿宋"/>
          <w:sz w:val="32"/>
          <w:szCs w:val="32"/>
        </w:rPr>
        <w:t>%</w:t>
      </w:r>
      <w:r>
        <w:rPr>
          <w:rFonts w:hint="eastAsia" w:ascii="仿宋" w:hAnsi="仿宋" w:eastAsia="仿宋"/>
          <w:sz w:val="32"/>
          <w:szCs w:val="32"/>
        </w:rPr>
        <w:t>。主要变动原因是义务教育阶段学生人数增加生均公用经费相应增加。</w:t>
      </w:r>
    </w:p>
    <w:p>
      <w:pPr>
        <w:pStyle w:val="2"/>
        <w:spacing w:before="93"/>
      </w:pPr>
      <w:r>
        <w:drawing>
          <wp:inline distT="0" distB="0" distL="0" distR="0">
            <wp:extent cx="5353050" cy="3076575"/>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3"/>
        <w:numPr>
          <w:ilvl w:val="0"/>
          <w:numId w:val="3"/>
        </w:numPr>
        <w:spacing w:line="600" w:lineRule="exact"/>
        <w:ind w:firstLineChars="0"/>
        <w:outlineLvl w:val="1"/>
        <w:rPr>
          <w:rStyle w:val="25"/>
          <w:rFonts w:ascii="黑体" w:hAnsi="黑体" w:eastAsia="黑体"/>
          <w:b w:val="0"/>
        </w:rPr>
      </w:pPr>
      <w:bookmarkStart w:id="22" w:name="_Toc15396604"/>
      <w:bookmarkStart w:id="23" w:name="_Toc15377206"/>
      <w:r>
        <w:rPr>
          <w:rFonts w:hint="eastAsia" w:ascii="黑体" w:hAnsi="黑体" w:eastAsia="黑体"/>
          <w:sz w:val="32"/>
          <w:szCs w:val="32"/>
        </w:rPr>
        <w:t>收</w:t>
      </w:r>
      <w:r>
        <w:rPr>
          <w:rStyle w:val="25"/>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21年本年收入合计1005.22万元，其中：一般公共预算财政拨款收入1005.22万元，占100</w:t>
      </w:r>
      <w:r>
        <w:rPr>
          <w:rFonts w:ascii="仿宋" w:hAnsi="仿宋" w:eastAsia="仿宋"/>
          <w:sz w:val="32"/>
          <w:szCs w:val="32"/>
        </w:rPr>
        <w:t>%</w:t>
      </w:r>
      <w:r>
        <w:rPr>
          <w:rFonts w:hint="eastAsia" w:ascii="仿宋" w:hAnsi="仿宋" w:eastAsia="仿宋"/>
          <w:sz w:val="32"/>
          <w:szCs w:val="32"/>
        </w:rPr>
        <w:t>。</w:t>
      </w:r>
    </w:p>
    <w:p>
      <w:pPr>
        <w:pStyle w:val="2"/>
        <w:spacing w:before="93"/>
      </w:pPr>
      <w:r>
        <w:drawing>
          <wp:inline distT="0" distB="0" distL="0" distR="0">
            <wp:extent cx="3983990" cy="2114550"/>
            <wp:effectExtent l="19050" t="0" r="1651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23"/>
        <w:numPr>
          <w:ilvl w:val="0"/>
          <w:numId w:val="3"/>
        </w:numPr>
        <w:spacing w:line="600" w:lineRule="exact"/>
        <w:ind w:firstLineChars="0"/>
        <w:outlineLvl w:val="1"/>
        <w:rPr>
          <w:rStyle w:val="25"/>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25"/>
          <w:rFonts w:hint="eastAsia" w:ascii="黑体" w:hAnsi="黑体" w:eastAsia="黑体"/>
          <w:b w:val="0"/>
        </w:rPr>
        <w:t>出决算情况说明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21年本年支出合计1005.22万元，其中：基本支出1005.22万元，占100</w:t>
      </w:r>
      <w:r>
        <w:rPr>
          <w:rFonts w:ascii="仿宋" w:hAnsi="仿宋" w:eastAsia="仿宋"/>
          <w:sz w:val="32"/>
          <w:szCs w:val="32"/>
        </w:rPr>
        <w:t>%</w:t>
      </w:r>
      <w:r>
        <w:rPr>
          <w:rFonts w:hint="eastAsia" w:ascii="仿宋" w:hAnsi="仿宋" w:eastAsia="仿宋"/>
          <w:sz w:val="32"/>
          <w:szCs w:val="32"/>
        </w:rPr>
        <w:t>。</w:t>
      </w:r>
    </w:p>
    <w:p>
      <w:pPr>
        <w:pStyle w:val="2"/>
        <w:spacing w:before="93"/>
      </w:pPr>
      <w:r>
        <w:drawing>
          <wp:inline distT="0" distB="0" distL="0" distR="0">
            <wp:extent cx="3983990" cy="2200275"/>
            <wp:effectExtent l="19050" t="0" r="1651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5"/>
          <w:rFonts w:ascii="黑体" w:hAnsi="黑体" w:eastAsia="黑体"/>
          <w:b w:val="0"/>
        </w:rPr>
      </w:pPr>
      <w:bookmarkStart w:id="26" w:name="_Toc15396606"/>
      <w:bookmarkStart w:id="27"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6"/>
      <w:bookmarkEnd w:id="2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21年财政拨款收、支总计1005.22万元。与</w:t>
      </w:r>
      <w:r>
        <w:rPr>
          <w:rFonts w:ascii="仿宋" w:hAnsi="仿宋" w:eastAsia="仿宋"/>
          <w:sz w:val="32"/>
          <w:szCs w:val="32"/>
        </w:rPr>
        <w:t>20</w:t>
      </w:r>
      <w:r>
        <w:rPr>
          <w:rFonts w:hint="eastAsia" w:ascii="仿宋" w:hAnsi="仿宋" w:eastAsia="仿宋"/>
          <w:sz w:val="32"/>
          <w:szCs w:val="32"/>
        </w:rPr>
        <w:t>20年相比，财政拨款收、支总计各增加3.73万元，增长了0.37</w:t>
      </w:r>
      <w:r>
        <w:rPr>
          <w:rFonts w:ascii="仿宋" w:hAnsi="仿宋" w:eastAsia="仿宋"/>
          <w:sz w:val="32"/>
          <w:szCs w:val="32"/>
        </w:rPr>
        <w:t>%</w:t>
      </w:r>
      <w:r>
        <w:rPr>
          <w:rFonts w:hint="eastAsia" w:ascii="仿宋" w:hAnsi="仿宋" w:eastAsia="仿宋"/>
          <w:sz w:val="32"/>
          <w:szCs w:val="32"/>
        </w:rPr>
        <w:t>。主要变动原因是义务教育阶段学生人数增加生均公用经费相应增加。</w:t>
      </w:r>
    </w:p>
    <w:p>
      <w:pPr>
        <w:pStyle w:val="2"/>
        <w:spacing w:before="93"/>
      </w:pPr>
      <w:r>
        <w:drawing>
          <wp:inline distT="0" distB="0" distL="0" distR="0">
            <wp:extent cx="5274310" cy="3030855"/>
            <wp:effectExtent l="19050" t="0" r="21590" b="0"/>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5"/>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8"/>
      <w:bookmarkEnd w:id="29"/>
    </w:p>
    <w:p>
      <w:pPr>
        <w:spacing w:line="600" w:lineRule="exact"/>
        <w:ind w:firstLine="642"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21年一般公共预算财政拨款支出1005.22万元，占本年支出合计的100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20年相比，一般公共预算财政拨款支出增加3.73万元，增长了0.37</w:t>
      </w:r>
      <w:r>
        <w:rPr>
          <w:rFonts w:ascii="仿宋" w:hAnsi="仿宋" w:eastAsia="仿宋"/>
          <w:sz w:val="32"/>
          <w:szCs w:val="32"/>
        </w:rPr>
        <w:t>%</w:t>
      </w:r>
      <w:r>
        <w:rPr>
          <w:rFonts w:hint="eastAsia" w:ascii="仿宋" w:hAnsi="仿宋" w:eastAsia="仿宋"/>
          <w:sz w:val="32"/>
          <w:szCs w:val="32"/>
        </w:rPr>
        <w:t>。主要变动原因是义务教育阶段学生人数增加生均公用经费相应增加。</w:t>
      </w:r>
    </w:p>
    <w:p>
      <w:pPr>
        <w:pStyle w:val="2"/>
        <w:spacing w:before="93"/>
      </w:pPr>
      <w:r>
        <w:drawing>
          <wp:inline distT="0" distB="0" distL="0" distR="0">
            <wp:extent cx="5334000" cy="2743200"/>
            <wp:effectExtent l="19050" t="0" r="19050" b="0"/>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2"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21年一般公共预算财政拨款支出1005.22万元，主要用于以下方面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886.73万元，占88.22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支出57.11万元，占5.68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21.77万元，占2.17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39.61万元，占3.93</w:t>
      </w:r>
      <w:r>
        <w:rPr>
          <w:rFonts w:ascii="仿宋" w:hAnsi="仿宋" w:eastAsia="仿宋"/>
          <w:sz w:val="32"/>
          <w:szCs w:val="32"/>
        </w:rPr>
        <w:t>%</w:t>
      </w:r>
      <w:r>
        <w:rPr>
          <w:rFonts w:hint="eastAsia" w:ascii="仿宋" w:hAnsi="仿宋" w:eastAsia="仿宋"/>
          <w:sz w:val="32"/>
          <w:szCs w:val="32"/>
        </w:rPr>
        <w:t>。</w:t>
      </w:r>
    </w:p>
    <w:p>
      <w:pPr>
        <w:pStyle w:val="2"/>
        <w:spacing w:before="93"/>
      </w:pPr>
    </w:p>
    <w:p>
      <w:pPr>
        <w:pStyle w:val="2"/>
        <w:spacing w:before="93"/>
      </w:pPr>
    </w:p>
    <w:p>
      <w:pPr>
        <w:pStyle w:val="2"/>
        <w:spacing w:before="93"/>
      </w:pPr>
    </w:p>
    <w:p>
      <w:pPr>
        <w:pStyle w:val="2"/>
        <w:spacing w:before="93"/>
      </w:pPr>
      <w:r>
        <w:drawing>
          <wp:inline distT="0" distB="0" distL="0" distR="0">
            <wp:extent cx="5334000" cy="2676525"/>
            <wp:effectExtent l="19050" t="0" r="19050" b="0"/>
            <wp:docPr id="1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2"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2" w:firstLineChars="200"/>
        <w:outlineLvl w:val="2"/>
        <w:rPr>
          <w:rFonts w:ascii="仿宋" w:hAnsi="仿宋" w:eastAsia="仿宋"/>
          <w:sz w:val="32"/>
          <w:szCs w:val="32"/>
        </w:rPr>
      </w:pPr>
      <w:bookmarkStart w:id="33" w:name="_Toc15378460"/>
      <w:bookmarkStart w:id="34" w:name="_Toc15377213"/>
      <w:bookmarkStart w:id="35" w:name="_Toc15377444"/>
      <w:r>
        <w:rPr>
          <w:rFonts w:hint="eastAsia" w:ascii="仿宋" w:hAnsi="仿宋" w:eastAsia="仿宋"/>
          <w:b/>
          <w:sz w:val="32"/>
          <w:szCs w:val="32"/>
        </w:rPr>
        <w:t>2021年一般公共预算支出决算数为1005.22</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33"/>
      <w:bookmarkEnd w:id="34"/>
      <w:bookmarkEnd w:id="35"/>
    </w:p>
    <w:p>
      <w:pPr>
        <w:spacing w:line="600" w:lineRule="exact"/>
        <w:ind w:firstLine="642" w:firstLineChars="200"/>
        <w:rPr>
          <w:rStyle w:val="14"/>
          <w:rFonts w:ascii="仿宋" w:hAnsi="仿宋" w:eastAsia="仿宋"/>
          <w:b w:val="0"/>
          <w:bCs/>
          <w:sz w:val="32"/>
          <w:szCs w:val="32"/>
        </w:rPr>
      </w:pPr>
      <w:r>
        <w:rPr>
          <w:rStyle w:val="14"/>
          <w:rFonts w:hint="eastAsia" w:ascii="仿宋" w:hAnsi="仿宋" w:eastAsia="仿宋"/>
          <w:bCs/>
          <w:sz w:val="32"/>
          <w:szCs w:val="32"/>
        </w:rPr>
        <w:t>1</w:t>
      </w:r>
      <w:r>
        <w:rPr>
          <w:rStyle w:val="14"/>
          <w:rFonts w:ascii="仿宋" w:hAnsi="仿宋" w:eastAsia="仿宋"/>
          <w:bCs/>
          <w:sz w:val="32"/>
          <w:szCs w:val="32"/>
        </w:rPr>
        <w:t>.</w:t>
      </w:r>
      <w:r>
        <w:rPr>
          <w:rStyle w:val="14"/>
          <w:rFonts w:hint="eastAsia" w:ascii="仿宋" w:hAnsi="仿宋" w:eastAsia="仿宋"/>
          <w:bCs/>
          <w:sz w:val="32"/>
          <w:szCs w:val="32"/>
        </w:rPr>
        <w:t>教育（类）普通教育（款）小学教育（项）</w:t>
      </w:r>
      <w:r>
        <w:rPr>
          <w:rStyle w:val="14"/>
          <w:rFonts w:ascii="仿宋" w:hAnsi="仿宋" w:eastAsia="仿宋"/>
          <w:bCs/>
          <w:sz w:val="32"/>
          <w:szCs w:val="32"/>
        </w:rPr>
        <w:t>:</w:t>
      </w:r>
      <w:r>
        <w:rPr>
          <w:rStyle w:val="14"/>
          <w:rFonts w:hint="eastAsia" w:ascii="仿宋" w:hAnsi="仿宋" w:eastAsia="仿宋"/>
          <w:b w:val="0"/>
          <w:bCs/>
          <w:sz w:val="32"/>
          <w:szCs w:val="32"/>
        </w:rPr>
        <w:t>支出决算为27.51万元，完成预算100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2" w:firstLineChars="200"/>
        <w:rPr>
          <w:rFonts w:ascii="仿宋" w:hAnsi="仿宋" w:eastAsia="仿宋"/>
          <w:bCs/>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教育（类）普通教育（款）高中教育（项）</w:t>
      </w:r>
      <w:r>
        <w:rPr>
          <w:rStyle w:val="14"/>
          <w:rFonts w:ascii="仿宋" w:hAnsi="仿宋" w:eastAsia="仿宋"/>
          <w:bCs/>
          <w:sz w:val="32"/>
          <w:szCs w:val="32"/>
        </w:rPr>
        <w:t>:</w:t>
      </w:r>
      <w:r>
        <w:rPr>
          <w:rStyle w:val="14"/>
          <w:rFonts w:hint="eastAsia" w:ascii="仿宋" w:hAnsi="仿宋" w:eastAsia="仿宋"/>
          <w:b w:val="0"/>
          <w:bCs/>
          <w:sz w:val="32"/>
          <w:szCs w:val="32"/>
        </w:rPr>
        <w:t>支出决算为859.22万元，完成预算100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2" w:firstLineChars="200"/>
        <w:rPr>
          <w:rStyle w:val="14"/>
          <w:rFonts w:ascii="仿宋" w:hAnsi="仿宋" w:eastAsia="仿宋"/>
          <w:b w:val="0"/>
          <w:bCs/>
          <w:sz w:val="32"/>
          <w:szCs w:val="32"/>
        </w:rPr>
      </w:pPr>
      <w:r>
        <w:rPr>
          <w:rStyle w:val="14"/>
          <w:rFonts w:hint="eastAsia" w:ascii="仿宋" w:hAnsi="仿宋" w:eastAsia="仿宋"/>
          <w:bCs/>
          <w:sz w:val="32"/>
          <w:szCs w:val="32"/>
        </w:rPr>
        <w:t>3</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社会保障和就业（类）行政事业单位养老支出（款）事业单位离退休（项）</w:t>
      </w:r>
      <w:r>
        <w:rPr>
          <w:rStyle w:val="14"/>
          <w:rFonts w:ascii="仿宋" w:hAnsi="仿宋" w:eastAsia="仿宋"/>
          <w:bCs/>
          <w:sz w:val="32"/>
          <w:szCs w:val="32"/>
        </w:rPr>
        <w:t>:</w:t>
      </w:r>
      <w:r>
        <w:rPr>
          <w:rStyle w:val="14"/>
          <w:rFonts w:hint="eastAsia" w:ascii="仿宋" w:hAnsi="仿宋" w:eastAsia="仿宋"/>
          <w:b w:val="0"/>
          <w:bCs/>
          <w:sz w:val="32"/>
          <w:szCs w:val="32"/>
        </w:rPr>
        <w:t>支出决算为0.5万元，完成预算100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2"/>
        <w:spacing w:before="93"/>
        <w:ind w:firstLine="629" w:firstLineChars="196"/>
        <w:rPr>
          <w:rStyle w:val="14"/>
          <w:rFonts w:ascii="仿宋" w:hAnsi="仿宋" w:eastAsia="仿宋"/>
          <w:b w:val="0"/>
          <w:bCs/>
          <w:sz w:val="32"/>
          <w:szCs w:val="32"/>
        </w:rPr>
      </w:pPr>
      <w:r>
        <w:rPr>
          <w:rStyle w:val="14"/>
          <w:rFonts w:hint="eastAsia" w:ascii="仿宋" w:hAnsi="仿宋" w:eastAsia="仿宋"/>
          <w:bCs/>
          <w:sz w:val="32"/>
          <w:szCs w:val="32"/>
        </w:rPr>
        <w:t>4</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社会保障和就业（类）行政事业单位养老支出（款）机关事业单位基本养老保险（项）</w:t>
      </w:r>
      <w:r>
        <w:rPr>
          <w:rStyle w:val="14"/>
          <w:rFonts w:ascii="仿宋" w:hAnsi="仿宋" w:eastAsia="仿宋"/>
          <w:bCs/>
          <w:sz w:val="32"/>
          <w:szCs w:val="32"/>
        </w:rPr>
        <w:t>:</w:t>
      </w:r>
      <w:r>
        <w:rPr>
          <w:rStyle w:val="14"/>
          <w:rFonts w:hint="eastAsia" w:ascii="仿宋" w:hAnsi="仿宋" w:eastAsia="仿宋"/>
          <w:b w:val="0"/>
          <w:bCs/>
          <w:sz w:val="32"/>
          <w:szCs w:val="32"/>
        </w:rPr>
        <w:t>支出决算为43.53万元，完成预算100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2"/>
        <w:spacing w:before="93"/>
        <w:ind w:firstLine="629" w:firstLineChars="196"/>
      </w:pPr>
      <w:r>
        <w:rPr>
          <w:rStyle w:val="14"/>
          <w:rFonts w:hint="eastAsia" w:ascii="仿宋" w:hAnsi="仿宋" w:eastAsia="仿宋"/>
          <w:bCs/>
          <w:sz w:val="32"/>
          <w:szCs w:val="32"/>
        </w:rPr>
        <w:t>5</w:t>
      </w:r>
      <w:r>
        <w:rPr>
          <w:rStyle w:val="14"/>
          <w:rFonts w:ascii="仿宋" w:hAnsi="仿宋" w:eastAsia="仿宋"/>
          <w:bCs/>
          <w:sz w:val="32"/>
          <w:szCs w:val="32"/>
        </w:rPr>
        <w:t>.</w:t>
      </w:r>
      <w:r>
        <w:rPr>
          <w:rStyle w:val="14"/>
          <w:rFonts w:hint="eastAsia" w:ascii="仿宋" w:hAnsi="仿宋" w:eastAsia="仿宋"/>
          <w:bCs/>
          <w:sz w:val="32"/>
          <w:szCs w:val="32"/>
        </w:rPr>
        <w:t>社会保障和就业（类）其他社会保障和就业（款）其他社会保障和就业（项）</w:t>
      </w:r>
      <w:r>
        <w:rPr>
          <w:rStyle w:val="14"/>
          <w:rFonts w:ascii="仿宋" w:hAnsi="仿宋" w:eastAsia="仿宋"/>
          <w:bCs/>
          <w:sz w:val="32"/>
          <w:szCs w:val="32"/>
        </w:rPr>
        <w:t>:</w:t>
      </w:r>
      <w:r>
        <w:rPr>
          <w:rStyle w:val="14"/>
          <w:rFonts w:hint="eastAsia" w:ascii="仿宋" w:hAnsi="仿宋" w:eastAsia="仿宋"/>
          <w:b w:val="0"/>
          <w:bCs/>
          <w:sz w:val="32"/>
          <w:szCs w:val="32"/>
        </w:rPr>
        <w:t>支出决算为13.08万元，完成预算100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2" w:firstLineChars="200"/>
        <w:rPr>
          <w:rStyle w:val="14"/>
          <w:rFonts w:ascii="仿宋" w:hAnsi="仿宋" w:eastAsia="仿宋"/>
          <w:b w:val="0"/>
          <w:bCs/>
          <w:sz w:val="32"/>
          <w:szCs w:val="32"/>
        </w:rPr>
      </w:pPr>
      <w:r>
        <w:rPr>
          <w:rStyle w:val="14"/>
          <w:rFonts w:ascii="仿宋" w:hAnsi="仿宋" w:eastAsia="仿宋"/>
          <w:bCs/>
          <w:sz w:val="32"/>
          <w:szCs w:val="32"/>
        </w:rPr>
        <w:t>6.</w:t>
      </w:r>
      <w:r>
        <w:rPr>
          <w:rFonts w:hint="eastAsia" w:ascii="仿宋" w:hAnsi="仿宋" w:eastAsia="仿宋"/>
          <w:b/>
          <w:bCs/>
          <w:sz w:val="32"/>
          <w:szCs w:val="32"/>
        </w:rPr>
        <w:t>卫生健康</w:t>
      </w:r>
      <w:r>
        <w:rPr>
          <w:rStyle w:val="14"/>
          <w:rFonts w:hint="eastAsia" w:ascii="仿宋" w:hAnsi="仿宋" w:eastAsia="仿宋"/>
          <w:bCs/>
          <w:sz w:val="32"/>
          <w:szCs w:val="32"/>
        </w:rPr>
        <w:t>（类）行政事业单位医疗（款）事业单位医疗（项）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支出决算为21.77万元，完成预算100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2" w:firstLineChars="200"/>
        <w:rPr>
          <w:rFonts w:ascii="仿宋" w:hAnsi="仿宋" w:eastAsia="仿宋"/>
          <w:bCs/>
          <w:sz w:val="32"/>
          <w:szCs w:val="32"/>
        </w:rPr>
      </w:pPr>
      <w:r>
        <w:rPr>
          <w:rStyle w:val="14"/>
          <w:rFonts w:hint="eastAsia" w:ascii="仿宋" w:hAnsi="仿宋" w:eastAsia="仿宋"/>
          <w:bCs/>
          <w:sz w:val="32"/>
          <w:szCs w:val="32"/>
        </w:rPr>
        <w:t>7</w:t>
      </w:r>
      <w:r>
        <w:rPr>
          <w:rStyle w:val="14"/>
          <w:rFonts w:ascii="仿宋" w:hAnsi="仿宋" w:eastAsia="仿宋"/>
          <w:bCs/>
          <w:sz w:val="32"/>
          <w:szCs w:val="32"/>
        </w:rPr>
        <w:t>.</w:t>
      </w:r>
      <w:r>
        <w:rPr>
          <w:rFonts w:hint="eastAsia" w:ascii="仿宋" w:hAnsi="仿宋" w:eastAsia="仿宋"/>
          <w:b/>
          <w:bCs/>
          <w:sz w:val="32"/>
          <w:szCs w:val="32"/>
        </w:rPr>
        <w:t>住房保障</w:t>
      </w:r>
      <w:r>
        <w:rPr>
          <w:rStyle w:val="14"/>
          <w:rFonts w:hint="eastAsia" w:ascii="仿宋" w:hAnsi="仿宋" w:eastAsia="仿宋"/>
          <w:bCs/>
          <w:sz w:val="32"/>
          <w:szCs w:val="32"/>
        </w:rPr>
        <w:t>（类）住房改革（款）住房公积金（项）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支出决算为39.61万元，完成预算100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tabs>
          <w:tab w:val="right" w:pos="8306"/>
        </w:tabs>
        <w:spacing w:line="600" w:lineRule="exact"/>
        <w:ind w:firstLine="640"/>
        <w:outlineLvl w:val="1"/>
        <w:rPr>
          <w:rStyle w:val="25"/>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6"/>
      <w:bookmarkEnd w:id="37"/>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21年一般公共预算财政拨款基本支出1005.22万元，其中：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人员经费478.46万元，主要包括：基本工资、津贴补贴、绩效工资、机关事业单位基本养老保险缴费、职工基本医疗保险费、其他社会保障缴费、其他工资福利支出、住房公积金、</w:t>
      </w:r>
      <w:r>
        <w:rPr>
          <w:rFonts w:hint="default" w:ascii="仿宋" w:hAnsi="仿宋" w:eastAsia="仿宋"/>
          <w:sz w:val="32"/>
          <w:szCs w:val="32"/>
        </w:rPr>
        <w:t>生活补助、助学金</w:t>
      </w:r>
      <w:r>
        <w:rPr>
          <w:rFonts w:hint="eastAsia" w:ascii="仿宋" w:hAnsi="仿宋" w:eastAsia="仿宋"/>
          <w:sz w:val="32"/>
          <w:szCs w:val="32"/>
        </w:rPr>
        <w:t>等。</w:t>
      </w:r>
      <w:r>
        <w:rPr>
          <w:rFonts w:ascii="仿宋" w:hAnsi="仿宋" w:eastAsia="仿宋"/>
          <w:sz w:val="32"/>
          <w:szCs w:val="32"/>
        </w:rPr>
        <w:br w:type="textWrapping"/>
      </w:r>
      <w:r>
        <w:rPr>
          <w:rFonts w:hint="eastAsia" w:ascii="仿宋" w:hAnsi="仿宋" w:eastAsia="仿宋"/>
          <w:sz w:val="32"/>
          <w:szCs w:val="32"/>
        </w:rPr>
        <w:t>　　公用经费526.76万元，主要包括：办公费、印刷费、咨询费、水费、电费、邮电费、物业管理费、差旅费、维修（护）费、租赁费、培训费、工会经费、福利费、其他交通费、其他商品和服务支出等。</w:t>
      </w:r>
    </w:p>
    <w:p>
      <w:pPr>
        <w:spacing w:line="600" w:lineRule="exact"/>
        <w:ind w:firstLine="640"/>
        <w:outlineLvl w:val="1"/>
        <w:rPr>
          <w:rStyle w:val="25"/>
          <w:rFonts w:ascii="黑体" w:hAnsi="黑体" w:eastAsia="黑体"/>
          <w:b w:val="0"/>
        </w:rPr>
      </w:pPr>
      <w:bookmarkStart w:id="38" w:name="_Toc15377215"/>
      <w:bookmarkStart w:id="39" w:name="_Toc15396609"/>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21年“三公”经费财政拨款支出决算为0万元，年初未安排预算。</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21年“三公”经费财政拨款支出决算中，因公出国（境）费支出决算0万元，占0%；公务用车购置及运行维护费支出决算0万元，占0%；公务接待费支出决算0万元，占0%。</w:t>
      </w:r>
    </w:p>
    <w:p>
      <w:pPr>
        <w:spacing w:line="600" w:lineRule="exact"/>
        <w:ind w:firstLine="640"/>
        <w:rPr>
          <w:rStyle w:val="14"/>
          <w:rFonts w:ascii="仿宋" w:hAnsi="仿宋" w:eastAsia="仿宋"/>
          <w:b w:val="0"/>
          <w:bCs/>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年初未安排预算。因公出国（境）支出决算较2020年无变化。</w:t>
      </w:r>
    </w:p>
    <w:p>
      <w:pPr>
        <w:spacing w:line="600" w:lineRule="exact"/>
        <w:ind w:firstLine="640"/>
        <w:rPr>
          <w:rStyle w:val="14"/>
          <w:rFonts w:ascii="仿宋" w:hAnsi="仿宋" w:eastAsia="仿宋"/>
          <w:b w:val="0"/>
          <w:bCs/>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 xml:space="preserve"> 年初未安排预算。公务用车购置及运行维护费支出决算较</w:t>
      </w:r>
      <w:r>
        <w:rPr>
          <w:rStyle w:val="14"/>
          <w:rFonts w:ascii="仿宋" w:hAnsi="仿宋" w:eastAsia="仿宋"/>
          <w:b w:val="0"/>
          <w:bCs/>
          <w:sz w:val="32"/>
          <w:szCs w:val="32"/>
        </w:rPr>
        <w:t>20</w:t>
      </w:r>
      <w:r>
        <w:rPr>
          <w:rStyle w:val="14"/>
          <w:rFonts w:hint="eastAsia" w:ascii="仿宋" w:hAnsi="仿宋" w:eastAsia="仿宋"/>
          <w:b w:val="0"/>
          <w:bCs/>
          <w:sz w:val="32"/>
          <w:szCs w:val="32"/>
        </w:rPr>
        <w:t>20年无变化。</w:t>
      </w:r>
    </w:p>
    <w:p>
      <w:pPr>
        <w:spacing w:line="600" w:lineRule="exact"/>
        <w:ind w:firstLine="640" w:firstLineChars="200"/>
        <w:rPr>
          <w:rStyle w:val="14"/>
          <w:rFonts w:ascii="仿宋" w:hAnsi="仿宋" w:eastAsia="仿宋"/>
          <w:b w:val="0"/>
          <w:bCs/>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w:t>
      </w:r>
      <w:r>
        <w:rPr>
          <w:rStyle w:val="14"/>
          <w:rFonts w:hint="eastAsia" w:ascii="仿宋" w:hAnsi="仿宋" w:eastAsia="仿宋"/>
          <w:b w:val="0"/>
          <w:bCs/>
          <w:sz w:val="32"/>
          <w:szCs w:val="32"/>
        </w:rPr>
        <w:t>全年按规定更新购置公务用车0辆。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r>
        <w:rPr>
          <w:rStyle w:val="14"/>
          <w:rFonts w:hint="eastAsia" w:ascii="仿宋" w:hAnsi="仿宋" w:eastAsia="仿宋"/>
          <w:b w:val="0"/>
          <w:bCs/>
          <w:sz w:val="32"/>
          <w:szCs w:val="32"/>
        </w:rPr>
        <w:t>年初未安排预算。</w:t>
      </w:r>
    </w:p>
    <w:p>
      <w:pPr>
        <w:spacing w:line="600" w:lineRule="exact"/>
        <w:ind w:firstLine="640"/>
        <w:rPr>
          <w:rFonts w:ascii="仿宋" w:hAnsi="仿宋" w:eastAsia="仿宋"/>
          <w:b/>
          <w:bCs/>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4"/>
          <w:rFonts w:hint="eastAsia" w:ascii="仿宋" w:hAnsi="仿宋" w:eastAsia="仿宋"/>
          <w:b w:val="0"/>
          <w:bCs/>
          <w:sz w:val="32"/>
          <w:szCs w:val="32"/>
        </w:rPr>
        <w:t>年初未安排预算。公务接待费支出决算较</w:t>
      </w:r>
      <w:r>
        <w:rPr>
          <w:rStyle w:val="14"/>
          <w:rFonts w:ascii="仿宋" w:hAnsi="仿宋" w:eastAsia="仿宋"/>
          <w:b w:val="0"/>
          <w:bCs/>
          <w:sz w:val="32"/>
          <w:szCs w:val="32"/>
        </w:rPr>
        <w:t>20</w:t>
      </w:r>
      <w:r>
        <w:rPr>
          <w:rStyle w:val="14"/>
          <w:rFonts w:hint="eastAsia" w:ascii="仿宋" w:hAnsi="仿宋" w:eastAsia="仿宋"/>
          <w:b w:val="0"/>
          <w:bCs/>
          <w:sz w:val="32"/>
          <w:szCs w:val="32"/>
        </w:rPr>
        <w:t>20年无变化。</w:t>
      </w:r>
      <w:bookmarkStart w:id="42" w:name="_Toc15396610"/>
      <w:bookmarkStart w:id="43" w:name="_Toc15377218"/>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2"/>
      <w:bookmarkEnd w:id="43"/>
    </w:p>
    <w:p>
      <w:pPr>
        <w:spacing w:line="600" w:lineRule="exact"/>
        <w:ind w:firstLine="640"/>
        <w:rPr>
          <w:rStyle w:val="14"/>
          <w:rFonts w:ascii="仿宋" w:hAnsi="仿宋" w:eastAsia="仿宋"/>
          <w:b w:val="0"/>
          <w:bCs/>
          <w:sz w:val="32"/>
          <w:szCs w:val="32"/>
        </w:rPr>
      </w:pPr>
      <w:r>
        <w:rPr>
          <w:rStyle w:val="14"/>
          <w:rFonts w:ascii="仿宋" w:hAnsi="仿宋" w:eastAsia="仿宋"/>
          <w:b w:val="0"/>
          <w:bCs/>
          <w:sz w:val="32"/>
          <w:szCs w:val="32"/>
        </w:rPr>
        <w:t>20</w:t>
      </w:r>
      <w:r>
        <w:rPr>
          <w:rStyle w:val="14"/>
          <w:rFonts w:hint="eastAsia" w:ascii="仿宋" w:hAnsi="仿宋" w:eastAsia="仿宋"/>
          <w:b w:val="0"/>
          <w:bCs/>
          <w:sz w:val="32"/>
          <w:szCs w:val="32"/>
        </w:rPr>
        <w:t>21年政府性基金预算财政拨款支出0万元。</w:t>
      </w:r>
    </w:p>
    <w:p>
      <w:pPr>
        <w:numPr>
          <w:ilvl w:val="0"/>
          <w:numId w:val="4"/>
        </w:numPr>
        <w:spacing w:line="600" w:lineRule="exact"/>
        <w:ind w:firstLine="640"/>
        <w:outlineLvl w:val="1"/>
        <w:rPr>
          <w:rStyle w:val="25"/>
          <w:rFonts w:ascii="黑体" w:hAnsi="黑体" w:eastAsia="黑体"/>
          <w:b w:val="0"/>
        </w:rPr>
      </w:pPr>
      <w:bookmarkStart w:id="44" w:name="_Toc15377219"/>
      <w:bookmarkStart w:id="45" w:name="_Toc15396611"/>
      <w:r>
        <w:rPr>
          <w:rStyle w:val="25"/>
          <w:rFonts w:hint="eastAsia" w:ascii="黑体" w:hAnsi="黑体" w:eastAsia="黑体"/>
          <w:b w:val="0"/>
        </w:rPr>
        <w:t>国有资本经营预算支出决算情况说明</w:t>
      </w:r>
      <w:bookmarkEnd w:id="44"/>
      <w:bookmarkEnd w:id="45"/>
    </w:p>
    <w:p>
      <w:pPr>
        <w:spacing w:line="600" w:lineRule="exact"/>
        <w:ind w:firstLine="640"/>
        <w:rPr>
          <w:rStyle w:val="14"/>
          <w:rFonts w:ascii="仿宋" w:hAnsi="仿宋" w:eastAsia="仿宋"/>
          <w:b w:val="0"/>
          <w:bCs/>
          <w:sz w:val="32"/>
          <w:szCs w:val="32"/>
        </w:rPr>
      </w:pPr>
      <w:r>
        <w:rPr>
          <w:rStyle w:val="14"/>
          <w:rFonts w:ascii="仿宋" w:hAnsi="仿宋" w:eastAsia="仿宋"/>
          <w:b w:val="0"/>
          <w:bCs/>
          <w:sz w:val="32"/>
          <w:szCs w:val="32"/>
        </w:rPr>
        <w:t>20</w:t>
      </w:r>
      <w:r>
        <w:rPr>
          <w:rStyle w:val="14"/>
          <w:rFonts w:hint="eastAsia" w:ascii="仿宋" w:hAnsi="仿宋" w:eastAsia="仿宋"/>
          <w:b w:val="0"/>
          <w:bCs/>
          <w:sz w:val="32"/>
          <w:szCs w:val="32"/>
        </w:rPr>
        <w:t>21年国有资本经营预算财政拨款支出0万元。</w:t>
      </w:r>
    </w:p>
    <w:p>
      <w:pPr>
        <w:numPr>
          <w:ilvl w:val="0"/>
          <w:numId w:val="4"/>
        </w:numPr>
        <w:spacing w:line="600" w:lineRule="exact"/>
        <w:ind w:firstLine="640"/>
        <w:outlineLvl w:val="1"/>
        <w:rPr>
          <w:rStyle w:val="25"/>
          <w:rFonts w:ascii="黑体" w:hAnsi="黑体" w:eastAsia="黑体"/>
          <w:b w:val="0"/>
        </w:rPr>
      </w:pPr>
      <w:bookmarkStart w:id="46" w:name="_Toc15396612"/>
      <w:bookmarkStart w:id="47" w:name="_Toc15377221"/>
      <w:r>
        <w:rPr>
          <w:rStyle w:val="25"/>
          <w:rFonts w:hint="eastAsia" w:ascii="黑体" w:hAnsi="黑体" w:eastAsia="黑体"/>
          <w:b w:val="0"/>
        </w:rPr>
        <w:t>预算绩效管理情况</w:t>
      </w:r>
    </w:p>
    <w:p>
      <w:pPr>
        <w:spacing w:line="580" w:lineRule="exact"/>
        <w:ind w:firstLine="640" w:firstLineChars="200"/>
        <w:rPr>
          <w:rStyle w:val="14"/>
          <w:rFonts w:ascii="仿宋" w:hAnsi="仿宋" w:eastAsia="仿宋"/>
          <w:bCs/>
        </w:rPr>
      </w:pPr>
      <w:r>
        <w:rPr>
          <w:rStyle w:val="14"/>
          <w:rFonts w:hint="eastAsia" w:ascii="仿宋" w:hAnsi="仿宋" w:eastAsia="仿宋"/>
          <w:b w:val="0"/>
          <w:bCs/>
          <w:sz w:val="32"/>
          <w:szCs w:val="32"/>
        </w:rPr>
        <w:t>本单位本年度无专项预算项目支出。</w:t>
      </w:r>
    </w:p>
    <w:p>
      <w:pPr>
        <w:numPr>
          <w:ilvl w:val="0"/>
          <w:numId w:val="4"/>
        </w:numPr>
        <w:spacing w:line="600" w:lineRule="exact"/>
        <w:ind w:firstLine="640"/>
        <w:outlineLvl w:val="1"/>
        <w:rPr>
          <w:rStyle w:val="25"/>
          <w:rFonts w:ascii="黑体" w:hAnsi="黑体" w:eastAsia="黑体"/>
          <w:b w:val="0"/>
        </w:rPr>
      </w:pPr>
      <w:r>
        <w:rPr>
          <w:rStyle w:val="25"/>
          <w:rFonts w:hint="eastAsia" w:ascii="黑体" w:hAnsi="黑体" w:eastAsia="黑体"/>
          <w:b w:val="0"/>
        </w:rPr>
        <w:t>其他重要事项的情况说明</w:t>
      </w:r>
      <w:bookmarkEnd w:id="46"/>
      <w:bookmarkEnd w:id="47"/>
    </w:p>
    <w:p>
      <w:pPr>
        <w:spacing w:line="600" w:lineRule="exact"/>
        <w:ind w:firstLine="642"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Style w:val="14"/>
          <w:rFonts w:ascii="仿宋" w:hAnsi="仿宋" w:eastAsia="仿宋"/>
          <w:b w:val="0"/>
          <w:bCs/>
          <w:sz w:val="32"/>
          <w:szCs w:val="32"/>
        </w:rPr>
      </w:pPr>
      <w:r>
        <w:rPr>
          <w:rStyle w:val="14"/>
          <w:rFonts w:ascii="仿宋" w:hAnsi="仿宋" w:eastAsia="仿宋"/>
          <w:b w:val="0"/>
          <w:bCs/>
          <w:sz w:val="32"/>
          <w:szCs w:val="32"/>
        </w:rPr>
        <w:t>20</w:t>
      </w:r>
      <w:r>
        <w:rPr>
          <w:rStyle w:val="14"/>
          <w:rFonts w:hint="eastAsia" w:ascii="仿宋" w:hAnsi="仿宋" w:eastAsia="仿宋"/>
          <w:b w:val="0"/>
          <w:bCs/>
          <w:sz w:val="32"/>
          <w:szCs w:val="32"/>
        </w:rPr>
        <w:t>21年未发生机关运行经费支出，与</w:t>
      </w:r>
      <w:r>
        <w:rPr>
          <w:rStyle w:val="14"/>
          <w:rFonts w:ascii="仿宋" w:hAnsi="仿宋" w:eastAsia="仿宋"/>
          <w:b w:val="0"/>
          <w:bCs/>
          <w:sz w:val="32"/>
          <w:szCs w:val="32"/>
        </w:rPr>
        <w:t>20</w:t>
      </w:r>
      <w:r>
        <w:rPr>
          <w:rStyle w:val="14"/>
          <w:rFonts w:hint="eastAsia" w:ascii="仿宋" w:hAnsi="仿宋" w:eastAsia="仿宋"/>
          <w:b w:val="0"/>
          <w:bCs/>
          <w:sz w:val="32"/>
          <w:szCs w:val="32"/>
        </w:rPr>
        <w:t>20年决算数持平。</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Style w:val="14"/>
          <w:rFonts w:ascii="仿宋" w:hAnsi="仿宋" w:eastAsia="仿宋"/>
          <w:b w:val="0"/>
          <w:bCs/>
          <w:sz w:val="32"/>
          <w:szCs w:val="32"/>
        </w:rPr>
      </w:pPr>
      <w:r>
        <w:rPr>
          <w:rStyle w:val="14"/>
          <w:rFonts w:ascii="仿宋" w:hAnsi="仿宋" w:eastAsia="仿宋"/>
          <w:b w:val="0"/>
          <w:bCs/>
          <w:sz w:val="32"/>
          <w:szCs w:val="32"/>
        </w:rPr>
        <w:t>20</w:t>
      </w:r>
      <w:r>
        <w:rPr>
          <w:rStyle w:val="14"/>
          <w:rFonts w:hint="eastAsia" w:ascii="仿宋" w:hAnsi="仿宋" w:eastAsia="仿宋"/>
          <w:b w:val="0"/>
          <w:bCs/>
          <w:sz w:val="32"/>
          <w:szCs w:val="32"/>
        </w:rPr>
        <w:t>21年，本单位政府采购支出总额0万元，年初未安排预算。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spacing w:line="600" w:lineRule="exact"/>
        <w:ind w:firstLine="640" w:firstLineChars="200"/>
        <w:rPr>
          <w:rStyle w:val="14"/>
          <w:rFonts w:ascii="仿宋" w:hAnsi="仿宋" w:eastAsia="仿宋"/>
          <w:b w:val="0"/>
          <w:bCs/>
          <w:sz w:val="32"/>
          <w:szCs w:val="32"/>
        </w:rPr>
      </w:pPr>
      <w:r>
        <w:rPr>
          <w:rStyle w:val="14"/>
          <w:rFonts w:hint="eastAsia" w:ascii="仿宋" w:hAnsi="仿宋" w:eastAsia="仿宋"/>
          <w:b w:val="0"/>
          <w:bCs/>
          <w:sz w:val="32"/>
          <w:szCs w:val="32"/>
        </w:rPr>
        <w:t>截至</w:t>
      </w:r>
      <w:r>
        <w:rPr>
          <w:rStyle w:val="14"/>
          <w:rFonts w:ascii="仿宋" w:hAnsi="仿宋" w:eastAsia="仿宋"/>
          <w:b w:val="0"/>
          <w:bCs/>
          <w:sz w:val="32"/>
          <w:szCs w:val="32"/>
        </w:rPr>
        <w:t>20</w:t>
      </w:r>
      <w:r>
        <w:rPr>
          <w:rStyle w:val="14"/>
          <w:rFonts w:hint="eastAsia" w:ascii="仿宋" w:hAnsi="仿宋" w:eastAsia="仿宋"/>
          <w:b w:val="0"/>
          <w:bCs/>
          <w:sz w:val="32"/>
          <w:szCs w:val="32"/>
        </w:rPr>
        <w:t>21年</w:t>
      </w:r>
      <w:r>
        <w:rPr>
          <w:rStyle w:val="14"/>
          <w:rFonts w:ascii="仿宋" w:hAnsi="仿宋" w:eastAsia="仿宋"/>
          <w:b w:val="0"/>
          <w:bCs/>
          <w:sz w:val="32"/>
          <w:szCs w:val="32"/>
        </w:rPr>
        <w:t>12</w:t>
      </w:r>
      <w:r>
        <w:rPr>
          <w:rStyle w:val="14"/>
          <w:rFonts w:hint="eastAsia" w:ascii="仿宋" w:hAnsi="仿宋" w:eastAsia="仿宋"/>
          <w:b w:val="0"/>
          <w:bCs/>
          <w:sz w:val="32"/>
          <w:szCs w:val="32"/>
        </w:rPr>
        <w:t>月</w:t>
      </w:r>
      <w:r>
        <w:rPr>
          <w:rStyle w:val="14"/>
          <w:rFonts w:ascii="仿宋" w:hAnsi="仿宋" w:eastAsia="仿宋"/>
          <w:b w:val="0"/>
          <w:bCs/>
          <w:sz w:val="32"/>
          <w:szCs w:val="32"/>
        </w:rPr>
        <w:t>31</w:t>
      </w:r>
      <w:r>
        <w:rPr>
          <w:rStyle w:val="14"/>
          <w:rFonts w:hint="eastAsia" w:ascii="仿宋" w:hAnsi="仿宋" w:eastAsia="仿宋"/>
          <w:b w:val="0"/>
          <w:bCs/>
          <w:sz w:val="32"/>
          <w:szCs w:val="32"/>
        </w:rPr>
        <w:t>日，本单位共有车辆0辆。单价</w:t>
      </w:r>
      <w:r>
        <w:rPr>
          <w:rStyle w:val="14"/>
          <w:rFonts w:ascii="仿宋" w:hAnsi="仿宋" w:eastAsia="仿宋"/>
          <w:b w:val="0"/>
          <w:bCs/>
          <w:sz w:val="32"/>
          <w:szCs w:val="32"/>
        </w:rPr>
        <w:t>50</w:t>
      </w:r>
      <w:r>
        <w:rPr>
          <w:rStyle w:val="14"/>
          <w:rFonts w:hint="eastAsia" w:ascii="仿宋" w:hAnsi="仿宋" w:eastAsia="仿宋"/>
          <w:b w:val="0"/>
          <w:bCs/>
          <w:sz w:val="32"/>
          <w:szCs w:val="32"/>
        </w:rPr>
        <w:t>万元以上通用设备0台（套），单价</w:t>
      </w:r>
      <w:r>
        <w:rPr>
          <w:rStyle w:val="14"/>
          <w:rFonts w:ascii="仿宋" w:hAnsi="仿宋" w:eastAsia="仿宋"/>
          <w:b w:val="0"/>
          <w:bCs/>
          <w:sz w:val="32"/>
          <w:szCs w:val="32"/>
        </w:rPr>
        <w:t>100</w:t>
      </w:r>
      <w:r>
        <w:rPr>
          <w:rStyle w:val="14"/>
          <w:rFonts w:hint="eastAsia" w:ascii="仿宋" w:hAnsi="仿宋" w:eastAsia="仿宋"/>
          <w:b w:val="0"/>
          <w:bCs/>
          <w:sz w:val="32"/>
          <w:szCs w:val="32"/>
        </w:rPr>
        <w:t>万元以上专用设备0台（套）。</w:t>
      </w:r>
    </w:p>
    <w:p>
      <w:pPr>
        <w:numPr>
          <w:ilvl w:val="0"/>
          <w:numId w:val="5"/>
        </w:numPr>
        <w:spacing w:line="600" w:lineRule="exact"/>
        <w:ind w:firstLine="660" w:firstLineChars="150"/>
        <w:jc w:val="center"/>
        <w:outlineLvl w:val="0"/>
        <w:rPr>
          <w:rStyle w:val="24"/>
          <w:rFonts w:ascii="黑体" w:hAnsi="黑体" w:eastAsia="黑体"/>
          <w:b w:val="0"/>
        </w:rPr>
      </w:pPr>
      <w:bookmarkStart w:id="51" w:name="_Toc15377225"/>
      <w:bookmarkStart w:id="52" w:name="_Toc15396613"/>
      <w:r>
        <w:rPr>
          <w:rFonts w:hint="eastAsia" w:ascii="黑体" w:hAnsi="黑体" w:eastAsia="黑体"/>
          <w:sz w:val="44"/>
          <w:szCs w:val="44"/>
        </w:rPr>
        <w:t>名</w:t>
      </w:r>
      <w:r>
        <w:rPr>
          <w:rStyle w:val="24"/>
          <w:rFonts w:hint="eastAsia" w:ascii="黑体" w:hAnsi="黑体" w:eastAsia="黑体"/>
          <w:b w:val="0"/>
        </w:rPr>
        <w:t>词解释</w:t>
      </w:r>
      <w:bookmarkEnd w:id="51"/>
      <w:bookmarkEnd w:id="52"/>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spacing w:line="600" w:lineRule="exact"/>
        <w:ind w:firstLine="640" w:firstLineChars="200"/>
        <w:outlineLvl w:val="1"/>
        <w:rPr>
          <w:rFonts w:ascii="仿宋_GB2312" w:hAnsi="Calibri" w:eastAsia="仿宋_GB2312" w:cs="仿宋"/>
          <w:kern w:val="0"/>
          <w:sz w:val="32"/>
          <w:szCs w:val="32"/>
        </w:rPr>
      </w:pPr>
      <w:r>
        <w:rPr>
          <w:rFonts w:hint="eastAsia" w:ascii="仿宋_GB2312" w:hAnsi="Calibri" w:eastAsia="仿宋_GB2312" w:cs="仿宋"/>
          <w:kern w:val="0"/>
          <w:sz w:val="32"/>
          <w:szCs w:val="32"/>
        </w:rPr>
        <w:t>2</w:t>
      </w:r>
      <w:r>
        <w:rPr>
          <w:rFonts w:ascii="仿宋_GB2312" w:hAnsi="Calibri" w:eastAsia="仿宋_GB2312" w:cs="仿宋"/>
          <w:kern w:val="0"/>
          <w:sz w:val="32"/>
          <w:szCs w:val="32"/>
        </w:rPr>
        <w:t>.</w:t>
      </w:r>
      <w:r>
        <w:rPr>
          <w:rFonts w:hint="eastAsia" w:ascii="仿宋_GB2312" w:hAnsi="Calibri" w:eastAsia="仿宋_GB2312" w:cs="仿宋"/>
          <w:kern w:val="0"/>
          <w:sz w:val="32"/>
          <w:szCs w:val="32"/>
        </w:rPr>
        <w:t xml:space="preserve"> 教育支出（类）普通教育（款）小学教育（项）：指用于小学教育管理事务支出。</w:t>
      </w:r>
    </w:p>
    <w:p>
      <w:pPr>
        <w:pStyle w:val="2"/>
        <w:spacing w:before="93"/>
        <w:ind w:firstLine="640" w:firstLineChars="200"/>
      </w:pPr>
      <w:r>
        <w:rPr>
          <w:rFonts w:hint="eastAsia" w:hAnsi="Calibri" w:cs="仿宋"/>
          <w:sz w:val="32"/>
          <w:szCs w:val="32"/>
        </w:rPr>
        <w:t>3</w:t>
      </w:r>
      <w:r>
        <w:rPr>
          <w:rFonts w:hAnsi="Calibri" w:cs="仿宋"/>
          <w:sz w:val="32"/>
          <w:szCs w:val="32"/>
        </w:rPr>
        <w:t>.</w:t>
      </w:r>
      <w:r>
        <w:rPr>
          <w:rFonts w:hint="eastAsia" w:hAnsi="Calibri" w:cs="仿宋"/>
          <w:sz w:val="32"/>
          <w:szCs w:val="32"/>
        </w:rPr>
        <w:t xml:space="preserve"> 教育支出（类）普通教育（款）高中教育（项）：指用于高中教育管理事务支出。</w:t>
      </w:r>
    </w:p>
    <w:p>
      <w:pPr>
        <w:spacing w:line="600" w:lineRule="exact"/>
        <w:ind w:firstLine="640" w:firstLineChars="200"/>
        <w:outlineLvl w:val="1"/>
        <w:rPr>
          <w:rFonts w:ascii="仿宋_GB2312" w:hAnsi="Calibri" w:eastAsia="仿宋_GB2312" w:cs="仿宋"/>
          <w:kern w:val="0"/>
          <w:sz w:val="32"/>
          <w:szCs w:val="32"/>
        </w:rPr>
      </w:pPr>
      <w:r>
        <w:rPr>
          <w:rFonts w:hint="eastAsia" w:ascii="仿宋_GB2312" w:hAnsi="Calibri" w:eastAsia="仿宋_GB2312" w:cs="仿宋"/>
          <w:kern w:val="0"/>
          <w:sz w:val="32"/>
          <w:szCs w:val="32"/>
        </w:rPr>
        <w:t>4.社会保障和就业（类）行政事业单位养老支出（款）事业单位离退休（项）： 指用于事业单位离退休方面的支出。</w:t>
      </w:r>
    </w:p>
    <w:p>
      <w:pPr>
        <w:spacing w:line="600" w:lineRule="exact"/>
        <w:ind w:firstLine="640" w:firstLineChars="200"/>
        <w:outlineLvl w:val="1"/>
        <w:rPr>
          <w:rFonts w:ascii="仿宋_GB2312" w:hAnsi="Calibri" w:eastAsia="仿宋_GB2312" w:cs="仿宋"/>
          <w:kern w:val="0"/>
          <w:sz w:val="32"/>
          <w:szCs w:val="32"/>
        </w:rPr>
      </w:pPr>
      <w:r>
        <w:rPr>
          <w:rFonts w:hint="eastAsia" w:ascii="仿宋_GB2312" w:hAnsi="Calibri" w:eastAsia="仿宋_GB2312" w:cs="仿宋"/>
          <w:kern w:val="0"/>
          <w:sz w:val="32"/>
          <w:szCs w:val="32"/>
        </w:rPr>
        <w:t>5.社会保障和就业（类）行政事业单位养老支出（款）机关事业单位基本养老保险缴费支出（项）: 指用于实施养老保险制度由单位缴纳的基本养老保险费支出。</w:t>
      </w:r>
    </w:p>
    <w:p>
      <w:pPr>
        <w:spacing w:line="600" w:lineRule="exact"/>
        <w:ind w:firstLine="640" w:firstLineChars="200"/>
        <w:outlineLvl w:val="1"/>
        <w:rPr>
          <w:rFonts w:ascii="仿宋_GB2312" w:hAnsi="Calibri" w:eastAsia="仿宋_GB2312" w:cs="仿宋"/>
          <w:kern w:val="0"/>
          <w:sz w:val="32"/>
          <w:szCs w:val="32"/>
        </w:rPr>
      </w:pPr>
      <w:r>
        <w:rPr>
          <w:rFonts w:hint="eastAsia" w:ascii="仿宋_GB2312" w:hAnsi="Calibri" w:eastAsia="仿宋_GB2312" w:cs="仿宋"/>
          <w:kern w:val="0"/>
          <w:sz w:val="32"/>
          <w:szCs w:val="32"/>
        </w:rPr>
        <w:t>6.社会保障和就业（类）其他社会保障和就业支出（款）其他社会保障和就业支出（项）: 指用于单位退休中人职业年金支出。</w:t>
      </w:r>
    </w:p>
    <w:p>
      <w:pPr>
        <w:spacing w:line="600" w:lineRule="exact"/>
        <w:ind w:firstLine="640" w:firstLineChars="200"/>
        <w:outlineLvl w:val="1"/>
        <w:rPr>
          <w:rFonts w:ascii="仿宋_GB2312" w:hAnsi="Calibri" w:eastAsia="仿宋_GB2312" w:cs="仿宋"/>
          <w:kern w:val="0"/>
          <w:sz w:val="32"/>
          <w:szCs w:val="32"/>
        </w:rPr>
      </w:pPr>
      <w:r>
        <w:rPr>
          <w:rFonts w:hint="eastAsia" w:ascii="仿宋_GB2312" w:hAnsi="Calibri" w:eastAsia="仿宋_GB2312" w:cs="仿宋"/>
          <w:kern w:val="0"/>
          <w:sz w:val="32"/>
          <w:szCs w:val="32"/>
        </w:rPr>
        <w:t>7.卫生健康支出（类）行政事业单位医疗（款）事业单位医疗（项）：指用于事业单位由单位缴纳的基本医疗保险缴费。</w:t>
      </w:r>
    </w:p>
    <w:p>
      <w:pPr>
        <w:spacing w:line="600" w:lineRule="exact"/>
        <w:ind w:firstLine="640" w:firstLineChars="200"/>
        <w:outlineLvl w:val="1"/>
        <w:rPr>
          <w:rFonts w:ascii="仿宋_GB2312" w:hAnsi="Calibri" w:eastAsia="仿宋_GB2312" w:cs="仿宋"/>
          <w:kern w:val="0"/>
          <w:sz w:val="32"/>
          <w:szCs w:val="32"/>
        </w:rPr>
      </w:pPr>
      <w:r>
        <w:rPr>
          <w:rFonts w:hint="eastAsia" w:ascii="仿宋_GB2312" w:hAnsi="Calibri" w:eastAsia="仿宋_GB2312" w:cs="仿宋"/>
          <w:kern w:val="0"/>
          <w:sz w:val="32"/>
          <w:szCs w:val="32"/>
        </w:rPr>
        <w:t>8.住房保障支出（类）住房改革支出（款）住房公积金（项）：指本单位用于按规定的工资基数以及规定比例为职工缴纳的住房公积金。</w:t>
      </w:r>
    </w:p>
    <w:p>
      <w:pPr>
        <w:spacing w:line="600" w:lineRule="exact"/>
        <w:ind w:firstLine="640" w:firstLineChars="200"/>
        <w:outlineLvl w:val="1"/>
        <w:rPr>
          <w:rFonts w:ascii="仿宋_GB2312" w:hAnsi="Calibri" w:eastAsia="仿宋_GB2312" w:cs="仿宋"/>
          <w:kern w:val="0"/>
          <w:sz w:val="32"/>
          <w:szCs w:val="32"/>
        </w:rPr>
      </w:pPr>
      <w:r>
        <w:rPr>
          <w:rFonts w:hint="eastAsia" w:ascii="仿宋_GB2312" w:hAnsi="Calibri" w:eastAsia="仿宋_GB2312" w:cs="仿宋"/>
          <w:kern w:val="0"/>
          <w:sz w:val="32"/>
          <w:szCs w:val="32"/>
        </w:rPr>
        <w:t>9</w:t>
      </w:r>
      <w:r>
        <w:rPr>
          <w:rFonts w:ascii="仿宋_GB2312" w:hAnsi="Calibri" w:eastAsia="仿宋_GB2312" w:cs="仿宋"/>
          <w:kern w:val="0"/>
          <w:sz w:val="32"/>
          <w:szCs w:val="32"/>
        </w:rPr>
        <w:t>.</w:t>
      </w:r>
      <w:r>
        <w:rPr>
          <w:rFonts w:hint="eastAsia" w:ascii="仿宋_GB2312" w:hAnsi="Calibri" w:eastAsia="仿宋_GB2312" w:cs="仿宋"/>
          <w:kern w:val="0"/>
          <w:sz w:val="32"/>
          <w:szCs w:val="32"/>
        </w:rPr>
        <w:t>基本支出：指为保障机构正常运转、完成日常工作任务而发生的人员支出和公用支出。</w:t>
      </w:r>
    </w:p>
    <w:p>
      <w:pPr>
        <w:spacing w:line="600" w:lineRule="exact"/>
        <w:ind w:firstLine="640" w:firstLineChars="200"/>
        <w:outlineLvl w:val="1"/>
        <w:rPr>
          <w:rFonts w:ascii="仿宋_GB2312" w:hAnsi="Calibri" w:eastAsia="仿宋_GB2312" w:cs="仿宋"/>
          <w:kern w:val="0"/>
          <w:sz w:val="32"/>
          <w:szCs w:val="32"/>
        </w:rPr>
      </w:pPr>
      <w:r>
        <w:rPr>
          <w:rFonts w:hint="eastAsia" w:ascii="仿宋_GB2312" w:hAnsi="Calibri" w:eastAsia="仿宋_GB2312" w:cs="仿宋"/>
          <w:kern w:val="0"/>
          <w:sz w:val="32"/>
          <w:szCs w:val="32"/>
        </w:rPr>
        <w:t>10</w:t>
      </w:r>
      <w:r>
        <w:rPr>
          <w:rFonts w:ascii="仿宋_GB2312" w:hAnsi="Calibri" w:eastAsia="仿宋_GB2312" w:cs="仿宋"/>
          <w:kern w:val="0"/>
          <w:sz w:val="32"/>
          <w:szCs w:val="32"/>
        </w:rPr>
        <w:t>.</w:t>
      </w:r>
      <w:r>
        <w:rPr>
          <w:rFonts w:hint="eastAsia" w:ascii="仿宋_GB2312" w:hAnsi="Calibri" w:eastAsia="仿宋_GB2312" w:cs="仿宋"/>
          <w:kern w:val="0"/>
          <w:sz w:val="32"/>
          <w:szCs w:val="32"/>
        </w:rPr>
        <w:t>项目支出：指在基本支出之外为完成特定行政任务和事业发展目标所发生的支出。</w:t>
      </w:r>
      <w:r>
        <w:rPr>
          <w:rFonts w:ascii="仿宋_GB2312" w:hAnsi="Calibri" w:eastAsia="仿宋_GB2312" w:cs="仿宋"/>
          <w:kern w:val="0"/>
          <w:sz w:val="32"/>
          <w:szCs w:val="32"/>
        </w:rPr>
        <w:t xml:space="preserve"> </w:t>
      </w:r>
    </w:p>
    <w:p>
      <w:pPr>
        <w:spacing w:line="600" w:lineRule="exact"/>
        <w:ind w:firstLine="640" w:firstLineChars="200"/>
        <w:outlineLvl w:val="1"/>
        <w:rPr>
          <w:rFonts w:ascii="仿宋_GB2312" w:hAnsi="Calibri" w:eastAsia="仿宋_GB2312" w:cs="仿宋"/>
          <w:kern w:val="0"/>
          <w:sz w:val="32"/>
          <w:szCs w:val="32"/>
        </w:rPr>
      </w:pPr>
      <w:r>
        <w:rPr>
          <w:rFonts w:hint="eastAsia" w:ascii="仿宋_GB2312" w:hAnsi="Calibri" w:eastAsia="仿宋_GB2312" w:cs="仿宋"/>
          <w:kern w:val="0"/>
          <w:sz w:val="32"/>
          <w:szCs w:val="32"/>
        </w:rPr>
        <w:t>11</w:t>
      </w:r>
      <w:r>
        <w:rPr>
          <w:rFonts w:ascii="仿宋_GB2312" w:hAnsi="Calibri" w:eastAsia="仿宋_GB2312" w:cs="仿宋"/>
          <w:kern w:val="0"/>
          <w:sz w:val="32"/>
          <w:szCs w:val="32"/>
        </w:rPr>
        <w:t>.</w:t>
      </w:r>
      <w:r>
        <w:rPr>
          <w:rFonts w:hint="eastAsia" w:ascii="仿宋_GB2312" w:hAnsi="Calibri" w:eastAsia="仿宋_GB2312" w:cs="仿宋"/>
          <w:kern w:val="0"/>
          <w:sz w:val="32"/>
          <w:szCs w:val="32"/>
        </w:rPr>
        <w:t>“三公”经费：指本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outlineLvl w:val="0"/>
        <w:rPr>
          <w:rFonts w:ascii="仿宋_GB2312" w:hAnsi="Calibri" w:eastAsia="仿宋_GB2312" w:cs="黑体"/>
          <w:kern w:val="0"/>
          <w:sz w:val="32"/>
          <w:szCs w:val="32"/>
        </w:rPr>
      </w:pPr>
      <w:bookmarkStart w:id="53" w:name="_Toc15396614"/>
      <w:bookmarkStart w:id="54" w:name="_Toc15377226"/>
    </w:p>
    <w:p>
      <w:pPr>
        <w:spacing w:line="600" w:lineRule="exact"/>
        <w:ind w:firstLine="3080" w:firstLineChars="700"/>
        <w:outlineLvl w:val="0"/>
        <w:rPr>
          <w:rFonts w:hint="eastAsia" w:ascii="黑体" w:hAnsi="黑体" w:eastAsia="黑体"/>
          <w:sz w:val="44"/>
          <w:szCs w:val="44"/>
        </w:rPr>
      </w:pPr>
    </w:p>
    <w:p>
      <w:pPr>
        <w:spacing w:line="600" w:lineRule="exact"/>
        <w:ind w:firstLine="3080" w:firstLineChars="700"/>
        <w:outlineLvl w:val="0"/>
        <w:rPr>
          <w:rFonts w:hint="eastAsia" w:ascii="黑体" w:hAnsi="黑体" w:eastAsia="黑体"/>
          <w:sz w:val="44"/>
          <w:szCs w:val="44"/>
        </w:rPr>
      </w:pPr>
    </w:p>
    <w:p>
      <w:pPr>
        <w:spacing w:line="600" w:lineRule="exact"/>
        <w:ind w:firstLine="3080" w:firstLineChars="700"/>
        <w:outlineLvl w:val="0"/>
        <w:rPr>
          <w:rStyle w:val="24"/>
          <w:rFonts w:ascii="黑体" w:hAnsi="黑体" w:eastAsia="黑体"/>
          <w:b w:val="0"/>
        </w:rPr>
      </w:pPr>
      <w:r>
        <w:rPr>
          <w:rFonts w:hint="eastAsia" w:ascii="黑体" w:hAnsi="黑体" w:eastAsia="黑体"/>
          <w:sz w:val="44"/>
          <w:szCs w:val="44"/>
        </w:rPr>
        <w:t>第</w:t>
      </w:r>
      <w:r>
        <w:rPr>
          <w:rStyle w:val="24"/>
          <w:rFonts w:hint="eastAsia" w:ascii="黑体" w:hAnsi="黑体" w:eastAsia="黑体"/>
          <w:b w:val="0"/>
        </w:rPr>
        <w:t>四部分 附件</w:t>
      </w:r>
      <w:bookmarkEnd w:id="53"/>
    </w:p>
    <w:p>
      <w:pPr>
        <w:pStyle w:val="2"/>
        <w:spacing w:before="93"/>
        <w:rPr>
          <w:lang w:val="zh-CN"/>
        </w:rPr>
      </w:pPr>
      <w:r>
        <w:rPr>
          <w:rFonts w:hint="eastAsia" w:hAnsi="宋体" w:cs="宋体"/>
          <w:sz w:val="32"/>
          <w:szCs w:val="32"/>
          <w:shd w:val="clear" w:color="auto" w:fill="FFFFFF"/>
          <w:lang w:val="zh-CN"/>
        </w:rPr>
        <w:t>附件</w:t>
      </w:r>
    </w:p>
    <w:p>
      <w:pPr>
        <w:spacing w:line="600" w:lineRule="exact"/>
        <w:outlineLvl w:val="0"/>
        <w:rPr>
          <w:rFonts w:ascii="仿宋" w:hAnsi="仿宋" w:eastAsia="仿宋"/>
          <w:sz w:val="32"/>
          <w:szCs w:val="32"/>
        </w:rPr>
      </w:pPr>
      <w:bookmarkStart w:id="55" w:name="_Toc15396618"/>
      <w:r>
        <w:rPr>
          <w:rFonts w:hint="eastAsia" w:ascii="仿宋" w:hAnsi="仿宋" w:eastAsia="仿宋"/>
          <w:sz w:val="32"/>
          <w:szCs w:val="32"/>
        </w:rPr>
        <w:t>2021年本单位无专项预算，无项目绩效自评报告。</w:t>
      </w: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4"/>
      <w:bookmarkEnd w:id="55"/>
    </w:p>
    <w:p>
      <w:pPr>
        <w:pStyle w:val="4"/>
        <w:rPr>
          <w:rFonts w:ascii="仿宋" w:hAnsi="仿宋" w:eastAsia="仿宋"/>
        </w:rPr>
      </w:pPr>
      <w:bookmarkStart w:id="56" w:name="_Toc15396619"/>
      <w:r>
        <w:rPr>
          <w:rFonts w:hint="eastAsia" w:ascii="仿宋" w:hAnsi="仿宋" w:eastAsia="仿宋"/>
          <w:b w:val="0"/>
        </w:rPr>
        <w:t>一、收</w:t>
      </w:r>
      <w:r>
        <w:rPr>
          <w:rStyle w:val="25"/>
          <w:rFonts w:hint="eastAsia" w:ascii="仿宋" w:hAnsi="仿宋" w:eastAsia="仿宋"/>
          <w:b w:val="0"/>
          <w:bCs w:val="0"/>
        </w:rPr>
        <w:t>入支出决算总表</w:t>
      </w:r>
      <w:bookmarkEnd w:id="56"/>
    </w:p>
    <w:p>
      <w:pPr>
        <w:pStyle w:val="4"/>
        <w:rPr>
          <w:rFonts w:ascii="仿宋" w:hAnsi="仿宋" w:eastAsia="仿宋"/>
        </w:rPr>
      </w:pPr>
      <w:bookmarkStart w:id="57" w:name="_Toc15396620"/>
      <w:r>
        <w:rPr>
          <w:rFonts w:hint="eastAsia" w:ascii="仿宋" w:hAnsi="仿宋" w:eastAsia="仿宋"/>
          <w:b w:val="0"/>
        </w:rPr>
        <w:t>二、收</w:t>
      </w:r>
      <w:r>
        <w:rPr>
          <w:rStyle w:val="25"/>
          <w:rFonts w:hint="eastAsia" w:ascii="仿宋" w:hAnsi="仿宋" w:eastAsia="仿宋"/>
          <w:b w:val="0"/>
          <w:bCs w:val="0"/>
        </w:rPr>
        <w:t>入决算表</w:t>
      </w:r>
      <w:bookmarkEnd w:id="57"/>
    </w:p>
    <w:p>
      <w:pPr>
        <w:pStyle w:val="4"/>
        <w:rPr>
          <w:rFonts w:ascii="仿宋" w:hAnsi="仿宋" w:eastAsia="仿宋"/>
        </w:rPr>
      </w:pPr>
      <w:bookmarkStart w:id="58"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8"/>
    </w:p>
    <w:p>
      <w:pPr>
        <w:pStyle w:val="4"/>
        <w:rPr>
          <w:rFonts w:ascii="仿宋" w:hAnsi="仿宋" w:eastAsia="仿宋"/>
          <w:b w:val="0"/>
        </w:rPr>
      </w:pPr>
      <w:bookmarkStart w:id="59"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9"/>
    </w:p>
    <w:p>
      <w:pPr>
        <w:pStyle w:val="4"/>
        <w:rPr>
          <w:rStyle w:val="25"/>
          <w:rFonts w:ascii="仿宋" w:hAnsi="仿宋" w:eastAsia="仿宋"/>
          <w:b w:val="0"/>
          <w:bCs w:val="0"/>
        </w:rPr>
      </w:pPr>
      <w:bookmarkStart w:id="60"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0"/>
      <w:bookmarkStart w:id="61"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1"/>
    </w:p>
    <w:p>
      <w:pPr>
        <w:pStyle w:val="4"/>
        <w:rPr>
          <w:rFonts w:ascii="仿宋" w:hAnsi="仿宋" w:eastAsia="仿宋"/>
        </w:rPr>
      </w:pPr>
      <w:bookmarkStart w:id="62"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2"/>
    </w:p>
    <w:p>
      <w:pPr>
        <w:pStyle w:val="4"/>
        <w:rPr>
          <w:rFonts w:ascii="仿宋" w:hAnsi="仿宋" w:eastAsia="仿宋"/>
        </w:rPr>
      </w:pPr>
      <w:bookmarkStart w:id="63"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3"/>
    </w:p>
    <w:p>
      <w:pPr>
        <w:pStyle w:val="4"/>
        <w:rPr>
          <w:rFonts w:ascii="仿宋" w:hAnsi="仿宋" w:eastAsia="仿宋"/>
        </w:rPr>
      </w:pPr>
      <w:bookmarkStart w:id="64"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4"/>
    </w:p>
    <w:p>
      <w:pPr>
        <w:pStyle w:val="4"/>
        <w:rPr>
          <w:rFonts w:ascii="仿宋" w:hAnsi="仿宋" w:eastAsia="仿宋"/>
        </w:rPr>
      </w:pPr>
      <w:bookmarkStart w:id="65" w:name="_Toc15396628"/>
      <w:r>
        <w:rPr>
          <w:rStyle w:val="25"/>
          <w:rFonts w:hint="eastAsia" w:ascii="仿宋" w:hAnsi="仿宋" w:eastAsia="仿宋"/>
          <w:b w:val="0"/>
          <w:bCs w:val="0"/>
        </w:rPr>
        <w:t>十、</w:t>
      </w:r>
      <w:r>
        <w:rPr>
          <w:rFonts w:hint="eastAsia" w:ascii="仿宋" w:hAnsi="仿宋" w:eastAsia="仿宋"/>
          <w:b w:val="0"/>
        </w:rPr>
        <w:t>一</w:t>
      </w:r>
      <w:r>
        <w:rPr>
          <w:rStyle w:val="25"/>
          <w:rFonts w:hint="eastAsia" w:ascii="仿宋" w:hAnsi="仿宋" w:eastAsia="仿宋"/>
          <w:b w:val="0"/>
          <w:bCs w:val="0"/>
        </w:rPr>
        <w:t>般公共预算财政拨款“三公”经费支出决算表</w:t>
      </w:r>
      <w:bookmarkEnd w:id="65"/>
    </w:p>
    <w:p>
      <w:pPr>
        <w:pStyle w:val="4"/>
        <w:rPr>
          <w:rFonts w:ascii="仿宋" w:hAnsi="仿宋" w:eastAsia="仿宋"/>
        </w:rPr>
      </w:pPr>
      <w:bookmarkStart w:id="66" w:name="_Toc15396629"/>
      <w:r>
        <w:rPr>
          <w:rStyle w:val="25"/>
          <w:rFonts w:hint="eastAsia" w:ascii="仿宋" w:hAnsi="仿宋" w:eastAsia="仿宋"/>
          <w:b w:val="0"/>
          <w:bCs w:val="0"/>
        </w:rPr>
        <w:t>十一、</w:t>
      </w:r>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66"/>
    </w:p>
    <w:p>
      <w:pPr>
        <w:pStyle w:val="4"/>
        <w:rPr>
          <w:rFonts w:ascii="仿宋" w:hAnsi="仿宋" w:eastAsia="仿宋"/>
        </w:rPr>
      </w:pPr>
      <w:bookmarkStart w:id="67" w:name="_Toc15396630"/>
      <w:r>
        <w:rPr>
          <w:rStyle w:val="25"/>
          <w:rFonts w:hint="eastAsia" w:ascii="仿宋" w:hAnsi="仿宋" w:eastAsia="仿宋"/>
          <w:b w:val="0"/>
          <w:bCs w:val="0"/>
        </w:rPr>
        <w:t>十二、</w:t>
      </w:r>
      <w:r>
        <w:rPr>
          <w:rFonts w:hint="eastAsia" w:ascii="仿宋" w:hAnsi="仿宋" w:eastAsia="仿宋"/>
          <w:b w:val="0"/>
        </w:rPr>
        <w:t>政</w:t>
      </w:r>
      <w:r>
        <w:rPr>
          <w:rStyle w:val="25"/>
          <w:rFonts w:hint="eastAsia" w:ascii="仿宋" w:hAnsi="仿宋" w:eastAsia="仿宋"/>
          <w:b w:val="0"/>
          <w:bCs w:val="0"/>
        </w:rPr>
        <w:t>府性基金预算财政拨款“三公”经费支出决算表</w:t>
      </w:r>
      <w:bookmarkEnd w:id="67"/>
    </w:p>
    <w:p>
      <w:pPr>
        <w:pStyle w:val="4"/>
        <w:rPr>
          <w:rStyle w:val="25"/>
          <w:rFonts w:ascii="仿宋" w:hAnsi="仿宋" w:eastAsia="仿宋"/>
          <w:b w:val="0"/>
          <w:bCs w:val="0"/>
        </w:rPr>
      </w:pPr>
      <w:bookmarkStart w:id="68" w:name="_Toc15396631"/>
      <w:r>
        <w:rPr>
          <w:rStyle w:val="25"/>
          <w:rFonts w:hint="eastAsia" w:ascii="仿宋" w:hAnsi="仿宋" w:eastAsia="仿宋"/>
          <w:b w:val="0"/>
          <w:bCs w:val="0"/>
        </w:rPr>
        <w:t>十三、</w:t>
      </w:r>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68"/>
    </w:p>
    <w:p>
      <w:pPr>
        <w:rPr>
          <w:rFonts w:eastAsia="仿宋"/>
        </w:rPr>
      </w:pPr>
      <w:r>
        <w:rPr>
          <w:rStyle w:val="25"/>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Georgia">
    <w:panose1 w:val="02040502050405020303"/>
    <w:charset w:val="00"/>
    <w:family w:val="auto"/>
    <w:pitch w:val="default"/>
    <w:sig w:usb0="00000287" w:usb1="00000000" w:usb2="00000000" w:usb3="00000000" w:csb0="2000009F" w:csb1="00000000"/>
  </w:font>
  <w:font w:name="Arial">
    <w:panose1 w:val="020B0604020202020204"/>
    <w:charset w:val="00"/>
    <w:family w:val="auto"/>
    <w:pitch w:val="default"/>
    <w:sig w:usb0="00007A87" w:usb1="80000000" w:usb2="00000008" w:usb3="00000000" w:csb0="400001FF" w:csb1="FFFF0000"/>
  </w:font>
  <w:font w:name="方正宋体S-超大字符集">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8"/>
          <w:jc w:val="center"/>
        </w:pPr>
        <w:r>
          <w:fldChar w:fldCharType="begin"/>
        </w:r>
        <w:r>
          <w:instrText xml:space="preserve">PAGE   \* MERGEFORMAT</w:instrText>
        </w:r>
        <w:r>
          <w:fldChar w:fldCharType="separate"/>
        </w:r>
        <w:r>
          <w:rPr>
            <w:lang w:val="zh-CN"/>
          </w:rPr>
          <w:t>14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F268B37"/>
    <w:multiLevelType w:val="singleLevel"/>
    <w:tmpl w:val="DF268B37"/>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2D9166C"/>
    <w:multiLevelType w:val="multilevel"/>
    <w:tmpl w:val="22D9166C"/>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3356"/>
    <w:rsid w:val="000A6A92"/>
    <w:rsid w:val="000B047F"/>
    <w:rsid w:val="000B5923"/>
    <w:rsid w:val="000B5A48"/>
    <w:rsid w:val="000B6FF3"/>
    <w:rsid w:val="000C3467"/>
    <w:rsid w:val="000C3CA6"/>
    <w:rsid w:val="000C426F"/>
    <w:rsid w:val="000D1267"/>
    <w:rsid w:val="000D1D50"/>
    <w:rsid w:val="000D5782"/>
    <w:rsid w:val="000E6613"/>
    <w:rsid w:val="000E7119"/>
    <w:rsid w:val="00111510"/>
    <w:rsid w:val="00114E9B"/>
    <w:rsid w:val="00140160"/>
    <w:rsid w:val="00142216"/>
    <w:rsid w:val="00144D6A"/>
    <w:rsid w:val="0014729F"/>
    <w:rsid w:val="00157BAB"/>
    <w:rsid w:val="001654D1"/>
    <w:rsid w:val="00174518"/>
    <w:rsid w:val="0018106D"/>
    <w:rsid w:val="001877A7"/>
    <w:rsid w:val="00191536"/>
    <w:rsid w:val="00196687"/>
    <w:rsid w:val="001A42B3"/>
    <w:rsid w:val="001C0962"/>
    <w:rsid w:val="001C5A57"/>
    <w:rsid w:val="001D7531"/>
    <w:rsid w:val="001E737D"/>
    <w:rsid w:val="001F0592"/>
    <w:rsid w:val="001F7506"/>
    <w:rsid w:val="002006CD"/>
    <w:rsid w:val="00202B36"/>
    <w:rsid w:val="00204B7A"/>
    <w:rsid w:val="00204CDE"/>
    <w:rsid w:val="0021101A"/>
    <w:rsid w:val="00220536"/>
    <w:rsid w:val="00235629"/>
    <w:rsid w:val="002450FF"/>
    <w:rsid w:val="00260C38"/>
    <w:rsid w:val="002616C0"/>
    <w:rsid w:val="00265372"/>
    <w:rsid w:val="002662AA"/>
    <w:rsid w:val="00267051"/>
    <w:rsid w:val="00273D63"/>
    <w:rsid w:val="00280496"/>
    <w:rsid w:val="00294DC9"/>
    <w:rsid w:val="00295495"/>
    <w:rsid w:val="00296FB9"/>
    <w:rsid w:val="002A31DE"/>
    <w:rsid w:val="002B2613"/>
    <w:rsid w:val="002C3312"/>
    <w:rsid w:val="002D6D05"/>
    <w:rsid w:val="002F1818"/>
    <w:rsid w:val="002F567B"/>
    <w:rsid w:val="003216A9"/>
    <w:rsid w:val="00330CC4"/>
    <w:rsid w:val="00335A74"/>
    <w:rsid w:val="0036561B"/>
    <w:rsid w:val="0037013F"/>
    <w:rsid w:val="00370627"/>
    <w:rsid w:val="00380C92"/>
    <w:rsid w:val="00386AD8"/>
    <w:rsid w:val="00390C73"/>
    <w:rsid w:val="003A0C73"/>
    <w:rsid w:val="003A484F"/>
    <w:rsid w:val="003A4883"/>
    <w:rsid w:val="003A669D"/>
    <w:rsid w:val="003B0BE0"/>
    <w:rsid w:val="003B0C1B"/>
    <w:rsid w:val="003B22A3"/>
    <w:rsid w:val="003B688C"/>
    <w:rsid w:val="003C0291"/>
    <w:rsid w:val="003C2B29"/>
    <w:rsid w:val="003C39AE"/>
    <w:rsid w:val="003C7B60"/>
    <w:rsid w:val="003D0C0F"/>
    <w:rsid w:val="003D1FB2"/>
    <w:rsid w:val="003D66DA"/>
    <w:rsid w:val="003E1310"/>
    <w:rsid w:val="003E6F55"/>
    <w:rsid w:val="003F7F50"/>
    <w:rsid w:val="00406254"/>
    <w:rsid w:val="0041323B"/>
    <w:rsid w:val="00413BE8"/>
    <w:rsid w:val="004223DE"/>
    <w:rsid w:val="00431AAD"/>
    <w:rsid w:val="00434489"/>
    <w:rsid w:val="00437085"/>
    <w:rsid w:val="00443880"/>
    <w:rsid w:val="004464F4"/>
    <w:rsid w:val="00471401"/>
    <w:rsid w:val="00473F31"/>
    <w:rsid w:val="0048263A"/>
    <w:rsid w:val="00486A1C"/>
    <w:rsid w:val="00487E5D"/>
    <w:rsid w:val="004A711F"/>
    <w:rsid w:val="004B199D"/>
    <w:rsid w:val="004B4690"/>
    <w:rsid w:val="004B4D65"/>
    <w:rsid w:val="004C2566"/>
    <w:rsid w:val="004D03DE"/>
    <w:rsid w:val="004E0A2D"/>
    <w:rsid w:val="004E206B"/>
    <w:rsid w:val="004E6DF7"/>
    <w:rsid w:val="004F0FBD"/>
    <w:rsid w:val="00505A47"/>
    <w:rsid w:val="00512FDA"/>
    <w:rsid w:val="00516F51"/>
    <w:rsid w:val="00520DA0"/>
    <w:rsid w:val="00530454"/>
    <w:rsid w:val="0056148B"/>
    <w:rsid w:val="005664BB"/>
    <w:rsid w:val="00566FFA"/>
    <w:rsid w:val="0057481D"/>
    <w:rsid w:val="00580BA9"/>
    <w:rsid w:val="0058486E"/>
    <w:rsid w:val="00585B33"/>
    <w:rsid w:val="0059014D"/>
    <w:rsid w:val="005B3DB5"/>
    <w:rsid w:val="005B5C64"/>
    <w:rsid w:val="005C5337"/>
    <w:rsid w:val="005C6BD0"/>
    <w:rsid w:val="005D1C8B"/>
    <w:rsid w:val="005D468D"/>
    <w:rsid w:val="005D5CED"/>
    <w:rsid w:val="005F1A4C"/>
    <w:rsid w:val="005F3D26"/>
    <w:rsid w:val="005F6CA4"/>
    <w:rsid w:val="00605688"/>
    <w:rsid w:val="006070AF"/>
    <w:rsid w:val="006072EB"/>
    <w:rsid w:val="00607E6C"/>
    <w:rsid w:val="006101B1"/>
    <w:rsid w:val="00614E44"/>
    <w:rsid w:val="0062270A"/>
    <w:rsid w:val="00622830"/>
    <w:rsid w:val="00623DA0"/>
    <w:rsid w:val="00630AEF"/>
    <w:rsid w:val="006325F8"/>
    <w:rsid w:val="00633463"/>
    <w:rsid w:val="00634C9A"/>
    <w:rsid w:val="006413BD"/>
    <w:rsid w:val="006440E4"/>
    <w:rsid w:val="0066343B"/>
    <w:rsid w:val="00664777"/>
    <w:rsid w:val="006748A4"/>
    <w:rsid w:val="00681A31"/>
    <w:rsid w:val="00683BEB"/>
    <w:rsid w:val="00683C40"/>
    <w:rsid w:val="00683E73"/>
    <w:rsid w:val="006A3141"/>
    <w:rsid w:val="006A5E34"/>
    <w:rsid w:val="006B2422"/>
    <w:rsid w:val="006B2B9A"/>
    <w:rsid w:val="006C061C"/>
    <w:rsid w:val="006C1937"/>
    <w:rsid w:val="006F020C"/>
    <w:rsid w:val="006F5EC2"/>
    <w:rsid w:val="00701FCF"/>
    <w:rsid w:val="007022B2"/>
    <w:rsid w:val="007127B7"/>
    <w:rsid w:val="0071798E"/>
    <w:rsid w:val="0073121C"/>
    <w:rsid w:val="00734340"/>
    <w:rsid w:val="007416B6"/>
    <w:rsid w:val="00746F48"/>
    <w:rsid w:val="0075404D"/>
    <w:rsid w:val="00755B64"/>
    <w:rsid w:val="0076182A"/>
    <w:rsid w:val="007642DA"/>
    <w:rsid w:val="00767B7E"/>
    <w:rsid w:val="00771766"/>
    <w:rsid w:val="007770C3"/>
    <w:rsid w:val="00784D24"/>
    <w:rsid w:val="00785FBA"/>
    <w:rsid w:val="00786E4A"/>
    <w:rsid w:val="007875EB"/>
    <w:rsid w:val="0079426B"/>
    <w:rsid w:val="007D1682"/>
    <w:rsid w:val="007D312A"/>
    <w:rsid w:val="007D3F19"/>
    <w:rsid w:val="007D72B0"/>
    <w:rsid w:val="007E23B0"/>
    <w:rsid w:val="007E23E5"/>
    <w:rsid w:val="007F1991"/>
    <w:rsid w:val="007F2C2F"/>
    <w:rsid w:val="007F55FC"/>
    <w:rsid w:val="007F5665"/>
    <w:rsid w:val="00800112"/>
    <w:rsid w:val="00800668"/>
    <w:rsid w:val="00813348"/>
    <w:rsid w:val="008253BB"/>
    <w:rsid w:val="00826684"/>
    <w:rsid w:val="0083706E"/>
    <w:rsid w:val="008408F6"/>
    <w:rsid w:val="008423A5"/>
    <w:rsid w:val="00850625"/>
    <w:rsid w:val="00853718"/>
    <w:rsid w:val="00855221"/>
    <w:rsid w:val="00860645"/>
    <w:rsid w:val="00871F71"/>
    <w:rsid w:val="00872CE3"/>
    <w:rsid w:val="00872FD8"/>
    <w:rsid w:val="00881C37"/>
    <w:rsid w:val="00885AF4"/>
    <w:rsid w:val="008939CD"/>
    <w:rsid w:val="008B768C"/>
    <w:rsid w:val="008C1ACD"/>
    <w:rsid w:val="008C4DB1"/>
    <w:rsid w:val="008C4EAF"/>
    <w:rsid w:val="008C5176"/>
    <w:rsid w:val="008C7FD0"/>
    <w:rsid w:val="008E1DE7"/>
    <w:rsid w:val="008E707C"/>
    <w:rsid w:val="008F1E25"/>
    <w:rsid w:val="00900B08"/>
    <w:rsid w:val="00902155"/>
    <w:rsid w:val="00902FA3"/>
    <w:rsid w:val="0091060A"/>
    <w:rsid w:val="00912EE8"/>
    <w:rsid w:val="0091364F"/>
    <w:rsid w:val="00923564"/>
    <w:rsid w:val="0092392E"/>
    <w:rsid w:val="009315F9"/>
    <w:rsid w:val="00931E2C"/>
    <w:rsid w:val="00933499"/>
    <w:rsid w:val="00935C98"/>
    <w:rsid w:val="00946910"/>
    <w:rsid w:val="00946945"/>
    <w:rsid w:val="00951248"/>
    <w:rsid w:val="0095152F"/>
    <w:rsid w:val="00954C49"/>
    <w:rsid w:val="00955E37"/>
    <w:rsid w:val="009617BB"/>
    <w:rsid w:val="0097099F"/>
    <w:rsid w:val="00971997"/>
    <w:rsid w:val="00971FFC"/>
    <w:rsid w:val="0098660A"/>
    <w:rsid w:val="00987DC4"/>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3DF"/>
    <w:rsid w:val="00A16847"/>
    <w:rsid w:val="00A237D8"/>
    <w:rsid w:val="00A25716"/>
    <w:rsid w:val="00A268C4"/>
    <w:rsid w:val="00A27CDF"/>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1A73"/>
    <w:rsid w:val="00AC3C6A"/>
    <w:rsid w:val="00AD5620"/>
    <w:rsid w:val="00AD656B"/>
    <w:rsid w:val="00AD7C1B"/>
    <w:rsid w:val="00AE16BA"/>
    <w:rsid w:val="00AE1EBE"/>
    <w:rsid w:val="00B03C9D"/>
    <w:rsid w:val="00B060AE"/>
    <w:rsid w:val="00B10517"/>
    <w:rsid w:val="00B14E76"/>
    <w:rsid w:val="00B161B8"/>
    <w:rsid w:val="00B2048C"/>
    <w:rsid w:val="00B310B9"/>
    <w:rsid w:val="00B356F9"/>
    <w:rsid w:val="00B35F3F"/>
    <w:rsid w:val="00B36CBB"/>
    <w:rsid w:val="00B425E0"/>
    <w:rsid w:val="00B440AA"/>
    <w:rsid w:val="00B44B70"/>
    <w:rsid w:val="00B53C56"/>
    <w:rsid w:val="00B57DAF"/>
    <w:rsid w:val="00B76B86"/>
    <w:rsid w:val="00B77EA6"/>
    <w:rsid w:val="00B81598"/>
    <w:rsid w:val="00B841F1"/>
    <w:rsid w:val="00B944D6"/>
    <w:rsid w:val="00BA3CFD"/>
    <w:rsid w:val="00BB4DF0"/>
    <w:rsid w:val="00BC289F"/>
    <w:rsid w:val="00BC2D50"/>
    <w:rsid w:val="00BC5361"/>
    <w:rsid w:val="00BC5460"/>
    <w:rsid w:val="00BC6B50"/>
    <w:rsid w:val="00BD0E25"/>
    <w:rsid w:val="00BD1CA5"/>
    <w:rsid w:val="00BD5E72"/>
    <w:rsid w:val="00BE4705"/>
    <w:rsid w:val="00BF5BD6"/>
    <w:rsid w:val="00C03E31"/>
    <w:rsid w:val="00C169F0"/>
    <w:rsid w:val="00C33E72"/>
    <w:rsid w:val="00C354B2"/>
    <w:rsid w:val="00C35554"/>
    <w:rsid w:val="00C42709"/>
    <w:rsid w:val="00C533CC"/>
    <w:rsid w:val="00C5751C"/>
    <w:rsid w:val="00C61BFC"/>
    <w:rsid w:val="00C62B85"/>
    <w:rsid w:val="00C65438"/>
    <w:rsid w:val="00C87FD8"/>
    <w:rsid w:val="00C91381"/>
    <w:rsid w:val="00C91CBB"/>
    <w:rsid w:val="00C97559"/>
    <w:rsid w:val="00CB4E70"/>
    <w:rsid w:val="00CC09B6"/>
    <w:rsid w:val="00CC666F"/>
    <w:rsid w:val="00CD1E3F"/>
    <w:rsid w:val="00CD3EFC"/>
    <w:rsid w:val="00CE44F6"/>
    <w:rsid w:val="00CE49DA"/>
    <w:rsid w:val="00CE7B61"/>
    <w:rsid w:val="00CF24FE"/>
    <w:rsid w:val="00D00095"/>
    <w:rsid w:val="00D114F0"/>
    <w:rsid w:val="00D20620"/>
    <w:rsid w:val="00D254F7"/>
    <w:rsid w:val="00D26091"/>
    <w:rsid w:val="00D2685C"/>
    <w:rsid w:val="00D34E7C"/>
    <w:rsid w:val="00D34EF5"/>
    <w:rsid w:val="00D35489"/>
    <w:rsid w:val="00D36AFE"/>
    <w:rsid w:val="00D36C05"/>
    <w:rsid w:val="00D5021C"/>
    <w:rsid w:val="00D51276"/>
    <w:rsid w:val="00D7035F"/>
    <w:rsid w:val="00DA634F"/>
    <w:rsid w:val="00DA65AC"/>
    <w:rsid w:val="00DB1913"/>
    <w:rsid w:val="00DC2080"/>
    <w:rsid w:val="00DC410D"/>
    <w:rsid w:val="00DC5A81"/>
    <w:rsid w:val="00DC68CA"/>
    <w:rsid w:val="00DC7CBA"/>
    <w:rsid w:val="00DD73B7"/>
    <w:rsid w:val="00DE0262"/>
    <w:rsid w:val="00DF28BC"/>
    <w:rsid w:val="00DF34B9"/>
    <w:rsid w:val="00E01053"/>
    <w:rsid w:val="00E07ACF"/>
    <w:rsid w:val="00E12DB7"/>
    <w:rsid w:val="00E20BF0"/>
    <w:rsid w:val="00E331A1"/>
    <w:rsid w:val="00E33202"/>
    <w:rsid w:val="00E336A9"/>
    <w:rsid w:val="00E472B1"/>
    <w:rsid w:val="00E50624"/>
    <w:rsid w:val="00E568DF"/>
    <w:rsid w:val="00E64269"/>
    <w:rsid w:val="00E73EB5"/>
    <w:rsid w:val="00E82267"/>
    <w:rsid w:val="00E853CE"/>
    <w:rsid w:val="00E867B6"/>
    <w:rsid w:val="00E875F9"/>
    <w:rsid w:val="00EA010F"/>
    <w:rsid w:val="00ED1B63"/>
    <w:rsid w:val="00ED3C1F"/>
    <w:rsid w:val="00ED4085"/>
    <w:rsid w:val="00ED420E"/>
    <w:rsid w:val="00ED6FBE"/>
    <w:rsid w:val="00EE2F57"/>
    <w:rsid w:val="00EF4C34"/>
    <w:rsid w:val="00EF77C6"/>
    <w:rsid w:val="00F05438"/>
    <w:rsid w:val="00F12E64"/>
    <w:rsid w:val="00F1361C"/>
    <w:rsid w:val="00F156F0"/>
    <w:rsid w:val="00F160C7"/>
    <w:rsid w:val="00F2408F"/>
    <w:rsid w:val="00F240E9"/>
    <w:rsid w:val="00F36D8F"/>
    <w:rsid w:val="00F417B1"/>
    <w:rsid w:val="00F45853"/>
    <w:rsid w:val="00F602DF"/>
    <w:rsid w:val="00F7352D"/>
    <w:rsid w:val="00F754A1"/>
    <w:rsid w:val="00F81FD9"/>
    <w:rsid w:val="00F841AA"/>
    <w:rsid w:val="00F84A94"/>
    <w:rsid w:val="00F87E96"/>
    <w:rsid w:val="00F969DD"/>
    <w:rsid w:val="00FA23E8"/>
    <w:rsid w:val="00FC459D"/>
    <w:rsid w:val="00FC6751"/>
    <w:rsid w:val="00FD3CC1"/>
    <w:rsid w:val="00FD73C1"/>
    <w:rsid w:val="00FE2CBA"/>
    <w:rsid w:val="00FF1E02"/>
    <w:rsid w:val="00FF30B4"/>
    <w:rsid w:val="0A2032A3"/>
    <w:rsid w:val="0B8A37D8"/>
    <w:rsid w:val="10C055FF"/>
    <w:rsid w:val="118107EC"/>
    <w:rsid w:val="11DD6519"/>
    <w:rsid w:val="16BB723D"/>
    <w:rsid w:val="18015F3F"/>
    <w:rsid w:val="1BE8440E"/>
    <w:rsid w:val="1D155CEE"/>
    <w:rsid w:val="20F57F95"/>
    <w:rsid w:val="240371BF"/>
    <w:rsid w:val="25C741E6"/>
    <w:rsid w:val="27842671"/>
    <w:rsid w:val="29FD04D3"/>
    <w:rsid w:val="2ABE7A3E"/>
    <w:rsid w:val="2EFA178C"/>
    <w:rsid w:val="30B46D73"/>
    <w:rsid w:val="319F7F4E"/>
    <w:rsid w:val="39AE70AB"/>
    <w:rsid w:val="3C0C0783"/>
    <w:rsid w:val="3F795B0E"/>
    <w:rsid w:val="3F9F3A96"/>
    <w:rsid w:val="40350D30"/>
    <w:rsid w:val="493C27E9"/>
    <w:rsid w:val="496F39ED"/>
    <w:rsid w:val="49FF41D3"/>
    <w:rsid w:val="4A185DC8"/>
    <w:rsid w:val="4BE068DB"/>
    <w:rsid w:val="4BF6002B"/>
    <w:rsid w:val="4ECE2238"/>
    <w:rsid w:val="51DB4B86"/>
    <w:rsid w:val="55333C3E"/>
    <w:rsid w:val="64CA39A1"/>
    <w:rsid w:val="6C4A05C8"/>
    <w:rsid w:val="72734D90"/>
    <w:rsid w:val="76EB9CBC"/>
    <w:rsid w:val="79E7B28D"/>
    <w:rsid w:val="7C775BAB"/>
    <w:rsid w:val="7F9F20EE"/>
    <w:rsid w:val="9E3A10E2"/>
    <w:rsid w:val="F2E1F9D4"/>
    <w:rsid w:val="F7880819"/>
    <w:rsid w:val="FFBFDBB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Sheet4!$A$2</c:f>
              <c:strCache>
                <c:ptCount val="1"/>
                <c:pt idx="0">
                  <c:v>2020年</c:v>
                </c:pt>
              </c:strCache>
            </c:strRef>
          </c:tx>
          <c:invertIfNegative val="false"/>
          <c:dLbls>
            <c:delete val="true"/>
          </c:dLbls>
          <c:cat>
            <c:strRef>
              <c:f>Sheet4!$B$1:$C$1</c:f>
              <c:strCache>
                <c:ptCount val="2"/>
                <c:pt idx="0">
                  <c:v>收入（万元）</c:v>
                </c:pt>
                <c:pt idx="1">
                  <c:v>支出（万元）</c:v>
                </c:pt>
              </c:strCache>
            </c:strRef>
          </c:cat>
          <c:val>
            <c:numRef>
              <c:f>Sheet4!$B$2:$C$2</c:f>
              <c:numCache>
                <c:formatCode>General</c:formatCode>
                <c:ptCount val="2"/>
                <c:pt idx="0">
                  <c:v>1001.49</c:v>
                </c:pt>
                <c:pt idx="1">
                  <c:v>1001.49</c:v>
                </c:pt>
              </c:numCache>
            </c:numRef>
          </c:val>
        </c:ser>
        <c:ser>
          <c:idx val="1"/>
          <c:order val="1"/>
          <c:tx>
            <c:strRef>
              <c:f>Sheet4!$A$3</c:f>
              <c:strCache>
                <c:ptCount val="1"/>
                <c:pt idx="0">
                  <c:v>2021年</c:v>
                </c:pt>
              </c:strCache>
            </c:strRef>
          </c:tx>
          <c:invertIfNegative val="false"/>
          <c:dLbls>
            <c:delete val="true"/>
          </c:dLbls>
          <c:cat>
            <c:strRef>
              <c:f>Sheet4!$B$1:$C$1</c:f>
              <c:strCache>
                <c:ptCount val="2"/>
                <c:pt idx="0">
                  <c:v>收入（万元）</c:v>
                </c:pt>
                <c:pt idx="1">
                  <c:v>支出（万元）</c:v>
                </c:pt>
              </c:strCache>
            </c:strRef>
          </c:cat>
          <c:val>
            <c:numRef>
              <c:f>Sheet4!$B$3:$C$3</c:f>
              <c:numCache>
                <c:formatCode>General</c:formatCode>
                <c:ptCount val="2"/>
                <c:pt idx="0">
                  <c:v>1005.22</c:v>
                </c:pt>
                <c:pt idx="1">
                  <c:v>1005.22</c:v>
                </c:pt>
              </c:numCache>
            </c:numRef>
          </c:val>
        </c:ser>
        <c:dLbls>
          <c:showLegendKey val="false"/>
          <c:showVal val="false"/>
          <c:showCatName val="false"/>
          <c:showSerName val="false"/>
          <c:showPercent val="false"/>
          <c:showBubbleSize val="false"/>
        </c:dLbls>
        <c:gapWidth val="150"/>
        <c:axId val="70949504"/>
        <c:axId val="71049600"/>
      </c:barChart>
      <c:catAx>
        <c:axId val="70949504"/>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71049600"/>
        <c:crosses val="autoZero"/>
        <c:auto val="true"/>
        <c:lblAlgn val="ctr"/>
        <c:lblOffset val="100"/>
        <c:noMultiLvlLbl val="false"/>
      </c:catAx>
      <c:valAx>
        <c:axId val="71049600"/>
        <c:scaling>
          <c:orientation val="minMax"/>
        </c:scaling>
        <c:delete val="false"/>
        <c:axPos val="l"/>
        <c:majorGridlines/>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70949504"/>
        <c:crosses val="autoZero"/>
        <c:crossBetween val="between"/>
      </c:valAx>
      <c:dTable>
        <c:showHorzBorder val="true"/>
        <c:showVertBorder val="true"/>
        <c:showOutline val="true"/>
        <c:showKeys val="tru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dTable>
    </c:plotArea>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Sheet5!$A$2</c:f>
              <c:strCache>
                <c:ptCount val="1"/>
                <c:pt idx="0">
                  <c:v>2021年</c:v>
                </c:pt>
              </c:strCache>
            </c:strRef>
          </c:tx>
          <c:explosion val="0"/>
          <c:dPt>
            <c:idx val="0"/>
            <c:bubble3D val="false"/>
          </c:dPt>
          <c:dLbls>
            <c:delete val="true"/>
          </c:dLbls>
          <c:cat>
            <c:strRef>
              <c:f>Sheet5!$B$1</c:f>
              <c:strCache>
                <c:ptCount val="1"/>
                <c:pt idx="0">
                  <c:v>一般公共预算财政拨款收入</c:v>
                </c:pt>
              </c:strCache>
            </c:strRef>
          </c:cat>
          <c:val>
            <c:numRef>
              <c:f>Sheet5!$B$2</c:f>
              <c:numCache>
                <c:formatCode>0%</c:formatCode>
                <c:ptCount val="1"/>
                <c:pt idx="0">
                  <c:v>1</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Sheet2!$A$2</c:f>
              <c:strCache>
                <c:ptCount val="1"/>
                <c:pt idx="0">
                  <c:v>2021年</c:v>
                </c:pt>
              </c:strCache>
            </c:strRef>
          </c:tx>
          <c:explosion val="0"/>
          <c:dPt>
            <c:idx val="0"/>
            <c:bubble3D val="false"/>
          </c:dPt>
          <c:dLbls>
            <c:delete val="true"/>
          </c:dLbls>
          <c:cat>
            <c:strRef>
              <c:f>Sheet2!$B$1</c:f>
              <c:strCache>
                <c:ptCount val="1"/>
                <c:pt idx="0">
                  <c:v>基本支出</c:v>
                </c:pt>
              </c:strCache>
            </c:strRef>
          </c:cat>
          <c:val>
            <c:numRef>
              <c:f>Sheet2!$B$2</c:f>
              <c:numCache>
                <c:formatCode>0%</c:formatCode>
                <c:ptCount val="1"/>
                <c:pt idx="0">
                  <c:v>1</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Sheet4!$A$2</c:f>
              <c:strCache>
                <c:ptCount val="1"/>
                <c:pt idx="0">
                  <c:v>2020年</c:v>
                </c:pt>
              </c:strCache>
            </c:strRef>
          </c:tx>
          <c:invertIfNegative val="false"/>
          <c:dLbls>
            <c:delete val="true"/>
          </c:dLbls>
          <c:cat>
            <c:strRef>
              <c:f>Sheet4!$B$1:$C$1</c:f>
              <c:strCache>
                <c:ptCount val="2"/>
                <c:pt idx="0">
                  <c:v>收入（万元）</c:v>
                </c:pt>
                <c:pt idx="1">
                  <c:v>支出（万元）</c:v>
                </c:pt>
              </c:strCache>
            </c:strRef>
          </c:cat>
          <c:val>
            <c:numRef>
              <c:f>Sheet4!$B$2:$C$2</c:f>
              <c:numCache>
                <c:formatCode>General</c:formatCode>
                <c:ptCount val="2"/>
                <c:pt idx="0">
                  <c:v>1001.49</c:v>
                </c:pt>
                <c:pt idx="1">
                  <c:v>1001.49</c:v>
                </c:pt>
              </c:numCache>
            </c:numRef>
          </c:val>
        </c:ser>
        <c:ser>
          <c:idx val="1"/>
          <c:order val="1"/>
          <c:tx>
            <c:strRef>
              <c:f>Sheet4!$A$3</c:f>
              <c:strCache>
                <c:ptCount val="1"/>
                <c:pt idx="0">
                  <c:v>2021年</c:v>
                </c:pt>
              </c:strCache>
            </c:strRef>
          </c:tx>
          <c:invertIfNegative val="false"/>
          <c:dLbls>
            <c:delete val="true"/>
          </c:dLbls>
          <c:cat>
            <c:strRef>
              <c:f>Sheet4!$B$1:$C$1</c:f>
              <c:strCache>
                <c:ptCount val="2"/>
                <c:pt idx="0">
                  <c:v>收入（万元）</c:v>
                </c:pt>
                <c:pt idx="1">
                  <c:v>支出（万元）</c:v>
                </c:pt>
              </c:strCache>
            </c:strRef>
          </c:cat>
          <c:val>
            <c:numRef>
              <c:f>Sheet4!$B$3:$C$3</c:f>
              <c:numCache>
                <c:formatCode>General</c:formatCode>
                <c:ptCount val="2"/>
                <c:pt idx="0">
                  <c:v>1005.22</c:v>
                </c:pt>
                <c:pt idx="1">
                  <c:v>1005.22</c:v>
                </c:pt>
              </c:numCache>
            </c:numRef>
          </c:val>
        </c:ser>
        <c:dLbls>
          <c:showLegendKey val="false"/>
          <c:showVal val="false"/>
          <c:showCatName val="false"/>
          <c:showSerName val="false"/>
          <c:showPercent val="false"/>
          <c:showBubbleSize val="false"/>
        </c:dLbls>
        <c:gapWidth val="150"/>
        <c:axId val="137825664"/>
        <c:axId val="137827456"/>
      </c:barChart>
      <c:catAx>
        <c:axId val="137825664"/>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7827456"/>
        <c:crosses val="autoZero"/>
        <c:auto val="true"/>
        <c:lblAlgn val="ctr"/>
        <c:lblOffset val="100"/>
        <c:noMultiLvlLbl val="false"/>
      </c:catAx>
      <c:valAx>
        <c:axId val="137827456"/>
        <c:scaling>
          <c:orientation val="minMax"/>
        </c:scaling>
        <c:delete val="false"/>
        <c:axPos val="l"/>
        <c:majorGridlines/>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7825664"/>
        <c:crosses val="autoZero"/>
        <c:crossBetween val="between"/>
      </c:valAx>
      <c:dTable>
        <c:showHorzBorder val="true"/>
        <c:showVertBorder val="true"/>
        <c:showOutline val="true"/>
        <c:showKeys val="tru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dTable>
    </c:plotArea>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stacked"/>
        <c:varyColors val="false"/>
        <c:ser>
          <c:idx val="0"/>
          <c:order val="0"/>
          <c:tx>
            <c:strRef>
              <c:f>Sheet1!$B$1</c:f>
              <c:strCache>
                <c:ptCount val="1"/>
                <c:pt idx="0">
                  <c:v>一般公共预算财政拨款支出决算</c:v>
                </c:pt>
              </c:strCache>
            </c:strRef>
          </c:tx>
          <c:invertIfNegative val="false"/>
          <c:dLbls>
            <c:delete val="true"/>
          </c:dLbls>
          <c:cat>
            <c:strRef>
              <c:f>Sheet1!$A$2:$A$3</c:f>
              <c:strCache>
                <c:ptCount val="2"/>
                <c:pt idx="0">
                  <c:v>2020年（万元）</c:v>
                </c:pt>
                <c:pt idx="1">
                  <c:v>2021年（万元）</c:v>
                </c:pt>
              </c:strCache>
            </c:strRef>
          </c:cat>
          <c:val>
            <c:numRef>
              <c:f>Sheet1!$B$2:$B$3</c:f>
              <c:numCache>
                <c:formatCode>General</c:formatCode>
                <c:ptCount val="2"/>
                <c:pt idx="0">
                  <c:v>1001.49</c:v>
                </c:pt>
                <c:pt idx="1">
                  <c:v>1005.22</c:v>
                </c:pt>
              </c:numCache>
            </c:numRef>
          </c:val>
        </c:ser>
        <c:dLbls>
          <c:showLegendKey val="false"/>
          <c:showVal val="false"/>
          <c:showCatName val="false"/>
          <c:showSerName val="false"/>
          <c:showPercent val="false"/>
          <c:showBubbleSize val="false"/>
        </c:dLbls>
        <c:gapWidth val="150"/>
        <c:overlap val="100"/>
        <c:axId val="137844224"/>
        <c:axId val="137845760"/>
      </c:barChart>
      <c:catAx>
        <c:axId val="13784422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7845760"/>
        <c:crosses val="autoZero"/>
        <c:auto val="true"/>
        <c:lblAlgn val="ctr"/>
        <c:lblOffset val="100"/>
        <c:noMultiLvlLbl val="false"/>
      </c:catAx>
      <c:valAx>
        <c:axId val="13784576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784422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sz="1400"/>
              <a:t>一般公共预算财政拨款支出决算（万元）</a:t>
            </a:r>
            <a:endParaRPr lang="zh-CN" altLang="en-US" sz="1400"/>
          </a:p>
        </c:rich>
      </c:tx>
      <c:layout/>
      <c:overlay val="false"/>
    </c:title>
    <c:autoTitleDeleted val="false"/>
    <c:plotArea>
      <c:layout/>
      <c:pieChart>
        <c:varyColors val="true"/>
        <c:ser>
          <c:idx val="0"/>
          <c:order val="0"/>
          <c:tx>
            <c:strRef>
              <c:f>Sheet1!$B$1</c:f>
              <c:strCache>
                <c:ptCount val="1"/>
                <c:pt idx="0">
                  <c:v>一般公共预算财政拨款支出决算（万元）</c:v>
                </c:pt>
              </c:strCache>
            </c:strRef>
          </c:tx>
          <c:explosion val="0"/>
          <c:dPt>
            <c:idx val="0"/>
            <c:bubble3D val="false"/>
          </c:dPt>
          <c:dPt>
            <c:idx val="1"/>
            <c:bubble3D val="false"/>
          </c:dPt>
          <c:dPt>
            <c:idx val="2"/>
            <c:bubble3D val="false"/>
          </c:dPt>
          <c:dPt>
            <c:idx val="3"/>
            <c:bubble3D val="false"/>
          </c:dPt>
          <c:dLbls>
            <c:delete val="true"/>
          </c:dLbls>
          <c:cat>
            <c:strRef>
              <c:f>Sheet1!$A$2:$A$5</c:f>
              <c:strCache>
                <c:ptCount val="4"/>
                <c:pt idx="0">
                  <c:v>教育支出（类）占88.22%</c:v>
                </c:pt>
                <c:pt idx="1">
                  <c:v>社会保障和就业（类）占5.68%</c:v>
                </c:pt>
                <c:pt idx="2">
                  <c:v>卫生健康支出占2.17%</c:v>
                </c:pt>
                <c:pt idx="3">
                  <c:v>住房保障占3.93%</c:v>
                </c:pt>
              </c:strCache>
            </c:strRef>
          </c:cat>
          <c:val>
            <c:numRef>
              <c:f>Sheet1!$B$2:$B$5</c:f>
              <c:numCache>
                <c:formatCode>General</c:formatCode>
                <c:ptCount val="4"/>
                <c:pt idx="0">
                  <c:v>886.73</c:v>
                </c:pt>
                <c:pt idx="1">
                  <c:v>57.11</c:v>
                </c:pt>
                <c:pt idx="2">
                  <c:v>21.77</c:v>
                </c:pt>
                <c:pt idx="3">
                  <c:v>39.61</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14</Pages>
  <Words>691</Words>
  <Characters>3940</Characters>
  <Lines>32</Lines>
  <Paragraphs>9</Paragraphs>
  <TotalTime>1</TotalTime>
  <ScaleCrop>false</ScaleCrop>
  <LinksUpToDate>false</LinksUpToDate>
  <CharactersWithSpaces>4622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2022-08-06T18:23:00Z</cp:lastPrinted>
  <dcterms:modified xsi:type="dcterms:W3CDTF">2023-09-25T15:33:26Z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