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96597"/>
      <w:bookmarkStart w:id="4" w:name="_Toc16677"/>
      <w:bookmarkStart w:id="5" w:name="_Toc15378441"/>
      <w:bookmarkStart w:id="6"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25055"/>
      <w:bookmarkStart w:id="8" w:name="_Toc15377426"/>
      <w:bookmarkStart w:id="9" w:name="_Toc15396598"/>
      <w:bookmarkStart w:id="10" w:name="_Toc15396476"/>
      <w:bookmarkStart w:id="11" w:name="_Toc15377194"/>
      <w:bookmarkStart w:id="12" w:name="_Toc15378442"/>
      <w:r>
        <w:rPr>
          <w:rFonts w:hint="eastAsia" w:ascii="方正小标宋简体" w:hAnsi="方正小标宋简体" w:eastAsia="方正小标宋简体" w:cs="方正小标宋简体"/>
          <w:sz w:val="72"/>
          <w:szCs w:val="72"/>
        </w:rPr>
        <w:t>广元市</w:t>
      </w:r>
      <w:bookmarkEnd w:id="0"/>
      <w:bookmarkStart w:id="13" w:name="_Toc15306268"/>
      <w:r>
        <w:rPr>
          <w:rFonts w:hint="eastAsia" w:ascii="方正小标宋简体" w:hAnsi="方正小标宋简体" w:eastAsia="方正小标宋简体" w:cs="方正小标宋简体"/>
          <w:sz w:val="72"/>
          <w:szCs w:val="72"/>
          <w:lang w:eastAsia="zh-CN"/>
        </w:rPr>
        <w:t>粮油质量监测站</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23333"/>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44"/>
          <w:szCs w:val="44"/>
        </w:rPr>
      </w:pPr>
      <w:r>
        <w:rPr>
          <w:rFonts w:ascii="方正小标宋简体" w:hAnsi="宋体" w:eastAsia="方正小标宋简体"/>
          <w:sz w:val="36"/>
          <w:szCs w:val="36"/>
        </w:rPr>
        <w:br w:type="page"/>
      </w:r>
      <w:bookmarkStart w:id="15" w:name="_Toc162"/>
      <w:r>
        <w:rPr>
          <w:rFonts w:hint="eastAsia" w:ascii="方正小标宋简体" w:hAnsi="黑体" w:eastAsia="方正小标宋简体"/>
          <w:color w:val="000000"/>
          <w:sz w:val="44"/>
          <w:szCs w:val="44"/>
        </w:rPr>
        <w:t>目      录</w:t>
      </w:r>
      <w:bookmarkEnd w:id="15"/>
    </w:p>
    <w:p>
      <w:pPr>
        <w:jc w:val="center"/>
        <w:rPr>
          <w:rFonts w:hint="eastAsia"/>
        </w:rPr>
      </w:pPr>
    </w:p>
    <w:p>
      <w:pPr>
        <w:pStyle w:val="2"/>
        <w:jc w:val="center"/>
      </w:pPr>
      <w:r>
        <w:rPr>
          <w:rFonts w:hint="eastAsia"/>
          <w:lang w:val="en-US" w:eastAsia="zh-CN"/>
        </w:rPr>
        <w:t>(公开时间：2022年9月21日）</w:t>
      </w:r>
    </w:p>
    <w:sdt>
      <w:sdtPr>
        <w:rPr>
          <w:rFonts w:ascii="宋体" w:hAnsi="宋体" w:eastAsia="宋体" w:cs="Times New Roman"/>
          <w:kern w:val="2"/>
          <w:sz w:val="21"/>
          <w:szCs w:val="24"/>
          <w:lang w:val="en-US" w:eastAsia="zh-CN" w:bidi="ar-SA"/>
        </w:rPr>
        <w:id w:val="147476181"/>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pStyle w:val="3"/>
            <w:bidi w:val="0"/>
          </w:pPr>
          <w:r>
            <w:rPr>
              <w:rFonts w:hint="eastAsia"/>
            </w:rPr>
            <w:fldChar w:fldCharType="begin"/>
          </w:r>
          <w:r>
            <w:rPr>
              <w:rFonts w:hint="eastAsia"/>
            </w:rPr>
            <w:instrText xml:space="preserve">TOC \o "1-3" \h \u </w:instrText>
          </w:r>
          <w:r>
            <w:rPr>
              <w:rFonts w:hint="eastAsia"/>
            </w:rPr>
            <w:fldChar w:fldCharType="separate"/>
          </w:r>
        </w:p>
        <w:p>
          <w:pPr>
            <w:pStyle w:val="16"/>
            <w:tabs>
              <w:tab w:val="right" w:leader="dot" w:pos="8306"/>
              <w:tab w:val="clear" w:pos="8296"/>
            </w:tabs>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_Toc12588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第一部分 单位概况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_Toc12588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_Toc32194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一、职能简介</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_Toc32194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_Toc31185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二、</w:t>
          </w:r>
          <w:r>
            <w:rPr>
              <w:rFonts w:hint="eastAsia" w:ascii="仿宋_GB2312" w:eastAsia="仿宋_GB2312" w:cs="Times New Roman"/>
              <w:kern w:val="2"/>
              <w:sz w:val="32"/>
              <w:szCs w:val="32"/>
              <w:lang w:val="en-US" w:eastAsia="zh-CN" w:bidi="ar-SA"/>
            </w:rPr>
            <w:t>机构设置</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_Toc31185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_Toc31185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eastAsia="仿宋_GB2312" w:cs="Times New Roman"/>
              <w:kern w:val="2"/>
              <w:sz w:val="32"/>
              <w:szCs w:val="32"/>
              <w:lang w:val="en-US" w:eastAsia="zh-CN" w:bidi="ar-SA"/>
            </w:rPr>
            <w:t>三</w:t>
          </w:r>
          <w:r>
            <w:rPr>
              <w:rFonts w:hint="eastAsia" w:ascii="仿宋_GB2312" w:hAnsi="Times New Roman" w:eastAsia="仿宋_GB2312" w:cs="Times New Roman"/>
              <w:kern w:val="2"/>
              <w:sz w:val="32"/>
              <w:szCs w:val="32"/>
              <w:lang w:val="en-US" w:eastAsia="zh-CN" w:bidi="ar-SA"/>
            </w:rPr>
            <w:t>、2021年重点工作完成情况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_Toc31185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6"/>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_Toc10971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第二部分 2021年度单位决算情况说明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_Toc10971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_Toc2055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一、 </w:t>
          </w:r>
          <w:r>
            <w:rPr>
              <w:rFonts w:hint="eastAsia" w:ascii="仿宋_GB2312" w:hAnsi="Times New Roman" w:eastAsia="仿宋_GB2312" w:cs="Times New Roman"/>
              <w:kern w:val="2"/>
              <w:sz w:val="32"/>
              <w:szCs w:val="32"/>
              <w:lang w:val="en-US" w:eastAsia="zh-CN" w:bidi="ar-SA"/>
            </w:rPr>
            <w:t>收入支出决算总体情况说明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_Toc2055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_Toc16340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二、 </w:t>
          </w:r>
          <w:r>
            <w:rPr>
              <w:rFonts w:hint="eastAsia" w:ascii="仿宋_GB2312" w:hAnsi="Times New Roman" w:eastAsia="仿宋_GB2312" w:cs="Times New Roman"/>
              <w:kern w:val="2"/>
              <w:sz w:val="32"/>
              <w:szCs w:val="32"/>
              <w:lang w:val="en-US" w:eastAsia="zh-CN" w:bidi="ar-SA"/>
            </w:rPr>
            <w:t>收入决算情况说明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_Toc16340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_Toc30947 </w:instrText>
          </w:r>
          <w:r>
            <w:rPr>
              <w:rFonts w:hint="eastAsia" w:ascii="仿宋_GB2312" w:hAnsi="Times New Roman" w:eastAsia="仿宋_GB2312" w:cs="Times New Roman"/>
              <w:kern w:val="2"/>
              <w:sz w:val="32"/>
              <w:szCs w:val="32"/>
              <w:lang w:val="en-US" w:eastAsia="zh-CN" w:bidi="ar-SA"/>
            </w:rPr>
            <w:fldChar w:fldCharType="separate"/>
          </w:r>
          <w:r>
            <w:rPr>
              <w:rFonts w:hint="default" w:ascii="仿宋_GB2312" w:hAnsi="Times New Roman" w:eastAsia="仿宋_GB2312" w:cs="Times New Roman"/>
              <w:kern w:val="2"/>
              <w:sz w:val="32"/>
              <w:szCs w:val="32"/>
              <w:lang w:val="en-US" w:eastAsia="zh-CN" w:bidi="ar-SA"/>
            </w:rPr>
            <w:t xml:space="preserve">三、 </w:t>
          </w:r>
          <w:r>
            <w:rPr>
              <w:rFonts w:hint="eastAsia" w:ascii="仿宋_GB2312" w:hAnsi="Times New Roman" w:eastAsia="仿宋_GB2312" w:cs="Times New Roman"/>
              <w:kern w:val="2"/>
              <w:sz w:val="32"/>
              <w:szCs w:val="32"/>
              <w:lang w:val="en-US" w:eastAsia="zh-CN" w:bidi="ar-SA"/>
            </w:rPr>
            <w:t>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_Toc30947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_Toc3236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四、财政拨款收入支出决算总体情况说明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_Toc3236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_Toc32172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五、一般公共预算财政拨款支出决算情况说明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_Toc32172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_Toc1820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六、一般公共预算财政拨款基本支出决算情况说明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_Toc1820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12</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_Toc15412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七、“三公”经费财政拨款支出决算情况说明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_Toc15412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12</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_Toc4714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八、政府性基金预算支出决算情况说明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_Toc4714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_Toc2628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九、 国有资本经营预算支出决算情况说明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_Toc2628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_Toc7892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 预算绩效管理情况</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_Toc7892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14</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_Toc19072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 其他重要事项的情况说明</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_Toc19072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15</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6"/>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_Toc25729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第三部分 名词解释</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_Toc25729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17</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6"/>
            <w:tabs>
              <w:tab w:val="right" w:leader="dot" w:pos="8306"/>
              <w:tab w:val="clear" w:pos="8296"/>
            </w:tabs>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_Toc11537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第四部分 附件</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_Toc11537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20</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16"/>
            <w:tabs>
              <w:tab w:val="right" w:leader="dot" w:pos="8306"/>
              <w:tab w:val="clear" w:pos="8296"/>
            </w:tabs>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_Toc7804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第五部分 附表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_Toc7804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35</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_Toc26923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一、收入支出决算总表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_Toc26923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_Toc8078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二、收入决算表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_Toc8078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_Toc31681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三、支出决算表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_Toc31681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_Toc24832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四、财政拨款收入支出决算总表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_Toc24832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_Toc7147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五、财政拨款支出决算明细表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_Toc7147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_Toc25254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六、一般公共预算财政拨款支出决算表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_Toc25254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_Toc16820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七、一般公共预算财政拨款支出决算明细表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_Toc16820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_Toc32187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八、一般公共预算财政拨款基本支出决算表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_Toc32187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_Toc9541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九、一般公共预算财政拨款项目支出决算表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_Toc9541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_Toc9783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十、一般公共预算财政拨款“三公”经费支出决算表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_Toc9783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_Toc23902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十一、政府性基金预算财政拨款收入支出决算表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_Toc23902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_Toc26589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十二、政府性基金预算财政拨款“三公”经费支出决算表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_Toc26589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_Toc24245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十三、国有资本经营预算财政拨款收入支出决算表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_Toc24245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pPr>
            <w:pStyle w:val="40"/>
            <w:keepNext w:val="0"/>
            <w:keepLines w:val="0"/>
            <w:pageBreakBefore w:val="0"/>
            <w:tabs>
              <w:tab w:val="right" w:leader="dot" w:pos="8844"/>
            </w:tabs>
            <w:kinsoku/>
            <w:wordWrap/>
            <w:overflowPunct/>
            <w:topLinePunct w:val="0"/>
            <w:autoSpaceDE/>
            <w:autoSpaceDN/>
            <w:bidi w:val="0"/>
            <w:adjustRightInd/>
            <w:snapToGrid/>
            <w:spacing w:line="576" w:lineRule="exact"/>
            <w:textAlignment w:val="auto"/>
          </w:pP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\l _Toc1184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十四、国有资本经营预算财政拨款支出决算表</w:t>
          </w:r>
          <w:r>
            <w:rPr>
              <w:rFonts w:hint="eastAsia" w:ascii="仿宋_GB2312" w:hAnsi="Times New Roman" w:eastAsia="仿宋_GB2312" w:cs="Times New Roman"/>
              <w:kern w:val="2"/>
              <w:sz w:val="32"/>
              <w:szCs w:val="32"/>
              <w:lang w:val="en-US" w:eastAsia="zh-CN" w:bidi="ar-SA"/>
            </w:rPr>
            <w:tab/>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PAGEREF _Toc1184 \h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36</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fldChar w:fldCharType="end"/>
          </w:r>
        </w:p>
        <w:p>
          <w:r>
            <w:rPr>
              <w:rFonts w:hint="eastAsia"/>
            </w:rPr>
            <w:fldChar w:fldCharType="end"/>
          </w:r>
        </w:p>
      </w:sdtContent>
    </w:sdt>
    <w:p>
      <w:pPr>
        <w:pStyle w:val="16"/>
        <w:tabs>
          <w:tab w:val="right" w:leader="dot" w:pos="8844"/>
          <w:tab w:val="clear" w:pos="8296"/>
        </w:tabs>
      </w:pPr>
      <w:r>
        <w:fldChar w:fldCharType="begin"/>
      </w:r>
      <w:r>
        <w:instrText xml:space="preserve">TOC \o "1-2" \h \u </w:instrText>
      </w:r>
      <w:r>
        <w:fldChar w:fldCharType="separate"/>
      </w:r>
    </w:p>
    <w:p>
      <w:pPr>
        <w:pStyle w:val="39"/>
        <w:keepNext w:val="0"/>
        <w:keepLines w:val="0"/>
        <w:pageBreakBefore w:val="0"/>
        <w:widowControl/>
        <w:tabs>
          <w:tab w:val="right" w:leader="dot" w:pos="8844"/>
        </w:tabs>
        <w:kinsoku/>
        <w:wordWrap/>
        <w:overflowPunct/>
        <w:topLinePunct w:val="0"/>
        <w:autoSpaceDE/>
        <w:autoSpaceDN/>
        <w:bidi w:val="0"/>
        <w:adjustRightInd/>
        <w:snapToGrid/>
        <w:spacing w:line="576" w:lineRule="exact"/>
        <w:ind w:firstLine="0" w:firstLineChars="0"/>
        <w:textAlignment w:val="auto"/>
        <w:rPr>
          <w:rFonts w:hint="default" w:eastAsia="黑体"/>
          <w:b/>
          <w:sz w:val="32"/>
          <w:szCs w:val="32"/>
          <w:lang w:val="en-US"/>
        </w:rPr>
      </w:pPr>
      <w:r>
        <w:rPr>
          <w:rFonts w:eastAsia="黑体"/>
          <w:sz w:val="32"/>
          <w:szCs w:val="32"/>
        </w:rPr>
        <w:fldChar w:fldCharType="begin"/>
      </w:r>
      <w:r>
        <w:rPr>
          <w:rFonts w:eastAsia="黑体"/>
          <w:sz w:val="32"/>
          <w:szCs w:val="32"/>
        </w:rPr>
        <w:instrText xml:space="preserve">TOC \o "1-2" \h \u </w:instrText>
      </w:r>
      <w:r>
        <w:rPr>
          <w:rFonts w:eastAsia="黑体"/>
          <w:sz w:val="32"/>
          <w:szCs w:val="32"/>
        </w:rPr>
        <w:fldChar w:fldCharType="separate"/>
      </w:r>
    </w:p>
    <w:p>
      <w:pPr>
        <w:keepNext w:val="0"/>
        <w:keepLines w:val="0"/>
        <w:pageBreakBefore w:val="0"/>
        <w:kinsoku/>
        <w:wordWrap/>
        <w:overflowPunct/>
        <w:topLinePunct w:val="0"/>
        <w:autoSpaceDE/>
        <w:autoSpaceDN/>
        <w:bidi w:val="0"/>
        <w:adjustRightInd/>
        <w:snapToGrid/>
        <w:spacing w:line="576" w:lineRule="exact"/>
        <w:textAlignment w:val="auto"/>
        <w:rPr>
          <w:rFonts w:eastAsia="黑体"/>
          <w:sz w:val="32"/>
          <w:szCs w:val="32"/>
        </w:rPr>
      </w:pPr>
      <w:r>
        <w:rPr>
          <w:rFonts w:eastAsia="黑体"/>
          <w:b/>
          <w:sz w:val="32"/>
          <w:szCs w:val="32"/>
        </w:rPr>
        <w:fldChar w:fldCharType="end"/>
      </w:r>
    </w:p>
    <w:p>
      <w:pPr>
        <w:widowControl/>
        <w:adjustRightInd w:val="0"/>
        <w:snapToGrid w:val="0"/>
        <w:spacing w:line="440" w:lineRule="exact"/>
        <w:ind w:firstLine="1155" w:firstLineChars="550"/>
        <w:jc w:val="left"/>
        <w:rPr>
          <w:rFonts w:ascii="仿宋" w:hAnsi="仿宋" w:eastAsia="仿宋"/>
          <w:sz w:val="24"/>
        </w:rPr>
      </w:pPr>
      <w:r>
        <w:fldChar w:fldCharType="end"/>
      </w:r>
    </w:p>
    <w:p>
      <w:pPr>
        <w:widowControl/>
        <w:spacing w:line="440" w:lineRule="exact"/>
        <w:jc w:val="left"/>
        <w:rPr>
          <w:rFonts w:ascii="仿宋" w:hAnsi="仿宋" w:eastAsia="仿宋"/>
          <w:bCs/>
          <w:kern w:val="44"/>
          <w:sz w:val="24"/>
        </w:rPr>
      </w:pPr>
      <w:bookmarkStart w:id="16" w:name="_Toc15396599"/>
      <w:bookmarkStart w:id="17" w:name="_Toc15377196"/>
      <w:r>
        <w:rPr>
          <w:rFonts w:ascii="仿宋" w:hAnsi="仿宋" w:eastAsia="仿宋"/>
          <w:b/>
          <w:sz w:val="24"/>
        </w:rPr>
        <w:br w:type="page"/>
      </w:r>
    </w:p>
    <w:p>
      <w:pPr>
        <w:pStyle w:val="3"/>
        <w:jc w:val="center"/>
        <w:rPr>
          <w:rFonts w:ascii="黑体" w:eastAsia="黑体"/>
          <w:sz w:val="32"/>
          <w:szCs w:val="32"/>
        </w:rPr>
      </w:pPr>
      <w:bookmarkStart w:id="18" w:name="_Toc12588"/>
      <w:r>
        <w:rPr>
          <w:rFonts w:hint="eastAsia" w:ascii="黑体" w:hAnsi="黑体" w:eastAsia="黑体"/>
          <w:b w:val="0"/>
        </w:rPr>
        <w:t>第一部分 单位</w:t>
      </w:r>
      <w:r>
        <w:rPr>
          <w:rStyle w:val="31"/>
          <w:rFonts w:hint="eastAsia" w:ascii="黑体" w:hAnsi="黑体" w:eastAsia="黑体"/>
          <w:b w:val="0"/>
          <w:bCs w:val="0"/>
        </w:rPr>
        <w:t>概况</w:t>
      </w:r>
      <w:bookmarkEnd w:id="16"/>
      <w:bookmarkEnd w:id="17"/>
      <w:bookmarkEnd w:id="18"/>
    </w:p>
    <w:p>
      <w:pPr>
        <w:pStyle w:val="8"/>
        <w:adjustRightInd w:val="0"/>
        <w:snapToGrid w:val="0"/>
        <w:spacing w:beforeLines="0" w:line="576" w:lineRule="exact"/>
        <w:ind w:firstLine="640" w:firstLineChars="200"/>
        <w:rPr>
          <w:rStyle w:val="32"/>
          <w:rFonts w:hint="eastAsia" w:ascii="黑体" w:hAnsi="黑体" w:eastAsia="黑体"/>
          <w:b w:val="0"/>
          <w:bCs w:val="0"/>
        </w:rPr>
      </w:pPr>
      <w:bookmarkStart w:id="19" w:name="_Toc32194"/>
      <w:bookmarkStart w:id="20" w:name="_Toc15377197"/>
      <w:bookmarkStart w:id="21" w:name="_Toc15396600"/>
      <w:r>
        <w:rPr>
          <w:rStyle w:val="32"/>
          <w:rFonts w:hint="eastAsia" w:ascii="黑体" w:hAnsi="黑体" w:eastAsia="黑体"/>
          <w:b w:val="0"/>
          <w:bCs w:val="0"/>
          <w:lang w:eastAsia="zh-CN"/>
        </w:rPr>
        <w:t>一、</w:t>
      </w:r>
      <w:r>
        <w:rPr>
          <w:rStyle w:val="32"/>
          <w:rFonts w:hint="eastAsia" w:ascii="黑体" w:hAnsi="黑体" w:eastAsia="黑体"/>
          <w:b w:val="0"/>
          <w:bCs w:val="0"/>
        </w:rPr>
        <w:t>职能简介</w:t>
      </w:r>
    </w:p>
    <w:bookmarkEnd w:id="19"/>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（一）</w:t>
      </w:r>
      <w:r>
        <w:rPr>
          <w:rFonts w:hint="eastAsia" w:hAnsi="仿宋" w:cs="Times New Roman"/>
          <w:bCs/>
          <w:color w:val="000000"/>
          <w:sz w:val="32"/>
          <w:szCs w:val="32"/>
        </w:rPr>
        <w:t>承担市级粮食行政管理部门下达的储备粮、军粮、最低收购价粮食等政策性粮食的质量安全检测工作；</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（二）</w:t>
      </w:r>
      <w:r>
        <w:rPr>
          <w:rFonts w:hint="eastAsia" w:hAnsi="仿宋" w:cs="Times New Roman"/>
          <w:bCs/>
          <w:color w:val="000000"/>
          <w:sz w:val="32"/>
          <w:szCs w:val="32"/>
        </w:rPr>
        <w:t>承担粮食质量安全监测预警体系建设和快速反应机制研究；负责组织全市粮食质量安全突发事件应急检验工作；</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（三）</w:t>
      </w:r>
      <w:r>
        <w:rPr>
          <w:rFonts w:hint="eastAsia" w:hAnsi="仿宋" w:cs="Times New Roman"/>
          <w:bCs/>
          <w:color w:val="000000"/>
          <w:sz w:val="32"/>
          <w:szCs w:val="32"/>
        </w:rPr>
        <w:t>组织开展全市粮食质量安全调查、品质测报会检工作；</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（四）</w:t>
      </w:r>
      <w:r>
        <w:rPr>
          <w:rFonts w:hint="eastAsia" w:hAnsi="仿宋" w:cs="Times New Roman"/>
          <w:bCs/>
          <w:color w:val="000000"/>
          <w:sz w:val="32"/>
          <w:szCs w:val="32"/>
        </w:rPr>
        <w:t>组织全市粮食质量检验机构检验人员能力培训；组织开展全市粮食质检机构的比对考核、职能技术培训等工作；</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（五）</w:t>
      </w:r>
      <w:r>
        <w:rPr>
          <w:rFonts w:hint="eastAsia" w:hAnsi="仿宋" w:cs="Times New Roman"/>
          <w:bCs/>
          <w:color w:val="000000"/>
          <w:sz w:val="32"/>
          <w:szCs w:val="32"/>
        </w:rPr>
        <w:t>负责全市粮食行业质量安全风险监测计划及方案的实施；</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（六）</w:t>
      </w:r>
      <w:r>
        <w:rPr>
          <w:rFonts w:hint="eastAsia" w:hAnsi="仿宋" w:cs="Times New Roman"/>
          <w:bCs/>
          <w:color w:val="000000"/>
          <w:sz w:val="32"/>
          <w:szCs w:val="32"/>
        </w:rPr>
        <w:t>负责全市粮食质量监测机构检验检测能力建设的技术指导；</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（七）</w:t>
      </w:r>
      <w:r>
        <w:rPr>
          <w:rFonts w:hint="eastAsia" w:hAnsi="仿宋" w:cs="Times New Roman"/>
          <w:bCs/>
          <w:color w:val="000000"/>
          <w:sz w:val="32"/>
          <w:szCs w:val="32"/>
        </w:rPr>
        <w:t xml:space="preserve">负责国家、行业标准的宣传贯彻工作; </w:t>
      </w:r>
    </w:p>
    <w:p>
      <w:pPr>
        <w:pStyle w:val="8"/>
        <w:adjustRightInd w:val="0"/>
        <w:snapToGrid w:val="0"/>
        <w:spacing w:beforeLines="0" w:line="576" w:lineRule="exact"/>
        <w:ind w:firstLine="640" w:firstLineChars="200"/>
        <w:rPr>
          <w:rFonts w:hint="eastAsia" w:hAnsi="仿宋" w:cs="Times New Roman"/>
          <w:bCs/>
          <w:color w:val="000000"/>
          <w:sz w:val="32"/>
          <w:szCs w:val="32"/>
        </w:rPr>
      </w:pPr>
      <w:r>
        <w:rPr>
          <w:rFonts w:hint="eastAsia" w:hAnsi="仿宋" w:cs="Times New Roman"/>
          <w:bCs/>
          <w:color w:val="000000"/>
          <w:sz w:val="32"/>
          <w:szCs w:val="32"/>
          <w:lang w:eastAsia="zh-CN"/>
        </w:rPr>
        <w:t>（八）</w:t>
      </w:r>
      <w:r>
        <w:rPr>
          <w:rFonts w:hint="eastAsia" w:hAnsi="仿宋" w:cs="Times New Roman"/>
          <w:bCs/>
          <w:color w:val="000000"/>
          <w:sz w:val="32"/>
          <w:szCs w:val="32"/>
        </w:rPr>
        <w:t>具备检验各种粮食质量指标、品质指标和安全指标的能力及具备一定的科研能力。</w:t>
      </w:r>
    </w:p>
    <w:p>
      <w:pPr>
        <w:pStyle w:val="8"/>
        <w:adjustRightInd w:val="0"/>
        <w:snapToGrid w:val="0"/>
        <w:spacing w:beforeLines="0" w:line="576" w:lineRule="exact"/>
        <w:ind w:firstLine="640" w:firstLineChars="200"/>
        <w:rPr>
          <w:rStyle w:val="32"/>
          <w:rFonts w:ascii="黑体" w:hAnsi="黑体" w:eastAsia="黑体"/>
          <w:b w:val="0"/>
          <w:bCs w:val="0"/>
        </w:rPr>
      </w:pPr>
      <w:r>
        <w:rPr>
          <w:rFonts w:hint="eastAsia" w:hAnsi="仿宋" w:cs="Times New Roman"/>
          <w:bCs/>
          <w:color w:val="000000"/>
          <w:sz w:val="32"/>
          <w:szCs w:val="32"/>
          <w:lang w:eastAsia="zh-CN"/>
        </w:rPr>
        <w:t>（九）</w:t>
      </w:r>
      <w:r>
        <w:rPr>
          <w:rFonts w:hint="eastAsia" w:hAnsi="仿宋" w:cs="Times New Roman"/>
          <w:bCs/>
          <w:color w:val="000000"/>
          <w:sz w:val="32"/>
          <w:szCs w:val="32"/>
        </w:rPr>
        <w:t>承办国家粮食和物资储备局、省粮食和物资储备局交办的其它工作。</w:t>
      </w:r>
    </w:p>
    <w:p/>
    <w:p>
      <w:pPr>
        <w:pStyle w:val="4"/>
        <w:ind w:firstLine="640" w:firstLineChars="200"/>
        <w:rPr>
          <w:rFonts w:hint="eastAsia" w:ascii="黑体" w:hAnsi="黑体" w:eastAsia="黑体"/>
          <w:b w:val="0"/>
          <w:lang w:eastAsia="zh-CN"/>
        </w:rPr>
      </w:pPr>
      <w:bookmarkStart w:id="22" w:name="_Toc31185"/>
      <w:r>
        <w:rPr>
          <w:rFonts w:hint="eastAsia" w:ascii="黑体" w:hAnsi="黑体" w:eastAsia="黑体"/>
          <w:b w:val="0"/>
          <w:lang w:eastAsia="zh-CN"/>
        </w:rPr>
        <w:t>二、机构设置</w:t>
      </w:r>
    </w:p>
    <w:p>
      <w:pPr>
        <w:spacing w:line="600" w:lineRule="exact"/>
        <w:ind w:firstLine="640" w:firstLineChars="200"/>
        <w:rPr>
          <w:rFonts w:hint="eastAsia" w:ascii="黑体" w:hAnsi="黑体" w:eastAsia="黑体"/>
          <w:b w:val="0"/>
        </w:rPr>
      </w:pPr>
      <w:r>
        <w:rPr>
          <w:rFonts w:hint="eastAsia" w:ascii="仿宋_GB2312" w:hAnsi="仿宋" w:eastAsia="仿宋_GB2312"/>
          <w:sz w:val="32"/>
          <w:szCs w:val="32"/>
          <w:lang w:eastAsia="zh-CN"/>
        </w:rPr>
        <w:t>广元市粮油质量监测站属于广元市发展改革委员会部门下属的二级预算单位，下设独立编制机构</w:t>
      </w:r>
      <w:r>
        <w:rPr>
          <w:rFonts w:hint="eastAsia" w:ascii="仿宋_GB2312" w:hAnsi="仿宋" w:eastAsia="仿宋_GB2312"/>
          <w:sz w:val="32"/>
          <w:szCs w:val="32"/>
          <w:lang w:val="en-US" w:eastAsia="zh-CN"/>
        </w:rPr>
        <w:t>1个，其中行政机构0个，参照公务员法管理的事业机构0个，其他事业机构1个。纳入2021年度单位决算编制范围的独立编制机构包括：</w:t>
      </w:r>
      <w:r>
        <w:rPr>
          <w:rFonts w:hint="eastAsia" w:ascii="仿宋_GB2312" w:hAnsi="仿宋" w:eastAsia="仿宋_GB2312"/>
          <w:sz w:val="32"/>
          <w:szCs w:val="32"/>
          <w:lang w:eastAsia="zh-CN"/>
        </w:rPr>
        <w:t>广元市粮油质量监测站。</w:t>
      </w:r>
    </w:p>
    <w:p>
      <w:pPr>
        <w:pStyle w:val="4"/>
        <w:ind w:firstLine="640" w:firstLineChars="200"/>
        <w:rPr>
          <w:rFonts w:ascii="黑体" w:hAnsi="黑体" w:eastAsia="黑体"/>
          <w:b w:val="0"/>
        </w:rPr>
      </w:pPr>
      <w:r>
        <w:rPr>
          <w:rFonts w:hint="eastAsia" w:ascii="黑体" w:hAnsi="黑体" w:eastAsia="黑体"/>
          <w:b w:val="0"/>
          <w:lang w:eastAsia="zh-CN"/>
        </w:rPr>
        <w:t>三</w:t>
      </w:r>
      <w:bookmarkStart w:id="122" w:name="_GoBack"/>
      <w:bookmarkEnd w:id="122"/>
      <w:r>
        <w:rPr>
          <w:rFonts w:hint="eastAsia" w:ascii="黑体" w:hAnsi="黑体" w:eastAsia="黑体"/>
          <w:b w:val="0"/>
        </w:rPr>
        <w:t>、2021年重点工作</w:t>
      </w:r>
      <w:bookmarkEnd w:id="20"/>
      <w:bookmarkEnd w:id="21"/>
      <w:r>
        <w:rPr>
          <w:rFonts w:hint="eastAsia" w:ascii="黑体" w:hAnsi="黑体" w:eastAsia="黑体"/>
          <w:b w:val="0"/>
        </w:rPr>
        <w:t>完成情况</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bookmarkStart w:id="23" w:name="_Toc15396602"/>
      <w:bookmarkStart w:id="24" w:name="_Toc15377204"/>
      <w:r>
        <w:rPr>
          <w:rFonts w:hint="eastAsia" w:ascii="楷体_GB2312" w:hAnsi="楷体_GB2312" w:eastAsia="楷体_GB2312" w:cs="楷体_GB2312"/>
          <w:sz w:val="32"/>
          <w:szCs w:val="32"/>
          <w:highlight w:val="none"/>
          <w:lang w:val="en-US" w:eastAsia="zh-CN"/>
        </w:rPr>
        <w:t>（一）强化</w:t>
      </w:r>
      <w:r>
        <w:rPr>
          <w:rFonts w:hint="eastAsia" w:ascii="楷体_GB2312" w:hAnsi="楷体_GB2312" w:eastAsia="楷体_GB2312" w:cs="楷体_GB2312"/>
          <w:sz w:val="32"/>
          <w:szCs w:val="32"/>
          <w:highlight w:val="none"/>
        </w:rPr>
        <w:t>粮油质监能力建设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全年共检样品约1100批次（份），超额220%完成省下达目标500批次（份），食品安全指标监测覆盖率由上年65%提高到95%，检验检测参数由164项增加到241项，检验检测能力提高47%。</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严守政策性粮食质量关，</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落实</w:t>
      </w:r>
      <w:r>
        <w:rPr>
          <w:rFonts w:hint="eastAsia" w:ascii="仿宋_GB2312" w:hAnsi="仿宋_GB2312" w:eastAsia="仿宋_GB2312" w:cs="仿宋_GB2312"/>
          <w:sz w:val="32"/>
          <w:szCs w:val="32"/>
          <w:highlight w:val="none"/>
        </w:rPr>
        <w:t>四川省地方</w:t>
      </w:r>
      <w:r>
        <w:rPr>
          <w:rFonts w:hint="eastAsia" w:ascii="仿宋_GB2312" w:hAnsi="仿宋_GB2312" w:eastAsia="仿宋_GB2312" w:cs="仿宋_GB2312"/>
          <w:sz w:val="32"/>
          <w:szCs w:val="32"/>
          <w:highlight w:val="none"/>
          <w:lang w:val="en-US" w:eastAsia="zh-CN"/>
        </w:rPr>
        <w:t>储备粮</w:t>
      </w:r>
      <w:r>
        <w:rPr>
          <w:rFonts w:hint="eastAsia" w:ascii="仿宋_GB2312" w:hAnsi="仿宋_GB2312" w:eastAsia="仿宋_GB2312" w:cs="仿宋_GB2312"/>
          <w:sz w:val="32"/>
          <w:szCs w:val="32"/>
          <w:highlight w:val="none"/>
        </w:rPr>
        <w:t>出（入）库必检项目</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做好市、县级储备</w:t>
      </w:r>
      <w:r>
        <w:rPr>
          <w:rFonts w:hint="eastAsia" w:ascii="仿宋_GB2312" w:hAnsi="仿宋_GB2312" w:eastAsia="仿宋_GB2312" w:cs="仿宋_GB2312"/>
          <w:sz w:val="32"/>
          <w:szCs w:val="32"/>
          <w:highlight w:val="none"/>
          <w:lang w:val="en-US" w:eastAsia="zh-CN"/>
        </w:rPr>
        <w:t>粮</w:t>
      </w:r>
      <w:r>
        <w:rPr>
          <w:rFonts w:hint="eastAsia" w:ascii="仿宋_GB2312" w:hAnsi="仿宋_GB2312" w:eastAsia="仿宋_GB2312" w:cs="仿宋_GB2312"/>
          <w:sz w:val="32"/>
          <w:szCs w:val="32"/>
          <w:highlight w:val="none"/>
        </w:rPr>
        <w:t>轮换出（入）库检验</w:t>
      </w:r>
      <w:r>
        <w:rPr>
          <w:rFonts w:hint="eastAsia" w:ascii="仿宋_GB2312" w:hAnsi="仿宋_GB2312" w:eastAsia="仿宋_GB2312" w:cs="仿宋_GB2312"/>
          <w:sz w:val="32"/>
          <w:szCs w:val="32"/>
          <w:highlight w:val="none"/>
          <w:lang w:val="en-US" w:eastAsia="zh-CN"/>
        </w:rPr>
        <w:t>和日常监测，</w:t>
      </w:r>
      <w:r>
        <w:rPr>
          <w:rFonts w:hint="eastAsia" w:ascii="仿宋_GB2312" w:hAnsi="仿宋_GB2312" w:eastAsia="仿宋_GB2312" w:cs="仿宋_GB2312"/>
          <w:color w:val="auto"/>
          <w:sz w:val="32"/>
          <w:szCs w:val="32"/>
          <w:highlight w:val="none"/>
          <w:lang w:val="en-US" w:eastAsia="zh-CN"/>
        </w:rPr>
        <w:t>共检验样品196批次</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sz w:val="32"/>
          <w:szCs w:val="32"/>
          <w:highlight w:val="none"/>
        </w:rPr>
        <w:t>2021年全国政策性粮油库存检查工作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随机采集样品21份，除超期储存外，其余等级均符合要求且宜存储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做实产新粮食检验，在全省率先出台产新粮食质量安全监测三年行动方案，旨在</w:t>
      </w:r>
      <w:r>
        <w:rPr>
          <w:rFonts w:hint="eastAsia" w:ascii="仿宋_GB2312" w:hAnsi="仿宋_GB2312" w:eastAsia="仿宋_GB2312" w:cs="仿宋_GB2312"/>
          <w:sz w:val="32"/>
          <w:szCs w:val="32"/>
          <w:highlight w:val="none"/>
        </w:rPr>
        <w:t>通过三年努力，摸清全市粮食质量情况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共检样品809</w:t>
      </w:r>
      <w:r>
        <w:rPr>
          <w:rFonts w:hint="eastAsia" w:ascii="仿宋_GB2312" w:hAnsi="仿宋_GB2312" w:eastAsia="仿宋_GB2312" w:cs="仿宋_GB2312"/>
          <w:color w:val="auto"/>
          <w:sz w:val="32"/>
          <w:szCs w:val="32"/>
          <w:highlight w:val="none"/>
          <w:lang w:val="en-US" w:eastAsia="zh-CN"/>
        </w:rPr>
        <w:t>批次</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sz w:val="32"/>
          <w:szCs w:val="32"/>
          <w:highlight w:val="none"/>
        </w:rPr>
        <w:t>，获得检验数据</w:t>
      </w:r>
      <w:r>
        <w:rPr>
          <w:rFonts w:hint="eastAsia" w:ascii="仿宋_GB2312" w:hAnsi="仿宋_GB2312" w:eastAsia="仿宋_GB2312" w:cs="仿宋_GB2312"/>
          <w:sz w:val="32"/>
          <w:szCs w:val="32"/>
          <w:highlight w:val="none"/>
          <w:lang w:val="en-US" w:eastAsia="zh-CN"/>
        </w:rPr>
        <w:t>3000余</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争取专项资金20万元/年；</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提升检验</w:t>
      </w:r>
      <w:r>
        <w:rPr>
          <w:rFonts w:hint="eastAsia" w:ascii="仿宋_GB2312" w:hAnsi="仿宋_GB2312" w:eastAsia="仿宋_GB2312" w:cs="仿宋_GB2312"/>
          <w:sz w:val="32"/>
          <w:szCs w:val="32"/>
          <w:highlight w:val="none"/>
        </w:rPr>
        <w:t>技术能力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顺利通过省市场监督管理局检验检测机构资质认证复评审、扩项评审和“双随机一公开”监督检查，积极</w:t>
      </w:r>
      <w:r>
        <w:rPr>
          <w:rFonts w:hint="eastAsia" w:ascii="仿宋_GB2312" w:hAnsi="仿宋_GB2312" w:eastAsia="仿宋_GB2312" w:cs="仿宋_GB2312"/>
          <w:sz w:val="32"/>
          <w:szCs w:val="32"/>
          <w:highlight w:val="none"/>
        </w:rPr>
        <w:t>参加国家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组织的质量</w:t>
      </w:r>
      <w:r>
        <w:rPr>
          <w:rFonts w:hint="eastAsia" w:ascii="仿宋_GB2312" w:hAnsi="仿宋_GB2312" w:eastAsia="仿宋_GB2312" w:cs="仿宋_GB2312"/>
          <w:sz w:val="32"/>
          <w:szCs w:val="32"/>
          <w:highlight w:val="none"/>
          <w:lang w:val="en-US" w:eastAsia="zh-CN"/>
        </w:rPr>
        <w:t>监</w:t>
      </w:r>
      <w:r>
        <w:rPr>
          <w:rFonts w:hint="eastAsia" w:ascii="仿宋_GB2312" w:hAnsi="仿宋_GB2312" w:eastAsia="仿宋_GB2312" w:cs="仿宋_GB2312"/>
          <w:sz w:val="32"/>
          <w:szCs w:val="32"/>
          <w:highlight w:val="none"/>
        </w:rPr>
        <w:t>测机构比对考核，</w:t>
      </w:r>
      <w:r>
        <w:rPr>
          <w:rFonts w:hint="eastAsia" w:ascii="仿宋_GB2312" w:hAnsi="仿宋_GB2312" w:eastAsia="仿宋_GB2312" w:cs="仿宋_GB2312"/>
          <w:sz w:val="32"/>
          <w:szCs w:val="32"/>
          <w:highlight w:val="none"/>
          <w:lang w:val="en-US" w:eastAsia="zh-CN"/>
        </w:rPr>
        <w:t>国家局考核的</w:t>
      </w:r>
      <w:r>
        <w:rPr>
          <w:rFonts w:hint="eastAsia" w:ascii="仿宋_GB2312" w:hAnsi="仿宋_GB2312" w:eastAsia="仿宋_GB2312" w:cs="仿宋_GB2312"/>
          <w:sz w:val="32"/>
          <w:szCs w:val="32"/>
          <w:highlight w:val="none"/>
        </w:rPr>
        <w:t>呕吐毒素、镉</w:t>
      </w:r>
      <w:r>
        <w:rPr>
          <w:rFonts w:hint="eastAsia" w:ascii="仿宋_GB2312" w:hAnsi="仿宋_GB2312" w:eastAsia="仿宋_GB2312" w:cs="仿宋_GB2312"/>
          <w:sz w:val="32"/>
          <w:szCs w:val="32"/>
          <w:highlight w:val="none"/>
          <w:lang w:val="en-US" w:eastAsia="zh-CN"/>
        </w:rPr>
        <w:t>两个项目</w:t>
      </w:r>
      <w:r>
        <w:rPr>
          <w:rFonts w:hint="eastAsia" w:ascii="仿宋_GB2312" w:hAnsi="仿宋_GB2312" w:eastAsia="仿宋_GB2312" w:cs="仿宋_GB2312"/>
          <w:sz w:val="32"/>
          <w:szCs w:val="32"/>
          <w:highlight w:val="none"/>
        </w:rPr>
        <w:t>分别居全省第四名、第一名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形成专报报市政府，获市政府主要领导肯定批示，省局考核四个项目结果全部“满意”，首次举行大小春会检，培训全市检验人员约50人次；</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树立为民服务意识，荣获四川省粮食和物资储备局等五部门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四川省粮食安全教育基地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授牌，不定期举行“实验室开放日”活动</w:t>
      </w:r>
      <w:r>
        <w:rPr>
          <w:rFonts w:hint="eastAsia" w:ascii="仿宋_GB2312" w:hAnsi="仿宋_GB2312" w:eastAsia="仿宋_GB2312" w:cs="仿宋_GB2312"/>
          <w:sz w:val="32"/>
          <w:szCs w:val="32"/>
          <w:highlight w:val="none"/>
          <w:lang w:eastAsia="zh-CN"/>
        </w:rPr>
        <w:t>，参观</w:t>
      </w:r>
      <w:r>
        <w:rPr>
          <w:rFonts w:hint="eastAsia" w:ascii="仿宋_GB2312" w:hAnsi="仿宋_GB2312" w:eastAsia="仿宋_GB2312" w:cs="仿宋_GB2312"/>
          <w:sz w:val="32"/>
          <w:szCs w:val="32"/>
          <w:highlight w:val="none"/>
          <w:lang w:val="en-US" w:eastAsia="zh-CN"/>
        </w:rPr>
        <w:t>学习</w:t>
      </w:r>
      <w:r>
        <w:rPr>
          <w:rFonts w:hint="eastAsia" w:ascii="仿宋_GB2312" w:hAnsi="仿宋_GB2312" w:eastAsia="仿宋_GB2312" w:cs="仿宋_GB2312"/>
          <w:sz w:val="32"/>
          <w:szCs w:val="32"/>
          <w:highlight w:val="none"/>
          <w:lang w:eastAsia="zh-CN"/>
        </w:rPr>
        <w:t>达</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lang w:eastAsia="zh-CN"/>
        </w:rPr>
        <w:t>人次，</w:t>
      </w:r>
      <w:r>
        <w:rPr>
          <w:rFonts w:hint="eastAsia" w:ascii="仿宋_GB2312" w:hAnsi="仿宋_GB2312" w:eastAsia="仿宋_GB2312" w:cs="仿宋_GB2312"/>
          <w:sz w:val="32"/>
          <w:szCs w:val="32"/>
          <w:highlight w:val="none"/>
          <w:lang w:val="en-US" w:eastAsia="zh-CN"/>
        </w:rPr>
        <w:t>为国有储存、加工企业</w:t>
      </w:r>
      <w:r>
        <w:rPr>
          <w:rFonts w:hint="eastAsia" w:ascii="仿宋_GB2312" w:hAnsi="仿宋_GB2312" w:eastAsia="仿宋_GB2312" w:cs="仿宋_GB2312"/>
          <w:sz w:val="32"/>
          <w:szCs w:val="32"/>
          <w:highlight w:val="none"/>
        </w:rPr>
        <w:t>开展便民检验检测服务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共检</w:t>
      </w:r>
      <w:r>
        <w:rPr>
          <w:rFonts w:hint="eastAsia" w:ascii="仿宋_GB2312" w:hAnsi="仿宋_GB2312" w:eastAsia="仿宋_GB2312" w:cs="仿宋_GB2312"/>
          <w:color w:val="auto"/>
          <w:sz w:val="32"/>
          <w:szCs w:val="32"/>
          <w:highlight w:val="none"/>
        </w:rPr>
        <w:t>样品</w:t>
      </w:r>
      <w:r>
        <w:rPr>
          <w:rFonts w:hint="eastAsia" w:ascii="仿宋_GB2312" w:hAnsi="仿宋_GB2312" w:eastAsia="仿宋_GB2312" w:cs="仿宋_GB2312"/>
          <w:color w:val="auto"/>
          <w:sz w:val="32"/>
          <w:szCs w:val="32"/>
          <w:highlight w:val="none"/>
          <w:lang w:val="en-US" w:eastAsia="zh-CN"/>
        </w:rPr>
        <w:t>202批次</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val="en-US" w:eastAsia="zh-CN"/>
        </w:rPr>
        <w:t>（二）夯实救灾物资储备保障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rPr>
        <w:t>救灾物资采购发放及时高效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全年采购棉被4000床、棉大衣1000件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发放帐篷113顶、棉被8261床、棉大衣3632件、毛毯1143床，为广元市盘龙机场、南河汽车站和上西汽车站采购门禁箱2个、标准箱5个。争取省御寒物资棉被5000床、棉大衣3500件，代储资金14万元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rPr>
        <w:t>救灾物资储备管理规范有序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实行“日巡、月检、季清”管理机制，每日对储备物资巡查1次，每月对库房和物资进行全面检查1次、每季度对库存物资进行清点晾晒、倒垛保养和消毒灭菌，坚持24小时全天候应急值守，确保了救灾物资储备绝对安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rPr>
        <w:t>岗位业务技能</w:t>
      </w:r>
      <w:r>
        <w:rPr>
          <w:rFonts w:hint="eastAsia" w:ascii="仿宋_GB2312" w:hAnsi="仿宋_GB2312" w:eastAsia="仿宋_GB2312" w:cs="仿宋_GB2312"/>
          <w:sz w:val="32"/>
          <w:szCs w:val="32"/>
          <w:highlight w:val="none"/>
          <w:lang w:val="en-US" w:eastAsia="zh-CN"/>
        </w:rPr>
        <w:t>不断提升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采取平战结合、战练互补的</w:t>
      </w:r>
      <w:r>
        <w:rPr>
          <w:rFonts w:hint="eastAsia" w:ascii="仿宋_GB2312" w:hAnsi="仿宋_GB2312" w:eastAsia="仿宋_GB2312" w:cs="仿宋_GB2312"/>
          <w:sz w:val="36"/>
          <w:szCs w:val="36"/>
          <w:highlight w:val="none"/>
        </w:rPr>
        <w:t>方式，组织干部职工进行消防、物资装卸、倒垛、帐篷搭拆建及</w:t>
      </w:r>
      <w:r>
        <w:rPr>
          <w:rFonts w:hint="eastAsia" w:ascii="仿宋_GB2312" w:hAnsi="仿宋_GB2312" w:eastAsia="仿宋_GB2312" w:cs="仿宋_GB2312"/>
          <w:sz w:val="32"/>
          <w:szCs w:val="32"/>
          <w:highlight w:val="none"/>
        </w:rPr>
        <w:t>主管缺位等科目的演练4次，应急队伍处置能力不断增强</w:t>
      </w:r>
      <w:r>
        <w:rPr>
          <w:rFonts w:hint="eastAsia" w:ascii="仿宋_GB2312" w:hAnsi="仿宋_GB2312" w:eastAsia="仿宋_GB2312" w:cs="仿宋_GB2312"/>
          <w:sz w:val="32"/>
          <w:szCs w:val="32"/>
          <w:highlight w:val="none"/>
          <w:lang w:eastAsia="zh-CN"/>
        </w:rPr>
        <w:t>。</w:t>
      </w:r>
    </w:p>
    <w:p>
      <w:pPr>
        <w:pStyle w:val="3"/>
        <w:ind w:right="440"/>
        <w:jc w:val="both"/>
        <w:rPr>
          <w:rFonts w:hint="eastAsia" w:ascii="黑体" w:hAnsi="黑体" w:eastAsia="黑体"/>
          <w:b w:val="0"/>
        </w:rPr>
      </w:pPr>
    </w:p>
    <w:p>
      <w:pPr>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8"/>
        <w:rPr>
          <w:rFonts w:hint="eastAsia" w:ascii="黑体" w:hAnsi="黑体" w:eastAsia="黑体"/>
          <w:b w:val="0"/>
        </w:rPr>
      </w:pPr>
    </w:p>
    <w:p>
      <w:pPr>
        <w:pStyle w:val="3"/>
        <w:ind w:right="440"/>
        <w:jc w:val="center"/>
        <w:rPr>
          <w:rStyle w:val="31"/>
          <w:rFonts w:ascii="黑体" w:hAnsi="黑体" w:eastAsia="黑体"/>
          <w:b w:val="0"/>
          <w:bCs/>
        </w:rPr>
      </w:pPr>
      <w:bookmarkStart w:id="25" w:name="_Toc10971"/>
      <w:r>
        <w:rPr>
          <w:rFonts w:hint="eastAsia" w:ascii="黑体" w:hAnsi="黑体" w:eastAsia="黑体"/>
          <w:b w:val="0"/>
        </w:rPr>
        <w:t>第二部分 2021年度</w:t>
      </w:r>
      <w:r>
        <w:rPr>
          <w:rStyle w:val="31"/>
          <w:rFonts w:hint="eastAsia" w:ascii="黑体" w:hAnsi="黑体" w:eastAsia="黑体"/>
          <w:b w:val="0"/>
          <w:bCs/>
        </w:rPr>
        <w:t>单位决算情况说明</w:t>
      </w:r>
      <w:bookmarkEnd w:id="23"/>
      <w:bookmarkEnd w:id="24"/>
      <w:bookmarkEnd w:id="25"/>
    </w:p>
    <w:p/>
    <w:p>
      <w:pPr>
        <w:pStyle w:val="30"/>
        <w:numPr>
          <w:ilvl w:val="0"/>
          <w:numId w:val="1"/>
        </w:numPr>
        <w:spacing w:line="600" w:lineRule="exact"/>
        <w:ind w:firstLineChars="0"/>
        <w:outlineLvl w:val="1"/>
        <w:rPr>
          <w:rStyle w:val="32"/>
          <w:rFonts w:ascii="黑体" w:hAnsi="黑体" w:eastAsia="黑体"/>
          <w:b w:val="0"/>
        </w:rPr>
      </w:pPr>
      <w:bookmarkStart w:id="26" w:name="_Toc2055"/>
      <w:bookmarkStart w:id="27" w:name="_Toc15377205"/>
      <w:bookmarkStart w:id="28"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6"/>
      <w:bookmarkEnd w:id="27"/>
      <w:bookmarkEnd w:id="28"/>
    </w:p>
    <w:p>
      <w:pPr>
        <w:spacing w:line="600" w:lineRule="exact"/>
        <w:ind w:firstLine="640" w:firstLineChars="200"/>
        <w:rPr>
          <w:rFonts w:hint="eastAsia" w:ascii="仿宋_GB2312" w:hAnsi="仿宋" w:eastAsia="仿宋_GB2312"/>
          <w:color w:val="000000"/>
          <w:sz w:val="32"/>
          <w:szCs w:val="32"/>
          <w:lang w:eastAsia="zh-CN"/>
        </w:rPr>
      </w:pPr>
      <w:r>
        <w:rPr>
          <w:rFonts w:hint="eastAsia" w:ascii="仿宋" w:hAnsi="仿宋" w:eastAsia="仿宋"/>
          <w:sz w:val="32"/>
          <w:szCs w:val="32"/>
        </w:rPr>
        <w:t>2021年度收、支总计</w:t>
      </w:r>
      <w:r>
        <w:rPr>
          <w:rFonts w:hint="eastAsia" w:ascii="仿宋" w:hAnsi="仿宋" w:eastAsia="仿宋"/>
          <w:sz w:val="32"/>
          <w:szCs w:val="32"/>
          <w:lang w:val="en-US" w:eastAsia="zh-CN"/>
        </w:rPr>
        <w:t>825.58</w:t>
      </w:r>
      <w:r>
        <w:rPr>
          <w:rFonts w:hint="eastAsia" w:ascii="仿宋" w:hAnsi="仿宋" w:eastAsia="仿宋"/>
          <w:sz w:val="32"/>
          <w:szCs w:val="32"/>
        </w:rPr>
        <w:t>万元。与2020年相比，收、支总计各增加</w:t>
      </w:r>
      <w:r>
        <w:rPr>
          <w:rFonts w:hint="eastAsia" w:ascii="仿宋" w:hAnsi="仿宋" w:eastAsia="仿宋"/>
          <w:sz w:val="32"/>
          <w:szCs w:val="32"/>
          <w:lang w:val="en-US" w:eastAsia="zh-CN"/>
        </w:rPr>
        <w:t>315.55</w:t>
      </w:r>
      <w:r>
        <w:rPr>
          <w:rFonts w:hint="eastAsia" w:ascii="仿宋" w:hAnsi="仿宋" w:eastAsia="仿宋"/>
          <w:sz w:val="32"/>
          <w:szCs w:val="32"/>
        </w:rPr>
        <w:t>万元，增长</w:t>
      </w:r>
      <w:r>
        <w:rPr>
          <w:rFonts w:hint="eastAsia" w:ascii="仿宋" w:hAnsi="仿宋" w:eastAsia="仿宋"/>
          <w:sz w:val="32"/>
          <w:szCs w:val="32"/>
          <w:lang w:val="en-US" w:eastAsia="zh-CN"/>
        </w:rPr>
        <w:t>61.87</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w:t>
      </w:r>
      <w:r>
        <w:rPr>
          <w:rFonts w:hint="eastAsia" w:ascii="仿宋_GB2312" w:hAnsi="仿宋" w:eastAsia="仿宋_GB2312"/>
          <w:b/>
          <w:color w:val="000000"/>
          <w:sz w:val="32"/>
          <w:szCs w:val="32"/>
        </w:rPr>
        <w:t>一是</w:t>
      </w:r>
      <w:r>
        <w:rPr>
          <w:rFonts w:hint="eastAsia" w:ascii="仿宋_GB2312" w:hAnsi="仿宋" w:eastAsia="仿宋_GB2312"/>
          <w:b w:val="0"/>
          <w:bCs/>
          <w:color w:val="000000"/>
          <w:sz w:val="32"/>
          <w:szCs w:val="32"/>
          <w:lang w:eastAsia="zh-CN"/>
        </w:rPr>
        <w:t>当年人员经费增加；</w:t>
      </w:r>
      <w:r>
        <w:rPr>
          <w:rFonts w:hint="eastAsia" w:ascii="仿宋_GB2312" w:hAnsi="仿宋" w:eastAsia="仿宋_GB2312"/>
          <w:b/>
          <w:bCs w:val="0"/>
          <w:color w:val="000000"/>
          <w:sz w:val="32"/>
          <w:szCs w:val="32"/>
          <w:lang w:eastAsia="zh-CN"/>
        </w:rPr>
        <w:t>二</w:t>
      </w:r>
      <w:r>
        <w:rPr>
          <w:rFonts w:hint="eastAsia" w:ascii="仿宋" w:hAnsi="仿宋" w:eastAsia="仿宋"/>
          <w:b/>
          <w:bCs w:val="0"/>
          <w:color w:val="auto"/>
          <w:sz w:val="32"/>
          <w:szCs w:val="32"/>
          <w:highlight w:val="none"/>
        </w:rPr>
        <w:t>是</w:t>
      </w:r>
      <w:r>
        <w:rPr>
          <w:rFonts w:hint="eastAsia" w:ascii="仿宋_GB2312" w:hAnsi="仿宋" w:eastAsia="仿宋_GB2312"/>
          <w:color w:val="000000"/>
          <w:sz w:val="32"/>
          <w:szCs w:val="32"/>
        </w:rPr>
        <w:t>项目工作经费</w:t>
      </w:r>
      <w:r>
        <w:rPr>
          <w:rFonts w:hint="eastAsia" w:ascii="仿宋_GB2312" w:hAnsi="仿宋" w:eastAsia="仿宋_GB2312"/>
          <w:color w:val="000000"/>
          <w:sz w:val="32"/>
          <w:szCs w:val="32"/>
          <w:lang w:eastAsia="zh-CN"/>
        </w:rPr>
        <w:t>增加。</w:t>
      </w: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Object 2" o:spid="_x0000_s2050" o:spt="75" type="#_x0000_t75" style="position:absolute;left:0pt;margin-left:42.1pt;margin-top:17.5pt;height:163.75pt;width:337.8pt;z-index:251659264;mso-width-relative:page;mso-height-relative:page;" o:ole="t" fillcolor="#FFFFFF" filled="t" o:preferrelative="t" stroked="f" coordsize="21600,21600">
            <v:path/>
            <v:fill on="t" color2="#FFFFFF" focussize="0,0"/>
            <v:stroke on="f"/>
            <v:imagedata r:id="rId7" o:title=""/>
            <o:lock v:ext="edit" aspectratio="f"/>
          </v:shape>
          <o:OLEObject Type="Embed" ProgID="Excel.Chart.8" ShapeID="Object 2" DrawAspect="Content" ObjectID="_1468075725" r:id="rId6">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jc w:val="right"/>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pStyle w:val="37"/>
        <w:spacing w:line="600" w:lineRule="exact"/>
        <w:ind w:left="640" w:firstLine="0" w:firstLineChars="0"/>
        <w:rPr>
          <w:rFonts w:hint="eastAsia" w:ascii="仿宋" w:hAnsi="仿宋" w:eastAsia="仿宋"/>
          <w:color w:val="000000"/>
          <w:sz w:val="32"/>
          <w:szCs w:val="32"/>
        </w:rPr>
      </w:pPr>
    </w:p>
    <w:p>
      <w:pPr>
        <w:spacing w:line="600" w:lineRule="exact"/>
        <w:ind w:firstLine="640" w:firstLineChars="200"/>
        <w:jc w:val="center"/>
        <w:rPr>
          <w:rStyle w:val="32"/>
          <w:rFonts w:ascii="黑体" w:hAnsi="黑体" w:eastAsia="黑体"/>
          <w:b w:val="0"/>
        </w:rPr>
      </w:pPr>
      <w:r>
        <w:rPr>
          <w:rFonts w:hint="eastAsia" w:ascii="仿宋" w:hAnsi="仿宋" w:eastAsia="仿宋"/>
          <w:color w:val="000000"/>
          <w:sz w:val="32"/>
          <w:szCs w:val="32"/>
        </w:rPr>
        <w:tab/>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30"/>
        <w:numPr>
          <w:ilvl w:val="0"/>
          <w:numId w:val="1"/>
        </w:numPr>
        <w:spacing w:line="600" w:lineRule="exact"/>
        <w:ind w:firstLineChars="0"/>
        <w:outlineLvl w:val="1"/>
        <w:rPr>
          <w:rStyle w:val="32"/>
          <w:rFonts w:ascii="黑体" w:hAnsi="黑体" w:eastAsia="黑体"/>
          <w:b w:val="0"/>
        </w:rPr>
      </w:pPr>
      <w:bookmarkStart w:id="29" w:name="_Toc16340"/>
      <w:bookmarkStart w:id="30" w:name="_Toc15396604"/>
      <w:bookmarkStart w:id="31" w:name="_Toc15377206"/>
      <w:r>
        <w:rPr>
          <w:rFonts w:hint="eastAsia" w:ascii="黑体" w:hAnsi="黑体" w:eastAsia="黑体"/>
          <w:sz w:val="32"/>
          <w:szCs w:val="32"/>
        </w:rPr>
        <w:t>收</w:t>
      </w:r>
      <w:r>
        <w:rPr>
          <w:rStyle w:val="32"/>
          <w:rFonts w:hint="eastAsia" w:ascii="黑体" w:hAnsi="黑体" w:eastAsia="黑体"/>
          <w:b w:val="0"/>
        </w:rPr>
        <w:t>入决算情况说明</w:t>
      </w:r>
      <w:bookmarkEnd w:id="29"/>
      <w:bookmarkEnd w:id="30"/>
      <w:bookmarkEnd w:id="31"/>
    </w:p>
    <w:p>
      <w:pPr>
        <w:spacing w:line="600" w:lineRule="exact"/>
        <w:ind w:firstLine="640" w:firstLineChars="200"/>
        <w:outlineLvl w:val="1"/>
        <w:rPr>
          <w:rFonts w:hint="eastAsia" w:ascii="仿宋" w:hAnsi="仿宋" w:eastAsia="仿宋"/>
          <w:sz w:val="32"/>
          <w:szCs w:val="32"/>
        </w:rPr>
      </w:pPr>
      <w:bookmarkStart w:id="32" w:name="_Toc2538"/>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785.18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754.17</w:t>
      </w:r>
      <w:r>
        <w:rPr>
          <w:rFonts w:hint="eastAsia" w:ascii="仿宋" w:hAnsi="仿宋" w:eastAsia="仿宋"/>
          <w:sz w:val="32"/>
          <w:szCs w:val="32"/>
        </w:rPr>
        <w:t>万元，占</w:t>
      </w:r>
      <w:r>
        <w:rPr>
          <w:rFonts w:hint="eastAsia" w:ascii="仿宋" w:hAnsi="仿宋" w:eastAsia="仿宋"/>
          <w:sz w:val="32"/>
          <w:szCs w:val="32"/>
          <w:lang w:val="en-US" w:eastAsia="zh-CN"/>
        </w:rPr>
        <w:t>96</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31.01</w:t>
      </w:r>
      <w:r>
        <w:rPr>
          <w:rFonts w:hint="eastAsia" w:ascii="仿宋" w:hAnsi="仿宋" w:eastAsia="仿宋"/>
          <w:sz w:val="32"/>
          <w:szCs w:val="32"/>
        </w:rPr>
        <w:t>万元，占</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bookmarkEnd w:id="32"/>
    </w:p>
    <w:p>
      <w:pPr>
        <w:pStyle w:val="8"/>
        <w:spacing w:before="93"/>
        <w:rPr>
          <w:rFonts w:hint="eastAsia"/>
        </w:rPr>
      </w:pPr>
    </w:p>
    <w:p>
      <w:pPr>
        <w:pStyle w:val="8"/>
        <w:spacing w:before="93"/>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pict>
          <v:shape id="Object 6" o:spid="_x0000_s2055" o:spt="75" type="#_x0000_t75" style="position:absolute;left:0pt;margin-left:60.4pt;margin-top:-4.6pt;height:191.05pt;width:310.1pt;z-index:251663360;mso-width-relative:page;mso-height-relative:page;" o:ole="t" filled="f" o:preferrelative="t" stroked="f" coordsize="21600,21600">
            <v:path/>
            <v:fill on="f" focussize="0,0"/>
            <v:stroke on="f"/>
            <v:imagedata r:id="rId9" o:title=""/>
            <o:lock v:ext="edit" aspectratio="t"/>
          </v:shape>
          <o:OLEObject Type="Embed" ProgID="Excel.Chart.8" ShapeID="Object 6" DrawAspect="Content" ObjectID="_1468075726" r:id="rId8">
            <o:LockedField>false</o:LockedField>
          </o:OLEObject>
        </w:pict>
      </w:r>
    </w:p>
    <w:p>
      <w:pPr>
        <w:pStyle w:val="8"/>
        <w:rPr>
          <w:rFonts w:hint="eastAsia" w:ascii="仿宋" w:hAnsi="仿宋" w:eastAsia="仿宋"/>
          <w:sz w:val="32"/>
          <w:szCs w:val="32"/>
        </w:rPr>
      </w:pPr>
    </w:p>
    <w:p>
      <w:pPr>
        <w:pStyle w:val="8"/>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w:t>
      </w:r>
    </w:p>
    <w:p>
      <w:pPr>
        <w:pStyle w:val="30"/>
        <w:numPr>
          <w:ilvl w:val="0"/>
          <w:numId w:val="1"/>
        </w:numPr>
        <w:spacing w:line="600" w:lineRule="exact"/>
        <w:ind w:firstLineChars="0"/>
        <w:outlineLvl w:val="1"/>
        <w:rPr>
          <w:rStyle w:val="32"/>
          <w:rFonts w:ascii="黑体" w:hAnsi="黑体" w:eastAsia="黑体"/>
          <w:b w:val="0"/>
        </w:rPr>
      </w:pPr>
      <w:bookmarkStart w:id="33" w:name="_Toc15396605"/>
      <w:bookmarkStart w:id="34" w:name="_Toc30947"/>
      <w:bookmarkStart w:id="35" w:name="_Toc15377207"/>
      <w:r>
        <w:rPr>
          <w:rFonts w:hint="eastAsia" w:ascii="黑体" w:hAnsi="黑体" w:eastAsia="黑体"/>
          <w:sz w:val="32"/>
          <w:szCs w:val="32"/>
        </w:rPr>
        <w:t>支</w:t>
      </w:r>
      <w:r>
        <w:rPr>
          <w:rStyle w:val="32"/>
          <w:rFonts w:hint="eastAsia" w:ascii="黑体" w:hAnsi="黑体" w:eastAsia="黑体"/>
          <w:b w:val="0"/>
        </w:rPr>
        <w:t>出决算情况说明</w:t>
      </w:r>
      <w:bookmarkEnd w:id="33"/>
      <w:bookmarkEnd w:id="34"/>
      <w:bookmarkEnd w:id="35"/>
    </w:p>
    <w:p>
      <w:pPr>
        <w:spacing w:line="600" w:lineRule="exact"/>
        <w:ind w:firstLine="640" w:firstLineChars="200"/>
        <w:outlineLvl w:val="1"/>
        <w:rPr>
          <w:rFonts w:hint="eastAsia" w:ascii="仿宋" w:hAnsi="仿宋" w:eastAsia="仿宋"/>
          <w:sz w:val="32"/>
          <w:szCs w:val="32"/>
        </w:rPr>
      </w:pPr>
      <w:bookmarkStart w:id="36" w:name="_Toc7994"/>
      <w:r>
        <w:rPr>
          <w:rFonts w:ascii="仿宋" w:hAnsi="仿宋" w:eastAsia="仿宋"/>
          <w:sz w:val="32"/>
          <w:szCs w:val="32"/>
        </w:rPr>
        <w:t>20</w:t>
      </w:r>
      <w:r>
        <w:rPr>
          <w:rFonts w:hint="eastAsia" w:ascii="仿宋" w:hAnsi="仿宋" w:eastAsia="仿宋"/>
          <w:sz w:val="32"/>
          <w:szCs w:val="32"/>
        </w:rPr>
        <w:t>21年本年支出合计</w:t>
      </w:r>
      <w:r>
        <w:rPr>
          <w:rFonts w:hint="eastAsia" w:ascii="仿宋" w:hAnsi="仿宋" w:eastAsia="仿宋"/>
          <w:sz w:val="32"/>
          <w:szCs w:val="32"/>
          <w:lang w:val="en-US" w:eastAsia="zh-CN"/>
        </w:rPr>
        <w:t>499.51</w:t>
      </w:r>
      <w:r>
        <w:rPr>
          <w:rFonts w:hint="eastAsia" w:ascii="仿宋" w:hAnsi="仿宋" w:eastAsia="仿宋"/>
          <w:sz w:val="32"/>
          <w:szCs w:val="32"/>
        </w:rPr>
        <w:t>万元，其中：基本支出</w:t>
      </w:r>
      <w:r>
        <w:rPr>
          <w:rFonts w:hint="eastAsia" w:ascii="仿宋" w:hAnsi="仿宋" w:eastAsia="仿宋"/>
          <w:sz w:val="32"/>
          <w:szCs w:val="32"/>
          <w:lang w:val="en-US" w:eastAsia="zh-CN"/>
        </w:rPr>
        <w:t>288.5</w:t>
      </w:r>
      <w:r>
        <w:rPr>
          <w:rFonts w:hint="eastAsia" w:ascii="仿宋" w:hAnsi="仿宋" w:eastAsia="仿宋"/>
          <w:sz w:val="32"/>
          <w:szCs w:val="32"/>
        </w:rPr>
        <w:t>万元，占</w:t>
      </w:r>
      <w:r>
        <w:rPr>
          <w:rFonts w:hint="eastAsia" w:ascii="仿宋" w:hAnsi="仿宋" w:eastAsia="仿宋"/>
          <w:sz w:val="32"/>
          <w:szCs w:val="32"/>
          <w:lang w:val="en-US" w:eastAsia="zh-CN"/>
        </w:rPr>
        <w:t>58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211.01</w:t>
      </w:r>
      <w:r>
        <w:rPr>
          <w:rFonts w:hint="eastAsia" w:ascii="仿宋" w:hAnsi="仿宋" w:eastAsia="仿宋"/>
          <w:sz w:val="32"/>
          <w:szCs w:val="32"/>
        </w:rPr>
        <w:t>万元，占</w:t>
      </w:r>
      <w:r>
        <w:rPr>
          <w:rFonts w:hint="eastAsia" w:ascii="仿宋" w:hAnsi="仿宋" w:eastAsia="仿宋"/>
          <w:sz w:val="32"/>
          <w:szCs w:val="32"/>
          <w:lang w:val="en-US" w:eastAsia="zh-CN"/>
        </w:rPr>
        <w:t>42</w:t>
      </w:r>
      <w:r>
        <w:rPr>
          <w:rFonts w:ascii="仿宋" w:hAnsi="仿宋" w:eastAsia="仿宋"/>
          <w:sz w:val="32"/>
          <w:szCs w:val="32"/>
        </w:rPr>
        <w:t>%</w:t>
      </w:r>
      <w:r>
        <w:rPr>
          <w:rFonts w:hint="eastAsia" w:ascii="仿宋" w:hAnsi="仿宋" w:eastAsia="仿宋"/>
          <w:sz w:val="32"/>
          <w:szCs w:val="32"/>
        </w:rPr>
        <w:t>。</w:t>
      </w:r>
      <w:bookmarkEnd w:id="36"/>
    </w:p>
    <w:p>
      <w:pPr>
        <w:spacing w:line="600" w:lineRule="exact"/>
        <w:ind w:firstLine="642" w:firstLineChars="200"/>
        <w:rPr>
          <w:rFonts w:hint="eastAsia" w:ascii="仿宋_GB2312" w:hAnsi="仿宋" w:eastAsia="仿宋_GB2312"/>
          <w:b/>
          <w:color w:val="FF0000"/>
          <w:sz w:val="32"/>
          <w:szCs w:val="32"/>
        </w:rPr>
      </w:pPr>
    </w:p>
    <w:p>
      <w:pPr>
        <w:spacing w:line="600" w:lineRule="exact"/>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hint="eastAsia" w:ascii="仿宋_GB2312" w:hAnsi="仿宋" w:eastAsia="仿宋_GB2312"/>
          <w:color w:val="000000"/>
          <w:sz w:val="32"/>
          <w:szCs w:val="32"/>
        </w:rPr>
        <w:pict>
          <v:shape id="Object 8" o:spid="_x0000_s2052" o:spt="75" type="#_x0000_t75" style="position:absolute;left:0pt;margin-left:45.2pt;margin-top:6.4pt;height:207.35pt;width:341.35pt;z-index:251660288;mso-width-relative:page;mso-height-relative:page;" o:ole="t" filled="f" o:preferrelative="t" stroked="f" coordsize="21600,21600">
            <v:path/>
            <v:fill on="f" focussize="0,0"/>
            <v:stroke on="f"/>
            <v:imagedata r:id="rId11" o:title=""/>
            <o:lock v:ext="edit" aspectratio="t"/>
          </v:shape>
          <o:OLEObject Type="Embed" ProgID="Excel.Chart.8" ShapeID="Object 8" DrawAspect="Content" ObjectID="_1468075727" r:id="rId10">
            <o:LockedField>false</o:LockedField>
          </o:OLEObject>
        </w:pict>
      </w: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jc w:val="center"/>
        <w:outlineLvl w:val="1"/>
        <w:rPr>
          <w:rFonts w:hint="eastAsia" w:ascii="仿宋_GB2312" w:hAnsi="仿宋" w:eastAsia="仿宋_GB2312"/>
          <w:color w:val="000000"/>
          <w:sz w:val="32"/>
          <w:szCs w:val="32"/>
        </w:rPr>
      </w:pPr>
      <w:bookmarkStart w:id="37" w:name="_Toc29138"/>
      <w:bookmarkStart w:id="38" w:name="_Toc23388"/>
      <w:bookmarkStart w:id="39" w:name="_Toc489"/>
      <w:bookmarkStart w:id="40" w:name="_Toc9363"/>
    </w:p>
    <w:p>
      <w:pPr>
        <w:spacing w:line="600" w:lineRule="exact"/>
        <w:ind w:firstLine="640" w:firstLineChars="200"/>
        <w:jc w:val="center"/>
        <w:outlineLvl w:val="1"/>
        <w:rPr>
          <w:rFonts w:hint="eastAsia" w:ascii="仿宋_GB2312" w:hAnsi="仿宋" w:eastAsia="仿宋_GB2312"/>
          <w:color w:val="000000"/>
          <w:sz w:val="32"/>
          <w:szCs w:val="32"/>
        </w:rPr>
      </w:pPr>
    </w:p>
    <w:p>
      <w:pPr>
        <w:spacing w:line="600" w:lineRule="exact"/>
        <w:ind w:firstLine="640" w:firstLineChars="200"/>
        <w:jc w:val="center"/>
        <w:outlineLvl w:val="1"/>
        <w:rPr>
          <w:rFonts w:hint="eastAsia" w:ascii="仿宋_GB2312" w:hAnsi="黑体" w:eastAsia="仿宋_GB2312"/>
          <w:color w:val="000000"/>
          <w:sz w:val="32"/>
          <w:szCs w:val="32"/>
        </w:rPr>
      </w:pPr>
      <w:bookmarkStart w:id="41" w:name="_Toc414"/>
      <w:r>
        <w:rPr>
          <w:rFonts w:hint="eastAsia" w:ascii="仿宋_GB2312" w:hAnsi="仿宋" w:eastAsia="仿宋_GB2312"/>
          <w:color w:val="000000"/>
          <w:sz w:val="32"/>
          <w:szCs w:val="32"/>
        </w:rPr>
        <w:t>图3：支出决算结构图</w:t>
      </w:r>
      <w:bookmarkEnd w:id="37"/>
      <w:bookmarkEnd w:id="38"/>
      <w:bookmarkEnd w:id="39"/>
      <w:bookmarkEnd w:id="40"/>
      <w:bookmarkEnd w:id="41"/>
      <w:r>
        <w:rPr>
          <w:rFonts w:hint="eastAsia" w:ascii="仿宋_GB2312" w:hAnsi="黑体" w:eastAsia="仿宋_GB2312"/>
          <w:color w:val="000000"/>
          <w:sz w:val="32"/>
          <w:szCs w:val="32"/>
        </w:rPr>
        <w:tab/>
      </w:r>
    </w:p>
    <w:p>
      <w:pPr>
        <w:spacing w:line="600" w:lineRule="exact"/>
        <w:rPr>
          <w:rFonts w:hint="eastAsia" w:ascii="仿宋_GB2312" w:eastAsia="仿宋_GB2312"/>
          <w:sz w:val="32"/>
          <w:szCs w:val="32"/>
          <w:lang w:val="en-US" w:eastAsia="zh-CN"/>
        </w:rPr>
      </w:pPr>
    </w:p>
    <w:p>
      <w:pPr>
        <w:spacing w:line="600" w:lineRule="exact"/>
        <w:ind w:firstLine="640" w:firstLineChars="200"/>
        <w:outlineLvl w:val="1"/>
        <w:rPr>
          <w:rStyle w:val="32"/>
          <w:rFonts w:ascii="黑体" w:hAnsi="黑体" w:eastAsia="黑体"/>
          <w:b w:val="0"/>
        </w:rPr>
      </w:pPr>
      <w:bookmarkStart w:id="42" w:name="_Toc15396606"/>
      <w:bookmarkStart w:id="43" w:name="_Toc3236"/>
      <w:bookmarkStart w:id="44"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42"/>
      <w:bookmarkEnd w:id="43"/>
      <w:bookmarkEnd w:id="44"/>
    </w:p>
    <w:p>
      <w:pPr>
        <w:spacing w:line="600" w:lineRule="exact"/>
        <w:ind w:firstLine="640"/>
        <w:rPr>
          <w:rFonts w:hint="eastAsia"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hint="eastAsia" w:ascii="仿宋" w:hAnsi="仿宋" w:eastAsia="仿宋"/>
          <w:sz w:val="32"/>
          <w:szCs w:val="32"/>
          <w:lang w:val="en-US" w:eastAsia="zh-CN"/>
        </w:rPr>
        <w:t>793.4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hint="eastAsia" w:ascii="仿宋" w:hAnsi="仿宋" w:eastAsia="仿宋"/>
          <w:sz w:val="32"/>
          <w:szCs w:val="32"/>
          <w:lang w:val="en-US" w:eastAsia="zh-CN"/>
        </w:rPr>
        <w:t>327.84</w:t>
      </w:r>
      <w:r>
        <w:rPr>
          <w:rFonts w:hint="eastAsia" w:ascii="仿宋" w:hAnsi="仿宋" w:eastAsia="仿宋"/>
          <w:sz w:val="32"/>
          <w:szCs w:val="32"/>
        </w:rPr>
        <w:t>万元，增长</w:t>
      </w:r>
      <w:r>
        <w:rPr>
          <w:rFonts w:hint="eastAsia" w:ascii="仿宋" w:hAnsi="仿宋" w:eastAsia="仿宋"/>
          <w:sz w:val="32"/>
          <w:szCs w:val="32"/>
          <w:lang w:val="en-US" w:eastAsia="zh-CN"/>
        </w:rPr>
        <w:t>70.42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当年人员经费及</w:t>
      </w:r>
      <w:r>
        <w:rPr>
          <w:rFonts w:hint="eastAsia" w:ascii="仿宋_GB2312" w:hAnsi="仿宋" w:eastAsia="仿宋_GB2312"/>
          <w:color w:val="000000"/>
          <w:sz w:val="32"/>
          <w:szCs w:val="32"/>
        </w:rPr>
        <w:t>项目工作经费</w:t>
      </w:r>
      <w:r>
        <w:rPr>
          <w:rFonts w:hint="eastAsia" w:ascii="仿宋_GB2312" w:hAnsi="仿宋" w:eastAsia="仿宋_GB2312"/>
          <w:color w:val="000000"/>
          <w:sz w:val="32"/>
          <w:szCs w:val="32"/>
          <w:lang w:eastAsia="zh-CN"/>
        </w:rPr>
        <w:t>增加。</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pict>
          <v:shape id="Object 9" o:spid="_x0000_s2053" o:spt="75" type="#_x0000_t75" style="position:absolute;left:0pt;margin-left:50.55pt;margin-top:28.05pt;height:206.45pt;width:339.75pt;z-index:251661312;mso-width-relative:page;mso-height-relative:page;" o:ole="t" filled="f" o:preferrelative="t" stroked="f" coordsize="21600,21600">
            <v:path/>
            <v:fill on="f" focussize="0,0"/>
            <v:stroke on="f"/>
            <v:imagedata r:id="rId13" o:title=""/>
            <o:lock v:ext="edit" aspectratio="t"/>
          </v:shape>
          <o:OLEObject Type="Embed" ProgID="Excel.Chart.8" ShapeID="Object 9" DrawAspect="Content" ObjectID="_1468075728" r:id="rId12">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32"/>
          <w:rFonts w:ascii="黑体" w:hAnsi="黑体" w:eastAsia="黑体"/>
          <w:b w:val="0"/>
        </w:rPr>
      </w:pPr>
      <w:bookmarkStart w:id="45" w:name="_Toc15377209"/>
      <w:bookmarkStart w:id="46" w:name="_Toc32172"/>
      <w:bookmarkStart w:id="47"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45"/>
      <w:bookmarkEnd w:id="46"/>
      <w:bookmarkEnd w:id="47"/>
    </w:p>
    <w:p>
      <w:pPr>
        <w:spacing w:line="600" w:lineRule="exact"/>
        <w:ind w:firstLine="642" w:firstLineChars="200"/>
        <w:outlineLvl w:val="2"/>
        <w:rPr>
          <w:rFonts w:ascii="仿宋" w:hAnsi="仿宋" w:eastAsia="仿宋"/>
          <w:b/>
          <w:sz w:val="32"/>
          <w:szCs w:val="32"/>
        </w:rPr>
      </w:pPr>
      <w:bookmarkStart w:id="48" w:name="_Toc14908"/>
      <w:bookmarkStart w:id="49" w:name="_Toc15377210"/>
      <w:r>
        <w:rPr>
          <w:rFonts w:hint="eastAsia" w:ascii="仿宋" w:hAnsi="仿宋" w:eastAsia="仿宋"/>
          <w:b/>
          <w:sz w:val="32"/>
          <w:szCs w:val="32"/>
        </w:rPr>
        <w:t>（一）一般公共预算财政拨款支出决算总体情况</w:t>
      </w:r>
      <w:bookmarkEnd w:id="48"/>
      <w:bookmarkEnd w:id="49"/>
    </w:p>
    <w:p>
      <w:pPr>
        <w:spacing w:line="600" w:lineRule="exact"/>
        <w:ind w:firstLine="640" w:firstLineChars="200"/>
        <w:rPr>
          <w:rFonts w:hint="eastAsia"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463.74</w:t>
      </w:r>
      <w:r>
        <w:rPr>
          <w:rFonts w:hint="eastAsia" w:ascii="仿宋" w:hAnsi="仿宋" w:eastAsia="仿宋"/>
          <w:sz w:val="32"/>
          <w:szCs w:val="32"/>
        </w:rPr>
        <w:t>万元，占本年支出合计的98.</w:t>
      </w:r>
      <w:r>
        <w:rPr>
          <w:rFonts w:hint="eastAsia" w:ascii="仿宋" w:hAnsi="仿宋" w:eastAsia="仿宋"/>
          <w:sz w:val="32"/>
          <w:szCs w:val="32"/>
          <w:lang w:val="en-US" w:eastAsia="zh-CN"/>
        </w:rPr>
        <w:t>81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sz w:val="32"/>
          <w:szCs w:val="32"/>
          <w:lang w:val="en-US" w:eastAsia="zh-CN"/>
        </w:rPr>
        <w:t>115.86</w:t>
      </w:r>
      <w:r>
        <w:rPr>
          <w:rFonts w:hint="eastAsia" w:ascii="仿宋" w:hAnsi="仿宋" w:eastAsia="仿宋"/>
          <w:sz w:val="32"/>
          <w:szCs w:val="32"/>
        </w:rPr>
        <w:t>万元，增长</w:t>
      </w:r>
      <w:r>
        <w:rPr>
          <w:rFonts w:hint="eastAsia" w:ascii="仿宋" w:hAnsi="仿宋" w:eastAsia="仿宋"/>
          <w:sz w:val="32"/>
          <w:szCs w:val="32"/>
          <w:lang w:val="en-US" w:eastAsia="zh-CN"/>
        </w:rPr>
        <w:t>33.30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_GB2312" w:hAnsi="仿宋" w:eastAsia="仿宋_GB2312"/>
          <w:color w:val="000000"/>
          <w:sz w:val="32"/>
          <w:szCs w:val="32"/>
        </w:rPr>
        <w:t>项目工作经费</w:t>
      </w:r>
      <w:r>
        <w:rPr>
          <w:rFonts w:hint="eastAsia" w:ascii="仿宋_GB2312" w:hAnsi="仿宋" w:eastAsia="仿宋_GB2312"/>
          <w:color w:val="000000"/>
          <w:sz w:val="32"/>
          <w:szCs w:val="32"/>
          <w:lang w:eastAsia="zh-CN"/>
        </w:rPr>
        <w:t>增加。</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pict>
          <v:shape id="Object 12" o:spid="_x0000_s2054" o:spt="75" type="#_x0000_t75" style="position:absolute;left:0pt;margin-left:40.3pt;margin-top:-43.25pt;height:200.1pt;width:329.05pt;z-index:251662336;mso-width-relative:page;mso-height-relative:page;" o:ole="t" filled="f" o:preferrelative="t" stroked="f" coordsize="21600,21600">
            <v:path/>
            <v:fill on="f" focussize="0,0"/>
            <v:stroke on="f"/>
            <v:imagedata r:id="rId15" o:title=""/>
            <o:lock v:ext="edit" aspectratio="t"/>
          </v:shape>
          <o:OLEObject Type="Embed" ProgID="Excel.Chart.8" ShapeID="Object 12" DrawAspect="Content" ObjectID="_1468075729" r:id="rId14">
            <o:LockedField>false</o:LockedField>
          </o:OLEObject>
        </w:pict>
      </w: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pStyle w:val="8"/>
        <w:rPr>
          <w:rFonts w:hint="eastAsia"/>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2" w:firstLineChars="200"/>
        <w:outlineLvl w:val="2"/>
        <w:rPr>
          <w:rFonts w:ascii="仿宋" w:hAnsi="仿宋" w:eastAsia="仿宋"/>
          <w:b/>
          <w:sz w:val="32"/>
          <w:szCs w:val="32"/>
        </w:rPr>
      </w:pPr>
      <w:bookmarkStart w:id="50" w:name="_Toc15377211"/>
      <w:bookmarkStart w:id="51" w:name="_Toc17354"/>
      <w:r>
        <w:rPr>
          <w:rFonts w:hint="eastAsia" w:ascii="仿宋" w:hAnsi="仿宋" w:eastAsia="仿宋"/>
          <w:b/>
          <w:sz w:val="32"/>
          <w:szCs w:val="32"/>
        </w:rPr>
        <w:t>（二）一般公共预算财政拨款支出决算结构情况</w:t>
      </w:r>
      <w:bookmarkEnd w:id="50"/>
      <w:bookmarkEnd w:id="5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463.74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w:t>
      </w:r>
      <w:r>
        <w:rPr>
          <w:rFonts w:hint="eastAsia" w:ascii="仿宋" w:hAnsi="仿宋" w:eastAsia="仿宋"/>
          <w:sz w:val="32"/>
          <w:szCs w:val="32"/>
          <w:lang w:val="en-US" w:eastAsia="zh-CN"/>
        </w:rPr>
        <w:t>0.34</w:t>
      </w:r>
      <w:r>
        <w:rPr>
          <w:rFonts w:hint="eastAsia" w:ascii="仿宋" w:hAnsi="仿宋" w:eastAsia="仿宋"/>
          <w:sz w:val="32"/>
          <w:szCs w:val="32"/>
        </w:rPr>
        <w:t>万元，占0</w:t>
      </w:r>
      <w:r>
        <w:rPr>
          <w:rFonts w:hint="eastAsia" w:ascii="仿宋" w:hAnsi="仿宋" w:eastAsia="仿宋"/>
          <w:sz w:val="32"/>
          <w:szCs w:val="32"/>
          <w:lang w:val="en-US" w:eastAsia="zh-CN"/>
        </w:rPr>
        <w:t>.07%</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25.94</w:t>
      </w:r>
      <w:r>
        <w:rPr>
          <w:rFonts w:hint="eastAsia" w:ascii="仿宋" w:hAnsi="仿宋" w:eastAsia="仿宋"/>
          <w:sz w:val="32"/>
          <w:szCs w:val="32"/>
        </w:rPr>
        <w:t>万元，占</w:t>
      </w:r>
      <w:r>
        <w:rPr>
          <w:rFonts w:hint="eastAsia" w:ascii="仿宋" w:hAnsi="仿宋" w:eastAsia="仿宋"/>
          <w:sz w:val="32"/>
          <w:szCs w:val="32"/>
          <w:lang w:val="en-US" w:eastAsia="zh-CN"/>
        </w:rPr>
        <w:t>5.60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10.83</w:t>
      </w:r>
      <w:r>
        <w:rPr>
          <w:rFonts w:hint="eastAsia" w:ascii="仿宋" w:hAnsi="仿宋" w:eastAsia="仿宋"/>
          <w:sz w:val="32"/>
          <w:szCs w:val="32"/>
        </w:rPr>
        <w:t>万元，占2.3</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22.07</w:t>
      </w:r>
      <w:r>
        <w:rPr>
          <w:rFonts w:hint="eastAsia" w:ascii="仿宋" w:hAnsi="仿宋" w:eastAsia="仿宋"/>
          <w:sz w:val="32"/>
          <w:szCs w:val="32"/>
        </w:rPr>
        <w:t>万元，占</w:t>
      </w:r>
      <w:r>
        <w:rPr>
          <w:rFonts w:hint="eastAsia" w:ascii="仿宋" w:hAnsi="仿宋" w:eastAsia="仿宋"/>
          <w:sz w:val="32"/>
          <w:szCs w:val="32"/>
          <w:lang w:val="en-US" w:eastAsia="zh-CN"/>
        </w:rPr>
        <w:t>4.76</w:t>
      </w:r>
      <w:r>
        <w:rPr>
          <w:rFonts w:ascii="仿宋" w:hAnsi="仿宋" w:eastAsia="仿宋"/>
          <w:sz w:val="32"/>
          <w:szCs w:val="32"/>
        </w:rPr>
        <w:t>%</w:t>
      </w:r>
      <w:r>
        <w:rPr>
          <w:rFonts w:hint="eastAsia" w:ascii="仿宋" w:hAnsi="仿宋" w:eastAsia="仿宋"/>
          <w:sz w:val="32"/>
          <w:szCs w:val="32"/>
          <w:lang w:val="en-US" w:eastAsia="zh-CN"/>
        </w:rPr>
        <w:t>;</w:t>
      </w:r>
      <w:r>
        <w:rPr>
          <w:rFonts w:hint="eastAsia" w:ascii="仿宋_GB2312" w:hAnsi="仿宋" w:eastAsia="仿宋_GB2312"/>
          <w:b/>
          <w:bCs/>
          <w:color w:val="000000"/>
          <w:sz w:val="32"/>
          <w:szCs w:val="32"/>
        </w:rPr>
        <w:t>粮油物资储备</w:t>
      </w:r>
      <w:r>
        <w:rPr>
          <w:rFonts w:hint="eastAsia" w:ascii="仿宋_GB2312" w:hAnsi="仿宋" w:eastAsia="仿宋_GB2312"/>
          <w:color w:val="000000"/>
          <w:sz w:val="32"/>
          <w:szCs w:val="32"/>
        </w:rPr>
        <w:t>支出</w:t>
      </w:r>
      <w:r>
        <w:rPr>
          <w:rFonts w:hint="eastAsia" w:ascii="仿宋_GB2312" w:hAnsi="仿宋" w:eastAsia="仿宋_GB2312"/>
          <w:color w:val="000000"/>
          <w:sz w:val="32"/>
          <w:szCs w:val="32"/>
          <w:lang w:val="en-US" w:eastAsia="zh-CN"/>
        </w:rPr>
        <w:t>404.54</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87.23</w:t>
      </w:r>
      <w:r>
        <w:rPr>
          <w:rFonts w:hint="eastAsia" w:ascii="仿宋_GB2312" w:hAnsi="仿宋" w:eastAsia="仿宋_GB2312"/>
          <w:color w:val="000000"/>
          <w:sz w:val="32"/>
          <w:szCs w:val="32"/>
        </w:rPr>
        <w:t>%</w:t>
      </w:r>
      <w:r>
        <w:rPr>
          <w:rFonts w:hint="eastAsia" w:ascii="仿宋" w:hAnsi="仿宋" w:eastAsia="仿宋"/>
          <w:sz w:val="32"/>
          <w:szCs w:val="32"/>
        </w:rPr>
        <w:t>。</w:t>
      </w:r>
    </w:p>
    <w:p>
      <w:pPr>
        <w:pStyle w:val="8"/>
        <w:spacing w:before="93"/>
        <w:rPr>
          <w:rFonts w:hint="eastAsia"/>
        </w:rPr>
      </w:pPr>
      <w:r>
        <w:rPr>
          <w:rFonts w:hint="eastAsia" w:ascii="仿宋" w:hAnsi="仿宋" w:eastAsia="仿宋"/>
          <w:color w:val="000000"/>
          <w:sz w:val="32"/>
          <w:szCs w:val="32"/>
        </w:rPr>
        <w:pict>
          <v:shape id="Object 11" o:spid="_x0000_s2056" o:spt="75" type="#_x0000_t75" style="position:absolute;left:0pt;margin-left:36.25pt;margin-top:27.3pt;height:208.85pt;width:293.65pt;z-index:251664384;mso-width-relative:page;mso-height-relative:page;" o:ole="t" filled="f" o:preferrelative="t" stroked="f" coordsize="21600,21600">
            <v:path/>
            <v:fill on="f" focussize="0,0"/>
            <v:stroke on="f"/>
            <v:imagedata r:id="rId17" o:title=""/>
            <o:lock v:ext="edit" aspectratio="t"/>
          </v:shape>
          <o:OLEObject Type="Embed" ProgID="Excel.Chart.8" ShapeID="Object 11" DrawAspect="Content" ObjectID="_1468075730" r:id="rId16">
            <o:LockedField>false</o:LockedField>
          </o:OLEObject>
        </w:pict>
      </w:r>
    </w:p>
    <w:p>
      <w:pPr>
        <w:pStyle w:val="8"/>
        <w:spacing w:before="93"/>
        <w:rPr>
          <w:rFonts w:hint="eastAsia"/>
        </w:rPr>
      </w:pPr>
    </w:p>
    <w:p>
      <w:pPr>
        <w:pStyle w:val="8"/>
        <w:spacing w:before="93"/>
        <w:rPr>
          <w:rFonts w:hint="eastAsia"/>
        </w:rPr>
      </w:pPr>
    </w:p>
    <w:p>
      <w:pPr>
        <w:pStyle w:val="8"/>
        <w:spacing w:before="93"/>
        <w:rPr>
          <w:rFonts w:hint="eastAsia"/>
        </w:rPr>
      </w:pPr>
    </w:p>
    <w:p>
      <w:pPr>
        <w:pStyle w:val="8"/>
        <w:spacing w:before="93"/>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hint="eastAsia" w:ascii="仿宋" w:hAnsi="仿宋" w:eastAsia="仿宋"/>
          <w:b/>
          <w:sz w:val="32"/>
          <w:szCs w:val="32"/>
        </w:rPr>
      </w:pPr>
      <w:bookmarkStart w:id="52" w:name="_Toc15377212"/>
    </w:p>
    <w:p>
      <w:pPr>
        <w:spacing w:line="600" w:lineRule="exact"/>
        <w:ind w:firstLine="642" w:firstLineChars="200"/>
        <w:outlineLvl w:val="2"/>
        <w:rPr>
          <w:rFonts w:hint="eastAsia" w:ascii="仿宋" w:hAnsi="仿宋" w:eastAsia="仿宋"/>
          <w:b/>
          <w:sz w:val="32"/>
          <w:szCs w:val="32"/>
        </w:rPr>
      </w:pPr>
    </w:p>
    <w:p>
      <w:pPr>
        <w:spacing w:line="600" w:lineRule="exact"/>
        <w:ind w:firstLine="642" w:firstLineChars="200"/>
        <w:outlineLvl w:val="2"/>
        <w:rPr>
          <w:rFonts w:ascii="仿宋" w:hAnsi="仿宋" w:eastAsia="仿宋"/>
          <w:b/>
          <w:sz w:val="32"/>
          <w:szCs w:val="32"/>
        </w:rPr>
      </w:pPr>
      <w:bookmarkStart w:id="53" w:name="_Toc24276"/>
      <w:r>
        <w:rPr>
          <w:rFonts w:hint="eastAsia" w:ascii="仿宋" w:hAnsi="仿宋" w:eastAsia="仿宋"/>
          <w:b/>
          <w:sz w:val="32"/>
          <w:szCs w:val="32"/>
        </w:rPr>
        <w:t>（三）一般公共预算财政拨款支出决算具体情况</w:t>
      </w:r>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ascii="仿宋" w:hAnsi="仿宋" w:eastAsia="仿宋"/>
          <w:sz w:val="32"/>
          <w:szCs w:val="32"/>
        </w:rPr>
      </w:pPr>
      <w:bookmarkStart w:id="54" w:name="_Toc15377213"/>
      <w:bookmarkStart w:id="55" w:name="_Toc15377444"/>
      <w:bookmarkStart w:id="56" w:name="_Toc17994"/>
      <w:bookmarkStart w:id="57" w:name="_Toc15378460"/>
      <w:r>
        <w:rPr>
          <w:rFonts w:hint="eastAsia" w:ascii="仿宋" w:hAnsi="仿宋" w:eastAsia="仿宋"/>
          <w:b/>
          <w:sz w:val="32"/>
          <w:szCs w:val="32"/>
        </w:rPr>
        <w:t>2021年一般公共预算支出决算数为</w:t>
      </w:r>
      <w:r>
        <w:rPr>
          <w:rFonts w:hint="eastAsia" w:ascii="仿宋" w:hAnsi="仿宋" w:eastAsia="仿宋"/>
          <w:b/>
          <w:sz w:val="32"/>
          <w:szCs w:val="32"/>
          <w:lang w:val="en-US" w:eastAsia="zh-CN"/>
        </w:rPr>
        <w:t>463.74</w:t>
      </w:r>
      <w:r>
        <w:rPr>
          <w:rFonts w:hint="eastAsia" w:ascii="仿宋" w:hAnsi="仿宋" w:eastAsia="仿宋"/>
          <w:b/>
          <w:sz w:val="32"/>
          <w:szCs w:val="32"/>
        </w:rPr>
        <w:t>万元</w:t>
      </w:r>
      <w:r>
        <w:rPr>
          <w:rFonts w:hint="eastAsia" w:ascii="仿宋" w:hAnsi="仿宋" w:eastAsia="仿宋"/>
          <w:sz w:val="32"/>
          <w:szCs w:val="32"/>
        </w:rPr>
        <w:t>，</w:t>
      </w:r>
      <w:r>
        <w:rPr>
          <w:rStyle w:val="21"/>
          <w:rFonts w:hint="eastAsia" w:ascii="仿宋" w:hAnsi="仿宋" w:eastAsia="仿宋"/>
          <w:bCs/>
          <w:sz w:val="32"/>
          <w:szCs w:val="32"/>
        </w:rPr>
        <w:t>完成预算</w:t>
      </w:r>
      <w:r>
        <w:rPr>
          <w:rStyle w:val="21"/>
          <w:rFonts w:hint="eastAsia" w:ascii="仿宋" w:hAnsi="仿宋" w:eastAsia="仿宋"/>
          <w:bCs/>
          <w:sz w:val="32"/>
          <w:szCs w:val="32"/>
          <w:lang w:val="en-US" w:eastAsia="zh-CN"/>
        </w:rPr>
        <w:t>59.08</w:t>
      </w:r>
      <w:r>
        <w:rPr>
          <w:rStyle w:val="21"/>
          <w:rFonts w:ascii="仿宋" w:hAnsi="仿宋" w:eastAsia="仿宋"/>
          <w:bCs/>
          <w:sz w:val="32"/>
          <w:szCs w:val="32"/>
        </w:rPr>
        <w:t>%</w:t>
      </w:r>
      <w:r>
        <w:rPr>
          <w:rStyle w:val="21"/>
          <w:rFonts w:hint="eastAsia" w:ascii="仿宋" w:hAnsi="仿宋" w:eastAsia="仿宋"/>
          <w:bCs/>
          <w:sz w:val="32"/>
          <w:szCs w:val="32"/>
        </w:rPr>
        <w:t>。其中：</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1"/>
          <w:rFonts w:hint="eastAsia" w:ascii="仿宋_GB2312" w:hAnsi="仿宋" w:eastAsia="仿宋_GB2312"/>
          <w:b w:val="0"/>
          <w:bCs/>
          <w:color w:val="auto"/>
          <w:sz w:val="32"/>
          <w:szCs w:val="32"/>
        </w:rPr>
      </w:pPr>
      <w:r>
        <w:rPr>
          <w:rStyle w:val="21"/>
          <w:rFonts w:ascii="仿宋" w:hAnsi="仿宋" w:eastAsia="仿宋"/>
          <w:bCs/>
          <w:sz w:val="32"/>
          <w:szCs w:val="32"/>
        </w:rPr>
        <w:t>1.</w:t>
      </w:r>
      <w:r>
        <w:rPr>
          <w:rStyle w:val="21"/>
          <w:rFonts w:hint="eastAsia" w:ascii="仿宋_GB2312" w:hAnsi="仿宋" w:eastAsia="仿宋_GB2312"/>
          <w:bCs/>
          <w:color w:val="auto"/>
          <w:sz w:val="32"/>
          <w:szCs w:val="32"/>
        </w:rPr>
        <w:t>科学技术（类）技术研究与开发（款）科技成果转化与扩散（项）:</w:t>
      </w:r>
      <w:r>
        <w:rPr>
          <w:rStyle w:val="21"/>
          <w:rFonts w:hint="eastAsia" w:ascii="仿宋_GB2312" w:hAnsi="仿宋" w:eastAsia="仿宋_GB2312"/>
          <w:b w:val="0"/>
          <w:bCs/>
          <w:color w:val="auto"/>
          <w:sz w:val="32"/>
          <w:szCs w:val="32"/>
        </w:rPr>
        <w:t>支出决算为0.</w:t>
      </w:r>
      <w:r>
        <w:rPr>
          <w:rStyle w:val="21"/>
          <w:rFonts w:hint="eastAsia" w:ascii="仿宋_GB2312" w:hAnsi="仿宋" w:eastAsia="仿宋_GB2312"/>
          <w:b w:val="0"/>
          <w:bCs/>
          <w:color w:val="auto"/>
          <w:sz w:val="32"/>
          <w:szCs w:val="32"/>
          <w:lang w:val="en-US" w:eastAsia="zh-CN"/>
        </w:rPr>
        <w:t>3</w:t>
      </w:r>
      <w:r>
        <w:rPr>
          <w:rStyle w:val="21"/>
          <w:rFonts w:hint="eastAsia" w:ascii="仿宋_GB2312" w:hAnsi="仿宋" w:eastAsia="仿宋_GB2312"/>
          <w:b w:val="0"/>
          <w:bCs/>
          <w:color w:val="auto"/>
          <w:sz w:val="32"/>
          <w:szCs w:val="32"/>
        </w:rPr>
        <w:t>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1"/>
          <w:rFonts w:hint="eastAsia" w:ascii="仿宋_GB2312" w:hAnsi="仿宋" w:eastAsia="仿宋_GB2312"/>
          <w:b w:val="0"/>
          <w:bCs/>
          <w:color w:val="auto"/>
          <w:sz w:val="32"/>
          <w:szCs w:val="32"/>
        </w:rPr>
      </w:pPr>
      <w:r>
        <w:rPr>
          <w:rStyle w:val="21"/>
          <w:rFonts w:hint="eastAsia" w:ascii="仿宋_GB2312" w:hAnsi="仿宋" w:eastAsia="仿宋_GB2312"/>
          <w:bCs/>
          <w:color w:val="auto"/>
          <w:sz w:val="32"/>
          <w:szCs w:val="32"/>
          <w:lang w:val="en-US" w:eastAsia="zh-CN"/>
        </w:rPr>
        <w:t>2</w:t>
      </w:r>
      <w:r>
        <w:rPr>
          <w:rStyle w:val="21"/>
          <w:rFonts w:hint="eastAsia" w:ascii="仿宋_GB2312" w:hAnsi="仿宋" w:eastAsia="仿宋_GB2312"/>
          <w:bCs/>
          <w:color w:val="auto"/>
          <w:sz w:val="32"/>
          <w:szCs w:val="32"/>
        </w:rPr>
        <w:t>.社会保障和就业</w:t>
      </w:r>
      <w:r>
        <w:rPr>
          <w:rStyle w:val="21"/>
          <w:rFonts w:hint="eastAsia" w:ascii="仿宋_GB2312" w:hAnsi="仿宋" w:eastAsia="仿宋_GB2312"/>
          <w:bCs/>
          <w:color w:val="auto"/>
          <w:sz w:val="32"/>
          <w:szCs w:val="32"/>
          <w:lang w:eastAsia="zh-CN"/>
        </w:rPr>
        <w:t>支出</w:t>
      </w:r>
      <w:r>
        <w:rPr>
          <w:rStyle w:val="21"/>
          <w:rFonts w:hint="eastAsia" w:ascii="仿宋_GB2312" w:hAnsi="仿宋" w:eastAsia="仿宋_GB2312"/>
          <w:bCs/>
          <w:color w:val="auto"/>
          <w:sz w:val="32"/>
          <w:szCs w:val="32"/>
        </w:rPr>
        <w:t>（类）行政事业单位</w:t>
      </w:r>
      <w:r>
        <w:rPr>
          <w:rStyle w:val="21"/>
          <w:rFonts w:hint="eastAsia" w:ascii="仿宋_GB2312" w:hAnsi="仿宋" w:eastAsia="仿宋_GB2312"/>
          <w:bCs/>
          <w:color w:val="auto"/>
          <w:sz w:val="32"/>
          <w:szCs w:val="32"/>
          <w:lang w:eastAsia="zh-CN"/>
        </w:rPr>
        <w:t>养老支出</w:t>
      </w:r>
      <w:r>
        <w:rPr>
          <w:rStyle w:val="21"/>
          <w:rFonts w:hint="eastAsia" w:ascii="仿宋_GB2312" w:hAnsi="仿宋" w:eastAsia="仿宋_GB2312"/>
          <w:bCs/>
          <w:color w:val="auto"/>
          <w:sz w:val="32"/>
          <w:szCs w:val="32"/>
        </w:rPr>
        <w:t>（款）机关事业单位基本养老保险缴费支出（项）:</w:t>
      </w:r>
      <w:r>
        <w:rPr>
          <w:rStyle w:val="21"/>
          <w:rFonts w:hint="eastAsia" w:ascii="仿宋_GB2312" w:hAnsi="仿宋" w:eastAsia="仿宋_GB2312"/>
          <w:b w:val="0"/>
          <w:bCs/>
          <w:color w:val="auto"/>
          <w:sz w:val="32"/>
          <w:szCs w:val="32"/>
        </w:rPr>
        <w:t>支出决算为</w:t>
      </w:r>
      <w:r>
        <w:rPr>
          <w:rStyle w:val="21"/>
          <w:rFonts w:hint="eastAsia" w:ascii="仿宋_GB2312" w:hAnsi="仿宋" w:eastAsia="仿宋_GB2312"/>
          <w:b w:val="0"/>
          <w:bCs/>
          <w:color w:val="auto"/>
          <w:sz w:val="32"/>
          <w:szCs w:val="32"/>
          <w:lang w:val="en-US" w:eastAsia="zh-CN"/>
        </w:rPr>
        <w:t>20.8</w:t>
      </w:r>
      <w:r>
        <w:rPr>
          <w:rStyle w:val="21"/>
          <w:rFonts w:hint="eastAsia" w:ascii="仿宋_GB2312" w:hAnsi="仿宋" w:eastAsia="仿宋_GB2312"/>
          <w:b w:val="0"/>
          <w:bCs/>
          <w:color w:val="auto"/>
          <w:sz w:val="32"/>
          <w:szCs w:val="32"/>
        </w:rPr>
        <w:t>万元，完成预算100%。</w:t>
      </w:r>
    </w:p>
    <w:p>
      <w:pPr>
        <w:spacing w:line="600" w:lineRule="exact"/>
        <w:ind w:firstLine="642" w:firstLineChars="200"/>
        <w:rPr>
          <w:rFonts w:hint="eastAsia"/>
        </w:rPr>
      </w:pPr>
      <w:r>
        <w:rPr>
          <w:rStyle w:val="21"/>
          <w:rFonts w:hint="eastAsia" w:ascii="仿宋" w:hAnsi="仿宋" w:eastAsia="仿宋"/>
          <w:bCs/>
          <w:sz w:val="32"/>
          <w:szCs w:val="32"/>
          <w:lang w:val="en-US" w:eastAsia="zh-CN"/>
        </w:rPr>
        <w:t>3</w:t>
      </w:r>
      <w:r>
        <w:rPr>
          <w:rStyle w:val="21"/>
          <w:rFonts w:ascii="仿宋" w:hAnsi="仿宋" w:eastAsia="仿宋"/>
          <w:bCs/>
          <w:sz w:val="32"/>
          <w:szCs w:val="32"/>
        </w:rPr>
        <w:t>.</w:t>
      </w:r>
      <w:r>
        <w:rPr>
          <w:rStyle w:val="21"/>
          <w:rFonts w:hint="eastAsia" w:ascii="仿宋" w:hAnsi="仿宋" w:eastAsia="仿宋"/>
          <w:bCs/>
          <w:sz w:val="32"/>
          <w:szCs w:val="32"/>
        </w:rPr>
        <w:t>社会保障和就业支出（类）行政事业单位养老支出（款）机关事业单位职业年金缴费支出（项）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5.16</w:t>
      </w:r>
      <w:r>
        <w:rPr>
          <w:rStyle w:val="21"/>
          <w:rFonts w:hint="eastAsia" w:ascii="仿宋" w:hAnsi="仿宋" w:eastAsia="仿宋"/>
          <w:b w:val="0"/>
          <w:bCs/>
          <w:sz w:val="32"/>
          <w:szCs w:val="32"/>
        </w:rPr>
        <w:t>万元，完成预算100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1"/>
          <w:rFonts w:hint="eastAsia" w:ascii="仿宋_GB2312" w:hAnsi="仿宋" w:eastAsia="仿宋_GB2312"/>
          <w:b w:val="0"/>
          <w:bCs/>
          <w:color w:val="auto"/>
          <w:sz w:val="32"/>
          <w:szCs w:val="32"/>
        </w:rPr>
      </w:pPr>
      <w:r>
        <w:rPr>
          <w:rFonts w:hint="eastAsia" w:ascii="仿宋_GB2312" w:hAnsi="仿宋" w:eastAsia="仿宋_GB2312"/>
          <w:b/>
          <w:bCs/>
          <w:color w:val="auto"/>
          <w:sz w:val="32"/>
          <w:szCs w:val="32"/>
          <w:lang w:val="en-US" w:eastAsia="zh-CN"/>
        </w:rPr>
        <w:t>4</w:t>
      </w:r>
      <w:r>
        <w:rPr>
          <w:rFonts w:hint="eastAsia" w:ascii="仿宋_GB2312" w:hAnsi="仿宋" w:eastAsia="仿宋_GB2312"/>
          <w:b/>
          <w:bCs/>
          <w:color w:val="auto"/>
          <w:sz w:val="32"/>
          <w:szCs w:val="32"/>
        </w:rPr>
        <w:t>.</w:t>
      </w:r>
      <w:r>
        <w:rPr>
          <w:rStyle w:val="21"/>
          <w:rFonts w:hint="eastAsia" w:ascii="仿宋_GB2312" w:hAnsi="仿宋" w:eastAsia="仿宋_GB2312"/>
          <w:bCs/>
          <w:color w:val="auto"/>
          <w:sz w:val="32"/>
          <w:szCs w:val="32"/>
        </w:rPr>
        <w:t>卫</w:t>
      </w:r>
      <w:r>
        <w:rPr>
          <w:rFonts w:hint="eastAsia" w:ascii="仿宋_GB2312" w:hAnsi="仿宋" w:eastAsia="仿宋_GB2312"/>
          <w:b/>
          <w:bCs/>
          <w:color w:val="auto"/>
          <w:sz w:val="32"/>
          <w:szCs w:val="32"/>
        </w:rPr>
        <w:t>生健康</w:t>
      </w:r>
      <w:r>
        <w:rPr>
          <w:rStyle w:val="21"/>
          <w:rFonts w:hint="eastAsia" w:ascii="仿宋_GB2312" w:hAnsi="仿宋" w:eastAsia="仿宋_GB2312"/>
          <w:bCs/>
          <w:color w:val="auto"/>
          <w:sz w:val="32"/>
          <w:szCs w:val="32"/>
        </w:rPr>
        <w:t>（类）行政事业单位医疗（款）事业单位医疗（项）:</w:t>
      </w:r>
      <w:r>
        <w:rPr>
          <w:rStyle w:val="21"/>
          <w:rFonts w:hint="eastAsia" w:ascii="仿宋_GB2312" w:hAnsi="仿宋" w:eastAsia="仿宋_GB2312"/>
          <w:b w:val="0"/>
          <w:bCs/>
          <w:color w:val="auto"/>
          <w:sz w:val="32"/>
          <w:szCs w:val="32"/>
        </w:rPr>
        <w:t>支出决算为</w:t>
      </w:r>
      <w:r>
        <w:rPr>
          <w:rStyle w:val="21"/>
          <w:rFonts w:hint="eastAsia" w:ascii="仿宋_GB2312" w:hAnsi="仿宋" w:eastAsia="仿宋_GB2312"/>
          <w:b w:val="0"/>
          <w:bCs/>
          <w:color w:val="auto"/>
          <w:sz w:val="32"/>
          <w:szCs w:val="32"/>
          <w:lang w:val="en-US" w:eastAsia="zh-CN"/>
        </w:rPr>
        <w:t>10.83</w:t>
      </w:r>
      <w:r>
        <w:rPr>
          <w:rStyle w:val="21"/>
          <w:rFonts w:hint="eastAsia" w:ascii="仿宋_GB2312" w:hAnsi="仿宋" w:eastAsia="仿宋_GB2312"/>
          <w:b w:val="0"/>
          <w:bCs/>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1"/>
          <w:rFonts w:hint="eastAsia" w:ascii="仿宋" w:hAnsi="仿宋" w:eastAsia="仿宋"/>
          <w:b w:val="0"/>
          <w:bCs/>
          <w:sz w:val="32"/>
          <w:szCs w:val="32"/>
        </w:rPr>
      </w:pPr>
      <w:r>
        <w:rPr>
          <w:rFonts w:hint="eastAsia" w:ascii="仿宋_GB2312" w:hAnsi="仿宋" w:eastAsia="仿宋_GB2312"/>
          <w:b/>
          <w:bCs/>
          <w:color w:val="auto"/>
          <w:sz w:val="32"/>
          <w:szCs w:val="32"/>
          <w:lang w:val="en-US" w:eastAsia="zh-CN"/>
        </w:rPr>
        <w:t>5</w:t>
      </w:r>
      <w:r>
        <w:rPr>
          <w:rFonts w:hint="eastAsia" w:ascii="仿宋_GB2312" w:hAnsi="仿宋" w:eastAsia="仿宋_GB2312"/>
          <w:b/>
          <w:bCs/>
          <w:color w:val="auto"/>
          <w:sz w:val="32"/>
          <w:szCs w:val="32"/>
        </w:rPr>
        <w:t>.住房保障支出</w:t>
      </w:r>
      <w:r>
        <w:rPr>
          <w:rStyle w:val="21"/>
          <w:rFonts w:hint="eastAsia" w:ascii="仿宋_GB2312" w:hAnsi="仿宋" w:eastAsia="仿宋_GB2312"/>
          <w:bCs/>
          <w:color w:val="auto"/>
          <w:sz w:val="32"/>
          <w:szCs w:val="32"/>
        </w:rPr>
        <w:t>（类）住房改革支出（款）住房公积金（项）:</w:t>
      </w:r>
      <w:r>
        <w:rPr>
          <w:rStyle w:val="21"/>
          <w:rFonts w:hint="eastAsia" w:ascii="仿宋_GB2312" w:hAnsi="仿宋" w:eastAsia="仿宋_GB2312"/>
          <w:b w:val="0"/>
          <w:bCs/>
          <w:color w:val="auto"/>
          <w:sz w:val="32"/>
          <w:szCs w:val="32"/>
        </w:rPr>
        <w:t>支出决算为</w:t>
      </w:r>
      <w:r>
        <w:rPr>
          <w:rStyle w:val="21"/>
          <w:rFonts w:hint="eastAsia" w:ascii="仿宋_GB2312" w:hAnsi="仿宋" w:eastAsia="仿宋_GB2312"/>
          <w:b w:val="0"/>
          <w:bCs/>
          <w:color w:val="auto"/>
          <w:sz w:val="32"/>
          <w:szCs w:val="32"/>
          <w:lang w:val="en-US" w:eastAsia="zh-CN"/>
        </w:rPr>
        <w:t>22.07</w:t>
      </w:r>
      <w:r>
        <w:rPr>
          <w:rStyle w:val="21"/>
          <w:rFonts w:hint="eastAsia" w:ascii="仿宋_GB2312" w:hAnsi="仿宋" w:eastAsia="仿宋_GB2312"/>
          <w:b w:val="0"/>
          <w:bCs/>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sz w:val="32"/>
          <w:szCs w:val="32"/>
        </w:rPr>
      </w:pPr>
      <w:r>
        <w:rPr>
          <w:rStyle w:val="21"/>
          <w:rFonts w:hint="eastAsia" w:ascii="仿宋" w:hAnsi="仿宋" w:eastAsia="仿宋"/>
          <w:bCs/>
          <w:sz w:val="32"/>
          <w:szCs w:val="32"/>
          <w:lang w:val="en-US" w:eastAsia="zh-CN"/>
        </w:rPr>
        <w:t>6</w:t>
      </w:r>
      <w:r>
        <w:rPr>
          <w:rStyle w:val="21"/>
          <w:rFonts w:hint="eastAsia" w:ascii="仿宋" w:hAnsi="仿宋" w:eastAsia="仿宋"/>
          <w:bCs/>
          <w:sz w:val="32"/>
          <w:szCs w:val="32"/>
        </w:rPr>
        <w:t>.</w:t>
      </w:r>
      <w:r>
        <w:rPr>
          <w:rFonts w:hint="eastAsia"/>
        </w:rPr>
        <w:t xml:space="preserve"> </w:t>
      </w:r>
      <w:r>
        <w:rPr>
          <w:rFonts w:hint="eastAsia" w:ascii="仿宋_GB2312" w:hAnsi="仿宋" w:eastAsia="仿宋_GB2312"/>
          <w:b/>
          <w:bCs/>
          <w:sz w:val="32"/>
          <w:szCs w:val="32"/>
        </w:rPr>
        <w:t>粮油物资储备支出（类）粮油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事务（款）专项业务活动（项）:</w:t>
      </w:r>
      <w:r>
        <w:rPr>
          <w:rStyle w:val="21"/>
          <w:rFonts w:hint="eastAsia" w:ascii="仿宋_GB2312" w:hAnsi="仿宋" w:eastAsia="仿宋_GB2312"/>
          <w:b w:val="0"/>
          <w:sz w:val="32"/>
          <w:szCs w:val="32"/>
        </w:rPr>
        <w:t>支出决算为</w:t>
      </w:r>
      <w:r>
        <w:rPr>
          <w:rStyle w:val="21"/>
          <w:rFonts w:hint="eastAsia" w:ascii="仿宋_GB2312" w:hAnsi="仿宋" w:eastAsia="仿宋_GB2312"/>
          <w:b w:val="0"/>
          <w:sz w:val="32"/>
          <w:szCs w:val="32"/>
          <w:lang w:val="en-US" w:eastAsia="zh-CN"/>
        </w:rPr>
        <w:t>65.49</w:t>
      </w:r>
      <w:r>
        <w:rPr>
          <w:rStyle w:val="21"/>
          <w:rFonts w:hint="eastAsia" w:ascii="仿宋_GB2312" w:hAnsi="仿宋" w:eastAsia="仿宋_GB2312"/>
          <w:b w:val="0"/>
          <w:sz w:val="32"/>
          <w:szCs w:val="32"/>
        </w:rPr>
        <w:t>万元，完成预算</w:t>
      </w:r>
      <w:r>
        <w:rPr>
          <w:rStyle w:val="21"/>
          <w:rFonts w:hint="eastAsia" w:ascii="仿宋_GB2312" w:hAnsi="仿宋" w:eastAsia="仿宋_GB2312"/>
          <w:b w:val="0"/>
          <w:sz w:val="32"/>
          <w:szCs w:val="32"/>
          <w:lang w:val="en-US" w:eastAsia="zh-CN"/>
        </w:rPr>
        <w:t>97.02</w:t>
      </w:r>
      <w:r>
        <w:rPr>
          <w:rStyle w:val="21"/>
          <w:rFonts w:hint="eastAsia" w:ascii="仿宋_GB2312" w:hAnsi="仿宋" w:eastAsia="仿宋_GB2312"/>
          <w:b w:val="0"/>
          <w:sz w:val="32"/>
          <w:szCs w:val="32"/>
        </w:rPr>
        <w:t>%，决算数小于预算数的原因是</w:t>
      </w:r>
      <w:r>
        <w:rPr>
          <w:rStyle w:val="21"/>
          <w:rFonts w:hint="eastAsia" w:ascii="仿宋_GB2312" w:hAnsi="仿宋" w:eastAsia="仿宋_GB2312"/>
          <w:b w:val="0"/>
          <w:sz w:val="32"/>
          <w:szCs w:val="32"/>
          <w:lang w:eastAsia="zh-CN"/>
        </w:rPr>
        <w:t>救灾物资采购报证金需在物资采购满一年支付</w:t>
      </w:r>
      <w:r>
        <w:rPr>
          <w:rStyle w:val="21"/>
          <w:rFonts w:hint="eastAsia" w:ascii="仿宋_GB2312" w:hAnsi="仿宋" w:eastAsia="仿宋_GB2312"/>
          <w:b w:val="0"/>
          <w:sz w:val="32"/>
          <w:szCs w:val="32"/>
        </w:rPr>
        <w:t>。</w:t>
      </w:r>
      <w:r>
        <w:rPr>
          <w:rFonts w:hint="eastAsia" w:ascii="仿宋_GB2312" w:hAnsi="仿宋" w:eastAsia="仿宋_GB2312"/>
          <w:b/>
          <w:bCs/>
          <w:sz w:val="32"/>
          <w:szCs w:val="32"/>
        </w:rPr>
        <w:t>粮油物资储备支出（类）粮油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事务（款）事业运行（项）:</w:t>
      </w:r>
      <w:r>
        <w:rPr>
          <w:rStyle w:val="21"/>
          <w:rFonts w:hint="eastAsia" w:ascii="仿宋_GB2312" w:hAnsi="仿宋" w:eastAsia="仿宋_GB2312"/>
          <w:b w:val="0"/>
          <w:sz w:val="32"/>
          <w:szCs w:val="32"/>
        </w:rPr>
        <w:t>支出决算为</w:t>
      </w:r>
      <w:r>
        <w:rPr>
          <w:rStyle w:val="21"/>
          <w:rFonts w:hint="eastAsia" w:ascii="仿宋_GB2312" w:hAnsi="仿宋" w:eastAsia="仿宋_GB2312"/>
          <w:b w:val="0"/>
          <w:sz w:val="32"/>
          <w:szCs w:val="32"/>
          <w:lang w:val="en-US" w:eastAsia="zh-CN"/>
        </w:rPr>
        <w:t>229.64</w:t>
      </w:r>
      <w:r>
        <w:rPr>
          <w:rStyle w:val="21"/>
          <w:rFonts w:hint="eastAsia" w:ascii="仿宋_GB2312" w:hAnsi="仿宋" w:eastAsia="仿宋_GB2312"/>
          <w:b w:val="0"/>
          <w:sz w:val="32"/>
          <w:szCs w:val="32"/>
        </w:rPr>
        <w:t>万元，完成预算</w:t>
      </w:r>
      <w:r>
        <w:rPr>
          <w:rStyle w:val="21"/>
          <w:rFonts w:hint="eastAsia" w:ascii="仿宋_GB2312" w:hAnsi="仿宋" w:eastAsia="仿宋_GB2312"/>
          <w:b w:val="0"/>
          <w:sz w:val="32"/>
          <w:szCs w:val="32"/>
          <w:lang w:val="en-US" w:eastAsia="zh-CN"/>
        </w:rPr>
        <w:t>99.22</w:t>
      </w:r>
      <w:r>
        <w:rPr>
          <w:rStyle w:val="21"/>
          <w:rFonts w:hint="eastAsia" w:ascii="仿宋_GB2312" w:hAnsi="仿宋" w:eastAsia="仿宋_GB2312"/>
          <w:b w:val="0"/>
          <w:sz w:val="32"/>
          <w:szCs w:val="32"/>
        </w:rPr>
        <w:t>%，小于预算数的原因是年末追加的人员经费，未支付完成。</w:t>
      </w:r>
      <w:r>
        <w:rPr>
          <w:rFonts w:hint="eastAsia" w:ascii="仿宋_GB2312" w:hAnsi="仿宋" w:eastAsia="仿宋_GB2312"/>
          <w:b/>
          <w:bCs/>
          <w:sz w:val="32"/>
          <w:szCs w:val="32"/>
        </w:rPr>
        <w:t>粮油物资储备支出（类）粮油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事务（款）其他粮油</w:t>
      </w:r>
      <w:r>
        <w:rPr>
          <w:rFonts w:hint="eastAsia" w:ascii="仿宋_GB2312" w:hAnsi="仿宋" w:eastAsia="仿宋_GB2312"/>
          <w:b/>
          <w:bCs/>
          <w:sz w:val="32"/>
          <w:szCs w:val="32"/>
          <w:lang w:eastAsia="zh-CN"/>
        </w:rPr>
        <w:t>物资</w:t>
      </w:r>
      <w:r>
        <w:rPr>
          <w:rFonts w:hint="eastAsia" w:ascii="仿宋_GB2312" w:hAnsi="仿宋" w:eastAsia="仿宋_GB2312"/>
          <w:b/>
          <w:bCs/>
          <w:sz w:val="32"/>
          <w:szCs w:val="32"/>
        </w:rPr>
        <w:t>事务支出（项）:</w:t>
      </w:r>
      <w:r>
        <w:rPr>
          <w:rStyle w:val="21"/>
          <w:rFonts w:hint="eastAsia" w:ascii="仿宋_GB2312" w:hAnsi="仿宋" w:eastAsia="仿宋_GB2312"/>
          <w:b w:val="0"/>
          <w:sz w:val="32"/>
          <w:szCs w:val="32"/>
        </w:rPr>
        <w:t>支出决算</w:t>
      </w:r>
      <w:r>
        <w:rPr>
          <w:rStyle w:val="21"/>
          <w:rFonts w:hint="eastAsia" w:ascii="仿宋_GB2312" w:hAnsi="仿宋" w:eastAsia="仿宋_GB2312"/>
          <w:b w:val="0"/>
          <w:sz w:val="32"/>
          <w:szCs w:val="32"/>
          <w:lang w:val="en-US" w:eastAsia="zh-CN"/>
        </w:rPr>
        <w:t>90.28</w:t>
      </w:r>
      <w:r>
        <w:rPr>
          <w:rStyle w:val="21"/>
          <w:rFonts w:hint="eastAsia" w:ascii="仿宋_GB2312" w:hAnsi="仿宋" w:eastAsia="仿宋_GB2312"/>
          <w:b w:val="0"/>
          <w:sz w:val="32"/>
          <w:szCs w:val="32"/>
        </w:rPr>
        <w:t>万元，完成预算</w:t>
      </w:r>
      <w:r>
        <w:rPr>
          <w:rStyle w:val="21"/>
          <w:rFonts w:hint="eastAsia" w:ascii="仿宋_GB2312" w:hAnsi="仿宋" w:eastAsia="仿宋_GB2312"/>
          <w:b w:val="0"/>
          <w:sz w:val="32"/>
          <w:szCs w:val="32"/>
          <w:lang w:val="en-US" w:eastAsia="zh-CN"/>
        </w:rPr>
        <w:t>22.14</w:t>
      </w:r>
      <w:r>
        <w:rPr>
          <w:rStyle w:val="21"/>
          <w:rFonts w:hint="eastAsia" w:ascii="仿宋_GB2312" w:hAnsi="仿宋" w:eastAsia="仿宋_GB2312"/>
          <w:b w:val="0"/>
          <w:sz w:val="32"/>
          <w:szCs w:val="32"/>
        </w:rPr>
        <w:t>%</w:t>
      </w:r>
      <w:r>
        <w:rPr>
          <w:rStyle w:val="21"/>
          <w:rFonts w:hint="eastAsia" w:ascii="仿宋_GB2312" w:hAnsi="仿宋" w:eastAsia="仿宋_GB2312"/>
          <w:b w:val="0"/>
          <w:sz w:val="32"/>
          <w:szCs w:val="32"/>
          <w:lang w:eastAsia="zh-CN"/>
        </w:rPr>
        <w:t>，</w:t>
      </w:r>
      <w:r>
        <w:rPr>
          <w:rStyle w:val="21"/>
          <w:rFonts w:hint="eastAsia" w:ascii="仿宋_GB2312" w:hAnsi="仿宋" w:eastAsia="仿宋_GB2312"/>
          <w:b w:val="0"/>
          <w:sz w:val="32"/>
          <w:szCs w:val="32"/>
        </w:rPr>
        <w:t>决算数小于预算数的原因</w:t>
      </w:r>
      <w:r>
        <w:rPr>
          <w:rStyle w:val="21"/>
          <w:rFonts w:hint="eastAsia" w:ascii="仿宋_GB2312" w:hAnsi="仿宋" w:eastAsia="仿宋_GB2312"/>
          <w:b w:val="0"/>
          <w:sz w:val="32"/>
          <w:szCs w:val="32"/>
          <w:lang w:eastAsia="zh-CN"/>
        </w:rPr>
        <w:t>是年末追加粮油检验检测能力提升经费</w:t>
      </w:r>
      <w:r>
        <w:rPr>
          <w:rStyle w:val="21"/>
          <w:rFonts w:hint="eastAsia" w:ascii="仿宋_GB2312" w:hAnsi="仿宋" w:eastAsia="仿宋_GB2312"/>
          <w:b w:val="0"/>
          <w:sz w:val="32"/>
          <w:szCs w:val="32"/>
        </w:rPr>
        <w:t>。</w:t>
      </w:r>
      <w:r>
        <w:rPr>
          <w:rFonts w:hint="eastAsia" w:ascii="仿宋_GB2312" w:hAnsi="仿宋" w:eastAsia="仿宋_GB2312"/>
          <w:b/>
          <w:bCs/>
          <w:sz w:val="32"/>
          <w:szCs w:val="32"/>
        </w:rPr>
        <w:t>粮油物资储备支出（类）</w:t>
      </w:r>
      <w:r>
        <w:rPr>
          <w:rFonts w:hint="eastAsia" w:ascii="仿宋_GB2312" w:hAnsi="仿宋" w:eastAsia="仿宋_GB2312"/>
          <w:b/>
          <w:bCs/>
          <w:sz w:val="32"/>
          <w:szCs w:val="32"/>
          <w:lang w:eastAsia="zh-CN"/>
        </w:rPr>
        <w:t>粮油</w:t>
      </w:r>
      <w:r>
        <w:rPr>
          <w:rFonts w:hint="eastAsia" w:ascii="仿宋_GB2312" w:hAnsi="仿宋" w:eastAsia="仿宋_GB2312"/>
          <w:b/>
          <w:bCs/>
          <w:sz w:val="32"/>
          <w:szCs w:val="32"/>
        </w:rPr>
        <w:t>物资事务（款）</w:t>
      </w:r>
      <w:r>
        <w:rPr>
          <w:rFonts w:hint="eastAsia" w:ascii="仿宋_GB2312" w:hAnsi="仿宋" w:eastAsia="仿宋_GB2312"/>
          <w:b/>
          <w:bCs/>
          <w:sz w:val="32"/>
          <w:szCs w:val="32"/>
          <w:lang w:eastAsia="zh-CN"/>
        </w:rPr>
        <w:t>物资保管保养</w:t>
      </w:r>
      <w:r>
        <w:rPr>
          <w:rFonts w:hint="eastAsia" w:ascii="仿宋_GB2312" w:hAnsi="仿宋" w:eastAsia="仿宋_GB2312"/>
          <w:b/>
          <w:bCs/>
          <w:sz w:val="32"/>
          <w:szCs w:val="32"/>
        </w:rPr>
        <w:t>（项）:</w:t>
      </w:r>
      <w:r>
        <w:rPr>
          <w:rStyle w:val="21"/>
          <w:rFonts w:hint="eastAsia" w:ascii="仿宋_GB2312" w:hAnsi="仿宋" w:eastAsia="仿宋_GB2312"/>
          <w:b w:val="0"/>
          <w:sz w:val="32"/>
          <w:szCs w:val="32"/>
        </w:rPr>
        <w:t>支出决算为</w:t>
      </w:r>
      <w:r>
        <w:rPr>
          <w:rStyle w:val="21"/>
          <w:rFonts w:hint="eastAsia" w:ascii="仿宋_GB2312" w:hAnsi="仿宋" w:eastAsia="仿宋_GB2312"/>
          <w:b w:val="0"/>
          <w:sz w:val="32"/>
          <w:szCs w:val="32"/>
          <w:lang w:val="en-US" w:eastAsia="zh-CN"/>
        </w:rPr>
        <w:t>19.13</w:t>
      </w:r>
      <w:r>
        <w:rPr>
          <w:rStyle w:val="21"/>
          <w:rFonts w:hint="eastAsia" w:ascii="仿宋_GB2312" w:hAnsi="仿宋" w:eastAsia="仿宋_GB2312"/>
          <w:b w:val="0"/>
          <w:sz w:val="32"/>
          <w:szCs w:val="32"/>
        </w:rPr>
        <w:t>万元，完成预算100%。</w:t>
      </w:r>
      <w:r>
        <w:rPr>
          <w:rStyle w:val="21"/>
          <w:rFonts w:hint="eastAsia" w:ascii="仿宋" w:hAnsi="仿宋" w:eastAsia="仿宋"/>
          <w:bCs/>
          <w:sz w:val="32"/>
          <w:szCs w:val="32"/>
        </w:rPr>
        <w:t xml:space="preserve">   </w:t>
      </w:r>
    </w:p>
    <w:p>
      <w:pPr>
        <w:tabs>
          <w:tab w:val="right" w:pos="8306"/>
        </w:tabs>
        <w:spacing w:line="600" w:lineRule="exact"/>
        <w:ind w:firstLine="640"/>
        <w:outlineLvl w:val="1"/>
        <w:rPr>
          <w:rStyle w:val="32"/>
        </w:rPr>
      </w:pPr>
      <w:bookmarkStart w:id="58" w:name="_Toc1820"/>
      <w:bookmarkStart w:id="59" w:name="_Toc15396608"/>
      <w:bookmarkStart w:id="6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58"/>
      <w:bookmarkEnd w:id="59"/>
      <w:bookmarkEnd w:id="60"/>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hint="eastAsia" w:ascii="仿宋" w:hAnsi="仿宋" w:eastAsia="仿宋"/>
          <w:sz w:val="32"/>
          <w:szCs w:val="32"/>
          <w:lang w:val="en-US" w:eastAsia="zh-CN"/>
        </w:rPr>
        <w:t>288.5</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260.73</w:t>
      </w:r>
      <w:r>
        <w:rPr>
          <w:rFonts w:hint="eastAsia" w:ascii="仿宋" w:hAnsi="仿宋" w:eastAsia="仿宋"/>
          <w:sz w:val="32"/>
          <w:szCs w:val="32"/>
        </w:rPr>
        <w:t>万元，主要包括：基本工资、津贴补贴、伙食补助费、绩效工资、机关事业单位基本养老保险缴费、职业年金缴费、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其他社会保障缴费、住房公积金</w:t>
      </w:r>
      <w:r>
        <w:rPr>
          <w:rFonts w:hint="eastAsia" w:ascii="仿宋" w:hAnsi="仿宋" w:eastAsia="仿宋"/>
          <w:sz w:val="32"/>
          <w:szCs w:val="32"/>
          <w:lang w:eastAsia="zh-CN"/>
        </w:rPr>
        <w:t>、</w:t>
      </w:r>
      <w:r>
        <w:rPr>
          <w:rFonts w:hint="eastAsia" w:ascii="仿宋" w:hAnsi="仿宋" w:eastAsia="仿宋"/>
          <w:sz w:val="32"/>
          <w:szCs w:val="32"/>
        </w:rPr>
        <w:t>其他工资福利支出</w:t>
      </w:r>
      <w:r>
        <w:rPr>
          <w:rFonts w:hint="eastAsia" w:ascii="仿宋" w:hAnsi="仿宋" w:eastAsia="仿宋"/>
          <w:sz w:val="32"/>
          <w:szCs w:val="32"/>
          <w:lang w:eastAsia="zh-CN"/>
        </w:rPr>
        <w:t>、奖励金</w:t>
      </w:r>
      <w:r>
        <w:rPr>
          <w:rFonts w:hint="eastAsia" w:ascii="仿宋" w:hAnsi="仿宋" w:eastAsia="仿宋"/>
          <w:sz w:val="32"/>
          <w:szCs w:val="32"/>
        </w:rPr>
        <w:t>。</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27.77</w:t>
      </w:r>
      <w:r>
        <w:rPr>
          <w:rFonts w:hint="eastAsia" w:ascii="仿宋" w:hAnsi="仿宋" w:eastAsia="仿宋"/>
          <w:sz w:val="32"/>
          <w:szCs w:val="32"/>
        </w:rPr>
        <w:t>万元，主要包括：办公费、印刷费、咨询费、水费、电费、邮电费、差旅费、维修（护）费、培训费、公务接待费、</w:t>
      </w:r>
      <w:r>
        <w:rPr>
          <w:rFonts w:hint="eastAsia" w:ascii="仿宋" w:hAnsi="仿宋" w:eastAsia="仿宋"/>
          <w:sz w:val="32"/>
          <w:szCs w:val="32"/>
          <w:lang w:eastAsia="zh-CN"/>
        </w:rPr>
        <w:t>专用材料费、</w:t>
      </w:r>
      <w:r>
        <w:rPr>
          <w:rFonts w:hint="eastAsia" w:ascii="仿宋" w:hAnsi="仿宋" w:eastAsia="仿宋"/>
          <w:sz w:val="32"/>
          <w:szCs w:val="32"/>
        </w:rPr>
        <w:t>劳务费、工会经费、公务用车运行维护费、其他交通费、其他商品和服务支出等。</w:t>
      </w:r>
    </w:p>
    <w:p>
      <w:pPr>
        <w:spacing w:line="600" w:lineRule="exact"/>
        <w:ind w:firstLine="640"/>
        <w:outlineLvl w:val="1"/>
        <w:rPr>
          <w:rStyle w:val="32"/>
          <w:rFonts w:ascii="黑体" w:hAnsi="黑体" w:eastAsia="黑体"/>
          <w:b w:val="0"/>
        </w:rPr>
      </w:pPr>
      <w:bookmarkStart w:id="61" w:name="_Toc15412"/>
      <w:bookmarkStart w:id="62" w:name="_Toc15396609"/>
      <w:bookmarkStart w:id="63" w:name="_Toc15377215"/>
      <w:r>
        <w:rPr>
          <w:rFonts w:hint="eastAsia" w:ascii="黑体" w:eastAsia="黑体"/>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61"/>
      <w:bookmarkEnd w:id="62"/>
      <w:bookmarkEnd w:id="63"/>
    </w:p>
    <w:p>
      <w:pPr>
        <w:spacing w:line="600" w:lineRule="exact"/>
        <w:ind w:firstLine="640"/>
        <w:outlineLvl w:val="2"/>
        <w:rPr>
          <w:rFonts w:ascii="仿宋" w:hAnsi="仿宋" w:eastAsia="仿宋"/>
          <w:b/>
          <w:sz w:val="32"/>
          <w:szCs w:val="32"/>
        </w:rPr>
      </w:pPr>
      <w:bookmarkStart w:id="64" w:name="_Toc24239"/>
      <w:bookmarkStart w:id="65" w:name="_Toc15377216"/>
      <w:r>
        <w:rPr>
          <w:rFonts w:hint="eastAsia" w:ascii="仿宋" w:hAnsi="仿宋" w:eastAsia="仿宋"/>
          <w:b/>
          <w:sz w:val="32"/>
          <w:szCs w:val="32"/>
        </w:rPr>
        <w:t>（一）“三公”经费财政拨款支出决算总体情况说明</w:t>
      </w:r>
      <w:bookmarkEnd w:id="64"/>
      <w:bookmarkEnd w:id="6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hint="eastAsia" w:ascii="仿宋" w:hAnsi="仿宋" w:eastAsia="仿宋"/>
          <w:sz w:val="32"/>
          <w:szCs w:val="32"/>
          <w:lang w:val="en-US" w:eastAsia="zh-CN"/>
        </w:rPr>
        <w:t>1.03</w:t>
      </w:r>
      <w:r>
        <w:rPr>
          <w:rFonts w:hint="eastAsia" w:ascii="仿宋" w:hAnsi="仿宋" w:eastAsia="仿宋"/>
          <w:sz w:val="32"/>
          <w:szCs w:val="32"/>
        </w:rPr>
        <w:t>万元，完成预算</w:t>
      </w:r>
      <w:r>
        <w:rPr>
          <w:rFonts w:hint="eastAsia" w:ascii="仿宋" w:hAnsi="仿宋" w:eastAsia="仿宋"/>
          <w:sz w:val="32"/>
          <w:szCs w:val="32"/>
          <w:lang w:val="en-US" w:eastAsia="zh-CN"/>
        </w:rPr>
        <w:t>18.73</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我站</w:t>
      </w:r>
      <w:r>
        <w:rPr>
          <w:rFonts w:hint="eastAsia" w:ascii="仿宋" w:hAnsi="仿宋" w:eastAsia="仿宋"/>
          <w:sz w:val="32"/>
          <w:szCs w:val="32"/>
        </w:rPr>
        <w:t>认真落实市委提出的厉行节约相关规定，严格控制公务用车运行及维护费、公务接待费支出，“三公”经费支出下降。</w:t>
      </w:r>
    </w:p>
    <w:p>
      <w:pPr>
        <w:pStyle w:val="8"/>
        <w:spacing w:before="93"/>
        <w:rPr>
          <w:rFonts w:ascii="仿宋" w:hAnsi="仿宋" w:eastAsia="仿宋"/>
        </w:rPr>
      </w:pPr>
      <w:r>
        <w:rPr>
          <w:rFonts w:hint="eastAsia"/>
        </w:rPr>
        <w:t xml:space="preserve">   </w:t>
      </w:r>
      <w:r>
        <w:rPr>
          <w:rFonts w:hint="eastAsia" w:ascii="仿宋" w:hAnsi="仿宋" w:eastAsia="仿宋"/>
        </w:rPr>
        <w:t xml:space="preserve"> 我</w:t>
      </w:r>
      <w:r>
        <w:rPr>
          <w:rFonts w:hint="eastAsia" w:ascii="仿宋" w:hAnsi="仿宋" w:eastAsia="仿宋"/>
          <w:lang w:eastAsia="zh-CN"/>
        </w:rPr>
        <w:t>站</w:t>
      </w:r>
      <w:r>
        <w:rPr>
          <w:rFonts w:hint="eastAsia" w:ascii="仿宋" w:hAnsi="仿宋" w:eastAsia="仿宋"/>
        </w:rPr>
        <w:t>无政府性基金安排的“三公”经费预算拨款及支出。</w:t>
      </w:r>
    </w:p>
    <w:p>
      <w:pPr>
        <w:spacing w:line="600" w:lineRule="exact"/>
        <w:ind w:firstLine="640"/>
        <w:outlineLvl w:val="2"/>
        <w:rPr>
          <w:rFonts w:ascii="仿宋" w:hAnsi="仿宋" w:eastAsia="仿宋"/>
          <w:b/>
          <w:sz w:val="32"/>
          <w:szCs w:val="32"/>
        </w:rPr>
      </w:pPr>
      <w:bookmarkStart w:id="66" w:name="_Toc15377217"/>
      <w:bookmarkStart w:id="67" w:name="_Toc30889"/>
      <w:r>
        <w:rPr>
          <w:rFonts w:hint="eastAsia" w:ascii="仿宋" w:hAnsi="仿宋" w:eastAsia="仿宋"/>
          <w:b/>
          <w:sz w:val="32"/>
          <w:szCs w:val="32"/>
        </w:rPr>
        <w:t>（二）“三公”经费财政拨款支出决算具体情况说明</w:t>
      </w:r>
      <w:bookmarkEnd w:id="66"/>
      <w:bookmarkEnd w:id="6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21年“三公”经费财政拨款支出决算中，因公出国（境）费支出决算0万元；公务用车购置及运行维护费支出决算</w:t>
      </w:r>
      <w:r>
        <w:rPr>
          <w:rFonts w:hint="eastAsia" w:ascii="仿宋" w:hAnsi="仿宋" w:eastAsia="仿宋"/>
          <w:sz w:val="32"/>
          <w:szCs w:val="32"/>
          <w:lang w:val="en-US" w:eastAsia="zh-CN"/>
        </w:rPr>
        <w:t>0.94</w:t>
      </w:r>
      <w:r>
        <w:rPr>
          <w:rFonts w:hint="eastAsia" w:ascii="仿宋" w:hAnsi="仿宋" w:eastAsia="仿宋"/>
          <w:sz w:val="32"/>
          <w:szCs w:val="32"/>
        </w:rPr>
        <w:t>万元，占</w:t>
      </w:r>
      <w:r>
        <w:rPr>
          <w:rFonts w:hint="eastAsia" w:ascii="仿宋" w:hAnsi="仿宋" w:eastAsia="仿宋"/>
          <w:sz w:val="32"/>
          <w:szCs w:val="32"/>
          <w:lang w:val="en-US" w:eastAsia="zh-CN"/>
        </w:rPr>
        <w:t>91</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0.09</w:t>
      </w:r>
      <w:r>
        <w:rPr>
          <w:rFonts w:hint="eastAsia" w:ascii="仿宋" w:hAnsi="仿宋" w:eastAsia="仿宋"/>
          <w:sz w:val="32"/>
          <w:szCs w:val="32"/>
        </w:rPr>
        <w:t>万元，占</w:t>
      </w: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。具体情况如下：</w:t>
      </w:r>
    </w:p>
    <w:p>
      <w:pPr>
        <w:pStyle w:val="8"/>
        <w:rPr>
          <w:rFonts w:hint="eastAsia" w:ascii="仿宋" w:hAnsi="仿宋" w:eastAsia="仿宋"/>
          <w:sz w:val="32"/>
          <w:szCs w:val="32"/>
        </w:rPr>
      </w:pPr>
      <w:r>
        <w:rPr>
          <w:rFonts w:hint="eastAsia" w:ascii="仿宋" w:hAnsi="仿宋" w:eastAsia="仿宋"/>
          <w:color w:val="000000"/>
          <w:sz w:val="32"/>
          <w:szCs w:val="32"/>
        </w:rPr>
        <w:pict>
          <v:shape id="Object 13" o:spid="_x0000_s2057" o:spt="75" type="#_x0000_t75" style="position:absolute;left:0pt;margin-left:59.65pt;margin-top:6.45pt;height:201.85pt;width:332.3pt;z-index:251665408;mso-width-relative:page;mso-height-relative:page;" o:ole="t" filled="f" o:preferrelative="t" stroked="f" coordsize="21600,21600">
            <v:path/>
            <v:fill on="f" focussize="0,0"/>
            <v:stroke on="f"/>
            <v:imagedata r:id="rId19" o:title=""/>
            <o:lock v:ext="edit" aspectratio="t"/>
          </v:shape>
          <o:OLEObject Type="Embed" ProgID="Excel.Chart.8" ShapeID="Object 13" DrawAspect="Content" ObjectID="_1468075731" r:id="rId18">
            <o:LockedField>false</o:LockedField>
          </o:OLEObject>
        </w:pict>
      </w:r>
    </w:p>
    <w:p>
      <w:pPr>
        <w:pStyle w:val="8"/>
        <w:rPr>
          <w:rFonts w:hint="eastAsia" w:ascii="仿宋" w:hAnsi="仿宋" w:eastAsia="仿宋"/>
          <w:sz w:val="32"/>
          <w:szCs w:val="32"/>
        </w:rPr>
      </w:pPr>
    </w:p>
    <w:p>
      <w:pPr>
        <w:pStyle w:val="8"/>
        <w:rPr>
          <w:rFonts w:hint="eastAsia" w:ascii="仿宋" w:hAnsi="仿宋" w:eastAsia="仿宋"/>
          <w:sz w:val="32"/>
          <w:szCs w:val="32"/>
        </w:rPr>
      </w:pPr>
    </w:p>
    <w:p>
      <w:pPr>
        <w:pStyle w:val="8"/>
        <w:rPr>
          <w:rFonts w:hint="eastAsia" w:ascii="仿宋" w:hAnsi="仿宋" w:eastAsia="仿宋"/>
          <w:sz w:val="32"/>
          <w:szCs w:val="32"/>
        </w:rPr>
      </w:pPr>
    </w:p>
    <w:p>
      <w:pPr>
        <w:pStyle w:val="8"/>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pPr>
      <w:r>
        <w:rPr>
          <w:rFonts w:ascii="仿宋_GB2312" w:eastAsia="仿宋_GB2312"/>
          <w:b/>
          <w:sz w:val="32"/>
          <w:szCs w:val="32"/>
        </w:rPr>
        <w:t>1.</w:t>
      </w:r>
      <w:r>
        <w:rPr>
          <w:rFonts w:hint="eastAsia" w:ascii="仿宋" w:hAnsi="仿宋" w:eastAsia="仿宋"/>
          <w:b/>
          <w:sz w:val="32"/>
          <w:szCs w:val="32"/>
        </w:rPr>
        <w:t xml:space="preserve"> 因公出国经费为0万元，年初未安排预算，因公出国</w:t>
      </w:r>
      <w:r>
        <w:rPr>
          <w:rFonts w:hint="eastAsia" w:ascii="仿宋_GB2312" w:eastAsia="仿宋_GB2312"/>
          <w:b/>
          <w:sz w:val="32"/>
          <w:szCs w:val="32"/>
        </w:rPr>
        <w:t>（境）</w:t>
      </w:r>
      <w:r>
        <w:rPr>
          <w:rFonts w:hint="eastAsia" w:ascii="仿宋" w:hAnsi="仿宋" w:eastAsia="仿宋"/>
          <w:b/>
          <w:sz w:val="32"/>
          <w:szCs w:val="32"/>
        </w:rPr>
        <w:t>支出决算较2020年无变化。</w:t>
      </w:r>
    </w:p>
    <w:p>
      <w:pPr>
        <w:spacing w:line="600" w:lineRule="exact"/>
        <w:ind w:firstLine="640"/>
        <w:rPr>
          <w:rFonts w:hint="eastAsia" w:ascii="仿宋_GB2312" w:eastAsia="仿宋"/>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0.94</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18.8</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减少</w:t>
      </w:r>
      <w:r>
        <w:rPr>
          <w:rFonts w:hint="eastAsia" w:ascii="仿宋_GB2312" w:eastAsia="仿宋_GB2312"/>
          <w:sz w:val="32"/>
          <w:szCs w:val="32"/>
          <w:lang w:val="en-US" w:eastAsia="zh-CN"/>
        </w:rPr>
        <w:t>10.51</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91.79</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我站</w:t>
      </w:r>
      <w:r>
        <w:rPr>
          <w:rFonts w:hint="eastAsia" w:ascii="仿宋" w:hAnsi="仿宋" w:eastAsia="仿宋"/>
          <w:sz w:val="32"/>
          <w:szCs w:val="32"/>
        </w:rPr>
        <w:t>认真落实市委提出的厉行节约相关规定，严格控制公务用车运行及维护费</w:t>
      </w:r>
      <w:r>
        <w:rPr>
          <w:rFonts w:hint="eastAsia" w:ascii="仿宋" w:hAnsi="仿宋" w:eastAsia="仿宋"/>
          <w:sz w:val="32"/>
          <w:szCs w:val="32"/>
          <w:lang w:eastAsia="zh-CN"/>
        </w:rPr>
        <w:t>支出。</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Fonts w:hint="eastAsia" w:ascii="仿宋_GB2312" w:hAnsi="仿宋" w:eastAsia="仿宋_GB2312"/>
          <w:color w:val="000000"/>
          <w:sz w:val="32"/>
          <w:szCs w:val="32"/>
        </w:rPr>
        <w:t>全年按规定更新购置公务用车0辆，</w:t>
      </w:r>
      <w:r>
        <w:rPr>
          <w:rFonts w:hint="eastAsia" w:ascii="仿宋_GB2312" w:eastAsia="仿宋_GB2312"/>
          <w:color w:val="000000"/>
          <w:sz w:val="32"/>
          <w:szCs w:val="32"/>
        </w:rPr>
        <w:t>金额0元。</w:t>
      </w:r>
      <w:r>
        <w:rPr>
          <w:rFonts w:hint="eastAsia" w:ascii="仿宋_GB2312" w:hAnsi="仿宋" w:eastAsia="仿宋_GB2312"/>
          <w:color w:val="000000"/>
          <w:sz w:val="32"/>
          <w:szCs w:val="32"/>
        </w:rPr>
        <w:t>截至202</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年12月底，</w:t>
      </w:r>
      <w:r>
        <w:rPr>
          <w:rFonts w:hint="eastAsia" w:ascii="仿宋_GB2312" w:eastAsia="仿宋_GB2312"/>
          <w:sz w:val="32"/>
          <w:szCs w:val="32"/>
        </w:rPr>
        <w:t>市粮油质监站（包括</w:t>
      </w:r>
      <w:r>
        <w:rPr>
          <w:rFonts w:hint="eastAsia" w:ascii="仿宋_GB2312" w:eastAsia="仿宋_GB2312"/>
          <w:bCs/>
          <w:color w:val="000000"/>
          <w:sz w:val="32"/>
          <w:szCs w:val="32"/>
        </w:rPr>
        <w:t>市救灾物资管理中心</w:t>
      </w:r>
      <w:r>
        <w:rPr>
          <w:rFonts w:hint="eastAsia" w:ascii="仿宋_GB2312" w:eastAsia="仿宋_GB2312"/>
          <w:sz w:val="32"/>
          <w:szCs w:val="32"/>
        </w:rPr>
        <w:t>）载客汽车1辆</w:t>
      </w:r>
      <w:r>
        <w:rPr>
          <w:rFonts w:hint="eastAsia" w:ascii="仿宋_GB2312" w:eastAsia="仿宋_GB2312"/>
          <w:sz w:val="32"/>
          <w:szCs w:val="32"/>
          <w:lang w:eastAsia="zh-CN"/>
        </w:rPr>
        <w:t>、</w:t>
      </w:r>
      <w:r>
        <w:rPr>
          <w:rFonts w:hint="eastAsia" w:ascii="仿宋_GB2312" w:eastAsia="仿宋_GB2312"/>
          <w:sz w:val="32"/>
          <w:szCs w:val="32"/>
        </w:rPr>
        <w:t>其他用车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rPr>
          <w:rFonts w:hint="eastAsia" w:ascii="仿宋_GB2312" w:eastAsia="仿宋_GB2312"/>
          <w:sz w:val="32"/>
          <w:szCs w:val="32"/>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0.94</w:t>
      </w:r>
      <w:r>
        <w:rPr>
          <w:rFonts w:hint="eastAsia" w:ascii="仿宋_GB2312" w:eastAsia="仿宋_GB2312"/>
          <w:sz w:val="32"/>
          <w:szCs w:val="32"/>
        </w:rPr>
        <w:t>万元。主要用于</w:t>
      </w:r>
      <w:r>
        <w:rPr>
          <w:rFonts w:hint="eastAsia" w:ascii="仿宋_GB2312" w:eastAsia="仿宋_GB2312"/>
          <w:bCs/>
          <w:color w:val="000000"/>
          <w:sz w:val="32"/>
          <w:szCs w:val="32"/>
        </w:rPr>
        <w:t>市救灾物资管理中心</w:t>
      </w:r>
      <w:r>
        <w:rPr>
          <w:rFonts w:hint="eastAsia" w:ascii="仿宋_GB2312" w:eastAsia="仿宋_GB2312"/>
          <w:bCs/>
          <w:color w:val="000000"/>
          <w:sz w:val="32"/>
          <w:szCs w:val="32"/>
          <w:lang w:eastAsia="zh-CN"/>
        </w:rPr>
        <w:t>车辆保险及维修维护费支出。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0.09</w:t>
      </w:r>
      <w:r>
        <w:rPr>
          <w:rFonts w:hint="eastAsia" w:ascii="仿宋_GB2312" w:eastAsia="仿宋_GB2312"/>
          <w:sz w:val="32"/>
          <w:szCs w:val="32"/>
        </w:rPr>
        <w:t>万元，</w:t>
      </w:r>
      <w:r>
        <w:rPr>
          <w:rStyle w:val="21"/>
          <w:rFonts w:hint="eastAsia" w:ascii="仿宋" w:hAnsi="仿宋" w:eastAsia="仿宋"/>
          <w:b w:val="0"/>
          <w:bCs/>
          <w:sz w:val="32"/>
          <w:szCs w:val="32"/>
        </w:rPr>
        <w:t>完成预算18</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增加</w:t>
      </w:r>
      <w:r>
        <w:rPr>
          <w:rFonts w:hint="eastAsia" w:ascii="仿宋_GB2312" w:eastAsia="仿宋_GB2312"/>
          <w:sz w:val="32"/>
          <w:szCs w:val="32"/>
          <w:lang w:val="en-US" w:eastAsia="zh-CN"/>
        </w:rPr>
        <w:t>0.09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我站实验室</w:t>
      </w:r>
      <w:r>
        <w:rPr>
          <w:rFonts w:hint="eastAsia" w:ascii="仿宋_GB2312" w:eastAsia="仿宋_GB2312"/>
          <w:sz w:val="32"/>
          <w:szCs w:val="32"/>
          <w:lang w:val="en-US" w:eastAsia="zh-CN"/>
        </w:rPr>
        <w:t>2021年</w:t>
      </w:r>
      <w:r>
        <w:rPr>
          <w:rFonts w:hint="eastAsia" w:ascii="仿宋_GB2312" w:eastAsia="仿宋_GB2312"/>
          <w:sz w:val="32"/>
          <w:szCs w:val="32"/>
          <w:lang w:eastAsia="zh-CN"/>
        </w:rPr>
        <w:t>资质评审</w:t>
      </w:r>
      <w:r>
        <w:rPr>
          <w:rFonts w:hint="eastAsia" w:ascii="仿宋_GB2312" w:eastAsia="仿宋_GB2312"/>
          <w:sz w:val="32"/>
          <w:szCs w:val="32"/>
        </w:rPr>
        <w:t>接待经费支出</w:t>
      </w:r>
      <w:r>
        <w:rPr>
          <w:rFonts w:hint="eastAsia" w:ascii="仿宋_GB2312" w:eastAsia="仿宋_GB2312"/>
          <w:sz w:val="32"/>
          <w:szCs w:val="32"/>
          <w:lang w:eastAsia="zh-CN"/>
        </w:rPr>
        <w:t>。</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0.09</w:t>
      </w:r>
      <w:r>
        <w:rPr>
          <w:rFonts w:hint="eastAsia" w:ascii="仿宋_GB2312" w:eastAsia="仿宋_GB2312"/>
          <w:sz w:val="32"/>
          <w:szCs w:val="32"/>
        </w:rPr>
        <w:t>万元，主要</w:t>
      </w:r>
      <w:bookmarkStart w:id="68" w:name="_Toc15377218"/>
      <w:bookmarkStart w:id="69" w:name="_Toc15396610"/>
      <w:r>
        <w:rPr>
          <w:rFonts w:hint="eastAsia" w:ascii="仿宋_GB2312" w:eastAsia="仿宋_GB2312"/>
          <w:sz w:val="32"/>
          <w:szCs w:val="32"/>
          <w:lang w:eastAsia="zh-CN"/>
        </w:rPr>
        <w:t>用于我站实验室</w:t>
      </w:r>
      <w:r>
        <w:rPr>
          <w:rFonts w:hint="eastAsia" w:ascii="仿宋_GB2312" w:eastAsia="仿宋_GB2312"/>
          <w:sz w:val="32"/>
          <w:szCs w:val="32"/>
          <w:lang w:val="en-US" w:eastAsia="zh-CN"/>
        </w:rPr>
        <w:t>2021年</w:t>
      </w:r>
      <w:r>
        <w:rPr>
          <w:rFonts w:hint="eastAsia" w:ascii="仿宋_GB2312" w:eastAsia="仿宋_GB2312"/>
          <w:sz w:val="32"/>
          <w:szCs w:val="32"/>
          <w:lang w:eastAsia="zh-CN"/>
        </w:rPr>
        <w:t>资质评审</w:t>
      </w:r>
      <w:r>
        <w:rPr>
          <w:rFonts w:hint="eastAsia" w:ascii="仿宋_GB2312" w:eastAsia="仿宋_GB2312"/>
          <w:sz w:val="32"/>
          <w:szCs w:val="32"/>
        </w:rPr>
        <w:t>接待经费支出</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0.09</w:t>
      </w:r>
      <w:r>
        <w:rPr>
          <w:rFonts w:hint="eastAsia" w:ascii="仿宋_GB2312" w:eastAsia="仿宋_GB2312"/>
          <w:sz w:val="32"/>
          <w:szCs w:val="32"/>
        </w:rPr>
        <w:t>万元，具体内容包括</w:t>
      </w:r>
      <w:r>
        <w:rPr>
          <w:rFonts w:hint="eastAsia" w:ascii="仿宋_GB2312" w:eastAsia="仿宋_GB2312"/>
          <w:sz w:val="32"/>
          <w:szCs w:val="32"/>
          <w:lang w:eastAsia="zh-CN"/>
        </w:rPr>
        <w:t>：我站实验室</w:t>
      </w:r>
      <w:r>
        <w:rPr>
          <w:rFonts w:hint="eastAsia" w:ascii="仿宋_GB2312" w:eastAsia="仿宋_GB2312"/>
          <w:sz w:val="32"/>
          <w:szCs w:val="32"/>
          <w:lang w:val="en-US" w:eastAsia="zh-CN"/>
        </w:rPr>
        <w:t>2021年</w:t>
      </w:r>
      <w:r>
        <w:rPr>
          <w:rFonts w:hint="eastAsia" w:ascii="仿宋_GB2312" w:eastAsia="仿宋_GB2312"/>
          <w:sz w:val="32"/>
          <w:szCs w:val="32"/>
          <w:lang w:eastAsia="zh-CN"/>
        </w:rPr>
        <w:t>资质评审</w:t>
      </w:r>
      <w:r>
        <w:rPr>
          <w:rFonts w:hint="eastAsia" w:ascii="仿宋_GB2312" w:eastAsia="仿宋_GB2312"/>
          <w:sz w:val="32"/>
          <w:szCs w:val="32"/>
        </w:rPr>
        <w:t>接待经费支出</w:t>
      </w:r>
      <w:r>
        <w:rPr>
          <w:rFonts w:hint="eastAsia" w:ascii="仿宋_GB2312" w:eastAsia="仿宋_GB2312"/>
          <w:sz w:val="32"/>
          <w:szCs w:val="32"/>
          <w:lang w:eastAsia="zh-CN"/>
        </w:rPr>
        <w:t>。</w:t>
      </w:r>
    </w:p>
    <w:p>
      <w:pPr>
        <w:spacing w:line="600" w:lineRule="exact"/>
        <w:ind w:firstLine="642" w:firstLineChars="200"/>
        <w:rPr>
          <w:rFonts w:hint="eastAsia"/>
          <w:lang w:eastAsia="zh-CN"/>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32"/>
          <w:rFonts w:ascii="黑体" w:hAnsi="黑体" w:eastAsia="黑体"/>
        </w:rPr>
      </w:pPr>
      <w:bookmarkStart w:id="70" w:name="_Toc4714"/>
      <w:r>
        <w:rPr>
          <w:rFonts w:hint="eastAsia" w:ascii="黑体" w:eastAsia="黑体"/>
          <w:sz w:val="32"/>
          <w:szCs w:val="32"/>
        </w:rPr>
        <w:t>八、</w:t>
      </w:r>
      <w:r>
        <w:rPr>
          <w:rStyle w:val="32"/>
          <w:rFonts w:hint="eastAsia" w:ascii="黑体" w:hAnsi="黑体" w:eastAsia="黑体"/>
          <w:b w:val="0"/>
        </w:rPr>
        <w:t>政府性基金预算支出决算情况说明</w:t>
      </w:r>
      <w:bookmarkEnd w:id="68"/>
      <w:bookmarkEnd w:id="69"/>
      <w:bookmarkEnd w:id="70"/>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w:t>
      </w:r>
      <w:r>
        <w:rPr>
          <w:rFonts w:hint="eastAsia" w:ascii="仿宋_GB2312" w:eastAsia="仿宋_GB2312"/>
          <w:sz w:val="32"/>
          <w:szCs w:val="32"/>
          <w:lang w:eastAsia="zh-CN"/>
        </w:rPr>
        <w:t>站</w:t>
      </w:r>
      <w:r>
        <w:rPr>
          <w:rFonts w:hint="eastAsia" w:ascii="仿宋_GB2312" w:eastAsia="仿宋_GB2312"/>
          <w:sz w:val="32"/>
          <w:szCs w:val="32"/>
        </w:rPr>
        <w:t>无政府性基金预算财政拨款支出。</w:t>
      </w:r>
    </w:p>
    <w:p>
      <w:pPr>
        <w:pStyle w:val="8"/>
      </w:pPr>
    </w:p>
    <w:p>
      <w:pPr>
        <w:numPr>
          <w:ilvl w:val="0"/>
          <w:numId w:val="2"/>
        </w:numPr>
        <w:spacing w:line="600" w:lineRule="exact"/>
        <w:ind w:firstLine="640"/>
        <w:outlineLvl w:val="1"/>
        <w:rPr>
          <w:rStyle w:val="32"/>
          <w:rFonts w:ascii="黑体" w:hAnsi="黑体" w:eastAsia="黑体"/>
          <w:b w:val="0"/>
        </w:rPr>
      </w:pPr>
      <w:bookmarkStart w:id="71" w:name="_Toc2628"/>
      <w:bookmarkStart w:id="72" w:name="_Toc15377219"/>
      <w:bookmarkStart w:id="73" w:name="_Toc15396611"/>
      <w:r>
        <w:rPr>
          <w:rStyle w:val="32"/>
          <w:rFonts w:hint="eastAsia" w:ascii="黑体" w:hAnsi="黑体" w:eastAsia="黑体"/>
          <w:b w:val="0"/>
        </w:rPr>
        <w:t>国有资本经营预算支出决算情况说明</w:t>
      </w:r>
      <w:bookmarkEnd w:id="71"/>
      <w:bookmarkEnd w:id="72"/>
      <w:bookmarkEnd w:id="73"/>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w:t>
      </w:r>
      <w:r>
        <w:rPr>
          <w:rFonts w:hint="eastAsia" w:ascii="仿宋_GB2312" w:eastAsia="仿宋_GB2312"/>
          <w:sz w:val="32"/>
          <w:szCs w:val="32"/>
          <w:lang w:eastAsia="zh-CN"/>
        </w:rPr>
        <w:t>站</w:t>
      </w:r>
      <w:r>
        <w:rPr>
          <w:rFonts w:hint="eastAsia" w:ascii="仿宋_GB2312" w:eastAsia="仿宋_GB2312"/>
          <w:sz w:val="32"/>
          <w:szCs w:val="32"/>
        </w:rPr>
        <w:t>无国有资本经营预算财政拨款支出。</w:t>
      </w:r>
    </w:p>
    <w:p>
      <w:pPr>
        <w:pStyle w:val="8"/>
      </w:pPr>
    </w:p>
    <w:p>
      <w:pPr>
        <w:numPr>
          <w:ilvl w:val="0"/>
          <w:numId w:val="2"/>
        </w:numPr>
        <w:spacing w:line="600" w:lineRule="exact"/>
        <w:ind w:firstLine="640"/>
        <w:outlineLvl w:val="1"/>
        <w:rPr>
          <w:rStyle w:val="32"/>
          <w:rFonts w:ascii="黑体" w:hAnsi="黑体" w:eastAsia="黑体"/>
          <w:b w:val="0"/>
        </w:rPr>
      </w:pPr>
      <w:bookmarkStart w:id="74" w:name="_Toc7892"/>
      <w:bookmarkStart w:id="75" w:name="_Toc15377221"/>
      <w:bookmarkStart w:id="76" w:name="_Toc15396612"/>
      <w:r>
        <w:rPr>
          <w:rStyle w:val="32"/>
          <w:rFonts w:hint="eastAsia" w:ascii="黑体" w:hAnsi="黑体" w:eastAsia="黑体"/>
          <w:b w:val="0"/>
        </w:rPr>
        <w:t>预算绩效管理情况</w:t>
      </w:r>
      <w:bookmarkEnd w:id="74"/>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粮食质量调查与品质测报、实验室基础设施及仪器设备运行维护费、政策性库存粮油质量检测经费等6个项目开展了预算事前绩效评估，对6个项目编制了绩效目标，预算执行过程中，选取6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个项目开展了绩效自评，2021年部门预算项目绩效目标自评表见附件（第四部分）。</w:t>
      </w:r>
    </w:p>
    <w:p>
      <w:pPr>
        <w:pStyle w:val="8"/>
      </w:pPr>
    </w:p>
    <w:p>
      <w:pPr>
        <w:numPr>
          <w:ilvl w:val="0"/>
          <w:numId w:val="2"/>
        </w:numPr>
        <w:spacing w:line="600" w:lineRule="exact"/>
        <w:ind w:firstLine="640"/>
        <w:outlineLvl w:val="1"/>
        <w:rPr>
          <w:rStyle w:val="32"/>
          <w:rFonts w:ascii="黑体" w:hAnsi="黑体" w:eastAsia="黑体"/>
          <w:b w:val="0"/>
        </w:rPr>
      </w:pPr>
      <w:bookmarkStart w:id="77" w:name="_Toc19072"/>
      <w:r>
        <w:rPr>
          <w:rStyle w:val="32"/>
          <w:rFonts w:hint="eastAsia" w:ascii="黑体" w:hAnsi="黑体" w:eastAsia="黑体"/>
          <w:b w:val="0"/>
        </w:rPr>
        <w:t>其他重要事项的情况说明</w:t>
      </w:r>
      <w:bookmarkEnd w:id="75"/>
      <w:bookmarkEnd w:id="76"/>
      <w:bookmarkEnd w:id="77"/>
    </w:p>
    <w:p>
      <w:pPr>
        <w:spacing w:line="600" w:lineRule="exact"/>
        <w:ind w:firstLine="642" w:firstLineChars="200"/>
        <w:outlineLvl w:val="2"/>
        <w:rPr>
          <w:rFonts w:ascii="仿宋" w:hAnsi="仿宋" w:eastAsia="仿宋"/>
          <w:sz w:val="32"/>
          <w:szCs w:val="32"/>
        </w:rPr>
      </w:pPr>
      <w:bookmarkStart w:id="78" w:name="_Toc15377222"/>
      <w:bookmarkStart w:id="79" w:name="_Toc12885"/>
      <w:r>
        <w:rPr>
          <w:rFonts w:hint="eastAsia" w:ascii="仿宋" w:hAnsi="仿宋" w:eastAsia="仿宋"/>
          <w:b/>
          <w:sz w:val="32"/>
          <w:szCs w:val="32"/>
        </w:rPr>
        <w:t>（一）机关运行经费支出情况</w:t>
      </w:r>
      <w:bookmarkEnd w:id="78"/>
      <w:bookmarkEnd w:id="79"/>
    </w:p>
    <w:p>
      <w:pPr>
        <w:spacing w:line="576" w:lineRule="exact"/>
        <w:ind w:firstLine="640" w:firstLineChars="200"/>
        <w:rPr>
          <w:rFonts w:hint="eastAsia" w:ascii="仿宋_GB2312" w:hAnsi="仿宋" w:eastAsia="仿宋_GB2312"/>
          <w:color w:val="FF0000"/>
          <w:sz w:val="32"/>
          <w:szCs w:val="32"/>
        </w:rPr>
      </w:pPr>
      <w:bookmarkStart w:id="80" w:name="_Toc15377223"/>
      <w:r>
        <w:rPr>
          <w:rFonts w:hint="eastAsia" w:ascii="仿宋_GB2312" w:hAnsi="仿宋" w:eastAsia="仿宋_GB2312"/>
          <w:color w:val="000000"/>
          <w:sz w:val="32"/>
          <w:szCs w:val="32"/>
          <w:lang w:eastAsia="zh-CN"/>
        </w:rPr>
        <w:t>我站为公益一类事业单位，2021年未发生机关运行经费支出，与2020年决算数持平</w:t>
      </w:r>
      <w:r>
        <w:rPr>
          <w:rFonts w:hint="eastAsia" w:ascii="仿宋_GB2312" w:hAnsi="仿宋"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1" w:name="_Toc1402"/>
      <w:r>
        <w:rPr>
          <w:rFonts w:hint="eastAsia" w:ascii="仿宋" w:hAnsi="仿宋" w:eastAsia="仿宋"/>
          <w:b/>
          <w:sz w:val="32"/>
          <w:szCs w:val="32"/>
        </w:rPr>
        <w:t>（二）政府采购支出情况</w:t>
      </w:r>
      <w:bookmarkEnd w:id="80"/>
      <w:bookmarkEnd w:id="81"/>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21年，我</w:t>
      </w:r>
      <w:r>
        <w:rPr>
          <w:rFonts w:hint="eastAsia" w:ascii="仿宋_GB2312" w:eastAsia="仿宋_GB2312"/>
          <w:sz w:val="32"/>
          <w:szCs w:val="32"/>
          <w:lang w:eastAsia="zh-CN"/>
        </w:rPr>
        <w:t>站</w:t>
      </w:r>
      <w:r>
        <w:rPr>
          <w:rFonts w:hint="eastAsia" w:ascii="仿宋_GB2312" w:eastAsia="仿宋_GB2312"/>
          <w:sz w:val="32"/>
          <w:szCs w:val="32"/>
        </w:rPr>
        <w:t>政府采购支出总额</w:t>
      </w:r>
      <w:r>
        <w:rPr>
          <w:rFonts w:hint="eastAsia" w:ascii="仿宋_GB2312" w:eastAsia="仿宋_GB2312"/>
          <w:sz w:val="32"/>
          <w:szCs w:val="32"/>
          <w:lang w:val="en-US" w:eastAsia="zh-CN"/>
        </w:rPr>
        <w:t>117.46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117.46</w:t>
      </w:r>
      <w:r>
        <w:rPr>
          <w:rFonts w:hint="eastAsia" w:ascii="仿宋_GB2312" w:eastAsia="仿宋_GB2312"/>
          <w:sz w:val="32"/>
          <w:szCs w:val="32"/>
        </w:rPr>
        <w:t>万元。主要用于</w:t>
      </w:r>
      <w:r>
        <w:rPr>
          <w:rFonts w:hint="eastAsia" w:ascii="仿宋_GB2312" w:hAnsi="仿宋_GB2312" w:eastAsia="仿宋_GB2312" w:cs="仿宋_GB2312"/>
          <w:sz w:val="32"/>
          <w:szCs w:val="32"/>
          <w:lang w:eastAsia="zh-CN"/>
        </w:rPr>
        <w:t>专用设备</w:t>
      </w:r>
      <w:r>
        <w:rPr>
          <w:rFonts w:hint="eastAsia" w:ascii="仿宋_GB2312" w:hAnsi="仿宋_GB2312" w:eastAsia="仿宋_GB2312" w:cs="仿宋_GB2312"/>
          <w:sz w:val="32"/>
          <w:szCs w:val="32"/>
        </w:rPr>
        <w:t>及救灾物资的采购</w:t>
      </w:r>
      <w:r>
        <w:rPr>
          <w:rFonts w:hint="eastAsia" w:ascii="仿宋_GB2312" w:eastAsia="仿宋_GB2312"/>
          <w:sz w:val="32"/>
          <w:szCs w:val="32"/>
        </w:rPr>
        <w:t>。授予中小企业合同金额</w:t>
      </w:r>
      <w:r>
        <w:rPr>
          <w:rFonts w:hint="eastAsia" w:ascii="仿宋_GB2312" w:eastAsia="仿宋_GB2312"/>
          <w:sz w:val="32"/>
          <w:szCs w:val="32"/>
          <w:lang w:val="en-US" w:eastAsia="zh-CN"/>
        </w:rPr>
        <w:t>117.46</w:t>
      </w:r>
      <w:r>
        <w:rPr>
          <w:rFonts w:hint="eastAsia" w:ascii="仿宋_GB2312" w:eastAsia="仿宋_GB2312"/>
          <w:sz w:val="32"/>
          <w:szCs w:val="32"/>
        </w:rPr>
        <w:t>万元，占政府采购支出总额的100</w:t>
      </w:r>
      <w:r>
        <w:rPr>
          <w:rFonts w:ascii="仿宋_GB2312" w:eastAsia="仿宋_GB2312"/>
          <w:sz w:val="32"/>
          <w:szCs w:val="32"/>
        </w:rPr>
        <w:t>%</w:t>
      </w:r>
      <w:r>
        <w:rPr>
          <w:rFonts w:hint="eastAsia" w:ascii="仿宋_GB2312" w:eastAsia="仿宋_GB2312"/>
          <w:sz w:val="32"/>
          <w:szCs w:val="32"/>
          <w:lang w:val="en-US" w:eastAsia="zh-CN"/>
        </w:rPr>
        <w:t>,其中：授予小微企业合同金额144.89万元，占政府采购支出总额的100%。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2" w:name="_Toc15377224"/>
      <w:bookmarkStart w:id="83" w:name="_Toc19085"/>
      <w:r>
        <w:rPr>
          <w:rFonts w:hint="eastAsia" w:ascii="仿宋" w:hAnsi="仿宋" w:eastAsia="仿宋"/>
          <w:b/>
          <w:sz w:val="32"/>
          <w:szCs w:val="32"/>
        </w:rPr>
        <w:t>（三）国有资产占有使用情况</w:t>
      </w:r>
      <w:bookmarkEnd w:id="82"/>
      <w:bookmarkEnd w:id="8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w:t>
      </w:r>
      <w:r>
        <w:rPr>
          <w:rFonts w:hint="eastAsia" w:ascii="仿宋_GB2312" w:eastAsia="仿宋_GB2312"/>
          <w:sz w:val="32"/>
          <w:szCs w:val="32"/>
          <w:lang w:eastAsia="zh-CN"/>
        </w:rPr>
        <w:t>站</w:t>
      </w:r>
      <w:r>
        <w:rPr>
          <w:rFonts w:hint="eastAsia" w:ascii="仿宋_GB2312" w:eastAsia="仿宋_GB2312"/>
          <w:sz w:val="32"/>
          <w:szCs w:val="32"/>
        </w:rPr>
        <w:t>共有车辆</w:t>
      </w:r>
      <w:r>
        <w:rPr>
          <w:rFonts w:hint="eastAsia" w:ascii="仿宋_GB2312" w:eastAsia="仿宋_GB2312"/>
          <w:sz w:val="32"/>
          <w:szCs w:val="32"/>
          <w:lang w:val="en-US" w:eastAsia="zh-CN"/>
        </w:rPr>
        <w:t>2</w:t>
      </w:r>
      <w:r>
        <w:rPr>
          <w:rFonts w:hint="eastAsia" w:ascii="仿宋_GB2312" w:eastAsia="仿宋_GB2312"/>
          <w:sz w:val="32"/>
          <w:szCs w:val="32"/>
        </w:rPr>
        <w:t>辆，其中：其他用车</w:t>
      </w:r>
      <w:r>
        <w:rPr>
          <w:rFonts w:hint="eastAsia" w:ascii="仿宋_GB2312" w:eastAsia="仿宋_GB2312"/>
          <w:sz w:val="32"/>
          <w:szCs w:val="32"/>
          <w:lang w:val="en-US" w:eastAsia="zh-CN"/>
        </w:rPr>
        <w:t>2</w:t>
      </w:r>
      <w:r>
        <w:rPr>
          <w:rFonts w:hint="eastAsia" w:ascii="仿宋_GB2312" w:eastAsia="仿宋_GB2312"/>
          <w:sz w:val="32"/>
          <w:szCs w:val="32"/>
        </w:rPr>
        <w:t>辆。其他用车主要是用于</w:t>
      </w:r>
      <w:r>
        <w:rPr>
          <w:rFonts w:hint="eastAsia" w:ascii="仿宋_GB2312" w:eastAsia="仿宋_GB2312"/>
          <w:sz w:val="32"/>
          <w:szCs w:val="32"/>
          <w:lang w:eastAsia="zh-CN"/>
        </w:rPr>
        <w:t>市救灾物资管理中心</w:t>
      </w:r>
      <w:r>
        <w:rPr>
          <w:rFonts w:hint="eastAsia" w:ascii="仿宋_GB2312" w:eastAsia="仿宋_GB2312"/>
          <w:sz w:val="32"/>
          <w:szCs w:val="32"/>
        </w:rPr>
        <w:t>日常工作任务开展用车。单价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1</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1</w:t>
      </w:r>
      <w:r>
        <w:rPr>
          <w:rFonts w:hint="eastAsia" w:ascii="仿宋_GB2312" w:eastAsia="仿宋_GB2312"/>
          <w:sz w:val="32"/>
          <w:szCs w:val="32"/>
        </w:rPr>
        <w:t>台（套）。</w:t>
      </w:r>
    </w:p>
    <w:p>
      <w:pPr>
        <w:pStyle w:val="8"/>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84" w:name="_Toc15377225"/>
      <w:bookmarkStart w:id="85" w:name="_Toc25729"/>
      <w:bookmarkStart w:id="86" w:name="_Toc15396613"/>
      <w:r>
        <w:rPr>
          <w:rFonts w:hint="eastAsia" w:ascii="黑体" w:hAnsi="黑体" w:eastAsia="黑体"/>
          <w:sz w:val="44"/>
          <w:szCs w:val="44"/>
        </w:rPr>
        <w:t>名</w:t>
      </w:r>
      <w:r>
        <w:rPr>
          <w:rStyle w:val="31"/>
          <w:rFonts w:hint="eastAsia" w:ascii="黑体" w:hAnsi="黑体" w:eastAsia="黑体"/>
          <w:b w:val="0"/>
        </w:rPr>
        <w:t>词解释</w:t>
      </w:r>
      <w:bookmarkEnd w:id="84"/>
      <w:bookmarkEnd w:id="85"/>
      <w:bookmarkEnd w:id="86"/>
    </w:p>
    <w:p>
      <w:pPr>
        <w:spacing w:line="600" w:lineRule="exact"/>
        <w:jc w:val="left"/>
        <w:rPr>
          <w:rFonts w:ascii="宋体"/>
          <w:b/>
          <w:sz w:val="44"/>
          <w:szCs w:val="44"/>
        </w:rPr>
      </w:pPr>
    </w:p>
    <w:p>
      <w:pPr>
        <w:pStyle w:val="29"/>
        <w:numPr>
          <w:ilvl w:val="0"/>
          <w:numId w:val="4"/>
        </w:num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财政拨款收入：指单位从同级财政部门取得的财政预算资金。</w:t>
      </w:r>
    </w:p>
    <w:p>
      <w:pPr>
        <w:pStyle w:val="29"/>
        <w:numPr>
          <w:ilvl w:val="0"/>
          <w:numId w:val="4"/>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其他收入：指单位取得的除上述收入以外的各项收入。主要是账户存款利息收入等。</w:t>
      </w:r>
      <w:r>
        <w:rPr>
          <w:rFonts w:ascii="仿宋_GB2312" w:eastAsia="仿宋_GB2312"/>
          <w:color w:val="auto"/>
          <w:sz w:val="32"/>
          <w:szCs w:val="32"/>
        </w:rPr>
        <w:t xml:space="preserve"> </w:t>
      </w:r>
    </w:p>
    <w:p>
      <w:pPr>
        <w:pStyle w:val="29"/>
        <w:numPr>
          <w:ilvl w:val="0"/>
          <w:numId w:val="4"/>
        </w:num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9"/>
        <w:numPr>
          <w:ilvl w:val="0"/>
          <w:numId w:val="4"/>
        </w:numPr>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rPr>
        <w:t>年末结转和结余：指单位按有关规定结转到下年或以后年度继续使用的资金。</w:t>
      </w:r>
    </w:p>
    <w:p>
      <w:pPr>
        <w:pStyle w:val="29"/>
        <w:numPr>
          <w:ilvl w:val="0"/>
          <w:numId w:val="4"/>
        </w:numPr>
        <w:spacing w:line="560" w:lineRule="exact"/>
        <w:ind w:firstLine="640" w:firstLineChars="200"/>
        <w:rPr>
          <w:rFonts w:hint="eastAsia" w:ascii="仿宋_GB2312" w:eastAsia="仿宋_GB2312"/>
          <w:sz w:val="32"/>
          <w:szCs w:val="32"/>
        </w:rPr>
      </w:pPr>
      <w:r>
        <w:rPr>
          <w:rFonts w:hint="eastAsia" w:ascii="仿宋_GB2312" w:hAnsi="仿宋" w:eastAsia="仿宋_GB2312"/>
          <w:sz w:val="32"/>
          <w:szCs w:val="32"/>
        </w:rPr>
        <w:t>粮油物资储备支出（类）粮油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事务（款）事业运行（项）反映事业单位的基本支出。</w:t>
      </w:r>
    </w:p>
    <w:p>
      <w:pPr>
        <w:pStyle w:val="29"/>
        <w:numPr>
          <w:ilvl w:val="0"/>
          <w:numId w:val="4"/>
        </w:numPr>
        <w:spacing w:line="560" w:lineRule="exact"/>
        <w:ind w:firstLine="640" w:firstLineChars="200"/>
        <w:rPr>
          <w:rFonts w:hint="eastAsia" w:ascii="仿宋_GB2312" w:eastAsia="仿宋_GB2312"/>
          <w:b w:val="0"/>
          <w:bCs w:val="0"/>
          <w:sz w:val="32"/>
          <w:szCs w:val="32"/>
          <w:lang w:val="en-US" w:eastAsia="zh-CN"/>
        </w:rPr>
      </w:pPr>
      <w:r>
        <w:rPr>
          <w:rStyle w:val="21"/>
          <w:rFonts w:hint="eastAsia" w:ascii="仿宋" w:hAnsi="仿宋" w:eastAsia="仿宋"/>
          <w:b w:val="0"/>
          <w:bCs w:val="0"/>
          <w:sz w:val="32"/>
          <w:szCs w:val="32"/>
        </w:rPr>
        <w:t>科学技术（类）技术研究与开发（款）科技成果转化与扩散（项）</w:t>
      </w:r>
      <w:r>
        <w:rPr>
          <w:rFonts w:hint="eastAsia" w:ascii="仿宋_GB2312" w:eastAsia="仿宋_GB2312"/>
          <w:b w:val="0"/>
          <w:bCs w:val="0"/>
          <w:sz w:val="32"/>
          <w:szCs w:val="32"/>
        </w:rPr>
        <w:t>指上级补助单位个人支出。</w:t>
      </w:r>
    </w:p>
    <w:p>
      <w:pPr>
        <w:pStyle w:val="29"/>
        <w:numPr>
          <w:ilvl w:val="0"/>
          <w:numId w:val="4"/>
        </w:numPr>
        <w:spacing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社会保障和就业支出（类）行政事业单位养老支出（款）机关事业单位基本养老保险缴费支出（项）指本单位人员养老保险支出。</w:t>
      </w:r>
    </w:p>
    <w:p>
      <w:pPr>
        <w:pStyle w:val="29"/>
        <w:numPr>
          <w:ilvl w:val="0"/>
          <w:numId w:val="4"/>
        </w:numPr>
        <w:spacing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社会保障和就业支出（类）行政事业单位养老支出（款）机关事业单位职业年金缴费支出（项）指本单位退休人中职业年金纪实支出。</w:t>
      </w:r>
    </w:p>
    <w:p>
      <w:pPr>
        <w:pStyle w:val="29"/>
        <w:numPr>
          <w:ilvl w:val="0"/>
          <w:numId w:val="4"/>
        </w:numPr>
        <w:spacing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社会保障和就业支出（类）其他社会保障和就业支出（款）其他社会保障和就业支出（项）指本单位其他社会保障缴费。</w:t>
      </w:r>
    </w:p>
    <w:p>
      <w:pPr>
        <w:numPr>
          <w:ilvl w:val="0"/>
          <w:numId w:val="4"/>
        </w:numPr>
        <w:spacing w:line="600" w:lineRule="exact"/>
        <w:ind w:left="0" w:leftChars="0" w:firstLine="640" w:firstLineChars="200"/>
      </w:pPr>
      <w:r>
        <w:rPr>
          <w:rFonts w:hint="eastAsia" w:ascii="仿宋" w:hAnsi="仿宋" w:eastAsia="仿宋"/>
          <w:b w:val="0"/>
          <w:bCs w:val="0"/>
          <w:sz w:val="32"/>
          <w:szCs w:val="32"/>
        </w:rPr>
        <w:t>卫生健康支出</w:t>
      </w:r>
      <w:r>
        <w:rPr>
          <w:rStyle w:val="21"/>
          <w:rFonts w:hint="eastAsia" w:ascii="仿宋" w:hAnsi="仿宋" w:eastAsia="仿宋"/>
          <w:b w:val="0"/>
          <w:bCs w:val="0"/>
          <w:sz w:val="32"/>
          <w:szCs w:val="32"/>
        </w:rPr>
        <w:t>（类）行政</w:t>
      </w:r>
      <w:r>
        <w:rPr>
          <w:rStyle w:val="21"/>
          <w:rFonts w:hint="eastAsia" w:ascii="仿宋" w:hAnsi="仿宋" w:eastAsia="仿宋"/>
          <w:b w:val="0"/>
          <w:bCs w:val="0"/>
          <w:sz w:val="32"/>
          <w:szCs w:val="32"/>
          <w:lang w:eastAsia="zh-CN"/>
        </w:rPr>
        <w:t>事业</w:t>
      </w:r>
      <w:r>
        <w:rPr>
          <w:rStyle w:val="21"/>
          <w:rFonts w:hint="eastAsia" w:ascii="仿宋" w:hAnsi="仿宋" w:eastAsia="仿宋"/>
          <w:b w:val="0"/>
          <w:bCs w:val="0"/>
          <w:sz w:val="32"/>
          <w:szCs w:val="32"/>
        </w:rPr>
        <w:t>单位医疗（款）</w:t>
      </w:r>
      <w:r>
        <w:rPr>
          <w:rStyle w:val="21"/>
          <w:rFonts w:hint="eastAsia" w:ascii="仿宋" w:hAnsi="仿宋" w:eastAsia="仿宋"/>
          <w:b w:val="0"/>
          <w:bCs w:val="0"/>
          <w:sz w:val="32"/>
          <w:szCs w:val="32"/>
          <w:lang w:eastAsia="zh-CN"/>
        </w:rPr>
        <w:t>事业</w:t>
      </w:r>
      <w:r>
        <w:rPr>
          <w:rStyle w:val="21"/>
          <w:rFonts w:hint="eastAsia" w:ascii="仿宋" w:hAnsi="仿宋" w:eastAsia="仿宋"/>
          <w:b w:val="0"/>
          <w:bCs w:val="0"/>
          <w:sz w:val="32"/>
          <w:szCs w:val="32"/>
        </w:rPr>
        <w:t>单位医疗（项）指</w:t>
      </w:r>
      <w:r>
        <w:rPr>
          <w:rFonts w:hint="eastAsia" w:ascii="仿宋_GB2312" w:eastAsia="仿宋_GB2312"/>
          <w:b w:val="0"/>
          <w:bCs w:val="0"/>
          <w:sz w:val="32"/>
          <w:szCs w:val="32"/>
          <w:lang w:eastAsia="zh-CN"/>
        </w:rPr>
        <w:t>事业单位人员</w:t>
      </w:r>
      <w:r>
        <w:rPr>
          <w:rFonts w:hint="eastAsia" w:ascii="仿宋_GB2312" w:eastAsia="仿宋_GB2312"/>
          <w:b w:val="0"/>
          <w:bCs w:val="0"/>
          <w:sz w:val="32"/>
          <w:szCs w:val="32"/>
        </w:rPr>
        <w:t>医疗保险支出</w:t>
      </w:r>
      <w:r>
        <w:rPr>
          <w:rStyle w:val="21"/>
          <w:rFonts w:hint="eastAsia" w:ascii="仿宋" w:hAnsi="仿宋" w:eastAsia="仿宋"/>
          <w:b w:val="0"/>
          <w:bCs w:val="0"/>
          <w:sz w:val="32"/>
          <w:szCs w:val="32"/>
        </w:rPr>
        <w:t>。</w:t>
      </w:r>
    </w:p>
    <w:p>
      <w:pPr>
        <w:numPr>
          <w:ilvl w:val="0"/>
          <w:numId w:val="4"/>
        </w:numPr>
        <w:spacing w:line="600" w:lineRule="exact"/>
        <w:ind w:left="0" w:leftChars="0" w:firstLine="640" w:firstLineChars="200"/>
      </w:pPr>
      <w:r>
        <w:rPr>
          <w:rFonts w:hint="eastAsia" w:ascii="仿宋" w:hAnsi="仿宋" w:eastAsia="仿宋"/>
          <w:b w:val="0"/>
          <w:bCs w:val="0"/>
          <w:sz w:val="32"/>
          <w:szCs w:val="32"/>
        </w:rPr>
        <w:t>（1）住房保障支出（类）住房改革支出（款）住房公积金（项）指</w:t>
      </w:r>
      <w:r>
        <w:rPr>
          <w:rFonts w:hint="eastAsia" w:ascii="仿宋" w:hAnsi="仿宋" w:eastAsia="仿宋"/>
          <w:b w:val="0"/>
          <w:bCs w:val="0"/>
          <w:sz w:val="32"/>
          <w:szCs w:val="32"/>
          <w:lang w:eastAsia="zh-CN"/>
        </w:rPr>
        <w:t>事业单位</w:t>
      </w:r>
      <w:r>
        <w:rPr>
          <w:rFonts w:hint="eastAsia" w:ascii="仿宋" w:hAnsi="仿宋" w:eastAsia="仿宋"/>
          <w:b w:val="0"/>
          <w:bCs w:val="0"/>
          <w:sz w:val="32"/>
          <w:szCs w:val="32"/>
        </w:rPr>
        <w:t>人员住房公积金缴费支出。（2）住房保障支出（类）住房改革支出（款）购房补贴（项）指</w:t>
      </w:r>
      <w:r>
        <w:rPr>
          <w:rFonts w:hint="eastAsia" w:ascii="仿宋" w:hAnsi="仿宋" w:eastAsia="仿宋"/>
          <w:b w:val="0"/>
          <w:bCs w:val="0"/>
          <w:sz w:val="32"/>
          <w:szCs w:val="32"/>
          <w:lang w:eastAsia="zh-CN"/>
        </w:rPr>
        <w:t>事业单位人员</w:t>
      </w:r>
      <w:r>
        <w:rPr>
          <w:rFonts w:hint="eastAsia" w:ascii="仿宋" w:hAnsi="仿宋" w:eastAsia="仿宋"/>
          <w:b w:val="0"/>
          <w:bCs w:val="0"/>
          <w:sz w:val="32"/>
          <w:szCs w:val="32"/>
        </w:rPr>
        <w:t>高层次人才引进住房补贴支出</w:t>
      </w:r>
      <w:r>
        <w:rPr>
          <w:rFonts w:hint="eastAsia" w:ascii="仿宋" w:hAnsi="仿宋" w:eastAsia="仿宋"/>
          <w:b w:val="0"/>
          <w:bCs w:val="0"/>
          <w:sz w:val="32"/>
          <w:szCs w:val="32"/>
          <w:lang w:eastAsia="zh-CN"/>
        </w:rPr>
        <w:t>。</w:t>
      </w:r>
    </w:p>
    <w:p>
      <w:pPr>
        <w:numPr>
          <w:ilvl w:val="0"/>
          <w:numId w:val="4"/>
        </w:numPr>
        <w:spacing w:line="600" w:lineRule="exact"/>
        <w:ind w:left="0" w:leftChars="0" w:firstLine="640" w:firstLineChars="200"/>
        <w:rPr>
          <w:rFonts w:ascii="仿宋_GB2312" w:eastAsia="仿宋_GB2312"/>
          <w:sz w:val="32"/>
          <w:szCs w:val="32"/>
        </w:rPr>
      </w:pPr>
      <w:r>
        <w:rPr>
          <w:rFonts w:hint="eastAsia" w:ascii="仿宋_GB2312" w:hAnsi="仿宋" w:eastAsia="仿宋_GB2312"/>
          <w:sz w:val="32"/>
          <w:szCs w:val="32"/>
        </w:rPr>
        <w:t>粮油物资储备支出（类）粮油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事务（款）专项业务活动（项）反映粮食体制改革、制度研究、军粮供应等专项业务活动。粮油物资储备支出（类）粮油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事务（款）其他粮油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事务支出（项）反映除上述项目以外其他用于粮油</w:t>
      </w:r>
      <w:r>
        <w:rPr>
          <w:rFonts w:hint="eastAsia" w:ascii="仿宋_GB2312" w:hAnsi="仿宋" w:eastAsia="仿宋_GB2312"/>
          <w:sz w:val="32"/>
          <w:szCs w:val="32"/>
          <w:lang w:eastAsia="zh-CN"/>
        </w:rPr>
        <w:t>物资</w:t>
      </w:r>
      <w:r>
        <w:rPr>
          <w:rFonts w:hint="eastAsia" w:ascii="仿宋_GB2312" w:hAnsi="仿宋" w:eastAsia="仿宋_GB2312"/>
          <w:sz w:val="32"/>
          <w:szCs w:val="32"/>
        </w:rPr>
        <w:t>事务方面的支出。</w:t>
      </w:r>
      <w:r>
        <w:rPr>
          <w:rFonts w:hint="eastAsia" w:ascii="仿宋_GB2312" w:eastAsia="仿宋_GB2312"/>
          <w:sz w:val="32"/>
          <w:szCs w:val="32"/>
        </w:rPr>
        <w:t>粮油物资储备支出（类）粮油物资事务（款）物资保管保养（项）是用于</w:t>
      </w:r>
      <w:r>
        <w:rPr>
          <w:rFonts w:hint="eastAsia" w:ascii="仿宋_GB2312" w:eastAsia="仿宋_GB2312"/>
          <w:sz w:val="32"/>
          <w:szCs w:val="32"/>
          <w:lang w:eastAsia="zh-CN"/>
        </w:rPr>
        <w:t>我站（市救灾物资中心）</w:t>
      </w:r>
      <w:r>
        <w:rPr>
          <w:rFonts w:hint="eastAsia" w:ascii="仿宋_GB2312" w:eastAsia="仿宋_GB2312"/>
          <w:sz w:val="32"/>
          <w:szCs w:val="32"/>
        </w:rPr>
        <w:t>救灾物资仓库守库、装卸、翻晒、保养、运输方面的支出</w:t>
      </w:r>
      <w:r>
        <w:rPr>
          <w:rFonts w:hint="eastAsia" w:ascii="仿宋_GB2312" w:eastAsia="仿宋_GB2312"/>
          <w:sz w:val="32"/>
          <w:szCs w:val="32"/>
          <w:lang w:eastAsia="zh-CN"/>
        </w:rPr>
        <w:t>。</w:t>
      </w:r>
    </w:p>
    <w:p>
      <w:pPr>
        <w:numPr>
          <w:ilvl w:val="0"/>
          <w:numId w:val="4"/>
        </w:numPr>
        <w:spacing w:line="600" w:lineRule="exact"/>
        <w:ind w:left="0" w:leftChars="0"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4"/>
        </w:numPr>
        <w:spacing w:line="600" w:lineRule="exact"/>
        <w:ind w:left="0" w:leftChars="0" w:firstLine="640" w:firstLineChars="200"/>
        <w:rPr>
          <w:rFonts w:ascii="仿宋_GB2312" w:eastAsia="仿宋_GB2312"/>
          <w:color w:val="auto"/>
          <w:sz w:val="32"/>
          <w:szCs w:val="32"/>
        </w:rPr>
      </w:pPr>
      <w:r>
        <w:rPr>
          <w:rFonts w:hint="eastAsia" w:ascii="仿宋_GB2312" w:eastAsia="仿宋_GB2312"/>
          <w:sz w:val="32"/>
          <w:szCs w:val="32"/>
        </w:rPr>
        <w:t>项目支出：指在基本支出之外为完成特定事业发展目标所发生的支出。</w:t>
      </w:r>
      <w:r>
        <w:rPr>
          <w:rFonts w:ascii="仿宋_GB2312" w:eastAsia="仿宋_GB2312"/>
          <w:sz w:val="32"/>
          <w:szCs w:val="32"/>
        </w:rPr>
        <w:t xml:space="preserve"> </w:t>
      </w:r>
    </w:p>
    <w:p>
      <w:pPr>
        <w:numPr>
          <w:ilvl w:val="0"/>
          <w:numId w:val="4"/>
        </w:numPr>
        <w:spacing w:line="60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1"/>
          <w:rFonts w:ascii="黑体" w:hAnsi="黑体" w:eastAsia="黑体"/>
          <w:b w:val="0"/>
        </w:rPr>
      </w:pPr>
      <w:bookmarkStart w:id="87" w:name="_Toc15377226"/>
      <w:r>
        <w:rPr>
          <w:rFonts w:ascii="宋体"/>
          <w:b/>
          <w:sz w:val="44"/>
          <w:szCs w:val="44"/>
        </w:rPr>
        <w:br w:type="page"/>
      </w:r>
      <w:bookmarkStart w:id="88" w:name="_Toc15396614"/>
      <w:bookmarkStart w:id="89" w:name="_Toc11537"/>
      <w:r>
        <w:rPr>
          <w:rFonts w:hint="eastAsia" w:ascii="黑体" w:hAnsi="黑体" w:eastAsia="黑体"/>
          <w:sz w:val="44"/>
          <w:szCs w:val="44"/>
        </w:rPr>
        <w:t>第</w:t>
      </w:r>
      <w:r>
        <w:rPr>
          <w:rStyle w:val="31"/>
          <w:rFonts w:hint="eastAsia" w:ascii="黑体" w:hAnsi="黑体" w:eastAsia="黑体"/>
          <w:b w:val="0"/>
        </w:rPr>
        <w:t>四部分 附件</w:t>
      </w:r>
      <w:bookmarkEnd w:id="88"/>
      <w:bookmarkEnd w:id="89"/>
    </w:p>
    <w:p>
      <w:pPr>
        <w:pStyle w:val="8"/>
        <w:spacing w:before="93"/>
        <w:rPr>
          <w:rFonts w:hint="eastAsia" w:ascii="黑体" w:hAnsi="黑体" w:eastAsia="黑体" w:cs="黑体"/>
          <w:sz w:val="32"/>
          <w:szCs w:val="32"/>
          <w:lang w:val="en-US" w:eastAsia="zh-CN"/>
        </w:rPr>
      </w:pPr>
      <w:r>
        <w:rPr>
          <w:rFonts w:hint="eastAsia" w:ascii="黑体" w:hAnsi="黑体" w:eastAsia="黑体" w:cs="黑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hAnsi="宋体"/>
          <w:sz w:val="32"/>
          <w:szCs w:val="32"/>
          <w:lang w:val="zh-CN"/>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bookmarkStart w:id="90" w:name="_Toc15396618"/>
      <w:r>
        <w:rPr>
          <w:rFonts w:hint="eastAsia" w:ascii="方正小标宋简体" w:hAnsi="方正小标宋简体" w:eastAsia="方正小标宋简体" w:cs="方正小标宋简体"/>
          <w:color w:val="auto"/>
          <w:kern w:val="2"/>
          <w:sz w:val="40"/>
          <w:szCs w:val="40"/>
          <w:lang w:val="en-US" w:eastAsia="zh-CN" w:bidi="ar-SA"/>
        </w:rPr>
        <w:t>广元市粮油质量监测站</w:t>
      </w: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救灾物资采购资金项目支出绩效自评报告</w:t>
      </w:r>
    </w:p>
    <w:p>
      <w:pPr>
        <w:pStyle w:val="38"/>
        <w:spacing w:line="576" w:lineRule="exact"/>
        <w:jc w:val="both"/>
        <w:rPr>
          <w:rFonts w:ascii="宋体" w:hAnsi="宋体"/>
          <w:color w:val="auto"/>
          <w:kern w:val="2"/>
          <w:sz w:val="32"/>
          <w:szCs w:val="32"/>
        </w:rPr>
      </w:pPr>
    </w:p>
    <w:p>
      <w:pPr>
        <w:pStyle w:val="30"/>
        <w:keepNext w:val="0"/>
        <w:keepLines w:val="0"/>
        <w:pageBreakBefore w:val="0"/>
        <w:widowControl w:val="0"/>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sz w:val="32"/>
          <w:szCs w:val="32"/>
          <w:lang w:val="zh-CN" w:eastAsia="zh-CN"/>
        </w:rPr>
      </w:pP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lang w:val="zh-CN" w:eastAsia="zh-CN"/>
        </w:rPr>
        <w:t>项目概况</w:t>
      </w:r>
    </w:p>
    <w:p>
      <w:pPr>
        <w:adjustRightInd w:val="0"/>
        <w:snapToGrid w:val="0"/>
        <w:spacing w:line="576" w:lineRule="exact"/>
        <w:ind w:firstLine="720"/>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（一）项目资金申报及批复情况。</w:t>
      </w:r>
    </w:p>
    <w:p>
      <w:pPr>
        <w:adjustRightInd w:val="0"/>
        <w:snapToGrid w:val="0"/>
        <w:spacing w:line="576" w:lineRule="exact"/>
        <w:ind w:firstLine="720"/>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项目资金由市发展改革委向市政府申报，市政府批复后，严格按照政府采购流程进行，符合资金管理办法等相关规定。</w:t>
      </w:r>
    </w:p>
    <w:p>
      <w:pPr>
        <w:numPr>
          <w:ilvl w:val="0"/>
          <w:numId w:val="5"/>
        </w:numPr>
        <w:adjustRightInd w:val="0"/>
        <w:snapToGrid w:val="0"/>
        <w:spacing w:line="576" w:lineRule="exact"/>
        <w:ind w:firstLine="720"/>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项目绩效目标。</w:t>
      </w:r>
    </w:p>
    <w:p>
      <w:pPr>
        <w:numPr>
          <w:ilvl w:val="0"/>
          <w:numId w:val="0"/>
        </w:numPr>
        <w:adjustRightInd w:val="0"/>
        <w:snapToGrid w:val="0"/>
        <w:spacing w:line="576" w:lineRule="exact"/>
        <w:ind w:firstLine="640" w:firstLineChars="200"/>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项目主要采购救灾物资棉被4000床、棉大衣1000件。发挥良好的社会效益，及时有效提高应急处突能力。</w:t>
      </w:r>
    </w:p>
    <w:p>
      <w:pPr>
        <w:numPr>
          <w:ilvl w:val="0"/>
          <w:numId w:val="5"/>
        </w:numPr>
        <w:adjustRightInd w:val="0"/>
        <w:snapToGrid w:val="0"/>
        <w:spacing w:line="576" w:lineRule="exact"/>
        <w:ind w:left="0" w:leftChars="0" w:firstLine="720" w:firstLineChars="0"/>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项目资金申报相符性。</w:t>
      </w:r>
    </w:p>
    <w:p>
      <w:pPr>
        <w:numPr>
          <w:ilvl w:val="0"/>
          <w:numId w:val="0"/>
        </w:numPr>
        <w:adjustRightInd w:val="0"/>
        <w:snapToGrid w:val="0"/>
        <w:spacing w:line="576" w:lineRule="exact"/>
        <w:ind w:left="720" w:leftChars="0"/>
        <w:rPr>
          <w:rFonts w:ascii="仿宋_GB2312" w:hAnsi="宋体"/>
          <w:lang w:val="zh-CN"/>
        </w:rPr>
      </w:pPr>
      <w:r>
        <w:rPr>
          <w:rFonts w:hint="eastAsia" w:ascii="仿宋_GB2312" w:hAnsi="黑体" w:eastAsia="仿宋_GB2312" w:cs="黑体"/>
          <w:color w:val="000000"/>
          <w:sz w:val="32"/>
          <w:szCs w:val="32"/>
          <w:lang w:val="zh-CN"/>
        </w:rPr>
        <w:t>项目申报内容与具体实施内容相符、申报目标合理可行。</w:t>
      </w:r>
    </w:p>
    <w:p>
      <w:pPr>
        <w:pStyle w:val="30"/>
        <w:keepNext w:val="0"/>
        <w:keepLines w:val="0"/>
        <w:pageBreakBefore w:val="0"/>
        <w:widowControl w:val="0"/>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二、项目实施及管理情况</w:t>
      </w:r>
    </w:p>
    <w:p>
      <w:pPr>
        <w:adjustRightInd w:val="0"/>
        <w:snapToGrid w:val="0"/>
        <w:spacing w:line="576" w:lineRule="exact"/>
        <w:ind w:firstLine="720"/>
        <w:rPr>
          <w:rFonts w:hint="eastAsia" w:ascii="楷体_GB2312" w:hAnsi="Calibri" w:eastAsia="楷体_GB2312" w:cs="Times New Roman"/>
          <w:sz w:val="32"/>
          <w:szCs w:val="32"/>
          <w:lang w:val="zh-CN" w:eastAsia="zh-CN"/>
        </w:rPr>
      </w:pPr>
      <w:r>
        <w:rPr>
          <w:rFonts w:hint="eastAsia" w:ascii="仿宋_GB2312" w:hAnsi="宋体"/>
          <w:lang w:val="zh-CN"/>
        </w:rPr>
        <w:tab/>
      </w:r>
      <w:r>
        <w:rPr>
          <w:rFonts w:hint="eastAsia" w:ascii="楷体_GB2312" w:hAnsi="Calibri" w:eastAsia="楷体_GB2312" w:cs="Times New Roman"/>
          <w:sz w:val="32"/>
          <w:szCs w:val="32"/>
          <w:lang w:val="zh-CN" w:eastAsia="zh-CN"/>
        </w:rPr>
        <w:t>（一）资金计划、到位及使用情况。</w:t>
      </w:r>
    </w:p>
    <w:p>
      <w:pPr>
        <w:adjustRightInd w:val="0"/>
        <w:snapToGrid w:val="0"/>
        <w:spacing w:line="576" w:lineRule="exact"/>
        <w:ind w:firstLine="720"/>
        <w:rPr>
          <w:rFonts w:hint="eastAsia" w:ascii="仿宋_GB2312" w:hAnsi="黑体" w:eastAsia="仿宋_GB2312" w:cs="黑体"/>
          <w:color w:val="000000"/>
          <w:sz w:val="32"/>
          <w:szCs w:val="32"/>
          <w:lang w:val="zh-CN"/>
        </w:rPr>
      </w:pPr>
      <w:r>
        <w:rPr>
          <w:rFonts w:hint="eastAsia" w:ascii="仿宋_GB2312" w:hAnsi="仿宋_GB2312" w:eastAsia="仿宋_GB2312" w:cs="仿宋_GB2312"/>
          <w:sz w:val="32"/>
          <w:szCs w:val="32"/>
          <w:lang w:val="zh-CN"/>
        </w:rPr>
        <w:t>1．资金计划及到位。</w:t>
      </w:r>
      <w:r>
        <w:rPr>
          <w:rFonts w:hint="eastAsia" w:ascii="仿宋_GB2312" w:hAnsi="黑体" w:eastAsia="仿宋_GB2312" w:cs="黑体"/>
          <w:color w:val="000000"/>
          <w:sz w:val="32"/>
          <w:szCs w:val="32"/>
          <w:lang w:val="zh-CN"/>
        </w:rPr>
        <w:t>项目资金来源87.2万元，均为市本级财政拨款，截止评价时点实际到位87.2万元，资金到位率100％。</w:t>
      </w:r>
    </w:p>
    <w:p>
      <w:pPr>
        <w:adjustRightInd w:val="0"/>
        <w:snapToGrid w:val="0"/>
        <w:spacing w:line="576" w:lineRule="exact"/>
        <w:ind w:firstLine="720"/>
        <w:rPr>
          <w:rFonts w:hint="eastAsia" w:ascii="仿宋_GB2312" w:hAnsi="黑体" w:eastAsia="仿宋_GB2312" w:cs="黑体"/>
          <w:color w:val="000000"/>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黑体" w:eastAsia="仿宋_GB2312" w:cs="黑体"/>
          <w:color w:val="000000"/>
          <w:sz w:val="32"/>
          <w:szCs w:val="32"/>
          <w:lang w:val="zh-CN"/>
        </w:rPr>
        <w:t>截止评价时点项目资金的实际支出84.17万元，预算执行率为</w:t>
      </w:r>
      <w:r>
        <w:rPr>
          <w:rFonts w:hint="eastAsia" w:ascii="仿宋_GB2312" w:hAnsi="黑体" w:eastAsia="仿宋_GB2312" w:cs="黑体"/>
          <w:color w:val="000000"/>
          <w:sz w:val="32"/>
          <w:szCs w:val="32"/>
          <w:lang w:val="en-US" w:eastAsia="zh-CN"/>
        </w:rPr>
        <w:t>96.53</w:t>
      </w:r>
      <w:r>
        <w:rPr>
          <w:rFonts w:hint="eastAsia" w:ascii="仿宋_GB2312" w:hAnsi="黑体" w:eastAsia="仿宋_GB2312" w:cs="黑体"/>
          <w:color w:val="000000"/>
          <w:sz w:val="32"/>
          <w:szCs w:val="32"/>
          <w:lang w:val="zh-CN"/>
        </w:rPr>
        <w:t>%。</w:t>
      </w:r>
      <w:r>
        <w:rPr>
          <w:rFonts w:hint="eastAsia" w:ascii="仿宋_GB2312" w:hAnsi="黑体" w:eastAsia="仿宋_GB2312" w:cs="黑体"/>
          <w:color w:val="000000"/>
          <w:sz w:val="32"/>
          <w:szCs w:val="32"/>
          <w:lang w:val="zh-CN" w:eastAsia="zh-CN"/>
        </w:rPr>
        <w:t>剩余</w:t>
      </w:r>
      <w:r>
        <w:rPr>
          <w:rFonts w:hint="eastAsia" w:ascii="仿宋_GB2312" w:hAnsi="黑体" w:eastAsia="仿宋_GB2312" w:cs="黑体"/>
          <w:color w:val="000000"/>
          <w:sz w:val="32"/>
          <w:szCs w:val="32"/>
          <w:lang w:val="en-US" w:eastAsia="zh-CN"/>
        </w:rPr>
        <w:t>3.03万元为</w:t>
      </w:r>
      <w:r>
        <w:rPr>
          <w:rFonts w:hint="eastAsia" w:ascii="仿宋_GB2312" w:hAnsi="黑体" w:eastAsia="仿宋_GB2312" w:cs="黑体"/>
          <w:color w:val="000000"/>
          <w:sz w:val="32"/>
          <w:szCs w:val="32"/>
          <w:lang w:val="zh-CN"/>
        </w:rPr>
        <w:t>质量保证金，需在</w:t>
      </w:r>
      <w:r>
        <w:rPr>
          <w:rFonts w:hint="eastAsia" w:ascii="仿宋_GB2312" w:hAnsi="黑体" w:eastAsia="仿宋_GB2312" w:cs="黑体"/>
          <w:color w:val="000000"/>
          <w:sz w:val="32"/>
          <w:szCs w:val="32"/>
          <w:lang w:val="en-US" w:eastAsia="zh-CN"/>
        </w:rPr>
        <w:t>2022年完成</w:t>
      </w:r>
      <w:r>
        <w:rPr>
          <w:rFonts w:hint="eastAsia" w:ascii="仿宋_GB2312" w:hAnsi="黑体" w:eastAsia="仿宋_GB2312" w:cs="黑体"/>
          <w:color w:val="000000"/>
          <w:sz w:val="32"/>
          <w:szCs w:val="32"/>
          <w:lang w:val="zh-CN"/>
        </w:rPr>
        <w:t>支付，支付依据合规合法，资金支付与预算相符。</w:t>
      </w:r>
    </w:p>
    <w:p>
      <w:pPr>
        <w:adjustRightInd w:val="0"/>
        <w:snapToGrid w:val="0"/>
        <w:spacing w:line="576" w:lineRule="exact"/>
        <w:ind w:firstLine="720"/>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（二）项目财务管理情况。</w:t>
      </w:r>
    </w:p>
    <w:p>
      <w:pPr>
        <w:adjustRightInd w:val="0"/>
        <w:snapToGrid w:val="0"/>
        <w:spacing w:line="576" w:lineRule="exact"/>
        <w:ind w:firstLine="720"/>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对照项目资金管理办法，项目严格执行财务管理制度、财务处理及时、会计核算规范。</w:t>
      </w:r>
    </w:p>
    <w:p>
      <w:pPr>
        <w:adjustRightInd w:val="0"/>
        <w:snapToGrid w:val="0"/>
        <w:spacing w:line="576" w:lineRule="exact"/>
        <w:ind w:firstLine="720"/>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（三）项目组织实施情况。</w:t>
      </w:r>
    </w:p>
    <w:p>
      <w:pPr>
        <w:adjustRightInd w:val="0"/>
        <w:snapToGrid w:val="0"/>
        <w:spacing w:line="576" w:lineRule="exact"/>
        <w:ind w:firstLine="720"/>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项目由市粮油质量监测站严格按照政府采购流程组织实施。组织机构健全、职责分工明确，基础设施条件能够有效保障该项目的实施，并结合实际制定了项目实施方案，进一步明确了项目实施时间、工作程序和质量检查、验收等控制措施和应对突发事件的应急措施。</w:t>
      </w:r>
    </w:p>
    <w:p>
      <w:pPr>
        <w:pStyle w:val="30"/>
        <w:keepNext w:val="0"/>
        <w:keepLines w:val="0"/>
        <w:pageBreakBefore w:val="0"/>
        <w:widowControl w:val="0"/>
        <w:numPr>
          <w:ilvl w:val="0"/>
          <w:numId w:val="0"/>
        </w:numPr>
        <w:suppressAutoHyphens/>
        <w:kinsoku/>
        <w:wordWrap/>
        <w:overflowPunct/>
        <w:topLinePunct w:val="0"/>
        <w:autoSpaceDE w:val="0"/>
        <w:autoSpaceDN w:val="0"/>
        <w:bidi w:val="0"/>
        <w:adjustRightInd/>
        <w:spacing w:line="576" w:lineRule="exact"/>
        <w:ind w:left="640" w:leftChars="0"/>
        <w:textAlignment w:val="auto"/>
        <w:rPr>
          <w:rFonts w:hint="eastAsia" w:ascii="黑体" w:hAnsi="黑体" w:eastAsia="黑体" w:cs="仿宋_GB2312"/>
          <w:color w:val="000000"/>
          <w:sz w:val="32"/>
          <w:szCs w:val="32"/>
          <w:lang w:val="zh-CN" w:eastAsia="zh-CN"/>
        </w:rPr>
      </w:pPr>
      <w:r>
        <w:rPr>
          <w:rFonts w:hint="eastAsia" w:ascii="黑体" w:hAnsi="黑体" w:eastAsia="黑体" w:cs="仿宋_GB2312"/>
          <w:color w:val="000000"/>
          <w:sz w:val="32"/>
          <w:szCs w:val="32"/>
          <w:lang w:eastAsia="zh-CN"/>
        </w:rPr>
        <w:t>三、项目绩效情况</w:t>
      </w:r>
      <w:r>
        <w:rPr>
          <w:rFonts w:hint="eastAsia" w:ascii="黑体" w:hAnsi="黑体" w:eastAsia="黑体" w:cs="仿宋_GB2312"/>
          <w:color w:val="000000"/>
          <w:sz w:val="32"/>
          <w:szCs w:val="32"/>
          <w:lang w:val="zh-CN" w:eastAsia="zh-CN"/>
        </w:rPr>
        <w:tab/>
      </w:r>
    </w:p>
    <w:p>
      <w:pPr>
        <w:pStyle w:val="30"/>
        <w:keepNext w:val="0"/>
        <w:keepLines w:val="0"/>
        <w:pageBreakBefore w:val="0"/>
        <w:widowControl w:val="0"/>
        <w:numPr>
          <w:ilvl w:val="0"/>
          <w:numId w:val="0"/>
        </w:numPr>
        <w:suppressAutoHyphens/>
        <w:kinsoku/>
        <w:wordWrap/>
        <w:overflowPunct/>
        <w:topLinePunct w:val="0"/>
        <w:autoSpaceDE w:val="0"/>
        <w:autoSpaceDN w:val="0"/>
        <w:bidi w:val="0"/>
        <w:adjustRightInd/>
        <w:spacing w:line="576" w:lineRule="exact"/>
        <w:ind w:left="640" w:leftChars="0"/>
        <w:textAlignment w:val="auto"/>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项目历时4个月，采购棉被4000床、棉大衣1000件，质量全部达标。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Calibri" w:eastAsia="楷体_GB2312" w:cs="Times New Roman"/>
          <w:sz w:val="32"/>
          <w:szCs w:val="32"/>
          <w:lang w:val="zh-CN" w:eastAsia="zh-CN"/>
        </w:rPr>
      </w:pPr>
      <w:r>
        <w:rPr>
          <w:rFonts w:hint="eastAsia" w:ascii="楷体_GB2312" w:hAnsi="Calibri" w:eastAsia="楷体_GB2312" w:cs="Times New Roman"/>
          <w:sz w:val="32"/>
          <w:szCs w:val="32"/>
          <w:lang w:val="zh-CN" w:eastAsia="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救灾物资是救援工作的重要保障，是履行救灾职责的重要任务，项目的实施及时有效提高应急处突能力，发挥良好的社会效益。确保社会稳定。</w:t>
      </w:r>
    </w:p>
    <w:p>
      <w:pPr>
        <w:pStyle w:val="30"/>
        <w:keepNext w:val="0"/>
        <w:keepLines w:val="0"/>
        <w:pageBreakBefore w:val="0"/>
        <w:widowControl w:val="0"/>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四、问题及建议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黑体" w:eastAsia="仿宋_GB2312" w:cs="黑体"/>
          <w:color w:val="000000"/>
          <w:sz w:val="32"/>
          <w:szCs w:val="32"/>
          <w:lang w:val="zh-CN"/>
        </w:rPr>
      </w:pPr>
      <w:r>
        <w:rPr>
          <w:rFonts w:hint="eastAsia" w:ascii="仿宋_GB2312" w:hAnsi="黑体" w:eastAsia="仿宋_GB2312" w:cs="黑体"/>
          <w:color w:val="000000"/>
          <w:sz w:val="32"/>
          <w:szCs w:val="32"/>
          <w:lang w:val="zh-CN"/>
        </w:rPr>
        <w:t>无。</w:t>
      </w:r>
    </w:p>
    <w:p>
      <w:pPr>
        <w:spacing w:line="600" w:lineRule="exact"/>
        <w:jc w:val="left"/>
        <w:outlineLvl w:val="0"/>
        <w:rPr>
          <w:rFonts w:hint="eastAsia" w:ascii="仿宋_GB2312" w:hAnsi="仿宋_GB2312" w:eastAsia="仿宋_GB2312" w:cs="仿宋_GB2312"/>
          <w:sz w:val="28"/>
          <w:szCs w:val="28"/>
          <w:lang w:eastAsia="zh-CN"/>
        </w:rPr>
      </w:pPr>
      <w:bookmarkStart w:id="91" w:name="_Toc23114"/>
      <w:r>
        <w:rPr>
          <w:rFonts w:hint="eastAsia" w:ascii="仿宋_GB2312" w:hAnsi="仿宋_GB2312" w:eastAsia="仿宋_GB2312" w:cs="仿宋_GB2312"/>
          <w:sz w:val="28"/>
          <w:szCs w:val="28"/>
          <w:lang w:eastAsia="zh-CN"/>
        </w:rPr>
        <w:t>附表：</w:t>
      </w:r>
      <w:bookmarkEnd w:id="91"/>
    </w:p>
    <w:tbl>
      <w:tblPr>
        <w:tblStyle w:val="19"/>
        <w:tblW w:w="11064" w:type="dxa"/>
        <w:tblInd w:w="-1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065"/>
        <w:gridCol w:w="1260"/>
        <w:gridCol w:w="4039"/>
        <w:gridCol w:w="1478"/>
        <w:gridCol w:w="1214"/>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1064"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ascii="方正小标宋简体" w:hAnsi="方正小标宋简体" w:eastAsia="方正小标宋简体" w:cs="方正小标宋简体"/>
                <w:i w:val="0"/>
                <w:iCs w:val="0"/>
                <w:color w:val="000000"/>
                <w:sz w:val="44"/>
                <w:szCs w:val="44"/>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7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救灾物资采购资金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广元市发展改革委员会</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223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广元市粮油质量监测站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1"/>
                <w:sz w:val="21"/>
                <w:szCs w:val="21"/>
                <w:lang w:val="en-US" w:eastAsia="zh-CN" w:bidi="ar"/>
              </w:rPr>
            </w:pPr>
            <w:r>
              <w:rPr>
                <w:rStyle w:val="41"/>
                <w:sz w:val="21"/>
                <w:szCs w:val="21"/>
                <w:lang w:val="en-US" w:eastAsia="zh-CN" w:bidi="ar"/>
              </w:rPr>
              <w:t>预算</w:t>
            </w:r>
          </w:p>
          <w:p>
            <w:pPr>
              <w:keepNext w:val="0"/>
              <w:keepLines w:val="0"/>
              <w:widowControl/>
              <w:suppressLineNumbers w:val="0"/>
              <w:jc w:val="center"/>
              <w:textAlignment w:val="center"/>
              <w:rPr>
                <w:rStyle w:val="41"/>
                <w:sz w:val="21"/>
                <w:szCs w:val="21"/>
                <w:lang w:val="en-US" w:eastAsia="zh-CN" w:bidi="ar"/>
              </w:rPr>
            </w:pPr>
            <w:r>
              <w:rPr>
                <w:rStyle w:val="41"/>
                <w:sz w:val="21"/>
                <w:szCs w:val="21"/>
                <w:lang w:val="en-US" w:eastAsia="zh-CN" w:bidi="ar"/>
              </w:rPr>
              <w:t>执行</w:t>
            </w:r>
          </w:p>
          <w:p>
            <w:pPr>
              <w:keepNext w:val="0"/>
              <w:keepLines w:val="0"/>
              <w:widowControl/>
              <w:suppressLineNumbers w:val="0"/>
              <w:jc w:val="center"/>
              <w:textAlignment w:val="center"/>
              <w:rPr>
                <w:rStyle w:val="41"/>
                <w:sz w:val="21"/>
                <w:szCs w:val="21"/>
                <w:lang w:val="en-US" w:eastAsia="zh-CN" w:bidi="ar"/>
              </w:rPr>
            </w:pPr>
            <w:r>
              <w:rPr>
                <w:rStyle w:val="41"/>
                <w:sz w:val="21"/>
                <w:szCs w:val="21"/>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3"/>
                <w:sz w:val="21"/>
                <w:szCs w:val="21"/>
                <w:lang w:val="en-US" w:eastAsia="zh-CN" w:bidi="ar"/>
              </w:rPr>
              <w:t>（万元）</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87.2万元</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87.2万元</w:t>
            </w:r>
          </w:p>
        </w:tc>
        <w:tc>
          <w:tcPr>
            <w:tcW w:w="147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6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54" w:hRule="atLeast"/>
        </w:trPr>
        <w:tc>
          <w:tcPr>
            <w:tcW w:w="9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加强库房安保，值守，确保3525平</w:t>
            </w:r>
            <w:r>
              <w:rPr>
                <w:rFonts w:hint="eastAsia" w:ascii="宋体" w:hAnsi="宋体" w:cs="宋体"/>
                <w:i w:val="0"/>
                <w:iCs w:val="0"/>
                <w:color w:val="000000"/>
                <w:kern w:val="0"/>
                <w:sz w:val="21"/>
                <w:szCs w:val="21"/>
                <w:u w:val="none"/>
                <w:lang w:val="en-US" w:eastAsia="zh-CN" w:bidi="ar"/>
              </w:rPr>
              <w:t>方</w:t>
            </w:r>
            <w:r>
              <w:rPr>
                <w:rFonts w:hint="eastAsia" w:ascii="宋体" w:hAnsi="宋体" w:eastAsia="宋体" w:cs="宋体"/>
                <w:i w:val="0"/>
                <w:iCs w:val="0"/>
                <w:color w:val="000000"/>
                <w:kern w:val="0"/>
                <w:sz w:val="21"/>
                <w:szCs w:val="21"/>
                <w:u w:val="none"/>
                <w:lang w:val="en-US" w:eastAsia="zh-CN" w:bidi="ar"/>
              </w:rPr>
              <w:t>米库房安全。做好全年救灾物资保养翻晒和回收物资的清洗晾晒工作，确保2000余万元救灾物资储备安全完整，确保全市受灾困难群众基本生活保障。</w:t>
            </w:r>
          </w:p>
        </w:tc>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实行了“日巡、月检、季清”管理机制，即：每日对储备物资巡查1次，每月对库房和物资进行全面检查1次、每季度对库存物资进行清点晾晒、倒垛保养和消毒灭菌，坚持24小时全天候应急值守，确保救灾物资储备绝对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065"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指标1：采购棉被4000床、棉大衣1000件等救灾物资。</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采购棉被4000床、棉大衣1000件等救灾物资。</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采购棉被4000床、棉大衣1000件等救灾物资。</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指标1：确保救灾物资采购质量</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 每年1次</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2021年9月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指标1：采购资金</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88.6万元</w:t>
            </w:r>
          </w:p>
        </w:tc>
        <w:tc>
          <w:tcPr>
            <w:tcW w:w="1214"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84.17万元</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剩余质保金，第二年支付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指标1：完成救灾物资储备、管理和运输、发放。</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确保采购救灾物资质量安全，保障受灾困难群众基本生活。</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确保了采购救灾物资质量安全，保障了受灾困难群众基本生活。</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0"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指标1：救灾物资储备管理工作的开展将持续发挥良好的社会效益。</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及时有效提高应急处突能力，确保社会稳定。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及时有效提高了应急处理能力，确保了社会稳定。</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指标1：受灾群众满意度</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广元市粮油质量监测站</w:t>
      </w:r>
    </w:p>
    <w:p>
      <w:pPr>
        <w:pStyle w:val="38"/>
        <w:spacing w:line="576" w:lineRule="exact"/>
        <w:jc w:val="center"/>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粮食重金属监测专项经费绩效评价报告</w:t>
      </w:r>
    </w:p>
    <w:p>
      <w:pPr>
        <w:spacing w:line="560" w:lineRule="exact"/>
        <w:ind w:firstLine="642" w:firstLineChars="200"/>
        <w:rPr>
          <w:rFonts w:hint="eastAsia" w:ascii="仿宋_GB2312" w:eastAsia="仿宋_GB2312"/>
          <w:b/>
          <w:bCs/>
          <w:sz w:val="32"/>
          <w:szCs w:val="32"/>
        </w:rPr>
      </w:pPr>
      <w:r>
        <w:rPr>
          <w:rFonts w:hint="eastAsia" w:ascii="仿宋_GB2312" w:eastAsia="仿宋_GB2312"/>
          <w:b/>
          <w:bCs/>
          <w:sz w:val="32"/>
          <w:szCs w:val="32"/>
        </w:rPr>
        <w:t xml:space="preserve"> </w:t>
      </w:r>
    </w:p>
    <w:p>
      <w:pPr>
        <w:pStyle w:val="30"/>
        <w:keepNext w:val="0"/>
        <w:keepLines w:val="0"/>
        <w:pageBreakBefore w:val="0"/>
        <w:widowControl w:val="0"/>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一、项目概况</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楷体_GB2312" w:hAnsi="Calibri" w:eastAsia="楷体_GB2312" w:cs="Times New Roman"/>
          <w:sz w:val="32"/>
          <w:szCs w:val="32"/>
          <w:lang w:val="en-US" w:eastAsia="zh-CN"/>
        </w:rPr>
      </w:pPr>
      <w:r>
        <w:rPr>
          <w:rFonts w:hint="eastAsia" w:ascii="楷体_GB2312" w:hAnsi="Calibri" w:eastAsia="楷体_GB2312" w:cs="Times New Roman"/>
          <w:sz w:val="32"/>
          <w:szCs w:val="32"/>
          <w:lang w:val="en-US" w:eastAsia="zh-CN"/>
        </w:rPr>
        <w:t>（一）项目基本情况</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广元市粮油质量监测站重金属监测专项经费项目预算20万元，通过三年努力,对全市142个乡级行政区划单位(街道7个，镇112个，乡23个)产新粮食重金属指标(镉)进行全覆盖监测，摸清全市粮食质量情况，从源头把好粮食安全关。</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楷体_GB2312" w:hAnsi="Calibri" w:eastAsia="楷体_GB2312" w:cs="Times New Roman"/>
          <w:sz w:val="32"/>
          <w:szCs w:val="32"/>
          <w:lang w:val="en-US" w:eastAsia="zh-CN"/>
        </w:rPr>
      </w:pPr>
      <w:r>
        <w:rPr>
          <w:rFonts w:hint="eastAsia" w:ascii="楷体_GB2312" w:hAnsi="Calibri" w:eastAsia="楷体_GB2312" w:cs="Times New Roman"/>
          <w:sz w:val="32"/>
          <w:szCs w:val="32"/>
          <w:lang w:val="en-US" w:eastAsia="zh-CN"/>
        </w:rPr>
        <w:t>（二）项目绩效目标</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通过三年努力,对全市142个乡级行政区划单位(街道7个，镇112个，乡23个)产新粮食重金属指标(镉)进行全覆盖监测，摸清全市粮食质量情况，从源头把好粮食安全关，实现粮油“优产、优收、优储、优加、优销”，切实提高绿色优质安全粮油产品供给水平。</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楷体_GB2312" w:hAnsi="Calibri" w:eastAsia="楷体_GB2312" w:cs="Times New Roman"/>
          <w:sz w:val="32"/>
          <w:szCs w:val="32"/>
          <w:lang w:val="en-US" w:eastAsia="zh-CN"/>
        </w:rPr>
      </w:pPr>
      <w:r>
        <w:rPr>
          <w:rFonts w:hint="eastAsia" w:ascii="楷体_GB2312" w:hAnsi="Calibri" w:eastAsia="楷体_GB2312" w:cs="Times New Roman"/>
          <w:sz w:val="32"/>
          <w:szCs w:val="32"/>
          <w:lang w:val="en-US" w:eastAsia="zh-CN"/>
        </w:rPr>
        <w:t>（三）项目自评步骤及方法</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查看包括报账时间、金额、事由及各环节审核签字情况等内容，核实资金</w:t>
      </w:r>
      <w:r>
        <w:rPr>
          <w:rFonts w:hint="eastAsia" w:ascii="仿宋_GB2312" w:hAnsi="黑体" w:eastAsia="仿宋_GB2312" w:cs="黑体"/>
          <w:color w:val="000000"/>
          <w:sz w:val="32"/>
          <w:szCs w:val="32"/>
          <w:lang w:eastAsia="zh-CN"/>
        </w:rPr>
        <w:t>支付情况，以及</w:t>
      </w:r>
      <w:r>
        <w:rPr>
          <w:rFonts w:hint="eastAsia" w:ascii="仿宋_GB2312" w:hAnsi="黑体" w:eastAsia="仿宋_GB2312" w:cs="黑体"/>
          <w:color w:val="000000"/>
          <w:sz w:val="32"/>
          <w:szCs w:val="32"/>
        </w:rPr>
        <w:t>是否用于</w:t>
      </w:r>
      <w:r>
        <w:rPr>
          <w:rFonts w:hint="eastAsia" w:ascii="仿宋_GB2312" w:hAnsi="黑体" w:eastAsia="仿宋_GB2312" w:cs="黑体"/>
          <w:color w:val="000000"/>
          <w:sz w:val="32"/>
          <w:szCs w:val="32"/>
          <w:lang w:eastAsia="zh-CN"/>
        </w:rPr>
        <w:t>粮食重金属检验监测</w:t>
      </w:r>
      <w:r>
        <w:rPr>
          <w:rFonts w:hint="eastAsia" w:ascii="仿宋_GB2312" w:hAnsi="黑体" w:eastAsia="仿宋_GB2312" w:cs="黑体"/>
          <w:color w:val="000000"/>
          <w:sz w:val="32"/>
          <w:szCs w:val="32"/>
        </w:rPr>
        <w:t>工作的正常运行。</w:t>
      </w:r>
    </w:p>
    <w:p>
      <w:pPr>
        <w:pStyle w:val="30"/>
        <w:keepNext w:val="0"/>
        <w:keepLines w:val="0"/>
        <w:pageBreakBefore w:val="0"/>
        <w:widowControl w:val="0"/>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二、项目资金申报及使用情况</w:t>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申报项目预算金额为</w:t>
      </w:r>
      <w:r>
        <w:rPr>
          <w:rFonts w:hint="eastAsia" w:ascii="仿宋_GB2312" w:hAnsi="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万元（资金来源为财政资金或自有资金，其中财政资金</w:t>
      </w:r>
      <w:r>
        <w:rPr>
          <w:rFonts w:hint="eastAsia" w:ascii="仿宋_GB2312" w:hAnsi="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万元，自有资金0万元）</w:t>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2021年</w:t>
      </w:r>
      <w:r>
        <w:rPr>
          <w:rFonts w:hint="eastAsia" w:ascii="仿宋_GB2312" w:hAnsi="黑体" w:eastAsia="仿宋_GB2312" w:cs="黑体"/>
          <w:color w:val="000000"/>
          <w:sz w:val="32"/>
          <w:szCs w:val="32"/>
          <w:lang w:val="en-US" w:eastAsia="zh-CN"/>
        </w:rPr>
        <w:t>9月</w:t>
      </w:r>
      <w:r>
        <w:rPr>
          <w:rFonts w:hint="eastAsia" w:ascii="仿宋_GB2312" w:hAnsi="黑体" w:eastAsia="仿宋_GB2312" w:cs="黑体"/>
          <w:color w:val="000000"/>
          <w:sz w:val="32"/>
          <w:szCs w:val="32"/>
        </w:rPr>
        <w:t>，市财政下达广元市粮油质量监测站重金属检验监测项目资金20万元，支出5.61万元，预算执行率为28%。主要原因为</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资金计划下达时间较晚，导致预算执行不能按期完成，执行率达不到预期，拉低了全面预算的执行率。</w:t>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pStyle w:val="30"/>
        <w:keepNext w:val="0"/>
        <w:keepLines w:val="0"/>
        <w:pageBreakBefore w:val="0"/>
        <w:widowControl w:val="0"/>
        <w:numPr>
          <w:ilvl w:val="0"/>
          <w:numId w:val="7"/>
        </w:numPr>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themeColor="text1"/>
          <w:sz w:val="32"/>
          <w:szCs w:val="32"/>
          <w:lang w:eastAsia="zh-CN"/>
        </w:rPr>
      </w:pPr>
      <w:r>
        <w:rPr>
          <w:rFonts w:hint="eastAsia" w:ascii="黑体" w:hAnsi="黑体" w:eastAsia="黑体" w:cs="仿宋_GB2312"/>
          <w:color w:val="000000" w:themeColor="text1"/>
          <w:sz w:val="32"/>
          <w:szCs w:val="32"/>
          <w:lang w:eastAsia="zh-CN"/>
        </w:rPr>
        <w:t>项目实施及管理情况</w:t>
      </w:r>
    </w:p>
    <w:p>
      <w:pPr>
        <w:pStyle w:val="30"/>
        <w:keepNext w:val="0"/>
        <w:keepLines w:val="0"/>
        <w:pageBreakBefore w:val="0"/>
        <w:widowControl w:val="0"/>
        <w:numPr>
          <w:ilvl w:val="0"/>
          <w:numId w:val="0"/>
        </w:numPr>
        <w:suppressAutoHyphens/>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黑体" w:eastAsia="仿宋_GB2312" w:cs="黑体"/>
          <w:color w:val="000000"/>
          <w:kern w:val="2"/>
          <w:sz w:val="32"/>
          <w:szCs w:val="32"/>
          <w:lang w:val="en-US" w:eastAsia="zh-CN" w:bidi="ar-SA"/>
        </w:rPr>
      </w:pPr>
      <w:r>
        <w:rPr>
          <w:rFonts w:hint="eastAsia" w:ascii="仿宋_GB2312" w:hAnsi="黑体" w:eastAsia="仿宋_GB2312" w:cs="黑体"/>
          <w:color w:val="000000"/>
          <w:kern w:val="2"/>
          <w:sz w:val="32"/>
          <w:szCs w:val="32"/>
          <w:lang w:val="en-US" w:eastAsia="zh-CN" w:bidi="ar-SA"/>
        </w:rPr>
        <w:t>一是对稻谷、小麦等产新粮食重金属含量开展检测，特别关注已检有质量问题和土壤污染的区域内的粮食；二是制定监测计划。结合每年全市粮食质量安全监测实施方案，增加监测样品数量、加大乡镇监测密度、建立样品采集台账，对粮食有问题区域进行动态监测，持续跟踪粮食质量安全情况。</w:t>
      </w:r>
    </w:p>
    <w:p>
      <w:pPr>
        <w:pStyle w:val="30"/>
        <w:keepNext w:val="0"/>
        <w:keepLines w:val="0"/>
        <w:pageBreakBefore w:val="0"/>
        <w:widowControl w:val="0"/>
        <w:suppressAutoHyphens/>
        <w:kinsoku/>
        <w:wordWrap/>
        <w:overflowPunct/>
        <w:topLinePunct w:val="0"/>
        <w:autoSpaceDE w:val="0"/>
        <w:autoSpaceDN w:val="0"/>
        <w:bidi w:val="0"/>
        <w:adjustRightInd/>
        <w:spacing w:line="576" w:lineRule="exact"/>
        <w:ind w:left="643" w:firstLine="0" w:firstLineChars="0"/>
        <w:textAlignment w:val="auto"/>
        <w:rPr>
          <w:rFonts w:hint="eastAsia" w:ascii="黑体" w:hAnsi="黑体" w:eastAsia="黑体" w:cs="仿宋_GB2312"/>
          <w:color w:val="000000"/>
          <w:sz w:val="32"/>
          <w:szCs w:val="32"/>
          <w:lang w:eastAsia="zh-CN"/>
        </w:rPr>
      </w:pPr>
      <w:r>
        <w:rPr>
          <w:rFonts w:hint="eastAsia" w:ascii="黑体" w:hAnsi="黑体" w:eastAsia="黑体" w:cs="仿宋_GB2312"/>
          <w:color w:val="000000"/>
          <w:sz w:val="32"/>
          <w:szCs w:val="32"/>
          <w:lang w:eastAsia="zh-CN"/>
        </w:rPr>
        <w:t>四、项目绩效情况</w:t>
      </w:r>
      <w:r>
        <w:rPr>
          <w:rFonts w:hint="eastAsia" w:ascii="黑体" w:hAnsi="黑体" w:eastAsia="黑体" w:cs="仿宋_GB2312"/>
          <w:color w:val="000000"/>
          <w:sz w:val="32"/>
          <w:szCs w:val="32"/>
          <w:lang w:eastAsia="zh-CN"/>
        </w:rPr>
        <w:tab/>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lang w:eastAsia="zh-CN"/>
        </w:rPr>
      </w:pPr>
      <w:r>
        <w:rPr>
          <w:rFonts w:hint="eastAsia" w:ascii="仿宋_GB2312" w:hAnsi="黑体" w:eastAsia="仿宋_GB2312" w:cs="黑体"/>
          <w:color w:val="000000"/>
          <w:sz w:val="32"/>
          <w:szCs w:val="32"/>
        </w:rPr>
        <w:t>通过动态监测，已对2021年稻谷产新粮食质量安全监测“镉”指标检测，共检重金属样品809份，并充分运用检验数据，将数据自上而下反馈给种粮大户等监测点位，指导农户科学储粮、安全食粮。掌握本地部分重金属污染情况，为重金属防治工作提供指导，防止我市发生粮食安全事故，维护本地粮食安全</w:t>
      </w:r>
      <w:r>
        <w:rPr>
          <w:rFonts w:hint="eastAsia" w:ascii="仿宋_GB2312" w:hAnsi="黑体" w:eastAsia="仿宋_GB2312" w:cs="黑体"/>
          <w:color w:val="000000"/>
          <w:sz w:val="32"/>
          <w:szCs w:val="32"/>
          <w:lang w:eastAsia="zh-CN"/>
        </w:rPr>
        <w:t>。</w:t>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全面贯彻党中央和省、市政府关于粮食安全工作的决策部署，严格落实粮食安全和食品安全党政同责，将粮食安全保障向前推进一公里，守住粮食质量安全的第一道屏障，切实加强全市范围内产新粮食质量安全监测，强化源头污染防控，确保粮食质量安全。</w:t>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黑体" w:hAnsi="黑体" w:eastAsia="黑体" w:cs="仿宋_GB2312"/>
          <w:color w:val="000000"/>
          <w:kern w:val="2"/>
          <w:sz w:val="32"/>
          <w:szCs w:val="32"/>
          <w:lang w:val="en-US" w:eastAsia="zh-CN" w:bidi="ar-SA"/>
        </w:rPr>
      </w:pPr>
      <w:r>
        <w:rPr>
          <w:rFonts w:hint="eastAsia" w:ascii="黑体" w:hAnsi="黑体" w:eastAsia="黑体" w:cs="仿宋_GB2312"/>
          <w:color w:val="000000"/>
          <w:kern w:val="2"/>
          <w:sz w:val="32"/>
          <w:szCs w:val="32"/>
          <w:lang w:val="en-US" w:eastAsia="zh-CN" w:bidi="ar-SA"/>
        </w:rPr>
        <w:t>五、评价结论及建议</w:t>
      </w:r>
    </w:p>
    <w:p>
      <w:pPr>
        <w:keepNext w:val="0"/>
        <w:keepLines w:val="0"/>
        <w:pageBreakBefore w:val="0"/>
        <w:widowControl w:val="0"/>
        <w:kinsoku/>
        <w:wordWrap/>
        <w:overflowPunct/>
        <w:topLinePunct w:val="0"/>
        <w:bidi w:val="0"/>
        <w:adjustRightIn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（一）评价结论</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项目的实施和专项经费的使用，</w:t>
      </w:r>
      <w:r>
        <w:rPr>
          <w:rFonts w:hint="eastAsia" w:ascii="仿宋_GB2312" w:hAnsi="黑体" w:eastAsia="仿宋_GB2312" w:cs="黑体"/>
          <w:color w:val="000000"/>
          <w:sz w:val="32"/>
          <w:szCs w:val="32"/>
          <w:lang w:eastAsia="zh-CN"/>
        </w:rPr>
        <w:t>以及</w:t>
      </w:r>
      <w:r>
        <w:rPr>
          <w:rFonts w:hint="eastAsia" w:ascii="仿宋_GB2312" w:hAnsi="黑体" w:eastAsia="仿宋_GB2312" w:cs="黑体"/>
          <w:color w:val="000000"/>
          <w:sz w:val="32"/>
          <w:szCs w:val="32"/>
        </w:rPr>
        <w:t>动态监测，掌握</w:t>
      </w:r>
      <w:r>
        <w:rPr>
          <w:rFonts w:hint="eastAsia" w:ascii="仿宋_GB2312" w:hAnsi="黑体" w:eastAsia="仿宋_GB2312" w:cs="黑体"/>
          <w:color w:val="000000"/>
          <w:sz w:val="32"/>
          <w:szCs w:val="32"/>
          <w:lang w:eastAsia="zh-CN"/>
        </w:rPr>
        <w:t>了</w:t>
      </w:r>
      <w:r>
        <w:rPr>
          <w:rFonts w:hint="eastAsia" w:ascii="仿宋_GB2312" w:hAnsi="黑体" w:eastAsia="仿宋_GB2312" w:cs="黑体"/>
          <w:color w:val="000000"/>
          <w:sz w:val="32"/>
          <w:szCs w:val="32"/>
        </w:rPr>
        <w:t>本地重金属污染实际情况，为重金属防治工作提供专业技术指导，防止我市发生粮食安全事故，维护本地粮食安全。</w:t>
      </w:r>
    </w:p>
    <w:p>
      <w:pPr>
        <w:keepNext w:val="0"/>
        <w:keepLines w:val="0"/>
        <w:pageBreakBefore w:val="0"/>
        <w:widowControl w:val="0"/>
        <w:kinsoku/>
        <w:wordWrap/>
        <w:overflowPunct/>
        <w:topLinePunct w:val="0"/>
        <w:bidi w:val="0"/>
        <w:adjustRightInd/>
        <w:spacing w:line="576" w:lineRule="exact"/>
        <w:ind w:left="420" w:leftChars="200" w:firstLine="320" w:firstLineChars="100"/>
        <w:textAlignment w:val="auto"/>
        <w:rPr>
          <w:rFonts w:hint="eastAsia" w:ascii="仿宋_GB2312" w:eastAsia="仿宋_GB2312"/>
          <w:sz w:val="32"/>
          <w:szCs w:val="32"/>
        </w:rPr>
      </w:pPr>
      <w:r>
        <w:rPr>
          <w:rFonts w:hint="eastAsia" w:ascii="仿宋_GB2312" w:eastAsia="仿宋_GB2312"/>
          <w:sz w:val="32"/>
          <w:szCs w:val="32"/>
        </w:rPr>
        <w:t>（二）存在的问题</w:t>
      </w:r>
    </w:p>
    <w:p>
      <w:pPr>
        <w:keepNext w:val="0"/>
        <w:keepLines w:val="0"/>
        <w:pageBreakBefore w:val="0"/>
        <w:widowControl w:val="0"/>
        <w:suppressAutoHyphens/>
        <w:kinsoku/>
        <w:wordWrap/>
        <w:overflowPunct/>
        <w:topLinePunct w:val="0"/>
        <w:bidi w:val="0"/>
        <w:adjustRightInd/>
        <w:spacing w:line="576"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2021年度，市财政下达重金属检验监测经费项目资金20万元，支出5.61万元，预算执行率为28.05%，预算执行率较低。</w:t>
      </w:r>
    </w:p>
    <w:p>
      <w:pPr>
        <w:keepNext w:val="0"/>
        <w:keepLines w:val="0"/>
        <w:pageBreakBefore w:val="0"/>
        <w:widowControl w:val="0"/>
        <w:kinsoku/>
        <w:wordWrap/>
        <w:overflowPunct/>
        <w:topLinePunct w:val="0"/>
        <w:bidi w:val="0"/>
        <w:adjustRightInd/>
        <w:spacing w:line="576" w:lineRule="exact"/>
        <w:ind w:left="420" w:leftChars="200" w:firstLine="320" w:firstLineChars="100"/>
        <w:textAlignment w:val="auto"/>
        <w:rPr>
          <w:rFonts w:hint="eastAsia" w:ascii="仿宋_GB2312" w:eastAsia="仿宋_GB2312"/>
          <w:sz w:val="32"/>
          <w:szCs w:val="32"/>
        </w:rPr>
      </w:pPr>
      <w:r>
        <w:rPr>
          <w:rFonts w:hint="eastAsia" w:ascii="仿宋_GB2312" w:eastAsia="仿宋_GB2312"/>
          <w:sz w:val="32"/>
          <w:szCs w:val="32"/>
        </w:rPr>
        <w:t>（三）相关建议</w:t>
      </w:r>
    </w:p>
    <w:p>
      <w:pPr>
        <w:keepNext w:val="0"/>
        <w:keepLines w:val="0"/>
        <w:pageBreakBefore w:val="0"/>
        <w:widowControl w:val="0"/>
        <w:suppressAutoHyphens/>
        <w:kinsoku/>
        <w:wordWrap/>
        <w:overflowPunct/>
        <w:topLinePunct w:val="0"/>
        <w:bidi w:val="0"/>
        <w:adjustRightInd/>
        <w:spacing w:line="576" w:lineRule="exact"/>
        <w:ind w:firstLine="640" w:firstLineChars="200"/>
        <w:jc w:val="both"/>
        <w:textAlignment w:val="auto"/>
        <w:rPr>
          <w:rFonts w:hint="eastAsia" w:ascii="仿宋_GB2312" w:hAnsi="黑体" w:eastAsia="仿宋_GB2312" w:cs="黑体"/>
          <w:color w:val="000000"/>
          <w:sz w:val="32"/>
          <w:szCs w:val="32"/>
          <w:lang w:val="en-US" w:eastAsia="zh-CN"/>
        </w:rPr>
      </w:pPr>
      <w:r>
        <w:rPr>
          <w:rFonts w:hint="eastAsia" w:ascii="仿宋_GB2312" w:hAnsi="黑体" w:eastAsia="仿宋_GB2312" w:cs="黑体"/>
          <w:color w:val="000000"/>
          <w:sz w:val="32"/>
          <w:szCs w:val="32"/>
          <w:lang w:val="en-US" w:eastAsia="zh-CN"/>
        </w:rPr>
        <w:t>无。</w:t>
      </w:r>
    </w:p>
    <w:p>
      <w:pPr>
        <w:keepNext w:val="0"/>
        <w:keepLines w:val="0"/>
        <w:pageBreakBefore w:val="0"/>
        <w:widowControl w:val="0"/>
        <w:suppressAutoHyphens/>
        <w:kinsoku/>
        <w:wordWrap/>
        <w:overflowPunct/>
        <w:topLinePunct w:val="0"/>
        <w:bidi w:val="0"/>
        <w:adjustRightInd/>
        <w:spacing w:line="576" w:lineRule="exact"/>
        <w:ind w:firstLine="640" w:firstLineChars="200"/>
        <w:jc w:val="both"/>
        <w:textAlignment w:val="auto"/>
        <w:rPr>
          <w:rFonts w:hint="eastAsia" w:ascii="仿宋_GB2312" w:hAnsi="黑体" w:eastAsia="仿宋_GB2312" w:cs="黑体"/>
          <w:color w:val="000000"/>
          <w:sz w:val="32"/>
          <w:szCs w:val="32"/>
          <w:lang w:val="en-US" w:eastAsia="zh-CN"/>
        </w:rPr>
      </w:pPr>
      <w:r>
        <w:rPr>
          <w:rFonts w:hint="eastAsia" w:ascii="仿宋_GB2312" w:hAnsi="黑体" w:eastAsia="仿宋_GB2312" w:cs="黑体"/>
          <w:color w:val="000000"/>
          <w:sz w:val="32"/>
          <w:szCs w:val="32"/>
          <w:lang w:val="en-US" w:eastAsia="zh-CN"/>
        </w:rPr>
        <w:t>附表：</w:t>
      </w:r>
    </w:p>
    <w:tbl>
      <w:tblPr>
        <w:tblStyle w:val="19"/>
        <w:tblpPr w:leftFromText="180" w:rightFromText="180" w:vertAnchor="text" w:horzAnchor="page" w:tblpX="385" w:tblpY="1421"/>
        <w:tblOverlap w:val="never"/>
        <w:tblW w:w="11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104"/>
        <w:gridCol w:w="1359"/>
        <w:gridCol w:w="1585"/>
        <w:gridCol w:w="2213"/>
        <w:gridCol w:w="240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1380"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Style w:val="31"/>
                <w:rFonts w:ascii="黑体" w:hAnsi="黑体" w:eastAsia="黑体"/>
                <w:b w:val="0"/>
                <w:color w:val="auto"/>
                <w:highlight w:val="none"/>
              </w:rPr>
            </w:pPr>
            <w:r>
              <w:rPr>
                <w:rFonts w:hint="eastAsia" w:ascii="宋体" w:hAnsi="宋体" w:eastAsia="宋体" w:cs="宋体"/>
                <w:b/>
                <w:i w:val="0"/>
                <w:color w:val="auto"/>
                <w:sz w:val="32"/>
                <w:szCs w:val="32"/>
                <w:highlight w:val="none"/>
                <w:u w:val="none"/>
                <w:lang w:val="en-US" w:eastAsia="zh-CN"/>
              </w:rPr>
              <w:t>2021年部门预算项目绩效目标自评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0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重金属检验监测专项经费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3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1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广元市发展和改革委员会</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42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广元市粮油质量监测站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w:t>
            </w:r>
          </w:p>
        </w:tc>
        <w:tc>
          <w:tcPr>
            <w:tcW w:w="221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1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8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三年努力,对全市142个乡级行政区划单位(街道7个，镇112个，乡23个)产新粮食重金属指标(镉)进行全覆盖监测，摸清全市粮食质量情况，从源头把好粮食安全关，实现粮油“优产、优收、优储、优加、优销”，切实提高绿色优质安全粮油产品供给水平。</w:t>
            </w:r>
          </w:p>
        </w:tc>
        <w:tc>
          <w:tcPr>
            <w:tcW w:w="64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动态监测，已对2021年稻谷产新粮食质量安全监测“镉”指标检测，共检重金属样品809份，并充分运用检验数据，将数据自上而下反馈给种粮大户等监测点位，指导农户科学储粮、安全食粮。掌握本地部分重金属污染情况，为重金属防治工作提供指导，防止我市发生粮食安全事故，维护本地粮食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104"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3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5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指标1：产新粮食重金属镉检测</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通过三年努力,对全市142 个乡级行政区划单位(街道7个，镇112个，乡23个)产新粮食重金属指标（镉）进行全覆盖监测，摸清全市粮食质量情况。</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2021年对部分地区稻谷完成了“镉”指标进行检测。</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该项目是通过3年（2021-2023年）来完成的，且追加资金计划下达时间较晚。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指标1：抽检样品完成率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抽检样品完成率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因追加资金计划下达时间较晚，导致预算执行不能按期完成，执行率达不到预期。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指标1：完成时间</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2023年12月31日之前</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部分已完成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指标1：检测药品试剂耗材费</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购买实验室重金属快速检测试剂条、质控标准品、实验室仪器用气12.16万元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指标2：抽检样品购买费</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抽检样品购买费1.6万元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0.76万元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待2023年完成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指标3：扦样租车及差旅费</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扦样租车及差旅费6.24万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0.52万元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待2024年完成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7"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5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指标1：强化源头污染防控，确保粮食质量安全</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强化源头污染防控，确保粮食质量安全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贯彻党中央和省、市政府关于粮食安全工作的决策部署，严格落实粮食安全和食品安全党政同责，将粮食安全保障向前推进一公里，守住粮食质量安全的第一道屏障，切实加强全市范围内产新粮食质量安全监测，强化源头污染防控，确保粮食质量安全。</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7"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5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指标1：调查研究粮食重金属污染分布规律并进行风险等级评估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调查研究粮食重金属污染分布规律并进行风险等级评估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摸清全市粮食质量安全情况，对粮食有问题区域进行动态监测，建立台账，进行粮食安全风险等级评估和综合治理。强化各相关责任部门的联动机制，加大粮食重金属污染治理技术研发与成果转化力度，合力推进粮食重金属污染防治加强部门协作。</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5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指标1：维护本地粮食安全</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维护本地粮食安全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通过动态监测，掌握本地重金属污染实际情况，为重金属防治工作提供专业技术指导，防止我市发生粮食安全事故，维护本地粮食安全。</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35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5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指标1：抽检样品覆盖乡镇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服务对象满意度95%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bl>
    <w:p>
      <w:pPr>
        <w:spacing w:line="600" w:lineRule="exact"/>
        <w:jc w:val="center"/>
        <w:outlineLvl w:val="0"/>
        <w:rPr>
          <w:rFonts w:ascii="黑体" w:hAnsi="黑体" w:eastAsia="黑体"/>
          <w:sz w:val="44"/>
          <w:szCs w:val="44"/>
        </w:rPr>
      </w:pPr>
    </w:p>
    <w:p>
      <w:pPr>
        <w:spacing w:line="600" w:lineRule="exact"/>
        <w:jc w:val="center"/>
        <w:outlineLvl w:val="0"/>
        <w:rPr>
          <w:rFonts w:hint="eastAsia" w:ascii="黑体" w:hAnsi="黑体" w:eastAsia="黑体"/>
          <w:sz w:val="44"/>
          <w:szCs w:val="44"/>
        </w:rPr>
      </w:pPr>
    </w:p>
    <w:p>
      <w:pPr>
        <w:rPr>
          <w:rFonts w:hint="eastAsia" w:ascii="黑体" w:hAnsi="黑体" w:eastAsia="黑体"/>
          <w:sz w:val="44"/>
          <w:szCs w:val="44"/>
        </w:rPr>
      </w:pPr>
    </w:p>
    <w:p>
      <w:pPr>
        <w:pStyle w:val="2"/>
        <w:rPr>
          <w:rFonts w:hint="eastAsia"/>
        </w:rPr>
      </w:pPr>
    </w:p>
    <w:p>
      <w:pPr>
        <w:pStyle w:val="2"/>
        <w:rPr>
          <w:rFonts w:hint="eastAsia"/>
        </w:rPr>
      </w:pPr>
    </w:p>
    <w:p>
      <w:pPr>
        <w:keepNext w:val="0"/>
        <w:keepLines w:val="0"/>
        <w:pageBreakBefore w:val="0"/>
        <w:widowControl w:val="0"/>
        <w:suppressAutoHyphens/>
        <w:kinsoku/>
        <w:wordWrap/>
        <w:overflowPunct/>
        <w:topLinePunct w:val="0"/>
        <w:autoSpaceDE w:val="0"/>
        <w:autoSpaceDN w:val="0"/>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color w:val="000000"/>
          <w:sz w:val="40"/>
          <w:szCs w:val="40"/>
          <w:lang w:eastAsia="zh-CN"/>
        </w:rPr>
      </w:pPr>
      <w:r>
        <w:rPr>
          <w:rFonts w:hint="eastAsia" w:ascii="方正小标宋简体" w:hAnsi="方正小标宋简体" w:eastAsia="方正小标宋简体" w:cs="方正小标宋简体"/>
          <w:color w:val="000000"/>
          <w:sz w:val="40"/>
          <w:szCs w:val="40"/>
          <w:lang w:eastAsia="zh-CN"/>
        </w:rPr>
        <w:t>广元</w:t>
      </w:r>
      <w:r>
        <w:rPr>
          <w:rFonts w:hint="eastAsia" w:ascii="方正小标宋简体" w:hAnsi="方正小标宋简体" w:eastAsia="方正小标宋简体" w:cs="方正小标宋简体"/>
          <w:color w:val="000000"/>
          <w:sz w:val="40"/>
          <w:szCs w:val="40"/>
        </w:rPr>
        <w:t>市</w:t>
      </w:r>
      <w:r>
        <w:rPr>
          <w:rFonts w:hint="eastAsia" w:ascii="方正小标宋简体" w:hAnsi="方正小标宋简体" w:eastAsia="方正小标宋简体" w:cs="方正小标宋简体"/>
          <w:color w:val="000000"/>
          <w:sz w:val="40"/>
          <w:szCs w:val="40"/>
          <w:lang w:eastAsia="zh-CN"/>
        </w:rPr>
        <w:t>粮油质量监测站</w:t>
      </w:r>
    </w:p>
    <w:p>
      <w:pPr>
        <w:suppressAutoHyphens/>
        <w:autoSpaceDE w:val="0"/>
        <w:autoSpaceDN w:val="0"/>
        <w:spacing w:line="576" w:lineRule="exact"/>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eastAsia="zh-CN"/>
        </w:rPr>
        <w:t>粮食检验监测能力提升</w:t>
      </w:r>
      <w:r>
        <w:rPr>
          <w:rFonts w:hint="eastAsia" w:ascii="方正小标宋简体" w:hAnsi="方正小标宋简体" w:eastAsia="方正小标宋简体" w:cs="方正小标宋简体"/>
          <w:color w:val="000000"/>
          <w:sz w:val="40"/>
          <w:szCs w:val="40"/>
        </w:rPr>
        <w:t>专项经费绩效评价报告</w:t>
      </w:r>
      <w:r>
        <w:rPr>
          <w:rFonts w:hint="eastAsia" w:ascii="方正小标宋简体" w:hAnsi="方正小标宋简体" w:eastAsia="方正小标宋简体" w:cs="方正小标宋简体"/>
          <w:color w:val="000000"/>
          <w:sz w:val="40"/>
          <w:szCs w:val="40"/>
          <w:lang w:val="en-US" w:eastAsia="zh-CN"/>
        </w:rPr>
        <w:t xml:space="preserve">      </w:t>
      </w:r>
    </w:p>
    <w:p>
      <w:pPr>
        <w:spacing w:line="560" w:lineRule="exact"/>
        <w:ind w:firstLine="642" w:firstLineChars="200"/>
        <w:rPr>
          <w:rFonts w:hint="eastAsia" w:ascii="仿宋_GB2312" w:eastAsia="仿宋_GB2312"/>
          <w:b/>
          <w:bCs/>
          <w:sz w:val="32"/>
          <w:szCs w:val="32"/>
        </w:rPr>
      </w:pPr>
      <w:r>
        <w:rPr>
          <w:rFonts w:hint="eastAsia" w:ascii="仿宋_GB2312" w:eastAsia="仿宋_GB2312"/>
          <w:b/>
          <w:bCs/>
          <w:sz w:val="32"/>
          <w:szCs w:val="32"/>
        </w:rPr>
        <w:t xml:space="preserve"> </w:t>
      </w:r>
    </w:p>
    <w:p>
      <w:pPr>
        <w:pStyle w:val="30"/>
        <w:pageBreakBefore w:val="0"/>
        <w:widowControl w:val="0"/>
        <w:suppressAutoHyphens/>
        <w:kinsoku/>
        <w:wordWrap/>
        <w:overflowPunct/>
        <w:topLinePunct w:val="0"/>
        <w:autoSpaceDE w:val="0"/>
        <w:autoSpaceDN w:val="0"/>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一、项目概况</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pStyle w:val="4"/>
        <w:pageBreakBefore w:val="0"/>
        <w:widowControl w:val="0"/>
        <w:kinsoku/>
        <w:wordWrap/>
        <w:overflowPunct/>
        <w:topLinePunct w:val="0"/>
        <w:bidi w:val="0"/>
        <w:adjustRightInd/>
        <w:snapToGrid/>
        <w:spacing w:before="0" w:after="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92" w:name="_Toc8017"/>
      <w:r>
        <w:rPr>
          <w:rFonts w:hint="eastAsia" w:ascii="仿宋_GB2312" w:hAnsi="仿宋_GB2312" w:eastAsia="仿宋_GB2312" w:cs="仿宋_GB2312"/>
          <w:b w:val="0"/>
          <w:bCs w:val="0"/>
          <w:color w:val="auto"/>
          <w:sz w:val="32"/>
          <w:szCs w:val="32"/>
          <w:lang w:val="en-US" w:eastAsia="zh-CN"/>
        </w:rPr>
        <w:t>广元市粮油质量监测站粮食检验监测能力提升项目预算300万元。建设内容主要为：一是仪器设备购置，更新和增添设备一批粮油检验检测仪器设备，不断提升粮油质量监管能力；二是完善信息化平台建设，新建设全彩LED显示屏6.656平方米，满足四川省粮食管理平台质量安全追溯视频监控系统监管等使用，采购系统市级应用平台、全市粮库粮温粮测及视频监控系统运维服务商,确保系统正常运行，发挥监管作用；三是</w:t>
      </w:r>
      <w:r>
        <w:rPr>
          <w:rFonts w:hint="eastAsia" w:ascii="仿宋_GB2312" w:hAnsi="仿宋_GB2312" w:eastAsia="仿宋_GB2312" w:cs="仿宋_GB2312"/>
          <w:b w:val="0"/>
          <w:bCs w:val="0"/>
          <w:sz w:val="32"/>
          <w:szCs w:val="32"/>
          <w:lang w:val="en-US" w:eastAsia="zh-CN"/>
        </w:rPr>
        <w:t>实验室改造。</w:t>
      </w:r>
      <w:r>
        <w:rPr>
          <w:rFonts w:hint="eastAsia" w:ascii="仿宋_GB2312" w:hAnsi="仿宋_GB2312" w:eastAsia="仿宋_GB2312" w:cs="仿宋_GB2312"/>
          <w:b w:val="0"/>
          <w:bCs w:val="0"/>
          <w:color w:val="auto"/>
          <w:kern w:val="2"/>
          <w:sz w:val="32"/>
          <w:szCs w:val="32"/>
          <w:lang w:val="en-US" w:eastAsia="zh-CN" w:bidi="ar-SA"/>
        </w:rPr>
        <w:t>验室搬迁后，根据实验需要进行部分实验室内部装修及改造。</w:t>
      </w:r>
      <w:bookmarkEnd w:id="92"/>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项目绩效目标</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一是通过仪器设备购置和更新，实现我市主要粮食质量、安全、品质检测指标的全覆盖，检测能力达到“中国好粮油标准体系”“天府菜油”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检测业务开展的要求，有力支撑政策性储备出入库质量检验检测和优质粮食生产、购销、流通；二是提升粮食安全监管信息化能力。</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查看包括报账时间、金额、事由及各环节审核签字情况等内容，核实资金</w:t>
      </w:r>
      <w:r>
        <w:rPr>
          <w:rFonts w:hint="eastAsia" w:ascii="仿宋_GB2312" w:hAnsi="仿宋_GB2312" w:eastAsia="仿宋_GB2312" w:cs="仿宋_GB2312"/>
          <w:sz w:val="32"/>
          <w:szCs w:val="32"/>
          <w:lang w:eastAsia="zh-CN"/>
        </w:rPr>
        <w:t>支付情况，以及</w:t>
      </w:r>
      <w:r>
        <w:rPr>
          <w:rFonts w:hint="eastAsia" w:ascii="仿宋_GB2312" w:hAnsi="仿宋_GB2312" w:eastAsia="仿宋_GB2312" w:cs="仿宋_GB2312"/>
          <w:sz w:val="32"/>
          <w:szCs w:val="32"/>
        </w:rPr>
        <w:t>是否用于粮食检验监测能力提升工作的正常运行。</w:t>
      </w:r>
    </w:p>
    <w:p>
      <w:pPr>
        <w:pStyle w:val="30"/>
        <w:pageBreakBefore w:val="0"/>
        <w:widowControl w:val="0"/>
        <w:suppressAutoHyphens/>
        <w:kinsoku/>
        <w:wordWrap/>
        <w:overflowPunct/>
        <w:topLinePunct w:val="0"/>
        <w:autoSpaceDE w:val="0"/>
        <w:autoSpaceDN w:val="0"/>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二、项目资金申报及使用情况</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根据2021年工作重点，申请工作经费。市财政局于2021年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月批复粮食检验监测能力提升专项经费。</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12月底</w:t>
      </w:r>
      <w:r>
        <w:rPr>
          <w:rFonts w:hint="eastAsia" w:ascii="仿宋_GB2312" w:hAnsi="仿宋_GB2312" w:eastAsia="仿宋_GB2312" w:cs="仿宋_GB2312"/>
          <w:sz w:val="32"/>
          <w:szCs w:val="32"/>
        </w:rPr>
        <w:t>，市财政下达粮食检验监测能力提升项目资金</w:t>
      </w:r>
      <w:r>
        <w:rPr>
          <w:rFonts w:hint="eastAsia" w:ascii="仿宋_GB2312" w:hAnsi="仿宋_GB2312" w:eastAsia="仿宋_GB2312" w:cs="仿宋_GB2312"/>
          <w:sz w:val="32"/>
          <w:szCs w:val="32"/>
          <w:lang w:val="en-US" w:eastAsia="zh-CN"/>
        </w:rPr>
        <w:t xml:space="preserve"> 300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万元，预算执行率为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资金计划下达时间较晚，导致预算执行不能按期完成，执行率达不到预期，拉低了全面预算的执行率。</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本项目会计机构健全，会计人员岗位分工明确，内部财务管理制度完善，会计核算准确，档案管理规范。在项目资金管理使用上，坚持专款专用，量入为出的原则，</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各项专用资金使用正确。严格票据审核，每笔资金的支出都实行了申报计划，审批后由市财政支付中心统一集中支付。</w:t>
      </w:r>
    </w:p>
    <w:p>
      <w:pPr>
        <w:pStyle w:val="30"/>
        <w:pageBreakBefore w:val="0"/>
        <w:widowControl w:val="0"/>
        <w:suppressAutoHyphens/>
        <w:kinsoku/>
        <w:wordWrap/>
        <w:overflowPunct/>
        <w:topLinePunct w:val="0"/>
        <w:autoSpaceDE w:val="0"/>
        <w:autoSpaceDN w:val="0"/>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三、项目实施及管理情况</w:t>
      </w:r>
    </w:p>
    <w:p>
      <w:pPr>
        <w:pStyle w:val="11"/>
        <w:pageBreakBefore w:val="0"/>
        <w:widowControl w:val="0"/>
        <w:kinsoku/>
        <w:wordWrap/>
        <w:overflowPunct/>
        <w:topLinePunct w:val="0"/>
        <w:bidi w:val="0"/>
        <w:adjustRightInd/>
        <w:snapToGrid/>
        <w:spacing w:line="576"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由广元市发展改革委员会党组书记、主任彭仕扬为组长，广元市发展改革委员会党组成员、副主任张叁淇为副组长，领导小组办公室设在市粮油质量监测站，由彭海燕同志负责具体日常工作。</w:t>
      </w:r>
    </w:p>
    <w:p>
      <w:pPr>
        <w:pStyle w:val="11"/>
        <w:pageBreakBefore w:val="0"/>
        <w:widowControl w:val="0"/>
        <w:kinsoku/>
        <w:wordWrap/>
        <w:overflowPunct/>
        <w:topLinePunct w:val="0"/>
        <w:bidi w:val="0"/>
        <w:adjustRightInd/>
        <w:snapToGrid/>
        <w:spacing w:line="576" w:lineRule="exact"/>
        <w:ind w:left="0" w:leftChars="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建设单位在项目建设实施中切实执行基础设施改造工程的合同管理制、项目审核、政府采购等制度。制定项目管理办法和资金使用管理办法，建立有效的管理和监督机制，确保项目的顺利实施。</w:t>
      </w:r>
    </w:p>
    <w:p>
      <w:pPr>
        <w:pStyle w:val="30"/>
        <w:pageBreakBefore w:val="0"/>
        <w:widowControl w:val="0"/>
        <w:suppressAutoHyphens/>
        <w:kinsoku/>
        <w:wordWrap/>
        <w:overflowPunct/>
        <w:topLinePunct w:val="0"/>
        <w:autoSpaceDE w:val="0"/>
        <w:autoSpaceDN w:val="0"/>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四、项目绩效情况</w:t>
      </w:r>
      <w:r>
        <w:rPr>
          <w:rFonts w:hint="eastAsia" w:ascii="黑体" w:hAnsi="黑体" w:eastAsia="黑体" w:cs="黑体"/>
          <w:color w:val="000000"/>
          <w:sz w:val="32"/>
          <w:szCs w:val="32"/>
          <w:lang w:eastAsia="zh-CN"/>
        </w:rPr>
        <w:tab/>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pStyle w:val="8"/>
        <w:pageBreakBefore w:val="0"/>
        <w:widowControl w:val="0"/>
        <w:kinsoku/>
        <w:wordWrap/>
        <w:overflowPunct/>
        <w:topLinePunct w:val="0"/>
        <w:bidi w:val="0"/>
        <w:adjustRightInd/>
        <w:snapToGrid/>
        <w:spacing w:after="0"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12月底</w:t>
      </w:r>
      <w:r>
        <w:rPr>
          <w:rFonts w:hint="eastAsia" w:ascii="仿宋_GB2312" w:hAnsi="仿宋_GB2312" w:eastAsia="仿宋_GB2312" w:cs="仿宋_GB2312"/>
          <w:sz w:val="32"/>
          <w:szCs w:val="32"/>
        </w:rPr>
        <w:t>，市财政下达粮食检验监测能力提升项目资金</w:t>
      </w:r>
      <w:r>
        <w:rPr>
          <w:rFonts w:hint="eastAsia" w:ascii="仿宋_GB2312" w:hAnsi="仿宋_GB2312" w:eastAsia="仿宋_GB2312" w:cs="仿宋_GB2312"/>
          <w:sz w:val="32"/>
          <w:szCs w:val="32"/>
          <w:lang w:val="en-US" w:eastAsia="zh-CN"/>
        </w:rPr>
        <w:t xml:space="preserve"> 300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万元，预算执行率为</w:t>
      </w:r>
      <w:r>
        <w:rPr>
          <w:rFonts w:hint="eastAsia" w:ascii="仿宋_GB2312" w:hAnsi="仿宋_GB2312" w:eastAsia="仿宋_GB2312" w:cs="仿宋_GB2312"/>
          <w:sz w:val="32"/>
          <w:szCs w:val="32"/>
          <w:lang w:val="en-US" w:eastAsia="zh-CN"/>
        </w:rPr>
        <w:t>0，项目需在2022年实施，2022年底完成。</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（二）项目效益情况</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本项目全面提升我市粮食质量安全检验监测硬件设施，提高我市粮食质量检验检测能力</w:t>
      </w:r>
      <w:r>
        <w:rPr>
          <w:rFonts w:hint="eastAsia" w:ascii="仿宋_GB2312" w:hAnsi="仿宋_GB2312" w:eastAsia="仿宋_GB2312" w:cs="仿宋_GB2312"/>
          <w:sz w:val="32"/>
          <w:szCs w:val="32"/>
          <w:lang w:val="en-US" w:eastAsia="zh-CN"/>
        </w:rPr>
        <w:t>和信息化监管能力，落实“纪委书记盯粮库”要求，</w:t>
      </w:r>
      <w:r>
        <w:rPr>
          <w:rFonts w:hint="eastAsia" w:ascii="仿宋_GB2312" w:hAnsi="仿宋_GB2312" w:eastAsia="仿宋_GB2312" w:cs="仿宋_GB2312"/>
          <w:sz w:val="32"/>
          <w:szCs w:val="32"/>
        </w:rPr>
        <w:t>保障政策性储备安全，指导全市粮食质量安全监测体系建设，服务优质粮油企业，推动我市粮食产业高质量发展。</w:t>
      </w:r>
    </w:p>
    <w:p>
      <w:pPr>
        <w:pStyle w:val="30"/>
        <w:pageBreakBefore w:val="0"/>
        <w:widowControl w:val="0"/>
        <w:suppressAutoHyphens/>
        <w:kinsoku/>
        <w:wordWrap/>
        <w:overflowPunct/>
        <w:topLinePunct w:val="0"/>
        <w:autoSpaceDE w:val="0"/>
        <w:autoSpaceDN w:val="0"/>
        <w:bidi w:val="0"/>
        <w:adjustRightInd/>
        <w:snapToGrid/>
        <w:spacing w:line="576" w:lineRule="exact"/>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五、评价结论及建议</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项目的实施和专项经费的使用，</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我市粮食质量检验检测能力，保障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政策性储备质量安全，指导全市粮食质量安全监测体系建设，服务优质粮油企业，推动我市粮食产业高质量发展。</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rPr>
        <w:t>2021年</w:t>
      </w:r>
      <w:r>
        <w:rPr>
          <w:rFonts w:hint="eastAsia" w:ascii="仿宋_GB2312" w:hAnsi="仿宋_GB2312" w:eastAsia="仿宋_GB2312" w:cs="仿宋_GB2312"/>
          <w:color w:val="000000"/>
          <w:sz w:val="32"/>
          <w:szCs w:val="32"/>
          <w:shd w:val="clear" w:color="auto" w:fill="FFFFFF"/>
          <w:lang w:val="en-US" w:eastAsia="zh-CN"/>
        </w:rPr>
        <w:t>12月</w:t>
      </w:r>
      <w:r>
        <w:rPr>
          <w:rFonts w:hint="eastAsia" w:ascii="仿宋_GB2312" w:hAnsi="仿宋_GB2312" w:eastAsia="仿宋_GB2312" w:cs="仿宋_GB2312"/>
          <w:color w:val="000000"/>
          <w:sz w:val="32"/>
          <w:szCs w:val="32"/>
          <w:shd w:val="clear" w:color="auto" w:fill="FFFFFF"/>
          <w:lang w:eastAsia="zh-CN"/>
        </w:rPr>
        <w:t>底</w:t>
      </w:r>
      <w:r>
        <w:rPr>
          <w:rFonts w:hint="eastAsia" w:ascii="仿宋_GB2312" w:hAnsi="仿宋_GB2312" w:eastAsia="仿宋_GB2312" w:cs="仿宋_GB2312"/>
          <w:color w:val="000000"/>
          <w:sz w:val="32"/>
          <w:szCs w:val="32"/>
          <w:shd w:val="clear" w:color="auto" w:fill="FFFFFF"/>
        </w:rPr>
        <w:t>，市财政下达粮食检验监测能力提升项目资金</w:t>
      </w:r>
      <w:r>
        <w:rPr>
          <w:rFonts w:hint="eastAsia" w:ascii="仿宋_GB2312" w:hAnsi="仿宋_GB2312" w:eastAsia="仿宋_GB2312" w:cs="仿宋_GB2312"/>
          <w:color w:val="000000"/>
          <w:sz w:val="32"/>
          <w:szCs w:val="32"/>
          <w:shd w:val="clear" w:color="auto" w:fill="FFFFFF"/>
          <w:lang w:val="en-US" w:eastAsia="zh-CN"/>
        </w:rPr>
        <w:t>300</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预算下达较晚，执行率低。</w:t>
      </w:r>
    </w:p>
    <w:p>
      <w:pPr>
        <w:pageBreakBefore w:val="0"/>
        <w:widowControl w:val="0"/>
        <w:kinsoku/>
        <w:wordWrap/>
        <w:overflowPunct/>
        <w:topLinePunct w:val="0"/>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44"/>
          <w:szCs w:val="44"/>
        </w:rPr>
      </w:pPr>
      <w:r>
        <w:rPr>
          <w:rFonts w:hint="eastAsia" w:ascii="仿宋_GB2312" w:hAnsi="仿宋_GB2312" w:eastAsia="仿宋_GB2312" w:cs="仿宋_GB2312"/>
          <w:color w:val="000000"/>
          <w:sz w:val="32"/>
          <w:szCs w:val="32"/>
          <w:shd w:val="clear" w:color="auto" w:fill="FFFFFF"/>
          <w:lang w:eastAsia="zh-CN"/>
        </w:rPr>
        <w:t>无。</w:t>
      </w:r>
    </w:p>
    <w:p>
      <w:pPr>
        <w:spacing w:line="600" w:lineRule="exact"/>
        <w:jc w:val="left"/>
        <w:outlineLvl w:val="0"/>
        <w:rPr>
          <w:rFonts w:hint="eastAsia" w:ascii="黑体" w:hAnsi="黑体" w:eastAsia="黑体"/>
          <w:sz w:val="44"/>
          <w:szCs w:val="44"/>
          <w:lang w:eastAsia="zh-CN"/>
        </w:rPr>
      </w:pPr>
      <w:bookmarkStart w:id="93" w:name="_Toc1491"/>
      <w:r>
        <w:rPr>
          <w:rFonts w:hint="eastAsia" w:ascii="仿宋_GB2312" w:hAnsi="仿宋_GB2312" w:eastAsia="仿宋_GB2312" w:cs="仿宋_GB2312"/>
          <w:sz w:val="28"/>
          <w:szCs w:val="28"/>
          <w:lang w:eastAsia="zh-CN"/>
        </w:rPr>
        <w:t>附表：</w:t>
      </w:r>
      <w:bookmarkEnd w:id="93"/>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center"/>
        <w:textAlignment w:val="auto"/>
        <w:rPr>
          <w:rFonts w:hint="eastAsia" w:ascii="黑体" w:hAnsi="黑体" w:eastAsia="黑体"/>
          <w:sz w:val="44"/>
          <w:szCs w:val="44"/>
        </w:rPr>
      </w:pP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9"/>
        <w:tblpPr w:leftFromText="180" w:rightFromText="180" w:vertAnchor="text" w:horzAnchor="page" w:tblpX="180" w:tblpY="1120"/>
        <w:tblOverlap w:val="never"/>
        <w:tblW w:w="116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122"/>
        <w:gridCol w:w="1056"/>
        <w:gridCol w:w="2218"/>
        <w:gridCol w:w="2710"/>
        <w:gridCol w:w="1509"/>
        <w:gridCol w:w="2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8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粮食检验检测能力提升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广元市发展改革委员会</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广元市粮油质量监测站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预算数：</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300万元</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执行数：</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300万元</w:t>
            </w:r>
          </w:p>
        </w:tc>
        <w:tc>
          <w:tcPr>
            <w:tcW w:w="271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1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4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69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三年努力,对全市142个乡级行政区划单位(街道7个，镇112个，乡23个)产新粮食重金属指标(镉)进行全覆盖监测，摸清全市粮食质量情况，从源头把好粮食安全关，实现粮油“优产、优收、优储、优加、优销”，切实提高绿色优质安全粮油产品供给水平。</w:t>
            </w:r>
          </w:p>
        </w:tc>
        <w:tc>
          <w:tcPr>
            <w:tcW w:w="65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122"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指标1：仪器设备</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电感耦合等离子体发射光谱-质谱联用仪、实时荧光定量PCR仪、免疫亲和固相萃取系统等辅助设备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指标2：样品采集运输车</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1辆（政策性库存粮油、产新粮食调查、品质测报等样品抽检工作)</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指标3：实验室搬迁及工作经费</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实验室搬迁及工作经费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指标1：严格执行政府采购程序</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指标1：完成时间</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2022年12月前</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指标1：仪器设备</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指标2：样品采集运输车</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25万元用于购买样品采集运输车，5万元用于车辆购置税、保险等费用。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指标3：实验室搬迁及工作经费</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7"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指标1：推动粮食经济高质量发展</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是围绕建设全国有机产品认证示范市、中国西部重要的绿色农产品供给地和特色农业强市要求，积极为企业提供质量检验检测服务，集中支持全市粮食企业创建米面油各1-2个国家知名粮油品牌，做大产量与规模，到“十四五”末，实现全市优质粮油产业值超过100亿目标。二是指导全市“十四五”期间300万亩优质粮油基地建设，调整种植结构，促进优质品种和特色品种向优势产区集中，实现优质、高产、高效、生态、安全相统一，为助农增收和乡村振兴贡献力量。</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18"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指标1：为粮食生产绿色发展提供技术支持</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助力增加本地优质粮油产量，提升本地绿色优势，保障粮食生产安全，增强农业可持续发展能力，加强生态建设和修复，打好污染防治攻坚战。</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18"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指标2：检验检测能力明显提高</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可检参数由现在的241项增加到300项以上。</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8"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指标1：对全市粮食安全方面的影响</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广元川北粮食检验监测中心和国家标准化粮油质检示范站建设，为加快建成全国有机产品认证示范市、中国西部重要的绿色农产品供给地和特色农业强市提供技术支撑，深刻把握粮油质量监测能力建设机遇，精准聚焦，牢守粮食质量安全底线，促进全市粮食产业经济高质量发展。</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5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2218"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指标1：专业技术检测人员满意度</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待2022年完成</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2021年末下达计划，项目需在2022年实施，故支付需在2022年完成。</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bookmarkStart w:id="94" w:name="_Toc7804"/>
      <w:r>
        <w:rPr>
          <w:rFonts w:hint="eastAsia" w:ascii="黑体" w:hAnsi="黑体" w:eastAsia="黑体"/>
          <w:sz w:val="44"/>
          <w:szCs w:val="44"/>
        </w:rPr>
        <w:t>第</w:t>
      </w:r>
      <w:r>
        <w:rPr>
          <w:rStyle w:val="31"/>
          <w:rFonts w:hint="eastAsia" w:ascii="黑体" w:hAnsi="黑体" w:eastAsia="黑体"/>
          <w:b w:val="0"/>
        </w:rPr>
        <w:t>五部分 附表</w:t>
      </w:r>
      <w:bookmarkEnd w:id="87"/>
      <w:bookmarkEnd w:id="90"/>
      <w:bookmarkEnd w:id="94"/>
      <w:bookmarkStart w:id="95" w:name="_Toc15396619"/>
    </w:p>
    <w:p>
      <w:pPr>
        <w:pStyle w:val="4"/>
        <w:rPr>
          <w:rFonts w:ascii="仿宋" w:hAnsi="仿宋" w:eastAsia="仿宋"/>
        </w:rPr>
      </w:pPr>
      <w:bookmarkStart w:id="96" w:name="_Toc26923"/>
      <w:r>
        <w:rPr>
          <w:rFonts w:hint="eastAsia" w:ascii="仿宋" w:hAnsi="仿宋" w:eastAsia="仿宋"/>
          <w:b w:val="0"/>
        </w:rPr>
        <w:t>一、收</w:t>
      </w:r>
      <w:r>
        <w:rPr>
          <w:rStyle w:val="32"/>
          <w:rFonts w:hint="eastAsia" w:ascii="仿宋" w:hAnsi="仿宋" w:eastAsia="仿宋"/>
          <w:b w:val="0"/>
          <w:bCs w:val="0"/>
        </w:rPr>
        <w:t>入支出决算总表</w:t>
      </w:r>
      <w:bookmarkEnd w:id="95"/>
      <w:bookmarkEnd w:id="96"/>
    </w:p>
    <w:p>
      <w:pPr>
        <w:pStyle w:val="4"/>
        <w:rPr>
          <w:rFonts w:ascii="仿宋" w:hAnsi="仿宋" w:eastAsia="仿宋"/>
        </w:rPr>
      </w:pPr>
      <w:bookmarkStart w:id="97" w:name="_Toc15396620"/>
      <w:bookmarkStart w:id="98" w:name="_Toc8078"/>
      <w:r>
        <w:rPr>
          <w:rFonts w:hint="eastAsia" w:ascii="仿宋" w:hAnsi="仿宋" w:eastAsia="仿宋"/>
          <w:b w:val="0"/>
        </w:rPr>
        <w:t>二、收</w:t>
      </w:r>
      <w:r>
        <w:rPr>
          <w:rStyle w:val="32"/>
          <w:rFonts w:hint="eastAsia" w:ascii="仿宋" w:hAnsi="仿宋" w:eastAsia="仿宋"/>
          <w:b w:val="0"/>
          <w:bCs w:val="0"/>
        </w:rPr>
        <w:t>入决算表</w:t>
      </w:r>
      <w:bookmarkEnd w:id="97"/>
      <w:bookmarkEnd w:id="98"/>
    </w:p>
    <w:p>
      <w:pPr>
        <w:pStyle w:val="4"/>
        <w:rPr>
          <w:rFonts w:ascii="仿宋" w:hAnsi="仿宋" w:eastAsia="仿宋"/>
        </w:rPr>
      </w:pPr>
      <w:bookmarkStart w:id="99" w:name="_Toc31681"/>
      <w:bookmarkStart w:id="100"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99"/>
      <w:bookmarkEnd w:id="100"/>
    </w:p>
    <w:p>
      <w:pPr>
        <w:pStyle w:val="4"/>
        <w:rPr>
          <w:rFonts w:ascii="仿宋" w:hAnsi="仿宋" w:eastAsia="仿宋"/>
          <w:b w:val="0"/>
        </w:rPr>
      </w:pPr>
      <w:bookmarkStart w:id="101" w:name="_Toc15396622"/>
      <w:bookmarkStart w:id="102" w:name="_Toc2483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101"/>
      <w:bookmarkEnd w:id="102"/>
    </w:p>
    <w:p>
      <w:pPr>
        <w:pStyle w:val="4"/>
        <w:rPr>
          <w:rStyle w:val="32"/>
          <w:rFonts w:ascii="仿宋" w:hAnsi="仿宋" w:eastAsia="仿宋"/>
          <w:b w:val="0"/>
          <w:bCs w:val="0"/>
        </w:rPr>
      </w:pPr>
      <w:bookmarkStart w:id="103" w:name="_Toc15396623"/>
      <w:bookmarkStart w:id="104" w:name="_Toc7147"/>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103"/>
      <w:bookmarkEnd w:id="104"/>
      <w:bookmarkStart w:id="105" w:name="_Toc15396624"/>
    </w:p>
    <w:p>
      <w:pPr>
        <w:pStyle w:val="4"/>
        <w:rPr>
          <w:rFonts w:ascii="仿宋" w:hAnsi="仿宋" w:eastAsia="仿宋"/>
        </w:rPr>
      </w:pPr>
      <w:bookmarkStart w:id="106" w:name="_Toc25254"/>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105"/>
      <w:bookmarkEnd w:id="106"/>
    </w:p>
    <w:p>
      <w:pPr>
        <w:pStyle w:val="4"/>
        <w:rPr>
          <w:rFonts w:ascii="仿宋" w:hAnsi="仿宋" w:eastAsia="仿宋"/>
        </w:rPr>
      </w:pPr>
      <w:bookmarkStart w:id="107" w:name="_Toc16820"/>
      <w:bookmarkStart w:id="108"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107"/>
      <w:bookmarkEnd w:id="108"/>
    </w:p>
    <w:p>
      <w:pPr>
        <w:pStyle w:val="4"/>
        <w:rPr>
          <w:rFonts w:ascii="仿宋" w:hAnsi="仿宋" w:eastAsia="仿宋"/>
        </w:rPr>
      </w:pPr>
      <w:bookmarkStart w:id="109" w:name="_Toc32187"/>
      <w:bookmarkStart w:id="110"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109"/>
      <w:bookmarkEnd w:id="110"/>
    </w:p>
    <w:p>
      <w:pPr>
        <w:pStyle w:val="4"/>
        <w:rPr>
          <w:rFonts w:ascii="仿宋" w:hAnsi="仿宋" w:eastAsia="仿宋"/>
        </w:rPr>
      </w:pPr>
      <w:bookmarkStart w:id="111" w:name="_Toc9541"/>
      <w:bookmarkStart w:id="11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111"/>
      <w:bookmarkEnd w:id="112"/>
    </w:p>
    <w:p>
      <w:pPr>
        <w:pStyle w:val="4"/>
        <w:rPr>
          <w:rFonts w:ascii="仿宋" w:hAnsi="仿宋" w:eastAsia="仿宋"/>
        </w:rPr>
      </w:pPr>
      <w:bookmarkStart w:id="113" w:name="_Toc9783"/>
      <w:bookmarkStart w:id="114" w:name="_Toc15396628"/>
      <w:r>
        <w:rPr>
          <w:rStyle w:val="32"/>
          <w:rFonts w:hint="eastAsia" w:ascii="仿宋" w:hAnsi="仿宋" w:eastAsia="仿宋"/>
          <w:b w:val="0"/>
          <w:bCs w:val="0"/>
        </w:rPr>
        <w:t>十、</w:t>
      </w:r>
      <w:r>
        <w:rPr>
          <w:rFonts w:hint="eastAsia" w:ascii="仿宋" w:hAnsi="仿宋" w:eastAsia="仿宋"/>
          <w:b w:val="0"/>
        </w:rPr>
        <w:t>一</w:t>
      </w:r>
      <w:r>
        <w:rPr>
          <w:rStyle w:val="32"/>
          <w:rFonts w:hint="eastAsia" w:ascii="仿宋" w:hAnsi="仿宋" w:eastAsia="仿宋"/>
          <w:b w:val="0"/>
          <w:bCs w:val="0"/>
        </w:rPr>
        <w:t>般公共预算财政拨款“三公”经费支出决算表</w:t>
      </w:r>
      <w:bookmarkEnd w:id="113"/>
      <w:bookmarkEnd w:id="114"/>
    </w:p>
    <w:p>
      <w:pPr>
        <w:pStyle w:val="4"/>
        <w:rPr>
          <w:rFonts w:ascii="仿宋" w:hAnsi="仿宋" w:eastAsia="仿宋"/>
        </w:rPr>
      </w:pPr>
      <w:bookmarkStart w:id="115" w:name="_Toc23902"/>
      <w:bookmarkStart w:id="116" w:name="_Toc15396629"/>
      <w:r>
        <w:rPr>
          <w:rStyle w:val="32"/>
          <w:rFonts w:hint="eastAsia" w:ascii="仿宋" w:hAnsi="仿宋" w:eastAsia="仿宋"/>
          <w:b w:val="0"/>
          <w:bCs w:val="0"/>
        </w:rPr>
        <w:t>十一、</w:t>
      </w:r>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115"/>
      <w:bookmarkEnd w:id="116"/>
    </w:p>
    <w:p>
      <w:pPr>
        <w:pStyle w:val="4"/>
        <w:rPr>
          <w:rFonts w:ascii="仿宋" w:hAnsi="仿宋" w:eastAsia="仿宋"/>
        </w:rPr>
      </w:pPr>
      <w:bookmarkStart w:id="117" w:name="_Toc15396630"/>
      <w:bookmarkStart w:id="118" w:name="_Toc26589"/>
      <w:r>
        <w:rPr>
          <w:rStyle w:val="32"/>
          <w:rFonts w:hint="eastAsia" w:ascii="仿宋" w:hAnsi="仿宋" w:eastAsia="仿宋"/>
          <w:b w:val="0"/>
          <w:bCs w:val="0"/>
        </w:rPr>
        <w:t>十二、</w:t>
      </w:r>
      <w:r>
        <w:rPr>
          <w:rFonts w:hint="eastAsia" w:ascii="仿宋" w:hAnsi="仿宋" w:eastAsia="仿宋"/>
          <w:b w:val="0"/>
        </w:rPr>
        <w:t>政</w:t>
      </w:r>
      <w:r>
        <w:rPr>
          <w:rStyle w:val="32"/>
          <w:rFonts w:hint="eastAsia" w:ascii="仿宋" w:hAnsi="仿宋" w:eastAsia="仿宋"/>
          <w:b w:val="0"/>
          <w:bCs w:val="0"/>
        </w:rPr>
        <w:t>府性基金预算财政拨款“三公”经费支出决算表</w:t>
      </w:r>
      <w:bookmarkEnd w:id="117"/>
      <w:bookmarkEnd w:id="118"/>
    </w:p>
    <w:p>
      <w:pPr>
        <w:pStyle w:val="4"/>
        <w:rPr>
          <w:rStyle w:val="32"/>
          <w:rFonts w:ascii="仿宋" w:hAnsi="仿宋" w:eastAsia="仿宋"/>
          <w:b w:val="0"/>
          <w:bCs w:val="0"/>
        </w:rPr>
      </w:pPr>
      <w:bookmarkStart w:id="119" w:name="_Toc24245"/>
      <w:bookmarkStart w:id="120" w:name="_Toc15396631"/>
      <w:r>
        <w:rPr>
          <w:rStyle w:val="32"/>
          <w:rFonts w:hint="eastAsia" w:ascii="仿宋" w:hAnsi="仿宋" w:eastAsia="仿宋"/>
          <w:b w:val="0"/>
          <w:bCs w:val="0"/>
        </w:rPr>
        <w:t>十三、</w:t>
      </w:r>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119"/>
      <w:bookmarkEnd w:id="120"/>
    </w:p>
    <w:p>
      <w:pPr>
        <w:rPr>
          <w:rFonts w:eastAsia="仿宋"/>
        </w:rPr>
      </w:pPr>
      <w:bookmarkStart w:id="121" w:name="_Toc1184"/>
      <w:r>
        <w:rPr>
          <w:rStyle w:val="32"/>
          <w:rFonts w:hint="eastAsia" w:ascii="仿宋" w:hAnsi="仿宋" w:eastAsia="仿宋"/>
          <w:b w:val="0"/>
          <w:bCs w:val="0"/>
        </w:rPr>
        <w:t>十四、国有资本经营预算财政拨款支出决算表</w:t>
      </w:r>
      <w:bookmarkEnd w:id="12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 PL UKai CN">
    <w:altName w:val="Noto Serif CJK SC"/>
    <w:panose1 w:val="02000503000000000000"/>
    <w:charset w:val="86"/>
    <w:family w:val="script"/>
    <w:pitch w:val="default"/>
    <w:sig w:usb0="00000000" w:usb1="00000000" w:usb2="00000036" w:usb3="00000000" w:csb0="2016009F" w:csb1="DFD7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Noto Serif CJK SC">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4"/>
          <w:jc w:val="center"/>
        </w:pPr>
        <w:r>
          <w:fldChar w:fldCharType="begin"/>
        </w:r>
        <w:r>
          <w:instrText xml:space="preserve">PAGE   \* MERGEFORMAT</w:instrText>
        </w:r>
        <w:r>
          <w:fldChar w:fldCharType="separate"/>
        </w:r>
        <w:r>
          <w:rPr>
            <w:lang w:val="zh-CN"/>
          </w:rPr>
          <w:t>28</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707CB"/>
    <w:multiLevelType w:val="singleLevel"/>
    <w:tmpl w:val="8BF707CB"/>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F0EA190"/>
    <w:multiLevelType w:val="singleLevel"/>
    <w:tmpl w:val="FF0EA190"/>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0A42F4"/>
    <w:multiLevelType w:val="singleLevel"/>
    <w:tmpl w:val="380A42F4"/>
    <w:lvl w:ilvl="0" w:tentative="0">
      <w:start w:val="1"/>
      <w:numFmt w:val="decimal"/>
      <w:lvlText w:val="%1."/>
      <w:lvlJc w:val="left"/>
      <w:pPr>
        <w:tabs>
          <w:tab w:val="left" w:pos="312"/>
        </w:tabs>
      </w:pPr>
    </w:lvl>
  </w:abstractNum>
  <w:abstractNum w:abstractNumId="6">
    <w:nsid w:val="3A92CC59"/>
    <w:multiLevelType w:val="singleLevel"/>
    <w:tmpl w:val="3A92CC59"/>
    <w:lvl w:ilvl="0" w:tentative="0">
      <w:start w:val="3"/>
      <w:numFmt w:val="chineseCounting"/>
      <w:suff w:val="nothing"/>
      <w:lvlText w:val="%1、"/>
      <w:lvlJc w:val="left"/>
      <w:rPr>
        <w:rFonts w:hint="eastAsia"/>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gzMzBmOWIyYjc5MzNkYTMyZmUxYmZmNDJkY2EyY2MifQ=="/>
  </w:docVars>
  <w:rsids>
    <w:rsidRoot w:val="00F1361C"/>
    <w:rsid w:val="000222C6"/>
    <w:rsid w:val="0002549F"/>
    <w:rsid w:val="000468DB"/>
    <w:rsid w:val="0006487A"/>
    <w:rsid w:val="00065F8F"/>
    <w:rsid w:val="00070A43"/>
    <w:rsid w:val="000768F2"/>
    <w:rsid w:val="00080CD3"/>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3C16"/>
    <w:rsid w:val="00114E9B"/>
    <w:rsid w:val="00142216"/>
    <w:rsid w:val="00144D6A"/>
    <w:rsid w:val="0014729F"/>
    <w:rsid w:val="00157BAB"/>
    <w:rsid w:val="001654D1"/>
    <w:rsid w:val="00174518"/>
    <w:rsid w:val="001757B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CA2"/>
    <w:rsid w:val="00280496"/>
    <w:rsid w:val="00294DC9"/>
    <w:rsid w:val="00295495"/>
    <w:rsid w:val="002A31DE"/>
    <w:rsid w:val="002B2613"/>
    <w:rsid w:val="002D6D05"/>
    <w:rsid w:val="002F1818"/>
    <w:rsid w:val="002F567B"/>
    <w:rsid w:val="00313ABE"/>
    <w:rsid w:val="003216A9"/>
    <w:rsid w:val="00335A74"/>
    <w:rsid w:val="0036561B"/>
    <w:rsid w:val="0037013F"/>
    <w:rsid w:val="00380C92"/>
    <w:rsid w:val="00390F17"/>
    <w:rsid w:val="003A484F"/>
    <w:rsid w:val="003A4883"/>
    <w:rsid w:val="003B0BE0"/>
    <w:rsid w:val="003B0C1B"/>
    <w:rsid w:val="003B688C"/>
    <w:rsid w:val="003C0291"/>
    <w:rsid w:val="003C39AE"/>
    <w:rsid w:val="003C7B60"/>
    <w:rsid w:val="003D0C0F"/>
    <w:rsid w:val="003D1FB2"/>
    <w:rsid w:val="003D66DA"/>
    <w:rsid w:val="003E1310"/>
    <w:rsid w:val="003E6F55"/>
    <w:rsid w:val="003F01EB"/>
    <w:rsid w:val="00406254"/>
    <w:rsid w:val="00412FC7"/>
    <w:rsid w:val="004223DE"/>
    <w:rsid w:val="00434489"/>
    <w:rsid w:val="00437085"/>
    <w:rsid w:val="00443880"/>
    <w:rsid w:val="004464F4"/>
    <w:rsid w:val="00471401"/>
    <w:rsid w:val="00473F31"/>
    <w:rsid w:val="0048263A"/>
    <w:rsid w:val="00487E5D"/>
    <w:rsid w:val="004A711F"/>
    <w:rsid w:val="004B199D"/>
    <w:rsid w:val="004B4690"/>
    <w:rsid w:val="004C7ECA"/>
    <w:rsid w:val="004E0A2D"/>
    <w:rsid w:val="004E206B"/>
    <w:rsid w:val="004E6DF7"/>
    <w:rsid w:val="004F0FBD"/>
    <w:rsid w:val="00505A47"/>
    <w:rsid w:val="00512FDA"/>
    <w:rsid w:val="00520DA0"/>
    <w:rsid w:val="0054609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467"/>
    <w:rsid w:val="006748A4"/>
    <w:rsid w:val="00681A31"/>
    <w:rsid w:val="00683E73"/>
    <w:rsid w:val="006A3141"/>
    <w:rsid w:val="006A5E34"/>
    <w:rsid w:val="006B2422"/>
    <w:rsid w:val="006B2B9A"/>
    <w:rsid w:val="006C1937"/>
    <w:rsid w:val="006F020C"/>
    <w:rsid w:val="006F2665"/>
    <w:rsid w:val="007127B7"/>
    <w:rsid w:val="0071798E"/>
    <w:rsid w:val="007416B6"/>
    <w:rsid w:val="00746F48"/>
    <w:rsid w:val="0075404D"/>
    <w:rsid w:val="00757040"/>
    <w:rsid w:val="0076182A"/>
    <w:rsid w:val="00763FD0"/>
    <w:rsid w:val="00767B7E"/>
    <w:rsid w:val="007770C3"/>
    <w:rsid w:val="0078013A"/>
    <w:rsid w:val="00784D24"/>
    <w:rsid w:val="00785FBA"/>
    <w:rsid w:val="00786E4A"/>
    <w:rsid w:val="007875EB"/>
    <w:rsid w:val="0079426B"/>
    <w:rsid w:val="007949A3"/>
    <w:rsid w:val="007B1976"/>
    <w:rsid w:val="007D1682"/>
    <w:rsid w:val="007D312A"/>
    <w:rsid w:val="007D3F19"/>
    <w:rsid w:val="007D41C4"/>
    <w:rsid w:val="007E23B0"/>
    <w:rsid w:val="007E23E5"/>
    <w:rsid w:val="007F1991"/>
    <w:rsid w:val="007F2C2F"/>
    <w:rsid w:val="007F55FC"/>
    <w:rsid w:val="007F5665"/>
    <w:rsid w:val="00800112"/>
    <w:rsid w:val="00813348"/>
    <w:rsid w:val="008253BB"/>
    <w:rsid w:val="0083706E"/>
    <w:rsid w:val="008408F6"/>
    <w:rsid w:val="00841A05"/>
    <w:rsid w:val="008423A5"/>
    <w:rsid w:val="008437A9"/>
    <w:rsid w:val="00847117"/>
    <w:rsid w:val="00850625"/>
    <w:rsid w:val="00853718"/>
    <w:rsid w:val="00855221"/>
    <w:rsid w:val="00860645"/>
    <w:rsid w:val="00871F71"/>
    <w:rsid w:val="00872FD8"/>
    <w:rsid w:val="00885AF4"/>
    <w:rsid w:val="008939CD"/>
    <w:rsid w:val="008B09D9"/>
    <w:rsid w:val="008B768C"/>
    <w:rsid w:val="008C4DB1"/>
    <w:rsid w:val="008C4EAF"/>
    <w:rsid w:val="008C5176"/>
    <w:rsid w:val="008C7FD0"/>
    <w:rsid w:val="008E1DE7"/>
    <w:rsid w:val="008E707C"/>
    <w:rsid w:val="00900B08"/>
    <w:rsid w:val="00902155"/>
    <w:rsid w:val="00902FA3"/>
    <w:rsid w:val="00923564"/>
    <w:rsid w:val="0092392E"/>
    <w:rsid w:val="00925C50"/>
    <w:rsid w:val="009315F9"/>
    <w:rsid w:val="00933499"/>
    <w:rsid w:val="00935C98"/>
    <w:rsid w:val="009419AF"/>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2A4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E82"/>
    <w:rsid w:val="00A45BB7"/>
    <w:rsid w:val="00A56DF2"/>
    <w:rsid w:val="00A56E6E"/>
    <w:rsid w:val="00A570DA"/>
    <w:rsid w:val="00A67AB5"/>
    <w:rsid w:val="00A733B2"/>
    <w:rsid w:val="00A741C2"/>
    <w:rsid w:val="00A91760"/>
    <w:rsid w:val="00A93B00"/>
    <w:rsid w:val="00A93C21"/>
    <w:rsid w:val="00AB64C9"/>
    <w:rsid w:val="00AC3C6A"/>
    <w:rsid w:val="00AD5620"/>
    <w:rsid w:val="00AD656B"/>
    <w:rsid w:val="00AD7C1B"/>
    <w:rsid w:val="00AE16BA"/>
    <w:rsid w:val="00AE183B"/>
    <w:rsid w:val="00AE1EBE"/>
    <w:rsid w:val="00B03C9D"/>
    <w:rsid w:val="00B060AE"/>
    <w:rsid w:val="00B10517"/>
    <w:rsid w:val="00B13BE0"/>
    <w:rsid w:val="00B14E76"/>
    <w:rsid w:val="00B161B8"/>
    <w:rsid w:val="00B2048C"/>
    <w:rsid w:val="00B310B9"/>
    <w:rsid w:val="00B35F3F"/>
    <w:rsid w:val="00B36CBB"/>
    <w:rsid w:val="00B425E0"/>
    <w:rsid w:val="00B440AA"/>
    <w:rsid w:val="00B44B70"/>
    <w:rsid w:val="00B53C56"/>
    <w:rsid w:val="00B5415E"/>
    <w:rsid w:val="00B57DAF"/>
    <w:rsid w:val="00B77EA6"/>
    <w:rsid w:val="00B81598"/>
    <w:rsid w:val="00B841F1"/>
    <w:rsid w:val="00B944D6"/>
    <w:rsid w:val="00BB4DF0"/>
    <w:rsid w:val="00BC13DA"/>
    <w:rsid w:val="00BC289F"/>
    <w:rsid w:val="00BC2D50"/>
    <w:rsid w:val="00BC5361"/>
    <w:rsid w:val="00BC5460"/>
    <w:rsid w:val="00BC6B50"/>
    <w:rsid w:val="00BD0E25"/>
    <w:rsid w:val="00BF5BD6"/>
    <w:rsid w:val="00C03E31"/>
    <w:rsid w:val="00C33E72"/>
    <w:rsid w:val="00C354B2"/>
    <w:rsid w:val="00C35554"/>
    <w:rsid w:val="00C42709"/>
    <w:rsid w:val="00C45283"/>
    <w:rsid w:val="00C533CC"/>
    <w:rsid w:val="00C5751C"/>
    <w:rsid w:val="00C61BFC"/>
    <w:rsid w:val="00C62B85"/>
    <w:rsid w:val="00C65438"/>
    <w:rsid w:val="00C87FD8"/>
    <w:rsid w:val="00C91381"/>
    <w:rsid w:val="00C91CBB"/>
    <w:rsid w:val="00CA01FF"/>
    <w:rsid w:val="00CB4E70"/>
    <w:rsid w:val="00CC09B6"/>
    <w:rsid w:val="00CC666F"/>
    <w:rsid w:val="00CD0B30"/>
    <w:rsid w:val="00CD1E3F"/>
    <w:rsid w:val="00CE44F6"/>
    <w:rsid w:val="00CE49DA"/>
    <w:rsid w:val="00CE7B61"/>
    <w:rsid w:val="00CF7156"/>
    <w:rsid w:val="00D00095"/>
    <w:rsid w:val="00D114F0"/>
    <w:rsid w:val="00D14F0E"/>
    <w:rsid w:val="00D20620"/>
    <w:rsid w:val="00D254F7"/>
    <w:rsid w:val="00D26091"/>
    <w:rsid w:val="00D2685C"/>
    <w:rsid w:val="00D34E7C"/>
    <w:rsid w:val="00D35489"/>
    <w:rsid w:val="00D36AFE"/>
    <w:rsid w:val="00D51276"/>
    <w:rsid w:val="00D7035F"/>
    <w:rsid w:val="00DA634F"/>
    <w:rsid w:val="00DA65AC"/>
    <w:rsid w:val="00DB1913"/>
    <w:rsid w:val="00DC096D"/>
    <w:rsid w:val="00DC31E8"/>
    <w:rsid w:val="00DC410D"/>
    <w:rsid w:val="00DC5A81"/>
    <w:rsid w:val="00DC68CA"/>
    <w:rsid w:val="00DC7CBA"/>
    <w:rsid w:val="00DD73B7"/>
    <w:rsid w:val="00DF28BC"/>
    <w:rsid w:val="00DF34B9"/>
    <w:rsid w:val="00E01053"/>
    <w:rsid w:val="00E07ACF"/>
    <w:rsid w:val="00E13486"/>
    <w:rsid w:val="00E331A1"/>
    <w:rsid w:val="00E33202"/>
    <w:rsid w:val="00E336A9"/>
    <w:rsid w:val="00E472B1"/>
    <w:rsid w:val="00E50624"/>
    <w:rsid w:val="00E568DF"/>
    <w:rsid w:val="00E64269"/>
    <w:rsid w:val="00E649D2"/>
    <w:rsid w:val="00E727DA"/>
    <w:rsid w:val="00E82267"/>
    <w:rsid w:val="00E841AC"/>
    <w:rsid w:val="00E853CE"/>
    <w:rsid w:val="00E867B6"/>
    <w:rsid w:val="00EA010F"/>
    <w:rsid w:val="00ED1B63"/>
    <w:rsid w:val="00ED3C1F"/>
    <w:rsid w:val="00ED4085"/>
    <w:rsid w:val="00ED420E"/>
    <w:rsid w:val="00ED6FBE"/>
    <w:rsid w:val="00EE2F57"/>
    <w:rsid w:val="00EF4C34"/>
    <w:rsid w:val="00EF77C6"/>
    <w:rsid w:val="00F05438"/>
    <w:rsid w:val="00F1361C"/>
    <w:rsid w:val="00F149C1"/>
    <w:rsid w:val="00F156F0"/>
    <w:rsid w:val="00F160C7"/>
    <w:rsid w:val="00F2408F"/>
    <w:rsid w:val="00F240E9"/>
    <w:rsid w:val="00F36D8F"/>
    <w:rsid w:val="00F417B1"/>
    <w:rsid w:val="00F45853"/>
    <w:rsid w:val="00F602DF"/>
    <w:rsid w:val="00F64D04"/>
    <w:rsid w:val="00F754A1"/>
    <w:rsid w:val="00F81FD9"/>
    <w:rsid w:val="00F841AA"/>
    <w:rsid w:val="00F84A94"/>
    <w:rsid w:val="00F87E96"/>
    <w:rsid w:val="00FA23E8"/>
    <w:rsid w:val="00FC20D8"/>
    <w:rsid w:val="00FD3CC1"/>
    <w:rsid w:val="00FF1E02"/>
    <w:rsid w:val="00FF30B4"/>
    <w:rsid w:val="016D4D19"/>
    <w:rsid w:val="01B52B38"/>
    <w:rsid w:val="01E5254B"/>
    <w:rsid w:val="030177CC"/>
    <w:rsid w:val="034121F3"/>
    <w:rsid w:val="037C1244"/>
    <w:rsid w:val="03D86515"/>
    <w:rsid w:val="045753F3"/>
    <w:rsid w:val="04FC43EA"/>
    <w:rsid w:val="05090B6A"/>
    <w:rsid w:val="07B471FE"/>
    <w:rsid w:val="07F83069"/>
    <w:rsid w:val="089B7F9C"/>
    <w:rsid w:val="08E12275"/>
    <w:rsid w:val="0A1C108A"/>
    <w:rsid w:val="0A2032A3"/>
    <w:rsid w:val="0AE630D8"/>
    <w:rsid w:val="0B057D70"/>
    <w:rsid w:val="0B8A37D8"/>
    <w:rsid w:val="0F2C75EB"/>
    <w:rsid w:val="0FF33EE9"/>
    <w:rsid w:val="108F6797"/>
    <w:rsid w:val="10C055FF"/>
    <w:rsid w:val="112F5204"/>
    <w:rsid w:val="118107EC"/>
    <w:rsid w:val="11A42091"/>
    <w:rsid w:val="11DD6519"/>
    <w:rsid w:val="12C0114D"/>
    <w:rsid w:val="13BA1693"/>
    <w:rsid w:val="14101C48"/>
    <w:rsid w:val="147A6BB3"/>
    <w:rsid w:val="14D40EDF"/>
    <w:rsid w:val="153C6FB3"/>
    <w:rsid w:val="16400127"/>
    <w:rsid w:val="16BB723D"/>
    <w:rsid w:val="17055077"/>
    <w:rsid w:val="18015F3F"/>
    <w:rsid w:val="19C05391"/>
    <w:rsid w:val="19C61E08"/>
    <w:rsid w:val="1A5F56EF"/>
    <w:rsid w:val="1B882A24"/>
    <w:rsid w:val="1BE8440E"/>
    <w:rsid w:val="1D155CEE"/>
    <w:rsid w:val="1E1962EB"/>
    <w:rsid w:val="1E864F13"/>
    <w:rsid w:val="1EAE5386"/>
    <w:rsid w:val="1FF933AB"/>
    <w:rsid w:val="20F57F95"/>
    <w:rsid w:val="235D2F55"/>
    <w:rsid w:val="240371BF"/>
    <w:rsid w:val="241702A3"/>
    <w:rsid w:val="24FB6014"/>
    <w:rsid w:val="250645A0"/>
    <w:rsid w:val="25C741E6"/>
    <w:rsid w:val="26A338B2"/>
    <w:rsid w:val="27842671"/>
    <w:rsid w:val="27CE2F4F"/>
    <w:rsid w:val="280451E0"/>
    <w:rsid w:val="28DD386A"/>
    <w:rsid w:val="29BD5F8E"/>
    <w:rsid w:val="29CC63E6"/>
    <w:rsid w:val="29FD04D3"/>
    <w:rsid w:val="2A922F77"/>
    <w:rsid w:val="2AAF35DE"/>
    <w:rsid w:val="2ABE7A3E"/>
    <w:rsid w:val="2B4D7AEF"/>
    <w:rsid w:val="2C012879"/>
    <w:rsid w:val="2DEA7E32"/>
    <w:rsid w:val="2E141EF5"/>
    <w:rsid w:val="2E6764C9"/>
    <w:rsid w:val="2EFA178C"/>
    <w:rsid w:val="30314FE0"/>
    <w:rsid w:val="308912DA"/>
    <w:rsid w:val="309F63EE"/>
    <w:rsid w:val="30B46D73"/>
    <w:rsid w:val="30D75275"/>
    <w:rsid w:val="312A67F9"/>
    <w:rsid w:val="319E6421"/>
    <w:rsid w:val="319F7F4E"/>
    <w:rsid w:val="31AD298A"/>
    <w:rsid w:val="32425CB4"/>
    <w:rsid w:val="33D04B10"/>
    <w:rsid w:val="365612FD"/>
    <w:rsid w:val="36DF7544"/>
    <w:rsid w:val="379E73FF"/>
    <w:rsid w:val="38606463"/>
    <w:rsid w:val="39AE70AB"/>
    <w:rsid w:val="39E76C3E"/>
    <w:rsid w:val="3C0C0783"/>
    <w:rsid w:val="3C37572C"/>
    <w:rsid w:val="3CF719D1"/>
    <w:rsid w:val="3EEF22EE"/>
    <w:rsid w:val="3EF314ED"/>
    <w:rsid w:val="3F3F12CA"/>
    <w:rsid w:val="3F795B0E"/>
    <w:rsid w:val="3F9F3A96"/>
    <w:rsid w:val="401F586B"/>
    <w:rsid w:val="40350D30"/>
    <w:rsid w:val="425B4D8B"/>
    <w:rsid w:val="42D87A6C"/>
    <w:rsid w:val="43C353A5"/>
    <w:rsid w:val="44713000"/>
    <w:rsid w:val="45E06E35"/>
    <w:rsid w:val="471825FE"/>
    <w:rsid w:val="47434B02"/>
    <w:rsid w:val="47E04ECA"/>
    <w:rsid w:val="48FC723A"/>
    <w:rsid w:val="493C27E9"/>
    <w:rsid w:val="494D6749"/>
    <w:rsid w:val="49531B59"/>
    <w:rsid w:val="496F39ED"/>
    <w:rsid w:val="49DB4D4B"/>
    <w:rsid w:val="49FF41D3"/>
    <w:rsid w:val="4A185DC8"/>
    <w:rsid w:val="4AFA468E"/>
    <w:rsid w:val="4B102CAE"/>
    <w:rsid w:val="4BE068DB"/>
    <w:rsid w:val="4BF6002B"/>
    <w:rsid w:val="4C2F3B2D"/>
    <w:rsid w:val="4D8649B9"/>
    <w:rsid w:val="4DDF79D2"/>
    <w:rsid w:val="4ECE2238"/>
    <w:rsid w:val="508A2527"/>
    <w:rsid w:val="50A827C8"/>
    <w:rsid w:val="51DB4B86"/>
    <w:rsid w:val="51F85506"/>
    <w:rsid w:val="526C728C"/>
    <w:rsid w:val="528D72DA"/>
    <w:rsid w:val="52B94C95"/>
    <w:rsid w:val="52D54317"/>
    <w:rsid w:val="53C02053"/>
    <w:rsid w:val="541E2C15"/>
    <w:rsid w:val="54754BEC"/>
    <w:rsid w:val="55333C3E"/>
    <w:rsid w:val="59835B2E"/>
    <w:rsid w:val="5B555777"/>
    <w:rsid w:val="5C11169E"/>
    <w:rsid w:val="5D015FFE"/>
    <w:rsid w:val="5D6A2C17"/>
    <w:rsid w:val="5ECB5DB2"/>
    <w:rsid w:val="5F49114F"/>
    <w:rsid w:val="61C86514"/>
    <w:rsid w:val="61CB5C4E"/>
    <w:rsid w:val="623B7B94"/>
    <w:rsid w:val="62E521E8"/>
    <w:rsid w:val="6343411C"/>
    <w:rsid w:val="64CA39A1"/>
    <w:rsid w:val="64EF5B20"/>
    <w:rsid w:val="659C46CE"/>
    <w:rsid w:val="66653FA2"/>
    <w:rsid w:val="668C60C1"/>
    <w:rsid w:val="66F1064C"/>
    <w:rsid w:val="674072DB"/>
    <w:rsid w:val="67475D77"/>
    <w:rsid w:val="6A7C6FAE"/>
    <w:rsid w:val="6A941A4E"/>
    <w:rsid w:val="6AAA0AF6"/>
    <w:rsid w:val="6B24496B"/>
    <w:rsid w:val="6C4A05C8"/>
    <w:rsid w:val="6C8773BF"/>
    <w:rsid w:val="6E490C25"/>
    <w:rsid w:val="6E5D40D2"/>
    <w:rsid w:val="6E712470"/>
    <w:rsid w:val="6EB14A65"/>
    <w:rsid w:val="6FF774BD"/>
    <w:rsid w:val="70A935FE"/>
    <w:rsid w:val="70EA7653"/>
    <w:rsid w:val="71332DB0"/>
    <w:rsid w:val="72734D90"/>
    <w:rsid w:val="72C312B2"/>
    <w:rsid w:val="72F21DBC"/>
    <w:rsid w:val="73674370"/>
    <w:rsid w:val="74CD350C"/>
    <w:rsid w:val="7597611B"/>
    <w:rsid w:val="76A33BA3"/>
    <w:rsid w:val="76D025F8"/>
    <w:rsid w:val="77023A68"/>
    <w:rsid w:val="771542E1"/>
    <w:rsid w:val="78482494"/>
    <w:rsid w:val="78E33874"/>
    <w:rsid w:val="79D55FA9"/>
    <w:rsid w:val="79E7B28D"/>
    <w:rsid w:val="7A037876"/>
    <w:rsid w:val="7A7845A4"/>
    <w:rsid w:val="7AB0765C"/>
    <w:rsid w:val="7C775BAB"/>
    <w:rsid w:val="7F9F20EE"/>
    <w:rsid w:val="924FED2F"/>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index 5"/>
    <w:next w:val="1"/>
    <w:qFormat/>
    <w:uiPriority w:val="0"/>
    <w:pPr>
      <w:widowControl w:val="0"/>
      <w:spacing w:line="576" w:lineRule="exact"/>
      <w:ind w:firstLine="200" w:firstLineChars="200"/>
      <w:jc w:val="both"/>
    </w:pPr>
    <w:rPr>
      <w:rFonts w:ascii="仿宋_GB2312" w:hAnsi="AR PL UKai CN" w:eastAsia="仿宋_GB2312" w:cs="Times New Roman"/>
      <w:bCs/>
      <w:kern w:val="2"/>
      <w:sz w:val="32"/>
      <w:szCs w:val="32"/>
      <w:lang w:val="en-US" w:eastAsia="zh-CN" w:bidi="ar-SA"/>
    </w:rPr>
  </w:style>
  <w:style w:type="paragraph" w:styleId="7">
    <w:name w:val="Salutation"/>
    <w:basedOn w:val="1"/>
    <w:next w:val="1"/>
    <w:qFormat/>
    <w:uiPriority w:val="0"/>
    <w:rPr>
      <w:rFonts w:ascii="Times New Roman" w:hAnsi="Times New Roman" w:cs="Times New Roman"/>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Body Text Indent"/>
    <w:basedOn w:val="1"/>
    <w:next w:val="10"/>
    <w:qFormat/>
    <w:uiPriority w:val="0"/>
    <w:pPr>
      <w:ind w:left="200" w:leftChars="200"/>
    </w:pPr>
  </w:style>
  <w:style w:type="paragraph" w:styleId="10">
    <w:name w:val="Body Text First Indent 2"/>
    <w:basedOn w:val="9"/>
    <w:next w:val="1"/>
    <w:qFormat/>
    <w:uiPriority w:val="0"/>
    <w:pPr>
      <w:ind w:firstLine="420"/>
    </w:pPr>
  </w:style>
  <w:style w:type="paragraph" w:styleId="11">
    <w:name w:val="List 2"/>
    <w:basedOn w:val="1"/>
    <w:qFormat/>
    <w:uiPriority w:val="0"/>
    <w:pPr>
      <w:ind w:left="100" w:leftChars="200" w:hanging="200" w:hangingChars="200"/>
      <w:contextualSpacing/>
    </w:p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4"/>
    <w:semiHidden/>
    <w:unhideWhenUsed/>
    <w:qFormat/>
    <w:uiPriority w:val="99"/>
    <w:rPr>
      <w:sz w:val="18"/>
      <w:szCs w:val="18"/>
    </w:rPr>
  </w:style>
  <w:style w:type="paragraph" w:styleId="14">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5"/>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4"/>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0"/>
    <w:link w:val="13"/>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List Paragraph1"/>
    <w:basedOn w:val="1"/>
    <w:qFormat/>
    <w:uiPriority w:val="34"/>
    <w:pPr>
      <w:ind w:firstLine="420" w:firstLineChars="200"/>
    </w:p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font01"/>
    <w:basedOn w:val="20"/>
    <w:qFormat/>
    <w:uiPriority w:val="0"/>
    <w:rPr>
      <w:rFonts w:hint="eastAsia" w:ascii="宋体" w:hAnsi="宋体" w:eastAsia="宋体" w:cs="宋体"/>
      <w:color w:val="000000"/>
      <w:sz w:val="24"/>
      <w:szCs w:val="24"/>
      <w:u w:val="none"/>
    </w:rPr>
  </w:style>
  <w:style w:type="character" w:customStyle="1" w:styleId="42">
    <w:name w:val="font51"/>
    <w:basedOn w:val="20"/>
    <w:qFormat/>
    <w:uiPriority w:val="0"/>
    <w:rPr>
      <w:rFonts w:hint="default" w:ascii="Times New Roman" w:hAnsi="Times New Roman" w:cs="Times New Roman"/>
      <w:color w:val="000000"/>
      <w:sz w:val="24"/>
      <w:szCs w:val="24"/>
      <w:u w:val="none"/>
    </w:rPr>
  </w:style>
  <w:style w:type="character" w:customStyle="1" w:styleId="43">
    <w:name w:val="font41"/>
    <w:basedOn w:val="20"/>
    <w:qFormat/>
    <w:uiPriority w:val="0"/>
    <w:rPr>
      <w:rFonts w:hint="eastAsia" w:ascii="宋体" w:hAnsi="宋体" w:eastAsia="宋体" w:cs="宋体"/>
      <w:color w:val="000000"/>
      <w:sz w:val="16"/>
      <w:szCs w:val="16"/>
      <w:u w:val="none"/>
    </w:rPr>
  </w:style>
  <w:style w:type="character" w:customStyle="1" w:styleId="44">
    <w:name w:val="font31"/>
    <w:basedOn w:val="2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5"/>
    <customShpInfo spid="_x0000_s2052"/>
    <customShpInfo spid="_x0000_s2053"/>
    <customShpInfo spid="_x0000_s2054"/>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34</Pages>
  <Words>12292</Words>
  <Characters>13252</Characters>
  <Lines>105</Lines>
  <Paragraphs>29</Paragraphs>
  <TotalTime>1</TotalTime>
  <ScaleCrop>false</ScaleCrop>
  <LinksUpToDate>false</LinksUpToDate>
  <CharactersWithSpaces>13418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2022-08-06T18:23:00Z</cp:lastPrinted>
  <dcterms:modified xsi:type="dcterms:W3CDTF">2023-09-25T16:11:45Z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