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520" w:firstLineChars="350"/>
        <w:outlineLvl w:val="0"/>
        <w:rPr>
          <w:rFonts w:ascii="方正小标宋简体" w:hAnsi="方正小标宋简体" w:eastAsia="方正小标宋简体" w:cs="方正小标宋简体"/>
          <w:sz w:val="72"/>
          <w:szCs w:val="72"/>
        </w:rPr>
      </w:pPr>
      <w:bookmarkStart w:id="0" w:name="_Toc15396597"/>
      <w:bookmarkStart w:id="1" w:name="_Toc15377193"/>
      <w:bookmarkStart w:id="2" w:name="_Toc15396475"/>
      <w:bookmarkStart w:id="3" w:name="_Toc15378441"/>
      <w:bookmarkStart w:id="4" w:name="_Toc15377425"/>
      <w:bookmarkStart w:id="5" w:name="_Toc15306267"/>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96598"/>
      <w:bookmarkStart w:id="9" w:name="_Toc15396476"/>
      <w:bookmarkStart w:id="10" w:name="_Toc15378442"/>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公安局利州区分局单位决算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  录</w:t>
      </w:r>
    </w:p>
    <w:p>
      <w:pPr>
        <w:pStyle w:val="10"/>
      </w:pPr>
      <w:r>
        <w:rPr>
          <w:rFonts w:hint="eastAsia"/>
        </w:rPr>
        <w:t>公开时间：2022年9月29日</w:t>
      </w:r>
    </w:p>
    <w:p>
      <w:pPr>
        <w:pStyle w:val="10"/>
        <w:adjustRightInd w:val="0"/>
        <w:snapToGrid w:val="0"/>
        <w:spacing w:before="0" w:line="440" w:lineRule="exact"/>
        <w:jc w:val="left"/>
        <w:rPr>
          <w:b/>
          <w:sz w:val="24"/>
          <w:szCs w:val="24"/>
        </w:rPr>
      </w:pPr>
      <w:r>
        <w:rPr>
          <w:rFonts w:hint="eastAsia" w:ascii="Times New Roman" w:hAnsi="Times New Roman" w:eastAsia="宋体"/>
          <w:sz w:val="24"/>
          <w:szCs w:val="24"/>
        </w:rPr>
        <w:t>第一部分单位概况</w:t>
      </w:r>
      <w:r>
        <w:rPr>
          <w:rFonts w:hint="eastAsia"/>
          <w:sz w:val="18"/>
          <w:szCs w:val="18"/>
        </w:rPr>
        <w:t>·····································································</w:t>
      </w:r>
      <w:r>
        <w:rPr>
          <w:rFonts w:hint="eastAsia" w:ascii="Times New Roman" w:hAnsi="Times New Roman" w:eastAsia="宋体"/>
          <w:sz w:val="24"/>
          <w:szCs w:val="24"/>
        </w:rPr>
        <w:t>4</w:t>
      </w:r>
    </w:p>
    <w:p>
      <w:pPr>
        <w:pStyle w:val="11"/>
        <w:adjustRightInd w:val="0"/>
        <w:snapToGrid w:val="0"/>
        <w:spacing w:line="440" w:lineRule="exact"/>
        <w:ind w:leftChars="0"/>
        <w:jc w:val="left"/>
        <w:rPr>
          <w:sz w:val="24"/>
        </w:rPr>
      </w:pPr>
      <w:r>
        <w:rPr>
          <w:rFonts w:hint="eastAsia"/>
          <w:sz w:val="24"/>
        </w:rPr>
        <w:t>一、职能简介</w:t>
      </w:r>
      <w:r>
        <w:rPr>
          <w:rFonts w:hint="eastAsia" w:ascii="仿宋" w:hAnsi="仿宋" w:eastAsia="仿宋"/>
          <w:sz w:val="18"/>
          <w:szCs w:val="18"/>
        </w:rPr>
        <w:t>·······································································</w:t>
      </w:r>
      <w:r>
        <w:rPr>
          <w:rFonts w:hint="eastAsia"/>
          <w:sz w:val="24"/>
        </w:rPr>
        <w:t>4</w:t>
      </w:r>
    </w:p>
    <w:p>
      <w:pPr>
        <w:ind w:firstLine="420" w:firstLineChars="200"/>
        <w:rPr>
          <w:rFonts w:hint="eastAsia"/>
          <w:sz w:val="24"/>
        </w:rPr>
      </w:pPr>
      <w:r>
        <w:rPr>
          <w:rFonts w:hint="eastAsia"/>
        </w:rPr>
        <w:t>二、</w:t>
      </w:r>
      <w:r>
        <w:rPr>
          <w:rFonts w:hint="eastAsia"/>
          <w:sz w:val="24"/>
          <w:lang w:eastAsia="zh-CN"/>
        </w:rPr>
        <w:t>机构设置</w:t>
      </w:r>
      <w:r>
        <w:rPr>
          <w:rFonts w:hint="eastAsia"/>
          <w:sz w:val="24"/>
        </w:rPr>
        <w:t>·</w:t>
      </w:r>
      <w:r>
        <w:rPr>
          <w:rFonts w:hint="eastAsia" w:ascii="仿宋" w:hAnsi="仿宋" w:eastAsia="仿宋"/>
          <w:sz w:val="18"/>
          <w:szCs w:val="18"/>
        </w:rPr>
        <w:t>·········································</w:t>
      </w:r>
      <w:r>
        <w:rPr>
          <w:rFonts w:hint="eastAsia"/>
          <w:sz w:val="18"/>
          <w:szCs w:val="18"/>
        </w:rPr>
        <w:t>···</w:t>
      </w:r>
      <w:r>
        <w:rPr>
          <w:rFonts w:hint="eastAsia" w:ascii="仿宋" w:hAnsi="仿宋" w:eastAsia="仿宋"/>
          <w:sz w:val="18"/>
          <w:szCs w:val="18"/>
        </w:rPr>
        <w:t>··················</w:t>
      </w:r>
      <w:r>
        <w:rPr>
          <w:rFonts w:hint="eastAsia"/>
          <w:sz w:val="24"/>
        </w:rPr>
        <w:t>6</w:t>
      </w:r>
    </w:p>
    <w:p>
      <w:pPr>
        <w:ind w:firstLine="420" w:firstLineChars="200"/>
      </w:pPr>
      <w:r>
        <w:rPr>
          <w:rFonts w:hint="eastAsia"/>
          <w:lang w:eastAsia="zh-CN"/>
        </w:rPr>
        <w:t>三</w:t>
      </w:r>
      <w:r>
        <w:rPr>
          <w:rFonts w:hint="eastAsia"/>
        </w:rPr>
        <w:t>、</w:t>
      </w:r>
      <w:r>
        <w:rPr>
          <w:rFonts w:hint="eastAsia"/>
          <w:sz w:val="24"/>
        </w:rPr>
        <w:t>2021年重点工作·</w:t>
      </w:r>
      <w:r>
        <w:rPr>
          <w:rFonts w:hint="eastAsia" w:ascii="仿宋" w:hAnsi="仿宋" w:eastAsia="仿宋"/>
          <w:sz w:val="18"/>
          <w:szCs w:val="18"/>
        </w:rPr>
        <w:t>·········································</w:t>
      </w:r>
      <w:r>
        <w:rPr>
          <w:rFonts w:hint="eastAsia"/>
          <w:sz w:val="18"/>
          <w:szCs w:val="18"/>
        </w:rPr>
        <w:t>···</w:t>
      </w:r>
      <w:r>
        <w:rPr>
          <w:rFonts w:hint="eastAsia" w:ascii="仿宋" w:hAnsi="仿宋" w:eastAsia="仿宋"/>
          <w:sz w:val="18"/>
          <w:szCs w:val="18"/>
        </w:rPr>
        <w:t>··················</w:t>
      </w:r>
      <w:r>
        <w:rPr>
          <w:rFonts w:hint="eastAsia"/>
          <w:sz w:val="24"/>
        </w:rPr>
        <w:t>6</w:t>
      </w:r>
    </w:p>
    <w:p>
      <w:pPr>
        <w:pStyle w:val="10"/>
        <w:adjustRightInd w:val="0"/>
        <w:snapToGrid w:val="0"/>
        <w:spacing w:before="0" w:line="440" w:lineRule="exact"/>
        <w:jc w:val="left"/>
        <w:rPr>
          <w:sz w:val="24"/>
          <w:szCs w:val="24"/>
        </w:rPr>
      </w:pPr>
      <w:r>
        <w:rPr>
          <w:rFonts w:hint="eastAsia" w:ascii="Times New Roman" w:hAnsi="Times New Roman" w:eastAsia="宋体"/>
          <w:sz w:val="24"/>
          <w:szCs w:val="24"/>
        </w:rPr>
        <w:t>第二部分 2021年度单位决算情况说明·</w:t>
      </w:r>
      <w:r>
        <w:rPr>
          <w:rFonts w:hint="eastAsia"/>
          <w:sz w:val="18"/>
          <w:szCs w:val="18"/>
        </w:rPr>
        <w:t xml:space="preserve">············································ </w:t>
      </w:r>
      <w:r>
        <w:rPr>
          <w:rFonts w:hint="eastAsia" w:ascii="Times New Roman" w:hAnsi="Times New Roman" w:eastAsia="宋体"/>
          <w:sz w:val="24"/>
          <w:szCs w:val="24"/>
        </w:rPr>
        <w:t>7</w:t>
      </w:r>
    </w:p>
    <w:p>
      <w:pPr>
        <w:pStyle w:val="11"/>
        <w:adjustRightInd w:val="0"/>
        <w:snapToGrid w:val="0"/>
        <w:spacing w:line="440" w:lineRule="exact"/>
        <w:jc w:val="left"/>
        <w:rPr>
          <w:rFonts w:ascii="仿宋" w:hAnsi="仿宋" w:eastAsia="仿宋"/>
          <w:sz w:val="18"/>
          <w:szCs w:val="18"/>
        </w:rPr>
      </w:pPr>
      <w:r>
        <w:rPr>
          <w:rFonts w:hint="eastAsia"/>
          <w:sz w:val="24"/>
        </w:rPr>
        <w:t>一、收入支出决算总体情况说明</w:t>
      </w:r>
      <w:r>
        <w:rPr>
          <w:rFonts w:hint="eastAsia" w:ascii="仿宋" w:hAnsi="仿宋" w:eastAsia="仿宋"/>
          <w:sz w:val="18"/>
          <w:szCs w:val="18"/>
        </w:rPr>
        <w:t>·················································</w:t>
      </w:r>
      <w:r>
        <w:rPr>
          <w:rFonts w:hint="eastAsia"/>
          <w:sz w:val="24"/>
        </w:rPr>
        <w:t>7</w:t>
      </w:r>
      <w:r>
        <w:rPr>
          <w:rFonts w:hint="eastAsia"/>
        </w:rPr>
        <w:t>二、</w:t>
      </w:r>
      <w:r>
        <w:rPr>
          <w:rFonts w:hint="eastAsia"/>
          <w:sz w:val="24"/>
        </w:rPr>
        <w:t>收入决算情况说明</w:t>
      </w:r>
      <w:r>
        <w:rPr>
          <w:rFonts w:hint="eastAsia" w:ascii="仿宋" w:hAnsi="仿宋" w:eastAsia="仿宋"/>
          <w:sz w:val="18"/>
          <w:szCs w:val="18"/>
        </w:rPr>
        <w:t>····························································</w:t>
      </w:r>
      <w:r>
        <w:rPr>
          <w:rFonts w:hint="eastAsia"/>
          <w:sz w:val="24"/>
        </w:rPr>
        <w:t>7</w:t>
      </w:r>
    </w:p>
    <w:p>
      <w:pPr>
        <w:pStyle w:val="11"/>
        <w:adjustRightInd w:val="0"/>
        <w:snapToGrid w:val="0"/>
        <w:spacing w:line="440" w:lineRule="exact"/>
        <w:jc w:val="left"/>
        <w:rPr>
          <w:rFonts w:ascii="仿宋" w:hAnsi="仿宋" w:eastAsia="仿宋"/>
          <w:sz w:val="24"/>
        </w:rPr>
      </w:pPr>
      <w:r>
        <w:rPr>
          <w:rFonts w:hint="eastAsia"/>
          <w:sz w:val="24"/>
        </w:rPr>
        <w:t>三、支出决算情况说明</w:t>
      </w:r>
      <w:r>
        <w:rPr>
          <w:rFonts w:hint="eastAsia" w:ascii="仿宋" w:hAnsi="仿宋" w:eastAsia="仿宋"/>
          <w:sz w:val="18"/>
          <w:szCs w:val="18"/>
        </w:rPr>
        <w:t>···························································</w:t>
      </w:r>
      <w:r>
        <w:rPr>
          <w:rFonts w:hint="eastAsia"/>
          <w:sz w:val="24"/>
        </w:rPr>
        <w:t>8</w:t>
      </w:r>
    </w:p>
    <w:p>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r>
        <w:rPr>
          <w:rFonts w:hint="eastAsia" w:ascii="仿宋" w:hAnsi="仿宋" w:eastAsia="仿宋"/>
          <w:sz w:val="18"/>
          <w:szCs w:val="18"/>
        </w:rPr>
        <w:t>······································</w:t>
      </w:r>
      <w:r>
        <w:rPr>
          <w:rFonts w:hint="eastAsia"/>
          <w:sz w:val="24"/>
        </w:rPr>
        <w:t>8</w:t>
      </w:r>
    </w:p>
    <w:p>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rFonts w:hint="eastAsia" w:ascii="仿宋" w:hAnsi="仿宋" w:eastAsia="仿宋"/>
          <w:sz w:val="18"/>
          <w:szCs w:val="18"/>
        </w:rPr>
        <w:t>································</w:t>
      </w:r>
      <w:r>
        <w:rPr>
          <w:rFonts w:hint="eastAsia"/>
          <w:sz w:val="24"/>
        </w:rPr>
        <w:t>9</w:t>
      </w:r>
    </w:p>
    <w:p>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rFonts w:hint="eastAsia" w:ascii="仿宋" w:hAnsi="仿宋" w:eastAsia="仿宋"/>
          <w:sz w:val="18"/>
          <w:szCs w:val="18"/>
        </w:rPr>
        <w:t>··························</w:t>
      </w:r>
      <w:r>
        <w:rPr>
          <w:rFonts w:hint="eastAsia"/>
          <w:sz w:val="24"/>
        </w:rPr>
        <w:t>12</w:t>
      </w:r>
    </w:p>
    <w:p>
      <w:pPr>
        <w:pStyle w:val="11"/>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rFonts w:hint="eastAsia" w:ascii="仿宋" w:hAnsi="仿宋" w:eastAsia="仿宋"/>
          <w:sz w:val="18"/>
          <w:szCs w:val="18"/>
        </w:rPr>
        <w:t>··································</w:t>
      </w:r>
      <w:r>
        <w:rPr>
          <w:rFonts w:hint="eastAsia"/>
          <w:sz w:val="24"/>
        </w:rPr>
        <w:t>12</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r>
        <w:rPr>
          <w:rFonts w:hint="eastAsia" w:ascii="仿宋" w:hAnsi="仿宋" w:eastAsia="仿宋"/>
          <w:sz w:val="18"/>
          <w:szCs w:val="18"/>
        </w:rPr>
        <w:t>·······································</w:t>
      </w:r>
      <w:r>
        <w:rPr>
          <w:rFonts w:hint="eastAsia"/>
          <w:sz w:val="24"/>
        </w:rPr>
        <w:t>14</w:t>
      </w:r>
    </w:p>
    <w:p>
      <w:pPr>
        <w:pStyle w:val="11"/>
        <w:adjustRightInd w:val="0"/>
        <w:snapToGrid w:val="0"/>
        <w:spacing w:line="440" w:lineRule="exact"/>
        <w:ind w:leftChars="0"/>
        <w:jc w:val="left"/>
        <w:rPr>
          <w:sz w:val="24"/>
        </w:rPr>
      </w:pPr>
      <w:r>
        <w:rPr>
          <w:rFonts w:hint="eastAsia"/>
          <w:sz w:val="24"/>
        </w:rPr>
        <w:t>九、国有资本经营预算支出决算情况说明</w:t>
      </w:r>
      <w:r>
        <w:rPr>
          <w:rFonts w:hint="eastAsia" w:ascii="仿宋" w:hAnsi="仿宋" w:eastAsia="仿宋"/>
          <w:sz w:val="18"/>
          <w:szCs w:val="18"/>
        </w:rPr>
        <w:t>····································</w:t>
      </w:r>
      <w:r>
        <w:rPr>
          <w:rFonts w:hint="eastAsia"/>
          <w:sz w:val="24"/>
        </w:rPr>
        <w:t>14</w:t>
      </w:r>
    </w:p>
    <w:p>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ascii="仿宋" w:hAnsi="仿宋" w:eastAsia="仿宋"/>
          <w:sz w:val="18"/>
          <w:szCs w:val="18"/>
        </w:rPr>
        <w:t>··························································</w:t>
      </w:r>
      <w:r>
        <w:rPr>
          <w:rFonts w:hint="eastAsia"/>
          <w:sz w:val="24"/>
        </w:rPr>
        <w:t>14</w:t>
      </w:r>
    </w:p>
    <w:p>
      <w:pPr>
        <w:adjustRightInd w:val="0"/>
        <w:snapToGrid w:val="0"/>
        <w:spacing w:line="440" w:lineRule="exact"/>
        <w:ind w:firstLine="480" w:firstLineChars="200"/>
        <w:jc w:val="left"/>
        <w:rPr>
          <w:rFonts w:ascii="仿宋" w:hAnsi="仿宋" w:eastAsia="仿宋"/>
          <w:sz w:val="24"/>
        </w:rPr>
      </w:pPr>
      <w:r>
        <w:rPr>
          <w:rFonts w:hint="eastAsia"/>
          <w:sz w:val="24"/>
        </w:rPr>
        <w:t>十一、其他重要事项的情况说明</w:t>
      </w:r>
      <w:r>
        <w:rPr>
          <w:rFonts w:hint="eastAsia" w:ascii="仿宋" w:hAnsi="仿宋" w:eastAsia="仿宋"/>
          <w:sz w:val="18"/>
          <w:szCs w:val="18"/>
        </w:rPr>
        <w:t>················································</w:t>
      </w:r>
      <w:r>
        <w:rPr>
          <w:rFonts w:hint="eastAsia"/>
          <w:sz w:val="24"/>
        </w:rPr>
        <w:t>14</w:t>
      </w:r>
    </w:p>
    <w:p>
      <w:pPr>
        <w:pStyle w:val="10"/>
        <w:adjustRightInd w:val="0"/>
        <w:snapToGrid w:val="0"/>
        <w:spacing w:before="0" w:line="440" w:lineRule="exact"/>
        <w:jc w:val="left"/>
        <w:rPr>
          <w:sz w:val="24"/>
          <w:szCs w:val="24"/>
        </w:rPr>
      </w:pPr>
      <w:r>
        <w:rPr>
          <w:rFonts w:hint="eastAsia" w:ascii="Times New Roman" w:hAnsi="Times New Roman" w:eastAsia="宋体"/>
          <w:sz w:val="24"/>
          <w:szCs w:val="24"/>
        </w:rPr>
        <w:t>第三部分名词解释·</w:t>
      </w:r>
      <w:r>
        <w:rPr>
          <w:rFonts w:hint="eastAsia"/>
          <w:sz w:val="18"/>
          <w:szCs w:val="18"/>
        </w:rPr>
        <w:t>··································································</w:t>
      </w:r>
      <w:r>
        <w:rPr>
          <w:rFonts w:hint="eastAsia" w:ascii="Times New Roman" w:hAnsi="Times New Roman" w:eastAsia="宋体"/>
          <w:sz w:val="24"/>
          <w:szCs w:val="24"/>
        </w:rPr>
        <w:t>16</w:t>
      </w:r>
    </w:p>
    <w:p>
      <w:pPr>
        <w:pStyle w:val="10"/>
        <w:adjustRightInd w:val="0"/>
        <w:snapToGrid w:val="0"/>
        <w:spacing w:before="0" w:line="440" w:lineRule="exact"/>
        <w:jc w:val="left"/>
        <w:rPr>
          <w:sz w:val="24"/>
          <w:szCs w:val="24"/>
        </w:rPr>
      </w:pPr>
      <w:r>
        <w:rPr>
          <w:rFonts w:hint="eastAsia" w:ascii="Times New Roman" w:hAnsi="Times New Roman" w:eastAsia="宋体"/>
          <w:sz w:val="24"/>
          <w:szCs w:val="24"/>
        </w:rPr>
        <w:t>第四部分附件·</w:t>
      </w:r>
      <w:r>
        <w:rPr>
          <w:rFonts w:hint="eastAsia"/>
          <w:sz w:val="18"/>
          <w:szCs w:val="18"/>
        </w:rPr>
        <w:t>········································································</w:t>
      </w:r>
      <w:r>
        <w:rPr>
          <w:rFonts w:hint="eastAsia" w:ascii="Times New Roman" w:hAnsi="Times New Roman" w:eastAsia="宋体"/>
          <w:sz w:val="24"/>
          <w:szCs w:val="24"/>
        </w:rPr>
        <w:t>19</w:t>
      </w:r>
    </w:p>
    <w:p>
      <w:pPr>
        <w:pStyle w:val="11"/>
        <w:adjustRightInd w:val="0"/>
        <w:snapToGrid w:val="0"/>
        <w:spacing w:line="440" w:lineRule="exact"/>
        <w:ind w:left="0" w:leftChars="0" w:firstLine="360" w:firstLineChars="150"/>
        <w:jc w:val="left"/>
        <w:rPr>
          <w:sz w:val="24"/>
        </w:rPr>
      </w:pPr>
      <w:r>
        <w:rPr>
          <w:rFonts w:hint="eastAsia"/>
          <w:sz w:val="24"/>
        </w:rPr>
        <w:t>附件</w:t>
      </w:r>
      <w:r>
        <w:rPr>
          <w:sz w:val="24"/>
        </w:rPr>
        <w:t>1</w:t>
      </w:r>
      <w:r>
        <w:rPr>
          <w:rFonts w:hint="eastAsia" w:ascii="仿宋" w:hAnsi="仿宋" w:eastAsia="仿宋"/>
          <w:sz w:val="18"/>
          <w:szCs w:val="18"/>
        </w:rPr>
        <w:t>··············································································</w:t>
      </w:r>
      <w:r>
        <w:rPr>
          <w:rFonts w:hint="eastAsia"/>
          <w:sz w:val="24"/>
        </w:rPr>
        <w:t>19</w:t>
      </w:r>
    </w:p>
    <w:p>
      <w:pPr>
        <w:ind w:firstLine="360" w:firstLineChars="150"/>
        <w:rPr>
          <w:sz w:val="24"/>
        </w:rPr>
      </w:pPr>
      <w:r>
        <w:rPr>
          <w:rFonts w:hint="eastAsia"/>
          <w:sz w:val="24"/>
        </w:rPr>
        <w:t>附件2</w:t>
      </w:r>
      <w:r>
        <w:rPr>
          <w:rFonts w:hint="eastAsia" w:ascii="仿宋" w:hAnsi="仿宋" w:eastAsia="仿宋"/>
          <w:sz w:val="18"/>
          <w:szCs w:val="18"/>
        </w:rPr>
        <w:t>··············································································</w:t>
      </w:r>
      <w:r>
        <w:rPr>
          <w:rFonts w:hint="eastAsia"/>
          <w:sz w:val="24"/>
        </w:rPr>
        <w:t>26</w:t>
      </w:r>
    </w:p>
    <w:p>
      <w:pPr>
        <w:rPr>
          <w:sz w:val="24"/>
        </w:rPr>
      </w:pPr>
      <w:r>
        <w:rPr>
          <w:rFonts w:hint="eastAsia"/>
          <w:sz w:val="24"/>
        </w:rPr>
        <w:t>第五部分附表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一、收入支出决算总表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二、收入决算表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三、支出决算表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四、财政拨款收入支出决算总表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五、财政拨款支出决算明细表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六、一般公共预算财政拨款支出决算表</w:t>
      </w:r>
      <w:r>
        <w:rPr>
          <w:rFonts w:hint="eastAsia" w:ascii="仿宋" w:hAnsi="仿宋" w:eastAsia="仿宋"/>
          <w:sz w:val="18"/>
          <w:szCs w:val="18"/>
        </w:rPr>
        <w:t>·······································</w:t>
      </w:r>
      <w:r>
        <w:rPr>
          <w:rFonts w:hint="eastAsia"/>
          <w:sz w:val="24"/>
        </w:rPr>
        <w:t>29七、一般公共预算财政拨款支出决算明细表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八、一般公共预算财政拨款基本支出决算表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九、一般公共预算财政拨款项目支出决算表</w:t>
      </w:r>
      <w:r>
        <w:rPr>
          <w:rFonts w:hint="eastAsia" w:ascii="仿宋" w:hAnsi="仿宋" w:eastAsia="仿宋"/>
          <w:sz w:val="18"/>
          <w:szCs w:val="18"/>
        </w:rPr>
        <w:t>··································</w:t>
      </w:r>
      <w:r>
        <w:rPr>
          <w:rFonts w:hint="eastAsia"/>
          <w:sz w:val="24"/>
        </w:rPr>
        <w:t>29十、一般公共预算财政拨款“三公”经费支出决算表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十一、政府性基金预算财政拨款收入支出决算表</w:t>
      </w:r>
      <w:r>
        <w:rPr>
          <w:rFonts w:hint="eastAsia" w:ascii="仿宋" w:hAnsi="仿宋" w:eastAsia="仿宋"/>
          <w:sz w:val="18"/>
          <w:szCs w:val="18"/>
        </w:rPr>
        <w:t>·····························</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十二、政府性基金预算财政拨款“三公”经费支出决算表</w:t>
      </w:r>
      <w:r>
        <w:rPr>
          <w:rFonts w:hint="eastAsia" w:ascii="仿宋" w:hAnsi="仿宋" w:eastAsia="仿宋"/>
          <w:sz w:val="18"/>
          <w:szCs w:val="18"/>
        </w:rPr>
        <w:t xml:space="preserve">···················· </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十三、国有资本经营预算财政拨款收入支出决算表</w:t>
      </w:r>
      <w:r>
        <w:rPr>
          <w:rFonts w:hint="eastAsia" w:ascii="仿宋" w:hAnsi="仿宋" w:eastAsia="仿宋"/>
          <w:sz w:val="18"/>
          <w:szCs w:val="18"/>
        </w:rPr>
        <w:t xml:space="preserve">························· </w:t>
      </w:r>
      <w:r>
        <w:rPr>
          <w:rFonts w:hint="eastAsia"/>
          <w:sz w:val="24"/>
        </w:rPr>
        <w:t>29</w:t>
      </w:r>
    </w:p>
    <w:p>
      <w:pPr>
        <w:pStyle w:val="11"/>
        <w:adjustRightInd w:val="0"/>
        <w:snapToGrid w:val="0"/>
        <w:spacing w:line="440" w:lineRule="exact"/>
        <w:jc w:val="left"/>
        <w:rPr>
          <w:rFonts w:ascii="仿宋" w:hAnsi="仿宋" w:eastAsia="仿宋"/>
          <w:sz w:val="24"/>
        </w:rPr>
      </w:pPr>
      <w:r>
        <w:rPr>
          <w:rFonts w:hint="eastAsia"/>
          <w:sz w:val="24"/>
        </w:rPr>
        <w:t>十四、国有资本经营预算财政拨款支出决算表</w:t>
      </w:r>
      <w:r>
        <w:rPr>
          <w:rFonts w:hint="eastAsia" w:ascii="仿宋" w:hAnsi="仿宋" w:eastAsia="仿宋"/>
          <w:sz w:val="18"/>
          <w:szCs w:val="18"/>
        </w:rPr>
        <w:t>·······························</w:t>
      </w:r>
      <w:r>
        <w:rPr>
          <w:rFonts w:hint="eastAsia"/>
          <w:sz w:val="24"/>
        </w:rPr>
        <w:t>29</w:t>
      </w:r>
    </w:p>
    <w:p/>
    <w:p>
      <w:pPr>
        <w:pStyle w:val="3"/>
        <w:rPr>
          <w:b w:val="0"/>
          <w:bCs w:val="0"/>
          <w:kern w:val="2"/>
          <w:sz w:val="21"/>
          <w:szCs w:val="24"/>
        </w:rPr>
      </w:pPr>
      <w:bookmarkStart w:id="12" w:name="_Toc15396599"/>
      <w:bookmarkStart w:id="13" w:name="_Toc15377196"/>
    </w:p>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Fonts w:ascii="黑体" w:hAnsi="黑体" w:eastAsia="黑体"/>
          <w:bCs w:val="0"/>
        </w:rPr>
      </w:pPr>
      <w:r>
        <w:rPr>
          <w:rFonts w:hint="eastAsia" w:ascii="黑体" w:hAnsi="黑体" w:eastAsia="黑体"/>
          <w:b w:val="0"/>
        </w:rPr>
        <w:t>第一部分 单位</w:t>
      </w:r>
      <w:r>
        <w:rPr>
          <w:rStyle w:val="16"/>
          <w:rFonts w:hint="eastAsia" w:ascii="黑体" w:hAnsi="黑体" w:eastAsia="黑体"/>
          <w:b w:val="0"/>
          <w:bCs w:val="0"/>
        </w:rPr>
        <w:t>概况</w:t>
      </w:r>
      <w:bookmarkEnd w:id="12"/>
      <w:bookmarkEnd w:id="13"/>
    </w:p>
    <w:p>
      <w:pPr>
        <w:pStyle w:val="4"/>
        <w:numPr>
          <w:ilvl w:val="0"/>
          <w:numId w:val="1"/>
        </w:numPr>
        <w:rPr>
          <w:rStyle w:val="17"/>
          <w:rFonts w:ascii="黑体" w:hAnsi="黑体" w:eastAsia="黑体"/>
          <w:b w:val="0"/>
          <w:bCs w:val="0"/>
        </w:rPr>
      </w:pPr>
      <w:bookmarkStart w:id="14" w:name="_Toc15377197"/>
      <w:bookmarkStart w:id="15" w:name="_Toc15396600"/>
      <w:r>
        <w:rPr>
          <w:rStyle w:val="17"/>
          <w:rFonts w:hint="eastAsia" w:ascii="黑体" w:hAnsi="黑体" w:eastAsia="黑体"/>
          <w:b w:val="0"/>
          <w:bCs w:val="0"/>
        </w:rPr>
        <w:t>职能简介</w:t>
      </w:r>
    </w:p>
    <w:p>
      <w:pPr>
        <w:widowControl/>
        <w:spacing w:line="400" w:lineRule="atLeast"/>
        <w:ind w:firstLine="736" w:firstLineChars="230"/>
        <w:jc w:val="left"/>
        <w:rPr>
          <w:rFonts w:hint="eastAsia" w:ascii="仿宋_GB2312" w:hAnsi="仿宋" w:eastAsia="仿宋_GB2312"/>
          <w:sz w:val="32"/>
          <w:szCs w:val="32"/>
        </w:rPr>
      </w:pPr>
      <w:r>
        <w:rPr>
          <w:rFonts w:hint="eastAsia" w:ascii="仿宋_GB2312" w:hAnsi="仿宋" w:eastAsia="仿宋_GB2312"/>
          <w:sz w:val="32"/>
          <w:szCs w:val="32"/>
        </w:rPr>
        <w:t>广元市公安局利州区分局是广元市利州区一级预算单位，广元市公安局的二级预算单位。其主要职责是：</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1.贯彻执行党和国家公安工作的方针、政策和法律、法规、规章；部署、指导、监督、检查全区公安工作；负责本系统、本部门依法行政工作，落实行政执法责任制。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2.组织、指导、协调全区公安机关应急管理、抢险救援工作和社会公共突发事件的处置工作。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3.收集掌握影响稳定、危害国内安全和社会治安的情况，分析研判形势，制定对策。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4.组织指导全区公安机关侦查工作，协调或直接侦办全区重大刑事案件、国内危害国家安全的犯罪案件及重大经济犯罪案件。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5.负责全区治安管理工作并承担相应责任。协调处置全区重大治安案件和群体性事件，指导、监督全区公安机关依法查处破坏社会治安秩序行为，依法开展治安行政管理工作，指导、监督全区公安机关治安保卫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6.负责全区出入境管理有关工作。依法管理国籍，组织、指导全区出境、入境和持普通护照的外国人在广居留、旅行的有关管理工作。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7.指导、协调全区消防监督、火灾预防、火灾扑救工作。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8.负责全区乡村道路交通安全管理工作并承担相应责任。指导、监督全区公安机关维护乡村道路交通安全、交通秩序以及开展机动车辆（不含拖拉机）、驾驶人管理工作。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9.指导、监督全区公安机关对公共信息网络的安全保护工作，负责信息安全等级保护工作的监督、检查、指导。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10.防范、处置邪教及有害气功组织的违法犯罪活动。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11.组织、指导、协调对恐怖活动的情报、防范、侦察和应急处置工作。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12.指导、监督全区公安机关依法承担的执行刑罚和监督、考察工作；指导、监督全区看守所、拘留所、强制隔离戒毒所的管理工作。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13.指导全区安全警卫业务工作，组织实施对有关的党和国家领导人以及重要外宾在广的安全警卫工作并承担相应责任。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14.组织实施全区公安科学技术工作，组织、指导、规划全区公安机关的指挥系统、信息技术、刑事技术建设。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15.拟订全区公安机关装备、被装和经费等警务保障计划及管理制度，组织协调全区公安机关重大任务的警务保障工作。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16.组织开展同区外公安机关、港澳台警方及外国内政警察机构的交往与业务合作。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17.指导区内森林警察等专门公安业务工作。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18.指导全区公安队伍建设和公安机关党风廉政建设，组织、指导全市公安机关人事管理、民警教育训练和宣传工作，按规定权限管理干部，拟订全区公安队伍监督管理工作规章制度，组织、指导全区公安机关督察、审计、信访工作，指导、监督全区公安机关及人民警察的执法活动，按规定权限实施对干部的监督、查处或督办公安队伍重大违纪案件。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19.承担市、区两级政府公布的有关行政审批事项。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20.承办区政府和省、市两级公安机关交办的其他事项。</w:t>
      </w:r>
    </w:p>
    <w:p>
      <w:pPr>
        <w:pStyle w:val="4"/>
        <w:rPr>
          <w:rFonts w:hint="eastAsia" w:ascii="黑体" w:hAnsi="黑体" w:eastAsia="黑体"/>
          <w:b w:val="0"/>
          <w:lang w:eastAsia="zh-CN"/>
        </w:rPr>
      </w:pPr>
      <w:r>
        <w:rPr>
          <w:rFonts w:hint="eastAsia" w:ascii="黑体" w:hAnsi="黑体" w:eastAsia="黑体"/>
          <w:b w:val="0"/>
          <w:lang w:eastAsia="zh-CN"/>
        </w:rPr>
        <w:t>二、机构设置</w:t>
      </w:r>
    </w:p>
    <w:p>
      <w:p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广元市公安局利州区分局属于广元市公安局部门下属的二级预算单位，下设独立编制</w:t>
      </w:r>
      <w:bookmarkStart w:id="67" w:name="_GoBack"/>
      <w:bookmarkEnd w:id="67"/>
      <w:r>
        <w:rPr>
          <w:rFonts w:hint="eastAsia" w:ascii="仿宋_GB2312" w:hAnsi="仿宋" w:eastAsia="仿宋_GB2312"/>
          <w:sz w:val="32"/>
          <w:szCs w:val="32"/>
          <w:lang w:eastAsia="zh-CN"/>
        </w:rPr>
        <w:t>机构</w:t>
      </w:r>
      <w:r>
        <w:rPr>
          <w:rFonts w:hint="eastAsia" w:ascii="仿宋_GB2312" w:hAnsi="仿宋" w:eastAsia="仿宋_GB2312"/>
          <w:sz w:val="32"/>
          <w:szCs w:val="32"/>
          <w:lang w:val="en-US" w:eastAsia="zh-CN"/>
        </w:rPr>
        <w:t>1个，其中行政机构1个，参照公务员法管理的事业机构0个，其他事业机构0个。纳入2021年度单位决算编制范围的独立编制机构包括：</w:t>
      </w:r>
      <w:r>
        <w:rPr>
          <w:rFonts w:hint="eastAsia" w:ascii="仿宋_GB2312" w:hAnsi="仿宋" w:eastAsia="仿宋_GB2312"/>
          <w:sz w:val="32"/>
          <w:szCs w:val="32"/>
          <w:lang w:eastAsia="zh-CN"/>
        </w:rPr>
        <w:t>广元市公安局利州区分局。</w:t>
      </w:r>
    </w:p>
    <w:p>
      <w:pPr>
        <w:pStyle w:val="4"/>
        <w:rPr>
          <w:rFonts w:hint="eastAsia" w:ascii="黑体" w:hAnsi="黑体" w:eastAsia="黑体"/>
          <w:b w:val="0"/>
        </w:rPr>
      </w:pPr>
      <w:r>
        <w:rPr>
          <w:rFonts w:hint="eastAsia" w:ascii="黑体" w:hAnsi="黑体" w:eastAsia="黑体"/>
          <w:b w:val="0"/>
          <w:lang w:eastAsia="zh-CN"/>
        </w:rPr>
        <w:t>三</w:t>
      </w:r>
      <w:r>
        <w:rPr>
          <w:rFonts w:hint="eastAsia" w:ascii="黑体" w:hAnsi="黑体" w:eastAsia="黑体"/>
          <w:b w:val="0"/>
        </w:rPr>
        <w:t>、2021年重点工作</w:t>
      </w:r>
      <w:bookmarkEnd w:id="14"/>
      <w:bookmarkEnd w:id="15"/>
      <w:r>
        <w:rPr>
          <w:rFonts w:hint="eastAsia" w:ascii="黑体" w:hAnsi="黑体" w:eastAsia="黑体"/>
          <w:b w:val="0"/>
        </w:rPr>
        <w:t>完成情况</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是党和国家历史上具有里程碑意义的一年，也是利州公安事业发展进程中极具辉煌的一年。在区委区政府和市局党委的坚强领导下，全区公安机关以建党百年安保维稳工作为主线，圆满完成防风险、保安全、护稳定、促发展等各项工作任务，全局22项工作、60名个人受到市级以上表彰奖励，5个单位荣立集体三等功，2人荣立个人二等功，20人荣立个人三等功，1名民警被评为四川省政法先锋，1名民警被评为全省道德模范。</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r>
        <w:rPr>
          <w:rFonts w:ascii="仿宋_GB2312" w:hAnsi="仿宋" w:eastAsia="仿宋_GB2312"/>
          <w:sz w:val="32"/>
          <w:szCs w:val="32"/>
        </w:rPr>
        <w:br w:type="page"/>
      </w:r>
    </w:p>
    <w:p>
      <w:pPr>
        <w:pStyle w:val="3"/>
        <w:ind w:right="440"/>
        <w:jc w:val="center"/>
        <w:rPr>
          <w:rFonts w:ascii="黑体" w:hAnsi="黑体" w:eastAsia="黑体"/>
          <w:b w:val="0"/>
        </w:rPr>
      </w:pPr>
      <w:bookmarkStart w:id="16" w:name="_Toc15396602"/>
      <w:bookmarkStart w:id="17" w:name="_Toc15377204"/>
      <w:r>
        <w:rPr>
          <w:rFonts w:hint="eastAsia" w:ascii="黑体" w:hAnsi="黑体" w:eastAsia="黑体"/>
          <w:b w:val="0"/>
        </w:rPr>
        <w:t>第二部分 2021年度</w:t>
      </w:r>
      <w:r>
        <w:rPr>
          <w:rStyle w:val="16"/>
          <w:rFonts w:hint="eastAsia" w:ascii="黑体" w:hAnsi="黑体" w:eastAsia="黑体"/>
          <w:b w:val="0"/>
          <w:bCs/>
        </w:rPr>
        <w:t>单位决算情况说明</w:t>
      </w:r>
      <w:bookmarkEnd w:id="16"/>
      <w:bookmarkEnd w:id="17"/>
    </w:p>
    <w:p>
      <w:pPr>
        <w:pStyle w:val="26"/>
        <w:numPr>
          <w:ilvl w:val="0"/>
          <w:numId w:val="2"/>
        </w:numPr>
        <w:spacing w:line="600" w:lineRule="exact"/>
        <w:ind w:firstLineChars="0"/>
        <w:outlineLvl w:val="1"/>
        <w:rPr>
          <w:rStyle w:val="1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17"/>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2021年度收、支总计10788.81万元。与2020年11089.01万元相比，单位收、支总计各减少300.2万元，下降2.7</w:t>
      </w:r>
      <w:r>
        <w:rPr>
          <w:rFonts w:ascii="仿宋_GB2312" w:hAnsi="仿宋" w:eastAsia="仿宋_GB2312"/>
          <w:sz w:val="32"/>
          <w:szCs w:val="32"/>
        </w:rPr>
        <w:t>%</w:t>
      </w:r>
      <w:r>
        <w:rPr>
          <w:rFonts w:hint="eastAsia" w:ascii="仿宋_GB2312" w:hAnsi="仿宋" w:eastAsia="仿宋_GB2312"/>
          <w:sz w:val="32"/>
          <w:szCs w:val="32"/>
        </w:rPr>
        <w:t>。主要变动原因一是单位项目支出减少；二是根据财政“过紧日子”要求，进一步压减部分支出。</w:t>
      </w:r>
    </w:p>
    <w:p>
      <w:pPr>
        <w:pStyle w:val="2"/>
        <w:spacing w:before="93"/>
      </w:pPr>
      <w:r>
        <w:rPr>
          <w:rFonts w:hint="eastAsia"/>
        </w:rPr>
        <w:drawing>
          <wp:inline distT="0" distB="0" distL="0" distR="0">
            <wp:extent cx="5274310" cy="3310255"/>
            <wp:effectExtent l="4445" t="4445" r="17145"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w:t>
      </w:r>
      <w:r>
        <w:rPr>
          <w:rFonts w:hAnsi="仿宋"/>
          <w:kern w:val="2"/>
          <w:sz w:val="32"/>
          <w:szCs w:val="32"/>
        </w:rPr>
        <w:t>1</w:t>
      </w:r>
      <w:r>
        <w:rPr>
          <w:rFonts w:hint="eastAsia" w:hAnsi="仿宋"/>
          <w:kern w:val="2"/>
          <w:sz w:val="32"/>
          <w:szCs w:val="32"/>
        </w:rPr>
        <w:t>：收、支决算总计变动情况图）</w:t>
      </w:r>
    </w:p>
    <w:p>
      <w:pPr>
        <w:pStyle w:val="26"/>
        <w:numPr>
          <w:ilvl w:val="0"/>
          <w:numId w:val="2"/>
        </w:numPr>
        <w:spacing w:line="600" w:lineRule="exact"/>
        <w:ind w:firstLineChars="0"/>
        <w:outlineLvl w:val="1"/>
        <w:rPr>
          <w:rStyle w:val="1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17"/>
          <w:rFonts w:hint="eastAsia" w:ascii="黑体" w:hAnsi="黑体" w:eastAsia="黑体"/>
          <w:b w:val="0"/>
        </w:rPr>
        <w:t>入决算情况说明</w:t>
      </w:r>
      <w:bookmarkEnd w:id="20"/>
      <w:bookmarkEnd w:id="21"/>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21年本年收入合计10690.09万元，其中：一般公共预算财政拨款收入8794.66万元，占82.27</w:t>
      </w:r>
      <w:r>
        <w:rPr>
          <w:rFonts w:hAnsi="仿宋"/>
          <w:kern w:val="2"/>
          <w:sz w:val="32"/>
          <w:szCs w:val="32"/>
        </w:rPr>
        <w:t>%</w:t>
      </w:r>
      <w:r>
        <w:rPr>
          <w:rFonts w:hint="eastAsia" w:hAnsi="仿宋"/>
          <w:kern w:val="2"/>
          <w:sz w:val="32"/>
          <w:szCs w:val="32"/>
        </w:rPr>
        <w:t>；其他收入1895.43万元，占17.73</w:t>
      </w:r>
      <w:r>
        <w:rPr>
          <w:rFonts w:hAnsi="仿宋"/>
          <w:kern w:val="2"/>
          <w:sz w:val="32"/>
          <w:szCs w:val="32"/>
        </w:rPr>
        <w:t>%</w:t>
      </w:r>
      <w:r>
        <w:rPr>
          <w:rFonts w:hint="eastAsia" w:hAnsi="仿宋"/>
          <w:kern w:val="2"/>
          <w:sz w:val="32"/>
          <w:szCs w:val="32"/>
        </w:rPr>
        <w:t>。</w:t>
      </w:r>
    </w:p>
    <w:p>
      <w:pPr>
        <w:pStyle w:val="2"/>
        <w:spacing w:before="93"/>
      </w:pPr>
      <w:r>
        <w:rPr>
          <w:rFonts w:hint="eastAsia"/>
        </w:rPr>
        <w:drawing>
          <wp:inline distT="0" distB="0" distL="0" distR="0">
            <wp:extent cx="5274310" cy="3076575"/>
            <wp:effectExtent l="0" t="0" r="2159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（图2：收入决算结构图）</w:t>
      </w:r>
    </w:p>
    <w:p>
      <w:pPr>
        <w:pStyle w:val="26"/>
        <w:numPr>
          <w:ilvl w:val="0"/>
          <w:numId w:val="2"/>
        </w:numPr>
        <w:spacing w:line="600" w:lineRule="exact"/>
        <w:ind w:firstLineChars="0"/>
        <w:outlineLvl w:val="1"/>
        <w:rPr>
          <w:rStyle w:val="1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17"/>
          <w:rFonts w:hint="eastAsia" w:ascii="黑体" w:hAnsi="黑体" w:eastAsia="黑体"/>
          <w:b w:val="0"/>
        </w:rPr>
        <w:t>出决算情况说明</w:t>
      </w:r>
      <w:bookmarkEnd w:id="22"/>
      <w:bookmarkEnd w:id="23"/>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21年本年支出合计10788.81万元，其中：基本支出8967.7万元，占83.12</w:t>
      </w:r>
      <w:r>
        <w:rPr>
          <w:rFonts w:hAnsi="仿宋"/>
          <w:kern w:val="2"/>
          <w:sz w:val="32"/>
          <w:szCs w:val="32"/>
        </w:rPr>
        <w:t>%</w:t>
      </w:r>
      <w:r>
        <w:rPr>
          <w:rFonts w:hint="eastAsia" w:hAnsi="仿宋"/>
          <w:kern w:val="2"/>
          <w:sz w:val="32"/>
          <w:szCs w:val="32"/>
        </w:rPr>
        <w:t>；项目支出1821.1万元，占16.88</w:t>
      </w:r>
      <w:r>
        <w:rPr>
          <w:rFonts w:hAnsi="仿宋"/>
          <w:kern w:val="2"/>
          <w:sz w:val="32"/>
          <w:szCs w:val="32"/>
        </w:rPr>
        <w:t>%</w:t>
      </w:r>
      <w:r>
        <w:rPr>
          <w:rFonts w:hint="eastAsia" w:hAnsi="仿宋"/>
          <w:kern w:val="2"/>
          <w:sz w:val="32"/>
          <w:szCs w:val="32"/>
        </w:rPr>
        <w:t>；</w:t>
      </w:r>
    </w:p>
    <w:p>
      <w:pPr>
        <w:pStyle w:val="2"/>
        <w:spacing w:before="93"/>
      </w:pPr>
      <w:r>
        <w:rPr>
          <w:rFonts w:hint="eastAsia"/>
        </w:rPr>
        <w:drawing>
          <wp:inline distT="0" distB="0" distL="0" distR="0">
            <wp:extent cx="5143500" cy="2809875"/>
            <wp:effectExtent l="0" t="0" r="1905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（图3：支出决算结构图）</w:t>
      </w:r>
    </w:p>
    <w:p>
      <w:pPr>
        <w:spacing w:line="600" w:lineRule="exact"/>
        <w:ind w:firstLine="640" w:firstLineChars="200"/>
        <w:outlineLvl w:val="1"/>
        <w:rPr>
          <w:rStyle w:val="1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24"/>
      <w:bookmarkEnd w:id="25"/>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21年财政拨款收、支总计8794.66万元。与</w:t>
      </w:r>
      <w:r>
        <w:rPr>
          <w:rFonts w:hAnsi="仿宋"/>
          <w:kern w:val="2"/>
          <w:sz w:val="32"/>
          <w:szCs w:val="32"/>
        </w:rPr>
        <w:t>20</w:t>
      </w:r>
      <w:r>
        <w:rPr>
          <w:rFonts w:hint="eastAsia" w:hAnsi="仿宋"/>
          <w:kern w:val="2"/>
          <w:sz w:val="32"/>
          <w:szCs w:val="32"/>
        </w:rPr>
        <w:t>20年9528.75万元相比，财政拨款收、支总计减少734.09万元，下降7.7</w:t>
      </w:r>
      <w:r>
        <w:rPr>
          <w:rFonts w:hAnsi="仿宋"/>
          <w:kern w:val="2"/>
          <w:sz w:val="32"/>
          <w:szCs w:val="32"/>
        </w:rPr>
        <w:t>%</w:t>
      </w:r>
      <w:r>
        <w:rPr>
          <w:rFonts w:hint="eastAsia" w:hAnsi="仿宋"/>
          <w:kern w:val="2"/>
          <w:sz w:val="32"/>
          <w:szCs w:val="32"/>
        </w:rPr>
        <w:t>。主要变动原因是一是2020年财政收支含2019年度结转资金，二是分局进一步压缩了开支。</w:t>
      </w:r>
    </w:p>
    <w:p>
      <w:pPr>
        <w:pStyle w:val="2"/>
        <w:spacing w:before="93"/>
      </w:pPr>
      <w:r>
        <w:rPr>
          <w:rFonts w:hint="eastAsia"/>
        </w:rPr>
        <w:drawing>
          <wp:inline distT="0" distB="0" distL="0" distR="0">
            <wp:extent cx="5276850" cy="3776345"/>
            <wp:effectExtent l="4445" t="4445" r="14605" b="1016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（图4：财政拨款收、支决算总计变动情况）</w:t>
      </w:r>
    </w:p>
    <w:p>
      <w:pPr>
        <w:spacing w:line="600" w:lineRule="exact"/>
        <w:ind w:firstLine="640" w:firstLineChars="200"/>
        <w:outlineLvl w:val="1"/>
        <w:rPr>
          <w:rStyle w:val="1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21年一般公共预算财政拨款支出8794.66万元，占本年支出合计的81.52</w:t>
      </w:r>
      <w:r>
        <w:rPr>
          <w:rFonts w:hAnsi="仿宋"/>
          <w:kern w:val="2"/>
          <w:sz w:val="32"/>
          <w:szCs w:val="32"/>
        </w:rPr>
        <w:t>%</w:t>
      </w:r>
      <w:r>
        <w:rPr>
          <w:rFonts w:hint="eastAsia" w:hAnsi="仿宋"/>
          <w:kern w:val="2"/>
          <w:sz w:val="32"/>
          <w:szCs w:val="32"/>
        </w:rPr>
        <w:t>。与</w:t>
      </w:r>
      <w:r>
        <w:rPr>
          <w:rFonts w:hAnsi="仿宋"/>
          <w:kern w:val="2"/>
          <w:sz w:val="32"/>
          <w:szCs w:val="32"/>
        </w:rPr>
        <w:t>20</w:t>
      </w:r>
      <w:r>
        <w:rPr>
          <w:rFonts w:hint="eastAsia" w:hAnsi="仿宋"/>
          <w:kern w:val="2"/>
          <w:sz w:val="32"/>
          <w:szCs w:val="32"/>
        </w:rPr>
        <w:t>20年9528.75万元相比，一般公共预算财政拨款支出减少734.09万元，下降7.7</w:t>
      </w:r>
      <w:r>
        <w:rPr>
          <w:rFonts w:hAnsi="仿宋"/>
          <w:kern w:val="2"/>
          <w:sz w:val="32"/>
          <w:szCs w:val="32"/>
        </w:rPr>
        <w:t>%</w:t>
      </w:r>
      <w:r>
        <w:rPr>
          <w:rFonts w:hint="eastAsia" w:hAnsi="仿宋"/>
          <w:kern w:val="2"/>
          <w:sz w:val="32"/>
          <w:szCs w:val="32"/>
        </w:rPr>
        <w:t>。主要变动原因是一是2020年财政收支含2019年度结转资金，二是分局进一步压缩了开支。</w:t>
      </w:r>
    </w:p>
    <w:p>
      <w:pPr>
        <w:pStyle w:val="2"/>
        <w:spacing w:before="93"/>
      </w:pPr>
      <w:r>
        <w:rPr>
          <w:rFonts w:ascii="仿宋" w:hAnsi="仿宋" w:eastAsia="仿宋"/>
          <w:sz w:val="32"/>
          <w:szCs w:val="32"/>
        </w:rPr>
        <w:drawing>
          <wp:inline distT="0" distB="0" distL="0" distR="0">
            <wp:extent cx="5274310" cy="3076575"/>
            <wp:effectExtent l="0" t="0" r="254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（图5：一般公共预算财政拨款支出决算变动情况）</w:t>
      </w:r>
      <w:bookmarkStart w:id="29" w:name="_Toc15377211"/>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21年一般公共预算财政拨款支出8794.66万元，主要用于以下方面</w:t>
      </w:r>
      <w:r>
        <w:rPr>
          <w:rFonts w:hAnsi="仿宋"/>
          <w:kern w:val="2"/>
          <w:sz w:val="32"/>
          <w:szCs w:val="32"/>
        </w:rPr>
        <w:t>:</w:t>
      </w:r>
      <w:r>
        <w:rPr>
          <w:rFonts w:hint="eastAsia" w:hAnsi="仿宋"/>
          <w:kern w:val="2"/>
          <w:sz w:val="32"/>
          <w:szCs w:val="32"/>
        </w:rPr>
        <w:t>公共安全类支出7308.84万元，占83.11</w:t>
      </w:r>
      <w:r>
        <w:rPr>
          <w:rFonts w:hAnsi="仿宋"/>
          <w:kern w:val="2"/>
          <w:sz w:val="32"/>
          <w:szCs w:val="32"/>
        </w:rPr>
        <w:t>%</w:t>
      </w:r>
      <w:r>
        <w:rPr>
          <w:rFonts w:hint="eastAsia" w:hAnsi="仿宋"/>
          <w:kern w:val="2"/>
          <w:sz w:val="32"/>
          <w:szCs w:val="32"/>
        </w:rPr>
        <w:t>；社会保障和就业类支出566.61万元，占6.45</w:t>
      </w:r>
      <w:r>
        <w:rPr>
          <w:rFonts w:hAnsi="仿宋"/>
          <w:kern w:val="2"/>
          <w:sz w:val="32"/>
          <w:szCs w:val="32"/>
        </w:rPr>
        <w:t>%</w:t>
      </w:r>
      <w:r>
        <w:rPr>
          <w:rFonts w:hint="eastAsia" w:hAnsi="仿宋"/>
          <w:kern w:val="2"/>
          <w:sz w:val="32"/>
          <w:szCs w:val="32"/>
        </w:rPr>
        <w:t>；卫生健康支出289.83万元，占3.29</w:t>
      </w:r>
      <w:r>
        <w:rPr>
          <w:rFonts w:hAnsi="仿宋"/>
          <w:kern w:val="2"/>
          <w:sz w:val="32"/>
          <w:szCs w:val="32"/>
        </w:rPr>
        <w:t>%</w:t>
      </w:r>
      <w:r>
        <w:rPr>
          <w:rFonts w:hint="eastAsia" w:hAnsi="仿宋"/>
          <w:kern w:val="2"/>
          <w:sz w:val="32"/>
          <w:szCs w:val="32"/>
        </w:rPr>
        <w:t>；住房保障支出629.37万元，占7.15</w:t>
      </w:r>
      <w:r>
        <w:rPr>
          <w:rFonts w:hAnsi="仿宋"/>
          <w:kern w:val="2"/>
          <w:sz w:val="32"/>
          <w:szCs w:val="32"/>
        </w:rPr>
        <w:t>%</w:t>
      </w:r>
      <w:r>
        <w:rPr>
          <w:rFonts w:hint="eastAsia" w:hAnsi="仿宋"/>
          <w:kern w:val="2"/>
          <w:sz w:val="32"/>
          <w:szCs w:val="32"/>
        </w:rPr>
        <w:t>。</w:t>
      </w:r>
    </w:p>
    <w:p>
      <w:pPr>
        <w:pStyle w:val="2"/>
        <w:spacing w:before="93"/>
      </w:pPr>
      <w:r>
        <w:rPr>
          <w:rFonts w:hint="eastAsia" w:ascii="仿宋" w:hAnsi="仿宋" w:eastAsia="仿宋"/>
          <w:sz w:val="32"/>
          <w:szCs w:val="32"/>
        </w:rPr>
        <w:drawing>
          <wp:inline distT="0" distB="0" distL="0" distR="0">
            <wp:extent cx="4981575" cy="2705100"/>
            <wp:effectExtent l="0" t="0" r="9525" b="1905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2021年一般公共预算支出决算数为8794.66万元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pStyle w:val="2"/>
        <w:spacing w:before="93"/>
        <w:ind w:firstLine="320" w:firstLineChars="100"/>
        <w:rPr>
          <w:rFonts w:hAnsi="仿宋"/>
          <w:kern w:val="2"/>
          <w:sz w:val="32"/>
          <w:szCs w:val="32"/>
        </w:rPr>
      </w:pPr>
      <w:bookmarkStart w:id="34" w:name="_Toc15377214"/>
      <w:bookmarkStart w:id="35" w:name="_Toc15396608"/>
      <w:r>
        <w:rPr>
          <w:rFonts w:hint="eastAsia" w:hAnsi="仿宋"/>
          <w:kern w:val="2"/>
          <w:sz w:val="32"/>
          <w:szCs w:val="32"/>
        </w:rPr>
        <w:t>1</w:t>
      </w:r>
      <w:r>
        <w:rPr>
          <w:rFonts w:hAnsi="仿宋"/>
          <w:kern w:val="2"/>
          <w:sz w:val="32"/>
          <w:szCs w:val="32"/>
        </w:rPr>
        <w:t>.</w:t>
      </w:r>
      <w:r>
        <w:rPr>
          <w:rFonts w:hint="eastAsia" w:hAnsi="仿宋"/>
          <w:kern w:val="2"/>
          <w:sz w:val="32"/>
          <w:szCs w:val="32"/>
        </w:rPr>
        <w:t>公共安全（类）公安（款）行政运行（项）</w:t>
      </w:r>
      <w:r>
        <w:rPr>
          <w:rFonts w:hAnsi="仿宋"/>
          <w:kern w:val="2"/>
          <w:sz w:val="32"/>
          <w:szCs w:val="32"/>
        </w:rPr>
        <w:t>:</w:t>
      </w:r>
      <w:r>
        <w:rPr>
          <w:rFonts w:hint="eastAsia" w:hAnsi="仿宋"/>
          <w:kern w:val="2"/>
          <w:sz w:val="32"/>
          <w:szCs w:val="32"/>
        </w:rPr>
        <w:t>支出决算为6178.33万元，完成预算100%。</w:t>
      </w:r>
    </w:p>
    <w:p>
      <w:pPr>
        <w:pStyle w:val="2"/>
        <w:spacing w:before="93"/>
        <w:ind w:firstLine="320" w:firstLineChars="100"/>
        <w:rPr>
          <w:rFonts w:hAnsi="仿宋"/>
          <w:kern w:val="2"/>
          <w:sz w:val="32"/>
          <w:szCs w:val="32"/>
        </w:rPr>
      </w:pPr>
      <w:r>
        <w:rPr>
          <w:rFonts w:hint="eastAsia" w:hAnsi="仿宋"/>
          <w:kern w:val="2"/>
          <w:sz w:val="32"/>
          <w:szCs w:val="32"/>
        </w:rPr>
        <w:t>2</w:t>
      </w:r>
      <w:r>
        <w:rPr>
          <w:rFonts w:hAnsi="仿宋"/>
          <w:kern w:val="2"/>
          <w:sz w:val="32"/>
          <w:szCs w:val="32"/>
        </w:rPr>
        <w:t>.</w:t>
      </w:r>
      <w:r>
        <w:rPr>
          <w:rFonts w:hint="eastAsia" w:hAnsi="仿宋"/>
          <w:kern w:val="2"/>
          <w:sz w:val="32"/>
          <w:szCs w:val="32"/>
        </w:rPr>
        <w:t>公共安全（类）公安（款）一般行政管理事务（项）</w:t>
      </w:r>
      <w:r>
        <w:rPr>
          <w:rFonts w:hAnsi="仿宋"/>
          <w:kern w:val="2"/>
          <w:sz w:val="32"/>
          <w:szCs w:val="32"/>
        </w:rPr>
        <w:t>:</w:t>
      </w:r>
      <w:r>
        <w:rPr>
          <w:rFonts w:hint="eastAsia" w:hAnsi="仿宋"/>
          <w:kern w:val="2"/>
          <w:sz w:val="32"/>
          <w:szCs w:val="32"/>
        </w:rPr>
        <w:t xml:space="preserve">支出决算为779.01万元，完成预算100%。       </w:t>
      </w:r>
    </w:p>
    <w:p>
      <w:pPr>
        <w:pStyle w:val="2"/>
        <w:spacing w:before="93"/>
        <w:ind w:firstLine="320" w:firstLineChars="100"/>
        <w:rPr>
          <w:rFonts w:hAnsi="仿宋"/>
          <w:kern w:val="2"/>
          <w:sz w:val="32"/>
          <w:szCs w:val="32"/>
        </w:rPr>
      </w:pPr>
      <w:r>
        <w:rPr>
          <w:rFonts w:hint="eastAsia" w:hAnsi="仿宋"/>
          <w:kern w:val="2"/>
          <w:sz w:val="32"/>
          <w:szCs w:val="32"/>
        </w:rPr>
        <w:t>3</w:t>
      </w:r>
      <w:r>
        <w:rPr>
          <w:rFonts w:hAnsi="仿宋"/>
          <w:kern w:val="2"/>
          <w:sz w:val="32"/>
          <w:szCs w:val="32"/>
        </w:rPr>
        <w:t>.</w:t>
      </w:r>
      <w:r>
        <w:rPr>
          <w:rFonts w:hint="eastAsia" w:hAnsi="仿宋"/>
          <w:kern w:val="2"/>
          <w:sz w:val="32"/>
          <w:szCs w:val="32"/>
        </w:rPr>
        <w:t>公共安全（类）公安（款）执法办案（项）</w:t>
      </w:r>
      <w:r>
        <w:rPr>
          <w:rFonts w:hAnsi="仿宋"/>
          <w:kern w:val="2"/>
          <w:sz w:val="32"/>
          <w:szCs w:val="32"/>
        </w:rPr>
        <w:t>:</w:t>
      </w:r>
      <w:r>
        <w:rPr>
          <w:rFonts w:hint="eastAsia" w:hAnsi="仿宋"/>
          <w:kern w:val="2"/>
          <w:sz w:val="32"/>
          <w:szCs w:val="32"/>
        </w:rPr>
        <w:t>支出决算为351.5万元，完成预算100%。</w:t>
      </w:r>
    </w:p>
    <w:p>
      <w:pPr>
        <w:pStyle w:val="2"/>
        <w:spacing w:before="93"/>
        <w:ind w:firstLine="320" w:firstLineChars="100"/>
        <w:rPr>
          <w:rFonts w:hAnsi="仿宋"/>
          <w:kern w:val="2"/>
          <w:sz w:val="32"/>
          <w:szCs w:val="32"/>
        </w:rPr>
      </w:pPr>
      <w:r>
        <w:rPr>
          <w:rFonts w:hint="eastAsia" w:hAnsi="仿宋"/>
          <w:kern w:val="2"/>
          <w:sz w:val="32"/>
          <w:szCs w:val="32"/>
        </w:rPr>
        <w:t>4.社会保障和就业（类）行政事业单位养老支出（款）机关事业单位基本养老保险缴费支出（项）</w:t>
      </w:r>
      <w:r>
        <w:rPr>
          <w:rFonts w:hAnsi="仿宋"/>
          <w:kern w:val="2"/>
          <w:sz w:val="32"/>
          <w:szCs w:val="32"/>
        </w:rPr>
        <w:t>:</w:t>
      </w:r>
      <w:r>
        <w:rPr>
          <w:rFonts w:hint="eastAsia" w:hAnsi="仿宋"/>
          <w:kern w:val="2"/>
          <w:sz w:val="32"/>
          <w:szCs w:val="32"/>
        </w:rPr>
        <w:t>支出决算为448.96万元，完成预算100</w:t>
      </w:r>
      <w:r>
        <w:rPr>
          <w:rFonts w:hAnsi="仿宋"/>
          <w:kern w:val="2"/>
          <w:sz w:val="32"/>
          <w:szCs w:val="32"/>
        </w:rPr>
        <w:t>%</w:t>
      </w:r>
      <w:r>
        <w:rPr>
          <w:rFonts w:hint="eastAsia" w:hAnsi="仿宋"/>
          <w:kern w:val="2"/>
          <w:sz w:val="32"/>
          <w:szCs w:val="32"/>
        </w:rPr>
        <w:t>。</w:t>
      </w:r>
    </w:p>
    <w:p>
      <w:pPr>
        <w:pStyle w:val="2"/>
        <w:spacing w:before="93"/>
        <w:ind w:firstLine="320" w:firstLineChars="100"/>
        <w:rPr>
          <w:rFonts w:hAnsi="仿宋"/>
          <w:kern w:val="2"/>
          <w:sz w:val="32"/>
          <w:szCs w:val="32"/>
        </w:rPr>
      </w:pPr>
      <w:r>
        <w:rPr>
          <w:rFonts w:hint="eastAsia" w:hAnsi="仿宋"/>
          <w:kern w:val="2"/>
          <w:sz w:val="32"/>
          <w:szCs w:val="32"/>
        </w:rPr>
        <w:t>5.社会保障和就业（类）行政事业单位养老支出（款）机关事业单位职业年金缴费支出（项）</w:t>
      </w:r>
      <w:r>
        <w:rPr>
          <w:rFonts w:hAnsi="仿宋"/>
          <w:kern w:val="2"/>
          <w:sz w:val="32"/>
          <w:szCs w:val="32"/>
        </w:rPr>
        <w:t>:</w:t>
      </w:r>
      <w:r>
        <w:rPr>
          <w:rFonts w:hint="eastAsia" w:hAnsi="仿宋"/>
          <w:kern w:val="2"/>
          <w:sz w:val="32"/>
          <w:szCs w:val="32"/>
        </w:rPr>
        <w:t>支出决算为35.37万元，完成预算100</w:t>
      </w:r>
      <w:r>
        <w:rPr>
          <w:rFonts w:hAnsi="仿宋"/>
          <w:kern w:val="2"/>
          <w:sz w:val="32"/>
          <w:szCs w:val="32"/>
        </w:rPr>
        <w:t>%</w:t>
      </w:r>
    </w:p>
    <w:p>
      <w:pPr>
        <w:pStyle w:val="2"/>
        <w:spacing w:before="93"/>
        <w:ind w:firstLine="320" w:firstLineChars="100"/>
        <w:rPr>
          <w:rFonts w:hAnsi="仿宋"/>
          <w:kern w:val="2"/>
          <w:sz w:val="32"/>
          <w:szCs w:val="32"/>
        </w:rPr>
      </w:pPr>
      <w:r>
        <w:rPr>
          <w:rFonts w:hint="eastAsia" w:hAnsi="仿宋"/>
          <w:kern w:val="2"/>
          <w:sz w:val="32"/>
          <w:szCs w:val="32"/>
        </w:rPr>
        <w:t>6</w:t>
      </w:r>
      <w:r>
        <w:rPr>
          <w:rFonts w:hAnsi="仿宋"/>
          <w:kern w:val="2"/>
          <w:sz w:val="32"/>
          <w:szCs w:val="32"/>
        </w:rPr>
        <w:t>.</w:t>
      </w:r>
      <w:r>
        <w:rPr>
          <w:rFonts w:hint="eastAsia" w:hAnsi="仿宋"/>
          <w:kern w:val="2"/>
          <w:sz w:val="32"/>
          <w:szCs w:val="32"/>
        </w:rPr>
        <w:t>社会保障和就业（类）抚恤（款）死亡抚恤支出（项）</w:t>
      </w:r>
      <w:r>
        <w:rPr>
          <w:rFonts w:hAnsi="仿宋"/>
          <w:kern w:val="2"/>
          <w:sz w:val="32"/>
          <w:szCs w:val="32"/>
        </w:rPr>
        <w:t>:</w:t>
      </w:r>
      <w:r>
        <w:rPr>
          <w:rFonts w:hint="eastAsia" w:hAnsi="仿宋"/>
          <w:kern w:val="2"/>
          <w:sz w:val="32"/>
          <w:szCs w:val="32"/>
        </w:rPr>
        <w:t>支出决算为19.48万元，完成预算100</w:t>
      </w:r>
      <w:r>
        <w:rPr>
          <w:rFonts w:hAnsi="仿宋"/>
          <w:kern w:val="2"/>
          <w:sz w:val="32"/>
          <w:szCs w:val="32"/>
        </w:rPr>
        <w:t>%</w:t>
      </w:r>
      <w:r>
        <w:rPr>
          <w:rFonts w:hint="eastAsia" w:hAnsi="仿宋"/>
          <w:kern w:val="2"/>
          <w:sz w:val="32"/>
          <w:szCs w:val="32"/>
        </w:rPr>
        <w:t>。</w:t>
      </w:r>
    </w:p>
    <w:p>
      <w:pPr>
        <w:pStyle w:val="2"/>
        <w:spacing w:before="93"/>
        <w:ind w:firstLine="320" w:firstLineChars="100"/>
        <w:rPr>
          <w:rFonts w:hAnsi="仿宋"/>
          <w:kern w:val="2"/>
          <w:sz w:val="32"/>
          <w:szCs w:val="32"/>
        </w:rPr>
      </w:pPr>
      <w:r>
        <w:rPr>
          <w:rFonts w:hint="eastAsia" w:hAnsi="仿宋"/>
          <w:kern w:val="2"/>
          <w:sz w:val="32"/>
          <w:szCs w:val="32"/>
        </w:rPr>
        <w:t>7</w:t>
      </w:r>
      <w:r>
        <w:rPr>
          <w:rFonts w:hAnsi="仿宋"/>
          <w:kern w:val="2"/>
          <w:sz w:val="32"/>
          <w:szCs w:val="32"/>
        </w:rPr>
        <w:t>.</w:t>
      </w:r>
      <w:r>
        <w:rPr>
          <w:rFonts w:hint="eastAsia" w:hAnsi="仿宋"/>
          <w:kern w:val="2"/>
          <w:sz w:val="32"/>
          <w:szCs w:val="32"/>
        </w:rPr>
        <w:t>社会保障和就业（类）其他社会保障和就业（款）其他社会保障和就业（项）</w:t>
      </w:r>
      <w:r>
        <w:rPr>
          <w:rFonts w:hAnsi="仿宋"/>
          <w:kern w:val="2"/>
          <w:sz w:val="32"/>
          <w:szCs w:val="32"/>
        </w:rPr>
        <w:t>:</w:t>
      </w:r>
      <w:r>
        <w:rPr>
          <w:rFonts w:hint="eastAsia" w:hAnsi="仿宋"/>
          <w:kern w:val="2"/>
          <w:sz w:val="32"/>
          <w:szCs w:val="32"/>
        </w:rPr>
        <w:t xml:space="preserve">支出决算为62.8万元，完成预算100%。  </w:t>
      </w:r>
    </w:p>
    <w:p>
      <w:pPr>
        <w:pStyle w:val="2"/>
        <w:spacing w:before="93"/>
        <w:ind w:firstLine="320" w:firstLineChars="100"/>
        <w:rPr>
          <w:rFonts w:hAnsi="仿宋"/>
          <w:kern w:val="2"/>
          <w:sz w:val="32"/>
          <w:szCs w:val="32"/>
        </w:rPr>
      </w:pPr>
      <w:r>
        <w:rPr>
          <w:rFonts w:hint="eastAsia" w:hAnsi="仿宋"/>
          <w:kern w:val="2"/>
          <w:sz w:val="32"/>
          <w:szCs w:val="32"/>
        </w:rPr>
        <w:t>8</w:t>
      </w:r>
      <w:r>
        <w:rPr>
          <w:rFonts w:hAnsi="仿宋"/>
          <w:kern w:val="2"/>
          <w:sz w:val="32"/>
          <w:szCs w:val="32"/>
        </w:rPr>
        <w:t>.</w:t>
      </w:r>
      <w:r>
        <w:rPr>
          <w:rFonts w:hint="eastAsia" w:hAnsi="仿宋"/>
          <w:kern w:val="2"/>
          <w:sz w:val="32"/>
          <w:szCs w:val="32"/>
        </w:rPr>
        <w:t>卫生健康（类）行政事业单位医疗（款）行政单位医疗（项）</w:t>
      </w:r>
      <w:r>
        <w:rPr>
          <w:rFonts w:hAnsi="仿宋"/>
          <w:kern w:val="2"/>
          <w:sz w:val="32"/>
          <w:szCs w:val="32"/>
        </w:rPr>
        <w:t>:</w:t>
      </w:r>
      <w:r>
        <w:rPr>
          <w:rFonts w:hint="eastAsia" w:hAnsi="仿宋"/>
          <w:kern w:val="2"/>
          <w:sz w:val="32"/>
          <w:szCs w:val="32"/>
        </w:rPr>
        <w:t>支出决算为289.83万元，完成预算100%。</w:t>
      </w:r>
    </w:p>
    <w:p>
      <w:pPr>
        <w:pStyle w:val="2"/>
        <w:spacing w:before="93"/>
        <w:ind w:firstLine="320" w:firstLineChars="100"/>
        <w:rPr>
          <w:rFonts w:hAnsi="仿宋"/>
          <w:kern w:val="2"/>
          <w:sz w:val="32"/>
          <w:szCs w:val="32"/>
        </w:rPr>
      </w:pPr>
      <w:r>
        <w:rPr>
          <w:rFonts w:hint="eastAsia" w:hAnsi="仿宋"/>
          <w:kern w:val="2"/>
          <w:sz w:val="32"/>
          <w:szCs w:val="32"/>
        </w:rPr>
        <w:t>9</w:t>
      </w:r>
      <w:r>
        <w:rPr>
          <w:rFonts w:hAnsi="仿宋"/>
          <w:kern w:val="2"/>
          <w:sz w:val="32"/>
          <w:szCs w:val="32"/>
        </w:rPr>
        <w:t>.</w:t>
      </w:r>
      <w:r>
        <w:rPr>
          <w:rFonts w:hint="eastAsia" w:hAnsi="仿宋"/>
          <w:kern w:val="2"/>
          <w:sz w:val="32"/>
          <w:szCs w:val="32"/>
        </w:rPr>
        <w:t>住房保障支出（类）住房改革支出（款） 住房公积金（项）</w:t>
      </w:r>
      <w:r>
        <w:rPr>
          <w:rFonts w:hAnsi="仿宋"/>
          <w:kern w:val="2"/>
          <w:sz w:val="32"/>
          <w:szCs w:val="32"/>
        </w:rPr>
        <w:t>:</w:t>
      </w:r>
      <w:r>
        <w:rPr>
          <w:rFonts w:hint="eastAsia" w:hAnsi="仿宋"/>
          <w:kern w:val="2"/>
          <w:sz w:val="32"/>
          <w:szCs w:val="32"/>
        </w:rPr>
        <w:t>支出决算为629.37万元，完成预算100</w:t>
      </w:r>
      <w:r>
        <w:rPr>
          <w:rFonts w:hAnsi="仿宋"/>
          <w:kern w:val="2"/>
          <w:sz w:val="32"/>
          <w:szCs w:val="32"/>
        </w:rPr>
        <w:t>%</w:t>
      </w:r>
      <w:r>
        <w:rPr>
          <w:rFonts w:hint="eastAsia" w:hAnsi="仿宋"/>
          <w:kern w:val="2"/>
          <w:sz w:val="32"/>
          <w:szCs w:val="32"/>
        </w:rPr>
        <w:t>。</w:t>
      </w:r>
    </w:p>
    <w:p>
      <w:pPr>
        <w:tabs>
          <w:tab w:val="right" w:pos="8306"/>
        </w:tabs>
        <w:spacing w:line="600" w:lineRule="exact"/>
        <w:ind w:firstLine="640"/>
        <w:outlineLvl w:val="1"/>
        <w:rPr>
          <w:rStyle w:val="17"/>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34"/>
      <w:bookmarkEnd w:id="35"/>
      <w:r>
        <w:rPr>
          <w:rStyle w:val="17"/>
          <w:rFonts w:ascii="黑体" w:hAnsi="黑体" w:eastAsia="黑体"/>
          <w:b w:val="0"/>
        </w:rPr>
        <w:tab/>
      </w:r>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21年一般公共预算财政拨款基本支出7664.15万元，其中：</w:t>
      </w:r>
    </w:p>
    <w:p>
      <w:pPr>
        <w:pStyle w:val="2"/>
        <w:spacing w:before="93"/>
        <w:ind w:firstLine="320" w:firstLineChars="100"/>
        <w:rPr>
          <w:rFonts w:hAnsi="仿宋"/>
          <w:kern w:val="2"/>
          <w:sz w:val="32"/>
          <w:szCs w:val="32"/>
        </w:rPr>
      </w:pPr>
      <w:r>
        <w:rPr>
          <w:rFonts w:hint="eastAsia" w:hAnsi="仿宋"/>
          <w:kern w:val="2"/>
          <w:sz w:val="32"/>
          <w:szCs w:val="32"/>
        </w:rPr>
        <w:t>人员经费6736.6万元，主要包括：基本工资、津贴补贴、奖金、伙食补助费、机关事业单位基本养老保险缴费、职业年金缴费、职工基本医疗保险缴费、住房公积金、医疗费、其他工资福利支出、抚恤金、生活补助、救济费、奖励金、其他对个人和家庭的补助支出。</w:t>
      </w:r>
    </w:p>
    <w:p>
      <w:pPr>
        <w:pStyle w:val="2"/>
        <w:spacing w:before="93"/>
        <w:ind w:firstLine="320" w:firstLineChars="100"/>
        <w:rPr>
          <w:rFonts w:hAnsi="仿宋"/>
          <w:kern w:val="2"/>
          <w:sz w:val="32"/>
          <w:szCs w:val="32"/>
        </w:rPr>
      </w:pPr>
      <w:r>
        <w:rPr>
          <w:rFonts w:hint="eastAsia" w:hAnsi="仿宋"/>
          <w:kern w:val="2"/>
          <w:sz w:val="32"/>
          <w:szCs w:val="32"/>
        </w:rPr>
        <w:t>公用经费927.55万元，主要包括：办公费、印刷费、咨询费、手续费、水费、电费、邮电费、物业管理费、差旅费、维修（护）费、培训费、公务接待费、专用材料费、被装购置费、劳务费、工会经费、福利费、公务用车运行维护费、其他交通费用、其他商品和服务支出。</w:t>
      </w:r>
    </w:p>
    <w:p>
      <w:pPr>
        <w:spacing w:line="600" w:lineRule="exact"/>
        <w:ind w:firstLine="640"/>
        <w:outlineLvl w:val="1"/>
        <w:rPr>
          <w:rStyle w:val="17"/>
          <w:rFonts w:ascii="黑体" w:hAnsi="黑体" w:eastAsia="黑体"/>
          <w:b w:val="0"/>
        </w:rPr>
      </w:pPr>
      <w:bookmarkStart w:id="36" w:name="_Toc15377215"/>
      <w:bookmarkStart w:id="37" w:name="_Toc15396609"/>
      <w:r>
        <w:rPr>
          <w:rFonts w:hint="eastAsia" w:ascii="黑体" w:eastAsia="黑体"/>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21年“三公”经费财政拨款支出决算为71.64万元，与利州区财政资金统筹使用，完成预算100</w:t>
      </w:r>
      <w:r>
        <w:rPr>
          <w:rFonts w:hAnsi="仿宋"/>
          <w:kern w:val="2"/>
          <w:sz w:val="32"/>
          <w:szCs w:val="32"/>
        </w:rPr>
        <w:t>%</w:t>
      </w:r>
      <w:r>
        <w:rPr>
          <w:rFonts w:hint="eastAsia" w:hAnsi="仿宋"/>
          <w:kern w:val="2"/>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pStyle w:val="2"/>
        <w:spacing w:before="93"/>
        <w:ind w:firstLine="320" w:firstLineChars="100"/>
        <w:rPr>
          <w:rFonts w:hAnsi="仿宋"/>
          <w:kern w:val="2"/>
          <w:sz w:val="32"/>
          <w:szCs w:val="32"/>
        </w:rPr>
      </w:pPr>
      <w:r>
        <w:rPr>
          <w:rFonts w:hAnsi="仿宋"/>
          <w:kern w:val="2"/>
          <w:sz w:val="32"/>
          <w:szCs w:val="32"/>
        </w:rPr>
        <w:t>20</w:t>
      </w:r>
      <w:r>
        <w:rPr>
          <w:rFonts w:hint="eastAsia" w:hAnsi="仿宋"/>
          <w:kern w:val="2"/>
          <w:sz w:val="32"/>
          <w:szCs w:val="32"/>
        </w:rPr>
        <w:t>21年“三公”经费财政拨款支出决算中，因公出国（境）费支出决算0万元，占0</w:t>
      </w:r>
      <w:r>
        <w:rPr>
          <w:rFonts w:hAnsi="仿宋"/>
          <w:kern w:val="2"/>
          <w:sz w:val="32"/>
          <w:szCs w:val="32"/>
        </w:rPr>
        <w:t>%</w:t>
      </w:r>
      <w:r>
        <w:rPr>
          <w:rFonts w:hint="eastAsia" w:hAnsi="仿宋"/>
          <w:kern w:val="2"/>
          <w:sz w:val="32"/>
          <w:szCs w:val="32"/>
        </w:rPr>
        <w:t>；公务用车购置及运行维护费支出决算71.14万元，占99.3</w:t>
      </w:r>
      <w:r>
        <w:rPr>
          <w:rFonts w:hAnsi="仿宋"/>
          <w:kern w:val="2"/>
          <w:sz w:val="32"/>
          <w:szCs w:val="32"/>
        </w:rPr>
        <w:t>%</w:t>
      </w:r>
      <w:r>
        <w:rPr>
          <w:rFonts w:hint="eastAsia" w:hAnsi="仿宋"/>
          <w:kern w:val="2"/>
          <w:sz w:val="32"/>
          <w:szCs w:val="32"/>
        </w:rPr>
        <w:t>；公务接待费支出决算0.5万元，占0.7</w:t>
      </w:r>
      <w:r>
        <w:rPr>
          <w:rFonts w:hAnsi="仿宋"/>
          <w:kern w:val="2"/>
          <w:sz w:val="32"/>
          <w:szCs w:val="32"/>
        </w:rPr>
        <w:t>%</w:t>
      </w:r>
      <w:r>
        <w:rPr>
          <w:rFonts w:hint="eastAsia" w:hAnsi="仿宋"/>
          <w:kern w:val="2"/>
          <w:sz w:val="32"/>
          <w:szCs w:val="32"/>
        </w:rPr>
        <w:t>。具体情况如下：</w:t>
      </w:r>
    </w:p>
    <w:p>
      <w:pPr>
        <w:pStyle w:val="2"/>
        <w:spacing w:before="93"/>
      </w:pPr>
      <w: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pacing w:before="93"/>
        <w:ind w:firstLine="320" w:firstLineChars="100"/>
        <w:rPr>
          <w:rFonts w:hAnsi="仿宋"/>
          <w:kern w:val="2"/>
          <w:sz w:val="32"/>
          <w:szCs w:val="32"/>
        </w:rPr>
      </w:pPr>
      <w:r>
        <w:rPr>
          <w:rFonts w:hint="eastAsia" w:hAnsi="仿宋"/>
          <w:kern w:val="2"/>
          <w:sz w:val="32"/>
          <w:szCs w:val="32"/>
        </w:rPr>
        <w:t>（图7：“三公”经费财政拨款支出结构）</w:t>
      </w:r>
    </w:p>
    <w:p>
      <w:pPr>
        <w:pStyle w:val="2"/>
        <w:spacing w:before="93"/>
        <w:ind w:firstLine="642" w:firstLineChars="200"/>
        <w:rPr>
          <w:rFonts w:hAnsi="仿宋"/>
          <w:kern w:val="2"/>
          <w:sz w:val="32"/>
          <w:szCs w:val="32"/>
        </w:rPr>
      </w:pPr>
      <w:r>
        <w:rPr>
          <w:rFonts w:hAnsi="仿宋"/>
          <w:b/>
          <w:kern w:val="2"/>
          <w:sz w:val="32"/>
          <w:szCs w:val="32"/>
        </w:rPr>
        <w:t>1.</w:t>
      </w:r>
      <w:r>
        <w:rPr>
          <w:rFonts w:hint="eastAsia" w:hAnsi="仿宋"/>
          <w:b/>
          <w:kern w:val="2"/>
          <w:sz w:val="32"/>
          <w:szCs w:val="32"/>
        </w:rPr>
        <w:t>因公出国（境）经费支出</w:t>
      </w:r>
      <w:r>
        <w:rPr>
          <w:rFonts w:hint="eastAsia" w:hAnsi="仿宋"/>
          <w:kern w:val="2"/>
          <w:sz w:val="32"/>
          <w:szCs w:val="32"/>
        </w:rPr>
        <w:t>0万元，年初未安排预算。因公出国（境）支出决算较2020年无变化。</w:t>
      </w:r>
    </w:p>
    <w:p>
      <w:pPr>
        <w:spacing w:line="600" w:lineRule="exact"/>
        <w:ind w:firstLine="64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公务用车购置及运行维护费支出</w:t>
      </w:r>
      <w:r>
        <w:rPr>
          <w:rFonts w:hint="eastAsia" w:ascii="仿宋_GB2312" w:hAnsi="仿宋" w:eastAsia="仿宋_GB2312"/>
          <w:sz w:val="32"/>
          <w:szCs w:val="32"/>
        </w:rPr>
        <w:t>71.14万元,因单位为市、区两级财政资金统筹使用，实际完成预算100%</w:t>
      </w:r>
      <w:r>
        <w:rPr>
          <w:rFonts w:hint="eastAsia" w:ascii="仿宋_GB2312" w:eastAsia="仿宋_GB2312"/>
        </w:rPr>
        <w:t>。</w:t>
      </w:r>
      <w:r>
        <w:rPr>
          <w:rFonts w:hint="eastAsia" w:ascii="仿宋_GB2312" w:hAnsi="仿宋" w:eastAsia="仿宋_GB2312"/>
          <w:sz w:val="32"/>
          <w:szCs w:val="32"/>
        </w:rPr>
        <w:t>公务用车购置及运行维护费支出决算比</w:t>
      </w:r>
      <w:r>
        <w:rPr>
          <w:rFonts w:ascii="仿宋_GB2312" w:hAnsi="仿宋" w:eastAsia="仿宋_GB2312"/>
          <w:sz w:val="32"/>
          <w:szCs w:val="32"/>
        </w:rPr>
        <w:t>20</w:t>
      </w:r>
      <w:r>
        <w:rPr>
          <w:rFonts w:hint="eastAsia" w:ascii="仿宋_GB2312" w:hAnsi="仿宋" w:eastAsia="仿宋_GB2312"/>
          <w:sz w:val="32"/>
          <w:szCs w:val="32"/>
        </w:rPr>
        <w:t>20年减少125.51万元，下降63.82</w:t>
      </w:r>
      <w:r>
        <w:rPr>
          <w:rFonts w:ascii="仿宋_GB2312" w:hAnsi="仿宋" w:eastAsia="仿宋_GB2312"/>
          <w:sz w:val="32"/>
          <w:szCs w:val="32"/>
        </w:rPr>
        <w:t>%</w:t>
      </w:r>
      <w:r>
        <w:rPr>
          <w:rFonts w:hint="eastAsia" w:ascii="仿宋_GB2312" w:hAnsi="仿宋" w:eastAsia="仿宋_GB2312"/>
          <w:sz w:val="32"/>
          <w:szCs w:val="32"/>
        </w:rPr>
        <w:t>。主要原因是在区财政报表中列支。</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其中：公务用车购置支出0万元，年初无预算。截至2021年12月底，单位共有公务用车47辆，其中：轿车27辆，其他车型27辆。</w:t>
      </w:r>
    </w:p>
    <w:p>
      <w:pPr>
        <w:spacing w:line="600" w:lineRule="exact"/>
        <w:ind w:firstLine="640"/>
        <w:rPr>
          <w:rFonts w:ascii="仿宋_GB2312" w:hAnsi="仿宋" w:eastAsia="仿宋_GB2312"/>
          <w:sz w:val="32"/>
          <w:szCs w:val="32"/>
        </w:rPr>
      </w:pPr>
      <w:r>
        <w:rPr>
          <w:rFonts w:hint="eastAsia" w:ascii="仿宋_GB2312" w:hAnsi="仿宋" w:eastAsia="仿宋_GB2312"/>
          <w:b/>
          <w:sz w:val="32"/>
          <w:szCs w:val="32"/>
        </w:rPr>
        <w:t>公务用车运行维护费支出</w:t>
      </w:r>
      <w:r>
        <w:rPr>
          <w:rFonts w:hint="eastAsia" w:ascii="仿宋_GB2312" w:hAnsi="仿宋" w:eastAsia="仿宋_GB2312"/>
          <w:sz w:val="32"/>
          <w:szCs w:val="32"/>
        </w:rPr>
        <w:t>71.14万元。主要用于公安刑侦、治安、禁毒等业务部门出差办案及派出所等所需的公务用车燃料费、维修费、过路过桥费、保险费等支出以及其他部分交通支出。</w:t>
      </w:r>
    </w:p>
    <w:p>
      <w:pPr>
        <w:spacing w:line="600" w:lineRule="exact"/>
        <w:ind w:firstLine="640"/>
        <w:rPr>
          <w:rFonts w:ascii="仿宋_GB2312" w:hAnsi="仿宋" w:eastAsia="仿宋_GB2312"/>
          <w:sz w:val="32"/>
          <w:szCs w:val="32"/>
        </w:rPr>
      </w:pPr>
      <w:r>
        <w:rPr>
          <w:rFonts w:hint="eastAsia" w:ascii="仿宋_GB2312" w:hAnsi="仿宋" w:eastAsia="仿宋_GB2312"/>
          <w:b/>
          <w:sz w:val="32"/>
          <w:szCs w:val="32"/>
        </w:rPr>
        <w:t>3、公务接待费支出</w:t>
      </w:r>
      <w:r>
        <w:rPr>
          <w:rFonts w:hint="eastAsia" w:ascii="仿宋_GB2312" w:hAnsi="仿宋" w:eastAsia="仿宋_GB2312"/>
          <w:sz w:val="32"/>
          <w:szCs w:val="32"/>
        </w:rPr>
        <w:t>0.5万元，</w:t>
      </w:r>
      <w:r>
        <w:rPr>
          <w:rFonts w:hint="eastAsia" w:ascii="仿宋_GB2312" w:eastAsia="仿宋_GB2312"/>
        </w:rPr>
        <w:t>完成预算100</w:t>
      </w:r>
      <w:r>
        <w:rPr>
          <w:rFonts w:ascii="仿宋_GB2312" w:eastAsia="仿宋_GB2312"/>
        </w:rPr>
        <w:t>%</w:t>
      </w:r>
      <w:r>
        <w:rPr>
          <w:rFonts w:hint="eastAsia" w:ascii="仿宋_GB2312" w:eastAsia="仿宋_GB2312"/>
        </w:rPr>
        <w:t>。</w:t>
      </w:r>
      <w:r>
        <w:rPr>
          <w:rFonts w:hint="eastAsia" w:ascii="仿宋_GB2312" w:hAnsi="仿宋" w:eastAsia="仿宋_GB2312"/>
          <w:sz w:val="32"/>
          <w:szCs w:val="32"/>
        </w:rPr>
        <w:t>公务接待费支出决算与2020年基本持平。其中：</w:t>
      </w:r>
    </w:p>
    <w:p>
      <w:pPr>
        <w:spacing w:line="600" w:lineRule="exact"/>
        <w:ind w:firstLine="640"/>
        <w:rPr>
          <w:rFonts w:ascii="仿宋_GB2312" w:hAnsi="仿宋" w:eastAsia="仿宋_GB2312"/>
          <w:sz w:val="32"/>
          <w:szCs w:val="32"/>
        </w:rPr>
      </w:pPr>
      <w:r>
        <w:rPr>
          <w:rFonts w:hint="eastAsia" w:ascii="仿宋_GB2312" w:hAnsi="仿宋" w:eastAsia="仿宋_GB2312"/>
          <w:b/>
          <w:sz w:val="32"/>
          <w:szCs w:val="32"/>
        </w:rPr>
        <w:t>国内公务接待支出</w:t>
      </w:r>
      <w:r>
        <w:rPr>
          <w:rFonts w:hint="eastAsia" w:ascii="仿宋_GB2312" w:hAnsi="仿宋" w:eastAsia="仿宋_GB2312"/>
          <w:sz w:val="32"/>
          <w:szCs w:val="32"/>
        </w:rPr>
        <w:t>0.5万元，主要用于异地公安机关执行公务、开展学习交流等。使用市级资金国内公务接待4批次，26人次，共计支出0.5万元，具体内容包括：上级调研视察0.5万元。</w:t>
      </w:r>
    </w:p>
    <w:p>
      <w:pPr>
        <w:spacing w:line="600" w:lineRule="exact"/>
        <w:ind w:firstLine="642" w:firstLineChars="200"/>
        <w:rPr>
          <w:rFonts w:ascii="仿宋_GB2312" w:hAnsi="仿宋" w:eastAsia="仿宋_GB2312"/>
          <w:sz w:val="32"/>
          <w:szCs w:val="32"/>
        </w:rPr>
      </w:pPr>
      <w:r>
        <w:rPr>
          <w:rFonts w:hint="eastAsia" w:ascii="仿宋_GB2312" w:hAnsi="仿宋" w:eastAsia="仿宋_GB2312"/>
          <w:b/>
          <w:sz w:val="32"/>
          <w:szCs w:val="32"/>
        </w:rPr>
        <w:t>外事接待支出</w:t>
      </w:r>
      <w:r>
        <w:rPr>
          <w:rFonts w:hint="eastAsia" w:ascii="仿宋_GB2312" w:hAnsi="仿宋" w:eastAsia="仿宋_GB2312"/>
          <w:sz w:val="32"/>
          <w:szCs w:val="32"/>
        </w:rPr>
        <w:t>0万元。</w:t>
      </w:r>
    </w:p>
    <w:p>
      <w:pPr>
        <w:spacing w:line="600" w:lineRule="exact"/>
        <w:ind w:firstLine="640"/>
        <w:outlineLvl w:val="1"/>
        <w:rPr>
          <w:rStyle w:val="17"/>
          <w:rFonts w:ascii="黑体" w:hAnsi="黑体" w:eastAsia="黑体"/>
        </w:rPr>
      </w:pPr>
      <w:bookmarkStart w:id="40" w:name="_Toc15377218"/>
      <w:bookmarkStart w:id="41" w:name="_Toc15396610"/>
      <w:r>
        <w:rPr>
          <w:rFonts w:hint="eastAsia" w:ascii="黑体" w:eastAsia="黑体"/>
          <w:sz w:val="32"/>
          <w:szCs w:val="32"/>
        </w:rPr>
        <w:t>八、</w:t>
      </w:r>
      <w:r>
        <w:rPr>
          <w:rStyle w:val="1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600" w:lineRule="exact"/>
        <w:ind w:firstLine="640"/>
        <w:outlineLvl w:val="1"/>
        <w:rPr>
          <w:rStyle w:val="17"/>
          <w:rFonts w:ascii="黑体" w:hAnsi="黑体" w:eastAsia="黑体"/>
          <w:b w:val="0"/>
        </w:rPr>
      </w:pPr>
      <w:bookmarkStart w:id="42" w:name="_Toc15377219"/>
      <w:bookmarkStart w:id="43" w:name="_Toc15396611"/>
      <w:r>
        <w:rPr>
          <w:rStyle w:val="1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17"/>
          <w:rFonts w:ascii="黑体" w:hAnsi="黑体" w:eastAsia="黑体"/>
          <w:b w:val="0"/>
        </w:rPr>
      </w:pPr>
      <w:bookmarkStart w:id="44" w:name="_Toc15396612"/>
      <w:bookmarkStart w:id="45" w:name="_Toc15377221"/>
      <w:r>
        <w:rPr>
          <w:rStyle w:val="17"/>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派出所民警午餐补助项目、民警法定节假日加班补贴、办案业务经费（含市直机关维稳经费）等3个项目开展了预算事前绩效评估，对上述3个项目编制了绩效目标，预算执行过程中，选取上述3个项目开展绩效监控，年终执行完毕后，对上述3个项目开展了绩效自评，2021年部门预算项目绩效目标自评表见附件（第四部分）。</w:t>
      </w:r>
    </w:p>
    <w:p>
      <w:pPr>
        <w:numPr>
          <w:ilvl w:val="0"/>
          <w:numId w:val="3"/>
        </w:numPr>
        <w:spacing w:line="600" w:lineRule="exact"/>
        <w:ind w:firstLine="640"/>
        <w:outlineLvl w:val="1"/>
        <w:rPr>
          <w:rStyle w:val="17"/>
          <w:rFonts w:ascii="黑体" w:hAnsi="黑体" w:eastAsia="黑体"/>
          <w:b w:val="0"/>
        </w:rPr>
      </w:pPr>
      <w:r>
        <w:rPr>
          <w:rStyle w:val="17"/>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21年，广元市公安局利州区分局机关运行经费支出927.55万元，比</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20年1363.21万元相比减少435.66万元，下降31.95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。主要原因是厉行节约，进一步压缩了机关公用经费。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bookmarkStart w:id="48" w:name="_Toc15377224"/>
      <w:r>
        <w:rPr>
          <w:rFonts w:ascii="仿宋_GB2312" w:eastAsia="仿宋_GB2312"/>
          <w:sz w:val="32"/>
          <w:szCs w:val="32"/>
        </w:rPr>
        <w:t>20</w:t>
      </w:r>
      <w:r>
        <w:rPr>
          <w:rFonts w:hint="eastAsia" w:ascii="仿宋_GB2312" w:eastAsia="仿宋_GB2312"/>
          <w:sz w:val="32"/>
          <w:szCs w:val="32"/>
        </w:rPr>
        <w:t>21年，广元市公安局利州区分局政府采购市财政年初无预算，均在区财政列支。市财政支出总额0万元。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48"/>
    </w:p>
    <w:p>
      <w:pPr>
        <w:pStyle w:val="2"/>
        <w:spacing w:before="93"/>
        <w:ind w:firstLine="640" w:firstLineChars="200"/>
        <w:rPr>
          <w:rFonts w:hint="eastAsia"/>
          <w:b/>
          <w:sz w:val="32"/>
          <w:szCs w:val="32"/>
        </w:rPr>
      </w:pPr>
      <w:r>
        <w:rPr>
          <w:rFonts w:hint="eastAsia" w:hAnsi="仿宋"/>
          <w:sz w:val="32"/>
          <w:szCs w:val="32"/>
        </w:rPr>
        <w:t>截至2021年12月31日，广元市公安局利州区分局共有车辆47辆，其中：</w:t>
      </w:r>
      <w:r>
        <w:rPr>
          <w:rFonts w:hint="eastAsia"/>
          <w:sz w:val="32"/>
          <w:szCs w:val="32"/>
        </w:rPr>
        <w:t>主要领导干部用车0辆、机要通信用车0辆、应急保障用车0辆、其他执法执勤用车47辆，均用于单位办公、办案业务等开展</w:t>
      </w:r>
      <w:r>
        <w:rPr>
          <w:rFonts w:hint="eastAsia" w:hAnsi="仿宋"/>
          <w:sz w:val="32"/>
          <w:szCs w:val="32"/>
        </w:rPr>
        <w:t>。单价50万元以上通用设备0台（套）、单价100万元以上专用设备0台（套），均在区财政报表中反映。</w:t>
      </w:r>
      <w:r>
        <w:rPr>
          <w:rFonts w:hint="eastAsia"/>
          <w:b/>
          <w:sz w:val="32"/>
          <w:szCs w:val="32"/>
        </w:rPr>
        <w:br w:type="page"/>
      </w:r>
    </w:p>
    <w:p>
      <w:pPr>
        <w:numPr>
          <w:ilvl w:val="0"/>
          <w:numId w:val="4"/>
        </w:numPr>
        <w:spacing w:line="600" w:lineRule="exact"/>
        <w:ind w:firstLine="660" w:firstLineChars="150"/>
        <w:jc w:val="center"/>
        <w:outlineLvl w:val="0"/>
        <w:rPr>
          <w:rStyle w:val="16"/>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16"/>
          <w:rFonts w:hint="eastAsia" w:ascii="黑体" w:hAnsi="黑体" w:eastAsia="黑体"/>
          <w:b w:val="0"/>
        </w:rPr>
        <w:t>词解释</w:t>
      </w:r>
      <w:bookmarkEnd w:id="49"/>
      <w:bookmarkEnd w:id="50"/>
    </w:p>
    <w:p>
      <w:pPr>
        <w:pStyle w:val="2"/>
        <w:spacing w:before="93"/>
        <w:rPr>
          <w:kern w:val="2"/>
          <w:sz w:val="32"/>
          <w:szCs w:val="32"/>
        </w:rPr>
      </w:pPr>
      <w:r>
        <w:rPr>
          <w:rFonts w:hint="eastAsia"/>
          <w:kern w:val="2"/>
          <w:sz w:val="32"/>
          <w:szCs w:val="32"/>
        </w:rPr>
        <w:t>1.财政拨款收入：指单位从同级财政部门取得的财政预算资金。</w:t>
      </w:r>
    </w:p>
    <w:p>
      <w:pPr>
        <w:pStyle w:val="2"/>
        <w:spacing w:before="93"/>
        <w:rPr>
          <w:rFonts w:hint="eastAsia"/>
          <w:kern w:val="2"/>
          <w:sz w:val="32"/>
          <w:szCs w:val="32"/>
        </w:rPr>
      </w:pPr>
      <w:r>
        <w:rPr>
          <w:rFonts w:hint="eastAsia"/>
          <w:kern w:val="2"/>
          <w:sz w:val="32"/>
          <w:szCs w:val="32"/>
        </w:rPr>
        <w:t>2.其他收入：指单位取得的除上述收入以外的各项收入。主要是上级拨入专项工作经费和利息收入等。</w:t>
      </w:r>
    </w:p>
    <w:p>
      <w:pPr>
        <w:pStyle w:val="25"/>
        <w:spacing w:line="560" w:lineRule="exact"/>
        <w:rPr>
          <w:rFonts w:ascii="仿宋_GB2312" w:eastAsia="仿宋_GB2312"/>
          <w:color w:val="auto"/>
          <w:sz w:val="32"/>
          <w:szCs w:val="32"/>
        </w:rPr>
      </w:pPr>
      <w:r>
        <w:rPr>
          <w:rFonts w:hint="eastAsia" w:ascii="仿宋_GB2312" w:eastAsia="仿宋_GB2312"/>
          <w:color w:val="auto"/>
          <w:sz w:val="32"/>
          <w:szCs w:val="32"/>
        </w:rPr>
        <w:t xml:space="preserve">3.年初结转和结余：指以前年度尚未完成、结转到本年按有关规定继续使用的资金。 </w:t>
      </w:r>
    </w:p>
    <w:p>
      <w:pPr>
        <w:pStyle w:val="2"/>
        <w:spacing w:before="93"/>
        <w:rPr>
          <w:kern w:val="2"/>
          <w:sz w:val="32"/>
          <w:szCs w:val="32"/>
        </w:rPr>
      </w:pPr>
      <w:r>
        <w:rPr>
          <w:rFonts w:hint="eastAsia"/>
          <w:kern w:val="2"/>
          <w:sz w:val="32"/>
          <w:szCs w:val="32"/>
          <w:lang w:val="en-US" w:eastAsia="zh-CN"/>
        </w:rPr>
        <w:t>4</w:t>
      </w:r>
      <w:r>
        <w:rPr>
          <w:rFonts w:hint="eastAsia"/>
          <w:kern w:val="2"/>
          <w:sz w:val="32"/>
          <w:szCs w:val="32"/>
        </w:rPr>
        <w:t>.公共安全支出（类）公安（款）行政运行（项）:反映行政单位（含实行公务员管理的事业单位）的基本支出。</w:t>
      </w:r>
    </w:p>
    <w:p>
      <w:pPr>
        <w:pStyle w:val="2"/>
        <w:spacing w:before="93"/>
        <w:rPr>
          <w:kern w:val="2"/>
          <w:sz w:val="32"/>
          <w:szCs w:val="32"/>
        </w:rPr>
      </w:pPr>
      <w:r>
        <w:rPr>
          <w:rFonts w:hint="eastAsia"/>
          <w:kern w:val="2"/>
          <w:sz w:val="32"/>
          <w:szCs w:val="32"/>
          <w:lang w:val="en-US" w:eastAsia="zh-CN"/>
        </w:rPr>
        <w:t>5</w:t>
      </w:r>
      <w:r>
        <w:rPr>
          <w:rFonts w:hint="eastAsia"/>
          <w:kern w:val="2"/>
          <w:sz w:val="32"/>
          <w:szCs w:val="32"/>
        </w:rPr>
        <w:t>.公共安全支出（类）公安（款）一般行政管理事务（项）：反映行政单位（含实行公务员管理的事业单位）未单独设置项级科目的其他项目支出。</w:t>
      </w:r>
    </w:p>
    <w:p>
      <w:pPr>
        <w:pStyle w:val="2"/>
        <w:spacing w:before="93"/>
        <w:rPr>
          <w:kern w:val="2"/>
          <w:sz w:val="32"/>
          <w:szCs w:val="32"/>
        </w:rPr>
      </w:pPr>
      <w:r>
        <w:rPr>
          <w:rFonts w:hint="eastAsia"/>
          <w:kern w:val="2"/>
          <w:sz w:val="32"/>
          <w:szCs w:val="32"/>
          <w:lang w:val="en-US" w:eastAsia="zh-CN"/>
        </w:rPr>
        <w:t>6</w:t>
      </w:r>
      <w:r>
        <w:rPr>
          <w:rFonts w:hint="eastAsia"/>
          <w:kern w:val="2"/>
          <w:sz w:val="32"/>
          <w:szCs w:val="32"/>
        </w:rPr>
        <w:t>.公共安全支出（类）公安（款）执法办案（项）：反映公安机关从事行政执法、刑事司法及侦查办案等相关活动的支出。</w:t>
      </w:r>
    </w:p>
    <w:p>
      <w:pPr>
        <w:pStyle w:val="2"/>
        <w:spacing w:before="93"/>
        <w:rPr>
          <w:kern w:val="2"/>
          <w:sz w:val="32"/>
          <w:szCs w:val="32"/>
        </w:rPr>
      </w:pPr>
      <w:r>
        <w:rPr>
          <w:rFonts w:hint="eastAsia"/>
          <w:kern w:val="2"/>
          <w:sz w:val="32"/>
          <w:szCs w:val="32"/>
          <w:lang w:val="en-US" w:eastAsia="zh-CN"/>
        </w:rPr>
        <w:t>7</w:t>
      </w:r>
      <w:r>
        <w:rPr>
          <w:rFonts w:hint="eastAsia"/>
          <w:kern w:val="2"/>
          <w:sz w:val="32"/>
          <w:szCs w:val="32"/>
        </w:rPr>
        <w:t>.公共安全支出（类）公安（款）其他公安支出（项）：指反映除上述项目以外其他用于公安方面的支出。</w:t>
      </w:r>
    </w:p>
    <w:p>
      <w:pPr>
        <w:pStyle w:val="2"/>
        <w:spacing w:before="93"/>
        <w:rPr>
          <w:kern w:val="2"/>
          <w:sz w:val="32"/>
          <w:szCs w:val="32"/>
        </w:rPr>
      </w:pPr>
      <w:r>
        <w:rPr>
          <w:rFonts w:hint="eastAsia"/>
          <w:kern w:val="2"/>
          <w:sz w:val="32"/>
          <w:szCs w:val="32"/>
          <w:lang w:val="en-US" w:eastAsia="zh-CN"/>
        </w:rPr>
        <w:t>8</w:t>
      </w:r>
      <w:r>
        <w:rPr>
          <w:rFonts w:hint="eastAsia"/>
          <w:kern w:val="2"/>
          <w:sz w:val="32"/>
          <w:szCs w:val="32"/>
        </w:rPr>
        <w:t>.社会保障和就业（类）行政事业单位养老支出（款）  机关事业单位基本养老保险缴费支出（项）：指反映机关事业单位实施养老保险制度由单位缴纳的基本养老保险费支出。</w:t>
      </w:r>
    </w:p>
    <w:p>
      <w:pPr>
        <w:pStyle w:val="2"/>
        <w:spacing w:before="93"/>
        <w:rPr>
          <w:kern w:val="2"/>
          <w:sz w:val="32"/>
          <w:szCs w:val="32"/>
        </w:rPr>
      </w:pPr>
      <w:r>
        <w:rPr>
          <w:rFonts w:hint="eastAsia"/>
          <w:kern w:val="2"/>
          <w:sz w:val="32"/>
          <w:szCs w:val="32"/>
          <w:lang w:val="en-US" w:eastAsia="zh-CN"/>
        </w:rPr>
        <w:t>9</w:t>
      </w:r>
      <w:r>
        <w:rPr>
          <w:rFonts w:hint="eastAsia"/>
          <w:kern w:val="2"/>
          <w:sz w:val="32"/>
          <w:szCs w:val="32"/>
        </w:rPr>
        <w:t>. 社会保障和就业支出（类）行政事业单位离退休（款）机关事业单位职业年金缴费支出（项）</w:t>
      </w:r>
      <w:r>
        <w:rPr>
          <w:kern w:val="2"/>
          <w:sz w:val="32"/>
          <w:szCs w:val="32"/>
        </w:rPr>
        <w:t>:</w:t>
      </w:r>
      <w:r>
        <w:rPr>
          <w:rFonts w:hint="eastAsia"/>
          <w:kern w:val="2"/>
          <w:sz w:val="32"/>
          <w:szCs w:val="32"/>
        </w:rPr>
        <w:t>指反映机关事业单位实施养老保险制度由单位实际缴纳的职业年金支出。</w:t>
      </w:r>
    </w:p>
    <w:p>
      <w:pPr>
        <w:pStyle w:val="2"/>
        <w:spacing w:before="93"/>
        <w:rPr>
          <w:kern w:val="2"/>
          <w:sz w:val="32"/>
          <w:szCs w:val="32"/>
        </w:rPr>
      </w:pPr>
      <w:r>
        <w:rPr>
          <w:rFonts w:hint="eastAsia"/>
          <w:kern w:val="2"/>
          <w:sz w:val="32"/>
          <w:szCs w:val="32"/>
          <w:lang w:val="en-US" w:eastAsia="zh-CN"/>
        </w:rPr>
        <w:t>10</w:t>
      </w:r>
      <w:r>
        <w:rPr>
          <w:rFonts w:hint="eastAsia"/>
          <w:kern w:val="2"/>
          <w:sz w:val="32"/>
          <w:szCs w:val="32"/>
        </w:rPr>
        <w:t>.社会保障和就业（类）抚恤（款）死亡抚恤（项）:反映按规定用于烈士和牺牲、病故人员家属的一次性和定期抚恤金以及丧葬补助费。</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1</w:t>
      </w:r>
      <w:r>
        <w:rPr>
          <w:rFonts w:hint="eastAsia"/>
          <w:kern w:val="2"/>
          <w:sz w:val="32"/>
          <w:szCs w:val="32"/>
        </w:rPr>
        <w:t>. 社会保障和就业（类）其他社会保障和就业（款）其他社会保障和就业（项）:反映除上述项目以外其他用于社会保障和就业方面的支出。</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2</w:t>
      </w:r>
      <w:r>
        <w:rPr>
          <w:rFonts w:hint="eastAsia"/>
          <w:kern w:val="2"/>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3</w:t>
      </w:r>
      <w:r>
        <w:rPr>
          <w:rFonts w:hint="eastAsia"/>
          <w:kern w:val="2"/>
          <w:sz w:val="32"/>
          <w:szCs w:val="32"/>
        </w:rPr>
        <w:t>.住房保障支出（类）住房改革支出（款）住房公积金（项）:反映行政事业单位按人力资源和社会保障部、财政部规定的基本工资和津贴补贴以及规定比例为职工缴纳的住房公积金。</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4</w:t>
      </w:r>
      <w:r>
        <w:rPr>
          <w:rFonts w:hint="eastAsia"/>
          <w:kern w:val="2"/>
          <w:sz w:val="32"/>
          <w:szCs w:val="32"/>
        </w:rPr>
        <w:t>.基本支出：指为保障机构正常运转、完成日常工作任务而发生的人员支出和公用支出。</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5</w:t>
      </w:r>
      <w:r>
        <w:rPr>
          <w:rFonts w:hint="eastAsia"/>
          <w:kern w:val="2"/>
          <w:sz w:val="32"/>
          <w:szCs w:val="32"/>
        </w:rPr>
        <w:t>.项目支出：指在基本支出之外为完成特定行政任务和事业发展目标所发生的支出。</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6</w:t>
      </w:r>
      <w:r>
        <w:rPr>
          <w:rFonts w:hint="eastAsia"/>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before="93"/>
        <w:rPr>
          <w:kern w:val="2"/>
          <w:sz w:val="32"/>
          <w:szCs w:val="32"/>
        </w:rPr>
      </w:pPr>
      <w:r>
        <w:rPr>
          <w:rFonts w:hint="eastAsia"/>
          <w:kern w:val="2"/>
          <w:sz w:val="32"/>
          <w:szCs w:val="32"/>
        </w:rPr>
        <w:t>1</w:t>
      </w:r>
      <w:r>
        <w:rPr>
          <w:rFonts w:hint="eastAsia"/>
          <w:kern w:val="2"/>
          <w:sz w:val="32"/>
          <w:szCs w:val="32"/>
          <w:lang w:val="en-US" w:eastAsia="zh-CN"/>
        </w:rPr>
        <w:t>7</w:t>
      </w:r>
      <w:r>
        <w:rPr>
          <w:rFonts w:hint="eastAsia"/>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left"/>
        <w:rPr>
          <w:rFonts w:ascii="仿宋_GB2312" w:eastAsia="仿宋_GB2312"/>
          <w:sz w:val="32"/>
          <w:szCs w:val="32"/>
        </w:rPr>
      </w:pPr>
    </w:p>
    <w:p>
      <w:pPr>
        <w:spacing w:line="600" w:lineRule="exact"/>
        <w:jc w:val="center"/>
        <w:outlineLvl w:val="0"/>
        <w:rPr>
          <w:rFonts w:ascii="黑体" w:hAnsi="黑体" w:eastAsia="黑体"/>
          <w:sz w:val="44"/>
          <w:szCs w:val="44"/>
        </w:rPr>
      </w:pPr>
      <w:bookmarkStart w:id="51" w:name="_Toc15396614"/>
      <w:bookmarkStart w:id="52"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pStyle w:val="2"/>
        <w:spacing w:before="93"/>
      </w:pP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Style w:val="16"/>
          <w:rFonts w:ascii="黑体" w:hAnsi="黑体" w:eastAsia="黑体"/>
          <w:b w:val="0"/>
        </w:rPr>
      </w:pPr>
      <w:r>
        <w:rPr>
          <w:rFonts w:hint="eastAsia" w:ascii="黑体" w:hAnsi="黑体" w:eastAsia="黑体"/>
          <w:sz w:val="44"/>
          <w:szCs w:val="44"/>
        </w:rPr>
        <w:t>第</w:t>
      </w:r>
      <w:r>
        <w:rPr>
          <w:rStyle w:val="16"/>
          <w:rFonts w:hint="eastAsia" w:ascii="黑体" w:hAnsi="黑体" w:eastAsia="黑体"/>
          <w:b w:val="0"/>
        </w:rPr>
        <w:t>四部分 附件</w:t>
      </w:r>
      <w:bookmarkEnd w:id="51"/>
    </w:p>
    <w:p>
      <w:pPr>
        <w:pStyle w:val="2"/>
        <w:spacing w:before="93"/>
        <w:rPr>
          <w:lang w:val="zh-CN"/>
        </w:rPr>
      </w:pPr>
      <w:r>
        <w:rPr>
          <w:rFonts w:hint="eastAsia" w:hAnsi="宋体" w:cs="宋体"/>
          <w:sz w:val="32"/>
          <w:szCs w:val="32"/>
          <w:shd w:val="clear" w:color="auto" w:fill="FFFFFF"/>
          <w:lang w:val="zh-CN"/>
        </w:rPr>
        <w:t>附件1</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派出所民警午餐补助项目</w:t>
      </w:r>
    </w:p>
    <w:p>
      <w:pPr>
        <w:spacing w:line="600" w:lineRule="exact"/>
        <w:jc w:val="center"/>
        <w:rPr>
          <w:rFonts w:ascii="仿宋_GB2312" w:hAnsi="宋体" w:eastAsia="仿宋_GB2312"/>
          <w:sz w:val="32"/>
          <w:szCs w:val="32"/>
          <w:lang w:val="zh-CN"/>
        </w:rPr>
      </w:pP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hAnsi="宋体"/>
          <w:sz w:val="32"/>
          <w:szCs w:val="32"/>
          <w:lang w:val="zh-CN"/>
        </w:rPr>
      </w:pPr>
    </w:p>
    <w:p>
      <w:pPr>
        <w:adjustRightInd w:val="0"/>
        <w:snapToGrid w:val="0"/>
        <w:spacing w:line="570" w:lineRule="exact"/>
        <w:ind w:firstLine="720"/>
        <w:rPr>
          <w:rFonts w:ascii="黑体" w:hAnsi="黑体" w:eastAsia="黑体" w:cs="黑体"/>
          <w:bCs/>
          <w:sz w:val="32"/>
          <w:szCs w:val="32"/>
          <w:lang w:val="zh-CN"/>
        </w:rPr>
      </w:pP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spacing w:line="57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四川省公安厅川公传发【2013】2020号《关于对基层公安机关落实免费工作用餐情况进行督察的通知》及广府办函[2014]4号文件，公安派出所民警免费工作午餐经费。，全省公安机关按照15元/人/天，每月22天保障基层派出所民警午餐费用。该项目实施前本单位进行了充分调研并呈报市财政局审批，后财政根据整体资金安排对按项目实际安排预算内资139.78万元，保障区属353名基层派出所民警午餐费用。符合预算法及资金管理办法。项目申报内容与具体实施内容相符、申报目标合理可行。</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二、项目实施及管理情况</w:t>
      </w:r>
    </w:p>
    <w:p>
      <w:pPr>
        <w:spacing w:line="570" w:lineRule="exact"/>
        <w:ind w:firstLine="642" w:firstLineChars="200"/>
        <w:rPr>
          <w:rFonts w:ascii="宋体" w:hAnsi="宋体" w:eastAsia="仿宋_GB2312" w:cs="宋体"/>
          <w:sz w:val="32"/>
          <w:szCs w:val="32"/>
        </w:rPr>
      </w:pPr>
      <w:r>
        <w:rPr>
          <w:rFonts w:hint="eastAsia" w:ascii="仿宋_GB2312" w:hAnsi="仿宋_GB2312" w:eastAsia="仿宋_GB2312" w:cs="仿宋_GB2312"/>
          <w:b/>
          <w:bCs/>
          <w:sz w:val="32"/>
          <w:szCs w:val="32"/>
          <w:lang w:val="zh-CN"/>
        </w:rPr>
        <w:t>（一）资金计划、到位及使用情况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该项目年初预算139.78万元，实际下达指标139.78万元。年末执行数为139.78万元，完成预算的100%。</w:t>
      </w:r>
    </w:p>
    <w:p>
      <w:pPr>
        <w:adjustRightInd w:val="0"/>
        <w:snapToGrid w:val="0"/>
        <w:spacing w:line="57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（二）项目财务管理情况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分局严格执行财务管理制度、财务处理及时、会计核算规范。</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支付依据合规合法，资金支付与预算相符。</w:t>
      </w:r>
    </w:p>
    <w:p>
      <w:pPr>
        <w:adjustRightInd w:val="0"/>
        <w:snapToGrid w:val="0"/>
        <w:spacing w:line="570" w:lineRule="exact"/>
        <w:ind w:firstLine="720"/>
        <w:rPr>
          <w:rFonts w:ascii="黑体" w:hAnsi="黑体" w:eastAsia="黑体" w:cs="黑体"/>
          <w:bCs/>
          <w:sz w:val="32"/>
          <w:szCs w:val="32"/>
        </w:rPr>
      </w:pPr>
      <w:r>
        <w:rPr>
          <w:rFonts w:hint="eastAsia" w:ascii="黑体" w:hAnsi="黑体" w:eastAsia="黑体" w:cs="黑体"/>
          <w:bCs/>
          <w:sz w:val="32"/>
          <w:szCs w:val="32"/>
        </w:rPr>
        <w:t>三、项目绩效情况</w:t>
      </w:r>
      <w:r>
        <w:rPr>
          <w:rFonts w:hint="eastAsia" w:ascii="黑体" w:hAnsi="黑体" w:eastAsia="黑体" w:cs="黑体"/>
          <w:bCs/>
          <w:sz w:val="32"/>
          <w:szCs w:val="32"/>
        </w:rPr>
        <w:tab/>
      </w:r>
    </w:p>
    <w:p>
      <w:pPr>
        <w:adjustRightInd w:val="0"/>
        <w:snapToGrid w:val="0"/>
        <w:spacing w:line="57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（一）项目完成情况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分局按季度将伙食费发放至基层派出所，由基层派出所灵活方式发放给民警并建立台账。</w:t>
      </w:r>
    </w:p>
    <w:p>
      <w:pPr>
        <w:adjustRightInd w:val="0"/>
        <w:snapToGrid w:val="0"/>
        <w:spacing w:line="57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（二）项目效益情况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保障基层派出所民警午餐费用，从而减轻基层派出所保障压力，维持派出所日常运转。基层民警满意度较高，确保从优待警工作落实到位。</w:t>
      </w:r>
    </w:p>
    <w:p>
      <w:pPr>
        <w:adjustRightInd w:val="0"/>
        <w:snapToGrid w:val="0"/>
        <w:spacing w:line="570" w:lineRule="exact"/>
        <w:ind w:firstLine="720"/>
        <w:rPr>
          <w:rFonts w:ascii="黑体" w:hAnsi="黑体" w:eastAsia="黑体" w:cs="黑体"/>
          <w:bCs/>
          <w:sz w:val="32"/>
          <w:szCs w:val="32"/>
        </w:rPr>
      </w:pPr>
      <w:r>
        <w:rPr>
          <w:rFonts w:hint="eastAsia" w:ascii="黑体" w:hAnsi="黑体" w:eastAsia="黑体" w:cs="黑体"/>
          <w:bCs/>
          <w:sz w:val="32"/>
          <w:szCs w:val="32"/>
        </w:rPr>
        <w:t>四、问题及建议</w:t>
      </w:r>
    </w:p>
    <w:p>
      <w:pPr>
        <w:adjustRightInd w:val="0"/>
        <w:snapToGrid w:val="0"/>
        <w:spacing w:line="57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（一）存在的问题</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保障标准较低，已不能平衡日益增长的物价水平，基层派出所民警加班伙食不能保障。</w:t>
      </w:r>
    </w:p>
    <w:p>
      <w:pPr>
        <w:adjustRightInd w:val="0"/>
        <w:snapToGrid w:val="0"/>
        <w:spacing w:line="57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（二）相关建议</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提高保障标准，多渠道争取财政及上级资金。同时加大专项资金监管力度。</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广元市公安局利州区分局</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2021年民警法定节假日加班补贴项目</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支出绩效自评报告</w:t>
      </w:r>
    </w:p>
    <w:p>
      <w:pPr>
        <w:spacing w:line="560" w:lineRule="exact"/>
        <w:jc w:val="center"/>
        <w:rPr>
          <w:rFonts w:ascii="方正小标宋简体" w:eastAsia="方正小标宋简体"/>
          <w:sz w:val="36"/>
          <w:szCs w:val="36"/>
        </w:rPr>
      </w:pPr>
    </w:p>
    <w:p>
      <w:pPr>
        <w:adjustRightInd w:val="0"/>
        <w:snapToGrid w:val="0"/>
        <w:spacing w:line="560" w:lineRule="exact"/>
        <w:rPr>
          <w:rFonts w:ascii="黑体" w:hAnsi="黑体" w:eastAsia="黑体" w:cs="黑体"/>
          <w:bCs/>
          <w:sz w:val="32"/>
          <w:szCs w:val="32"/>
        </w:rPr>
      </w:pPr>
      <w:r>
        <w:rPr>
          <w:rFonts w:hint="eastAsia" w:ascii="黑体" w:hAnsi="黑体" w:eastAsia="黑体" w:cs="黑体"/>
          <w:bCs/>
          <w:sz w:val="32"/>
          <w:szCs w:val="32"/>
        </w:rPr>
        <w:t>一、项目概况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人力资源社会保障部、财政部文件（人社部规【2019】9号）《人力资源社会保障部财政部关于执行人民警察法定工作日之外加班补贴有关问题的通知》，根据国务院有关规定，人民警察法定工作日之外加班的应当补习；不能补休的，应当给予补助。经研究决定，从2017年1月1日起调整人民警察法定工作日之外加班补贴政策。人民警察法定工作日之外加班补贴由国家统一规定标准调整为实行总量管理。各级人力资源社会保障、财政部门按照月人均710元和本级各相关单位的国家政法专项编制内人民警察实有人数，分别核定下达本级公安机关、国家安全机关、鉴于、强制隔离戒毒机关和法院、检察院的年度法定工作日之外加班补贴总量。</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该项目实施前本单位进行了充分调研并呈报利州市财政局审批，后财政根据整体资金安排对按项目实际安排预算内资金327.17万元，符合预算法及资金管理办法。</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该项目申报内容与具体实施内容相符、申报目标合理可行。</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二、项目实施及管理情况</w:t>
      </w:r>
    </w:p>
    <w:p>
      <w:pPr>
        <w:spacing w:line="56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（一）资金计划、到位及使用情况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该项目年初预算327.17万元，实际下达指标327.17万元。年末执行数为327.17万元，完成预算的100%。</w:t>
      </w:r>
    </w:p>
    <w:p>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（二）项目财务管理情况。</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分局严格执行财务管理制度、财务处理及时、会计核算规范。支付依据合规合法，资金支付与预算相符。</w:t>
      </w:r>
    </w:p>
    <w:p>
      <w:pPr>
        <w:spacing w:line="560" w:lineRule="exact"/>
        <w:ind w:firstLine="642" w:firstLineChars="200"/>
        <w:rPr>
          <w:rFonts w:ascii="仿宋_GB2312" w:hAnsi="宋体" w:eastAsia="仿宋_GB2312" w:cs="宋体"/>
          <w:sz w:val="32"/>
          <w:szCs w:val="32"/>
        </w:rPr>
      </w:pPr>
      <w:r>
        <w:rPr>
          <w:rFonts w:hint="eastAsia" w:ascii="仿宋_GB2312" w:hAnsi="仿宋_GB2312" w:eastAsia="仿宋_GB2312" w:cs="仿宋_GB2312"/>
          <w:b/>
          <w:bCs/>
          <w:sz w:val="32"/>
          <w:szCs w:val="32"/>
          <w:lang w:val="zh-CN"/>
        </w:rPr>
        <w:t>（三）项目组织实施情况。</w:t>
      </w:r>
      <w:r>
        <w:rPr>
          <w:rFonts w:hint="eastAsia" w:ascii="仿宋_GB2312" w:hAnsi="宋体" w:eastAsia="仿宋_GB2312" w:cs="宋体"/>
          <w:sz w:val="32"/>
          <w:szCs w:val="32"/>
        </w:rPr>
        <w:t>民警法定节假日加班补贴</w:t>
      </w:r>
      <w:r>
        <w:rPr>
          <w:rFonts w:ascii="仿宋_GB2312" w:hAnsi="宋体" w:eastAsia="仿宋_GB2312" w:cs="宋体"/>
          <w:sz w:val="32"/>
          <w:szCs w:val="32"/>
        </w:rPr>
        <w:t>项目</w:t>
      </w:r>
      <w:r>
        <w:rPr>
          <w:rFonts w:hint="eastAsia" w:ascii="仿宋_GB2312" w:hAnsi="宋体" w:eastAsia="仿宋_GB2312" w:cs="宋体"/>
          <w:sz w:val="32"/>
          <w:szCs w:val="32"/>
        </w:rPr>
        <w:t>是公安民警保障费用。</w:t>
      </w:r>
      <w:r>
        <w:rPr>
          <w:rFonts w:ascii="仿宋_GB2312" w:hAnsi="宋体" w:eastAsia="仿宋_GB2312" w:cs="宋体"/>
          <w:sz w:val="32"/>
          <w:szCs w:val="32"/>
        </w:rPr>
        <w:t>绩效目标设置</w:t>
      </w:r>
      <w:r>
        <w:rPr>
          <w:rFonts w:hint="eastAsia" w:ascii="仿宋_GB2312" w:hAnsi="宋体" w:eastAsia="仿宋_GB2312" w:cs="宋体"/>
          <w:sz w:val="32"/>
          <w:szCs w:val="32"/>
        </w:rPr>
        <w:t>包括数量指标、质量指标、社会效益指标等。</w:t>
      </w:r>
    </w:p>
    <w:p>
      <w:pPr>
        <w:adjustRightInd w:val="0"/>
        <w:snapToGrid w:val="0"/>
        <w:spacing w:line="560" w:lineRule="exact"/>
        <w:ind w:firstLine="720"/>
        <w:rPr>
          <w:rFonts w:ascii="黑体" w:hAnsi="黑体" w:eastAsia="黑体" w:cs="黑体"/>
          <w:bCs/>
          <w:sz w:val="32"/>
          <w:szCs w:val="32"/>
        </w:rPr>
      </w:pPr>
      <w:r>
        <w:rPr>
          <w:rFonts w:hint="eastAsia" w:ascii="黑体" w:hAnsi="黑体" w:eastAsia="黑体" w:cs="黑体"/>
          <w:bCs/>
          <w:sz w:val="32"/>
          <w:szCs w:val="32"/>
        </w:rPr>
        <w:t>三、项目绩效情况</w:t>
      </w:r>
      <w:r>
        <w:rPr>
          <w:rFonts w:hint="eastAsia" w:ascii="黑体" w:hAnsi="黑体" w:eastAsia="黑体" w:cs="黑体"/>
          <w:bCs/>
          <w:sz w:val="32"/>
          <w:szCs w:val="32"/>
        </w:rPr>
        <w:tab/>
      </w:r>
    </w:p>
    <w:p>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（一）项目完成情况。</w:t>
      </w:r>
    </w:p>
    <w:p>
      <w:pPr>
        <w:adjustRightInd w:val="0"/>
        <w:snapToGrid w:val="0"/>
        <w:spacing w:line="560" w:lineRule="exact"/>
        <w:ind w:firstLine="720"/>
        <w:rPr>
          <w:rFonts w:ascii="仿宋_GB2312" w:hAnsi="宋体" w:eastAsia="仿宋_GB2312" w:cs="宋体"/>
          <w:sz w:val="32"/>
          <w:szCs w:val="32"/>
        </w:rPr>
      </w:pPr>
      <w:r>
        <w:rPr>
          <w:rFonts w:hint="eastAsia" w:ascii="仿宋_GB2312" w:hAnsi="宋体" w:eastAsia="仿宋_GB2312" w:cs="宋体"/>
          <w:sz w:val="32"/>
          <w:szCs w:val="32"/>
        </w:rPr>
        <w:t>分局严格执行人民警察法定工作日之外加班补贴政策规定，严格考勤，加强管理，考勤情况在本单位公示，分局警务保障室根据考勤公示情况发放补贴。</w:t>
      </w:r>
    </w:p>
    <w:p>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（二）项目效益情况。</w:t>
      </w:r>
    </w:p>
    <w:p>
      <w:pPr>
        <w:adjustRightInd w:val="0"/>
        <w:snapToGrid w:val="0"/>
        <w:spacing w:line="560" w:lineRule="exact"/>
        <w:ind w:firstLine="720"/>
        <w:rPr>
          <w:rFonts w:ascii="仿宋_GB2312" w:hAnsi="宋体" w:eastAsia="仿宋_GB2312" w:cs="宋体"/>
          <w:sz w:val="32"/>
          <w:szCs w:val="32"/>
        </w:rPr>
      </w:pPr>
      <w:r>
        <w:rPr>
          <w:rFonts w:hint="eastAsia" w:ascii="仿宋_GB2312" w:hAnsi="宋体" w:eastAsia="仿宋_GB2312" w:cs="宋体"/>
          <w:sz w:val="32"/>
          <w:szCs w:val="32"/>
        </w:rPr>
        <w:t>通过加班费的发放，进一步将国家从优待警的政策落到实处，从而保障分局的基本运转。分局民警满意度较高。</w:t>
      </w:r>
    </w:p>
    <w:p>
      <w:pPr>
        <w:adjustRightInd w:val="0"/>
        <w:snapToGrid w:val="0"/>
        <w:spacing w:line="560" w:lineRule="exact"/>
        <w:ind w:firstLine="720"/>
        <w:rPr>
          <w:rFonts w:ascii="黑体" w:hAnsi="黑体" w:eastAsia="黑体" w:cs="黑体"/>
          <w:bCs/>
          <w:sz w:val="32"/>
          <w:szCs w:val="32"/>
        </w:rPr>
      </w:pPr>
      <w:r>
        <w:rPr>
          <w:rFonts w:hint="eastAsia" w:ascii="黑体" w:hAnsi="黑体" w:eastAsia="黑体" w:cs="黑体"/>
          <w:bCs/>
          <w:sz w:val="32"/>
          <w:szCs w:val="32"/>
        </w:rPr>
        <w:t>四、问题及建议</w:t>
      </w:r>
    </w:p>
    <w:p>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（一）存在的问题。</w:t>
      </w:r>
    </w:p>
    <w:p>
      <w:pPr>
        <w:adjustRightInd w:val="0"/>
        <w:snapToGrid w:val="0"/>
        <w:spacing w:line="560" w:lineRule="exact"/>
        <w:ind w:firstLine="720"/>
        <w:rPr>
          <w:rFonts w:ascii="仿宋_GB2312" w:hAnsi="宋体" w:eastAsia="仿宋_GB2312" w:cs="宋体"/>
          <w:sz w:val="32"/>
          <w:szCs w:val="32"/>
        </w:rPr>
      </w:pPr>
      <w:r>
        <w:rPr>
          <w:rFonts w:hint="eastAsia" w:ascii="仿宋_GB2312" w:hAnsi="宋体" w:eastAsia="仿宋_GB2312" w:cs="宋体"/>
          <w:sz w:val="32"/>
          <w:szCs w:val="32"/>
        </w:rPr>
        <w:t>无</w:t>
      </w:r>
    </w:p>
    <w:p>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（二）相关建议。</w:t>
      </w:r>
    </w:p>
    <w:p>
      <w:pPr>
        <w:pStyle w:val="2"/>
        <w:spacing w:before="93"/>
        <w:ind w:firstLine="320" w:firstLineChars="100"/>
        <w:rPr>
          <w:rFonts w:ascii="宋体" w:hAnsi="宋体" w:cs="宋体"/>
          <w:sz w:val="32"/>
          <w:szCs w:val="32"/>
        </w:rPr>
      </w:pPr>
      <w:r>
        <w:rPr>
          <w:rFonts w:hint="eastAsia" w:ascii="宋体" w:hAnsi="宋体" w:cs="宋体"/>
          <w:sz w:val="32"/>
          <w:szCs w:val="32"/>
        </w:rPr>
        <w:t xml:space="preserve">   无</w:t>
      </w:r>
    </w:p>
    <w:p>
      <w:pPr>
        <w:spacing w:line="570" w:lineRule="exact"/>
        <w:jc w:val="center"/>
        <w:rPr>
          <w:rFonts w:ascii="方正小标宋简体" w:eastAsia="方正小标宋简体"/>
          <w:sz w:val="36"/>
          <w:szCs w:val="36"/>
        </w:rPr>
      </w:pPr>
      <w:r>
        <w:rPr>
          <w:rFonts w:hint="eastAsia" w:ascii="方正小标宋简体" w:eastAsia="方正小标宋简体"/>
          <w:sz w:val="36"/>
          <w:szCs w:val="36"/>
        </w:rPr>
        <w:t>广元市公安局利州区分局</w:t>
      </w:r>
    </w:p>
    <w:p>
      <w:pPr>
        <w:spacing w:line="570" w:lineRule="exact"/>
        <w:jc w:val="center"/>
        <w:rPr>
          <w:rFonts w:ascii="方正小标宋简体" w:eastAsia="方正小标宋简体"/>
          <w:sz w:val="36"/>
          <w:szCs w:val="36"/>
        </w:rPr>
      </w:pPr>
      <w:r>
        <w:rPr>
          <w:rFonts w:hint="eastAsia" w:ascii="方正小标宋简体" w:eastAsia="方正小标宋简体"/>
          <w:sz w:val="36"/>
          <w:szCs w:val="36"/>
        </w:rPr>
        <w:t>2021年办案业务经费（含市直机关维稳经费）项目</w:t>
      </w:r>
    </w:p>
    <w:p>
      <w:pPr>
        <w:spacing w:line="570" w:lineRule="exact"/>
        <w:jc w:val="center"/>
        <w:rPr>
          <w:rFonts w:ascii="方正小标宋简体" w:eastAsia="方正小标宋简体"/>
          <w:sz w:val="36"/>
          <w:szCs w:val="36"/>
        </w:rPr>
      </w:pPr>
      <w:r>
        <w:rPr>
          <w:rFonts w:hint="eastAsia" w:ascii="方正小标宋简体" w:eastAsia="方正小标宋简体"/>
          <w:sz w:val="36"/>
          <w:szCs w:val="36"/>
        </w:rPr>
        <w:t>支出绩效自评报告</w:t>
      </w:r>
    </w:p>
    <w:p>
      <w:pPr>
        <w:spacing w:line="570" w:lineRule="exact"/>
        <w:jc w:val="center"/>
        <w:rPr>
          <w:rFonts w:ascii="方正小标宋简体" w:eastAsia="方正小标宋简体"/>
          <w:sz w:val="36"/>
          <w:szCs w:val="36"/>
        </w:rPr>
      </w:pPr>
    </w:p>
    <w:p>
      <w:pPr>
        <w:adjustRightInd w:val="0"/>
        <w:snapToGrid w:val="0"/>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一、项目概况</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该经费为确保社会政治大局稳定，打击涉黑涉黄涉赌等各类违法犯罪行为。防范化解重大公共安全风险、网络安全风险，提升整体工作能力，深化公安改革工作。同时构建大联动格局，推进大执法建设，服务保障重大战略、从而推动整体跨越发展。服务促进经济发展，服务回应群众需求，促使人民群众满意度提升。</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该项目实施前本单位进行了充分调研并呈报利州市财政局审批，后财政根据整体资金安排对按项目实际安排预算内资金365.4万元，符合预算法及资金管理办法。</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该项目申报内容与具体实施内容相符、申报目标合理可行。</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二、项目实施及管理情况</w:t>
      </w:r>
    </w:p>
    <w:p>
      <w:pPr>
        <w:spacing w:line="57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（一）资金计划、到位及使用情况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该项目年初预算365.4万元，实际下达指标365.4万元。年末执行数为365.4万元，完成预算的100%。</w:t>
      </w:r>
    </w:p>
    <w:p>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（二）项目财务管理情况。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分局严格执行财务管理制度、财务处理及时、会计核算规范。支付依据合规合法，资金支付与预算相符。</w:t>
      </w:r>
    </w:p>
    <w:p>
      <w:pPr>
        <w:spacing w:line="58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（三）项目组织实施情况。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办案专项业务费</w:t>
      </w:r>
      <w:r>
        <w:rPr>
          <w:rFonts w:ascii="仿宋_GB2312" w:hAnsi="宋体" w:eastAsia="仿宋_GB2312" w:cs="宋体"/>
          <w:sz w:val="32"/>
          <w:szCs w:val="32"/>
        </w:rPr>
        <w:t>项目</w:t>
      </w:r>
      <w:r>
        <w:rPr>
          <w:rFonts w:hint="eastAsia" w:ascii="仿宋_GB2312" w:hAnsi="宋体" w:eastAsia="仿宋_GB2312" w:cs="宋体"/>
          <w:sz w:val="32"/>
          <w:szCs w:val="32"/>
        </w:rPr>
        <w:t>是办理公安基本办案业务的费用。</w:t>
      </w:r>
      <w:r>
        <w:rPr>
          <w:rFonts w:ascii="仿宋_GB2312" w:hAnsi="宋体" w:eastAsia="仿宋_GB2312" w:cs="宋体"/>
          <w:sz w:val="32"/>
          <w:szCs w:val="32"/>
        </w:rPr>
        <w:t>绩效目标设置</w:t>
      </w:r>
      <w:r>
        <w:rPr>
          <w:rFonts w:hint="eastAsia" w:ascii="仿宋_GB2312" w:hAnsi="宋体" w:eastAsia="仿宋_GB2312" w:cs="宋体"/>
          <w:sz w:val="32"/>
          <w:szCs w:val="32"/>
        </w:rPr>
        <w:t>包括数量指标、质量指标、社会效益指标等。主要为办案差旅费、燃油等各类办案支出。</w:t>
      </w:r>
    </w:p>
    <w:p>
      <w:pPr>
        <w:adjustRightInd w:val="0"/>
        <w:snapToGrid w:val="0"/>
        <w:spacing w:line="580" w:lineRule="exact"/>
        <w:ind w:firstLine="720"/>
        <w:rPr>
          <w:rFonts w:ascii="黑体" w:hAnsi="黑体" w:eastAsia="黑体" w:cs="黑体"/>
          <w:bCs/>
          <w:sz w:val="32"/>
          <w:szCs w:val="32"/>
        </w:rPr>
      </w:pPr>
      <w:r>
        <w:rPr>
          <w:rFonts w:hint="eastAsia" w:ascii="黑体" w:hAnsi="黑体" w:eastAsia="黑体" w:cs="黑体"/>
          <w:bCs/>
          <w:sz w:val="32"/>
          <w:szCs w:val="32"/>
        </w:rPr>
        <w:t>三、项目绩效情况</w:t>
      </w:r>
      <w:r>
        <w:rPr>
          <w:rFonts w:hint="eastAsia" w:ascii="黑体" w:hAnsi="黑体" w:eastAsia="黑体" w:cs="黑体"/>
          <w:bCs/>
          <w:sz w:val="32"/>
          <w:szCs w:val="32"/>
        </w:rPr>
        <w:tab/>
      </w:r>
    </w:p>
    <w:p>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（一）项目完成情况。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过项目实施，办理了一大批涉黑涉黄涉赌案件。防范化解重大公共安全风险、网络安全风险，提升整体工作能力，深化公安改革工作。全面确保了市主城区治安大局平稳以及第三方社会综合评价全年指数大幅上升。</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年来，利州区公安分局广大民辅警在局党委坚强领导下，以对党忠诚为根，以人民期望为本，上下一心、精诚团结，成功处置群体事件156起，化解涉校等非正常死亡事件10起，确保了赴省进京非访和50人以上群体事件“零”发生。圆满完成李克强总理到广视察等警卫任务16次，各级“两会”、中高考、广元女儿节等系列重大安保195批次，确保了安保警卫“零失误”。</w:t>
      </w:r>
    </w:p>
    <w:p>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（二）项目效益情况。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深入推进“扫黑除恶”、“护旗”系列和打击传统盗抢骗“戟决”等专项行动，全力打好严打整治战。成功破获命案现案1起、15年前的命案积案1起；破获“10.13”特大入室盗窃案等四类侵财案件686件；侦破“6.30”</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等5件部省督特大电信诈骗案，抓获犯罪嫌疑人180人，捣毁电诈窝点12处；侦破“5.17”涉黑专案、胡某某恶势力犯罪集团案，抓获涉黑涉恶犯罪嫌疑人56人，105条扫黑除恶线索核查全部清仓见底，受到中央综治委及省扫黑办充分肯定。</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局聚焦稳定首责，聚焦风险防范。通过分局维稳工作及市委市政府、区委区政府警务室的工作，2021年辖区政治大局持续安全，社会大局持续稳定。警务室守卫首脑机关安全，维护市委市政府、区委区政府办公场所及周边治安秩序，协助党委政府做好来访群众的稳定及矛盾化解工作，做好发生在市委市政府、区委区政府各类事件的预警和先期处置。处理辖区各类突发事件，稳控各类人员，进一步提升了辖区居民安全感满意度。</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2021年，分局建党100周年安保维稳工作被省公安厅、省人社厅联合表彰。</w:t>
      </w:r>
    </w:p>
    <w:p>
      <w:pPr>
        <w:adjustRightInd w:val="0"/>
        <w:snapToGrid w:val="0"/>
        <w:spacing w:line="580" w:lineRule="exact"/>
        <w:ind w:firstLine="720"/>
        <w:rPr>
          <w:rFonts w:ascii="黑体" w:hAnsi="黑体" w:eastAsia="黑体" w:cs="黑体"/>
          <w:bCs/>
          <w:sz w:val="32"/>
          <w:szCs w:val="32"/>
        </w:rPr>
      </w:pPr>
      <w:r>
        <w:rPr>
          <w:rFonts w:hint="eastAsia" w:ascii="黑体" w:hAnsi="黑体" w:eastAsia="黑体" w:cs="黑体"/>
          <w:bCs/>
          <w:sz w:val="32"/>
          <w:szCs w:val="32"/>
        </w:rPr>
        <w:t>四、问题及建议</w:t>
      </w:r>
    </w:p>
    <w:p>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（一）存在的问题。</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一是经费预算严重不足。分局维稳工作为单位主要业务工作之一，维稳工作支出占分局公业务经费支出费用比例较大；特别全国、省等大型活动稳控重点人员，单位外派工作人员维稳，开支大量差旅费。</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二是存在差旅费报销中未严格按照规定刷公务卡情况。</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三是部分应急处突维稳装备跟不上新形势下公安业务发展。</w:t>
      </w:r>
    </w:p>
    <w:p>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（二）相关建议。</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一是财政加大专案经费预算，同时积极向上争取专案经费。</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二是严格财经手续，要求单位民警按照规定刷公务卡消费结算。</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三是及时更新部分应急处突装备，并积极研究采购适合新形势下的维稳类执法执勤装备。</w:t>
      </w:r>
    </w:p>
    <w:p>
      <w:pPr>
        <w:pStyle w:val="2"/>
        <w:spacing w:before="93"/>
      </w:pPr>
    </w:p>
    <w:p>
      <w:pPr>
        <w:pStyle w:val="2"/>
        <w:spacing w:before="93"/>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53" w:name="_Toc15396618"/>
            <w:r>
              <w:rPr>
                <w:rFonts w:hint="eastAsia" w:ascii="宋体" w:hAnsi="宋体" w:cs="宋体"/>
                <w:b/>
                <w:sz w:val="32"/>
                <w:szCs w:val="32"/>
              </w:rPr>
              <w:t>2021年派出所民警午餐补助项目绩效目标自评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201201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广元市公安局利州区分局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139.78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139.78</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139.78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139.78</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市财政保障的353名派出所民警工作午餐</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按期发放，派出所正常运转</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完成</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保障人数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353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353</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完成年度值班备勤工作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值班备勤人员必须在岗在位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值班备勤人员在岗在位</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确保派出所日常工作顺利开展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通过保障民警伙食费，保障派出所日常工作开展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通过保障民警伙食费，在接处警、执法办案、接待群众等各个工作方面保障派出所日常工作开展</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发放截止时间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效益</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23" w:leftChars="87" w:hanging="240" w:hangingChars="100"/>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95%及以上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100%</w:t>
            </w:r>
          </w:p>
        </w:tc>
      </w:tr>
    </w:tbl>
    <w:p>
      <w:pPr>
        <w:spacing w:line="600" w:lineRule="exact"/>
        <w:outlineLvl w:val="0"/>
        <w:rPr>
          <w:rFonts w:ascii="黑体" w:hAnsi="黑体" w:eastAsia="黑体"/>
          <w:sz w:val="44"/>
          <w:szCs w:val="44"/>
        </w:rPr>
      </w:pPr>
    </w:p>
    <w:p>
      <w:pPr>
        <w:adjustRightInd w:val="0"/>
        <w:snapToGrid w:val="0"/>
        <w:spacing w:line="560" w:lineRule="exact"/>
        <w:rPr>
          <w:rFonts w:ascii="宋体" w:hAnsi="宋体" w:eastAsia="仿宋_GB2312" w:cs="宋体"/>
          <w:sz w:val="32"/>
          <w:szCs w:val="32"/>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2021年民警法定节假日加班补贴项目绩效目标自评</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201202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广元市公安局利州区分局</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327.17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327.17</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327.17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327.17</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确保市财政保障的公安民警加班费用</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按期发放，派出所正常运转</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完成</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保障人数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384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384</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人均加班天数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72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72.5</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将加班费落到实处</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要求各所、队、室严格出勤及加班考核，并依据发放，接收审计检查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各所、队、室严格出勤及加班考核，并依据发</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确保日常工作顺利开展</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日常加班费用，保障全局各项主营工作顺利开展</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日常加班费用，保障全局各项主营工作顺利开展</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发放截止时间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w:t>
            </w: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满意率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95%及以上</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100%</w:t>
            </w:r>
          </w:p>
        </w:tc>
      </w:tr>
    </w:tbl>
    <w:p>
      <w:pPr>
        <w:pStyle w:val="2"/>
        <w:spacing w:before="93"/>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tblPrEx>
          <w:tblCellMar>
            <w:top w:w="0" w:type="dxa"/>
            <w:left w:w="108" w:type="dxa"/>
            <w:bottom w:w="0" w:type="dxa"/>
            <w:right w:w="108" w:type="dxa"/>
          </w:tblCellMar>
        </w:tblPrEx>
        <w:trPr>
          <w:trHeight w:val="675" w:hRule="atLeast"/>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2021年办案业务经费（含市直机关维稳经费）项目绩效目标自评</w:t>
            </w:r>
          </w:p>
        </w:tc>
      </w:tr>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201202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广元市公安局利州区分局</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365.4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365.4</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365.4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365.4</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市财政保障的353名派出所民警工作午餐</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按期发放，派出所正常运转</w:t>
            </w:r>
          </w:p>
        </w:tc>
      </w:tr>
      <w:tr>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完成</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完成市局刚性目标任务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完成刚性目标任务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完成打击刚性目标任务</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确保各类专项行动顺利开展</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确保“护旗”系列专项行动等顺利开展</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各类专项行动顺利开展</w:t>
            </w:r>
          </w:p>
        </w:tc>
      </w:tr>
      <w:tr>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20211231完成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20211231完成</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20211231完成</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效益</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厉行节约</w:t>
            </w: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政治大局安全稳控</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确保辖区全年无暴力恐怖事件和影响政治安全稳定的案事件发生</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确保辖区全年无暴力恐怖事件和影响政治安全稳定的案事件发生</w:t>
            </w:r>
          </w:p>
        </w:tc>
      </w:tr>
      <w:tr>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23" w:leftChars="87" w:hanging="240" w:hangingChars="100"/>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群众满意度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90%及以上</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90%及以上</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16"/>
          <w:rFonts w:hint="eastAsia" w:ascii="黑体" w:hAnsi="黑体" w:eastAsia="黑体"/>
          <w:b w:val="0"/>
        </w:rPr>
        <w:t>五部分 附表</w:t>
      </w:r>
      <w:bookmarkEnd w:id="52"/>
      <w:bookmarkEnd w:id="53"/>
      <w:bookmarkStart w:id="54" w:name="_Toc15396619"/>
    </w:p>
    <w:p>
      <w:pPr>
        <w:pStyle w:val="4"/>
        <w:rPr>
          <w:rFonts w:hint="eastAsia" w:ascii="仿宋_GB2312" w:hAnsi="仿宋" w:eastAsia="仿宋_GB2312"/>
        </w:rPr>
      </w:pPr>
      <w:r>
        <w:rPr>
          <w:rFonts w:hint="eastAsia" w:ascii="仿宋_GB2312" w:hAnsi="仿宋" w:eastAsia="仿宋_GB2312"/>
          <w:b w:val="0"/>
        </w:rPr>
        <w:t>一、收</w:t>
      </w:r>
      <w:r>
        <w:rPr>
          <w:rStyle w:val="17"/>
          <w:rFonts w:hint="eastAsia" w:ascii="仿宋_GB2312" w:hAnsi="仿宋" w:eastAsia="仿宋_GB2312"/>
          <w:b w:val="0"/>
          <w:bCs w:val="0"/>
        </w:rPr>
        <w:t>入支出决算总表</w:t>
      </w:r>
      <w:bookmarkEnd w:id="54"/>
    </w:p>
    <w:p>
      <w:pPr>
        <w:pStyle w:val="4"/>
        <w:rPr>
          <w:rFonts w:hint="eastAsia" w:ascii="仿宋_GB2312" w:hAnsi="仿宋" w:eastAsia="仿宋_GB2312"/>
        </w:rPr>
      </w:pPr>
      <w:bookmarkStart w:id="55" w:name="_Toc15396620"/>
      <w:r>
        <w:rPr>
          <w:rFonts w:hint="eastAsia" w:ascii="仿宋_GB2312" w:hAnsi="仿宋" w:eastAsia="仿宋_GB2312"/>
          <w:b w:val="0"/>
        </w:rPr>
        <w:t>二、收</w:t>
      </w:r>
      <w:r>
        <w:rPr>
          <w:rStyle w:val="17"/>
          <w:rFonts w:hint="eastAsia" w:ascii="仿宋_GB2312" w:hAnsi="仿宋" w:eastAsia="仿宋_GB2312"/>
          <w:b w:val="0"/>
          <w:bCs w:val="0"/>
        </w:rPr>
        <w:t>入决算表</w:t>
      </w:r>
      <w:bookmarkEnd w:id="55"/>
    </w:p>
    <w:p>
      <w:pPr>
        <w:pStyle w:val="4"/>
        <w:rPr>
          <w:rFonts w:hint="eastAsia" w:ascii="仿宋_GB2312" w:hAnsi="仿宋" w:eastAsia="仿宋_GB2312"/>
        </w:rPr>
      </w:pPr>
      <w:bookmarkStart w:id="56" w:name="_Toc15396621"/>
      <w:r>
        <w:rPr>
          <w:rStyle w:val="17"/>
          <w:rFonts w:hint="eastAsia" w:ascii="仿宋_GB2312" w:hAnsi="仿宋" w:eastAsia="仿宋_GB2312"/>
          <w:b w:val="0"/>
          <w:bCs w:val="0"/>
        </w:rPr>
        <w:t>三、</w:t>
      </w:r>
      <w:r>
        <w:rPr>
          <w:rFonts w:hint="eastAsia" w:ascii="仿宋_GB2312" w:hAnsi="仿宋" w:eastAsia="仿宋_GB2312"/>
          <w:b w:val="0"/>
        </w:rPr>
        <w:t>支</w:t>
      </w:r>
      <w:r>
        <w:rPr>
          <w:rStyle w:val="17"/>
          <w:rFonts w:hint="eastAsia" w:ascii="仿宋_GB2312" w:hAnsi="仿宋" w:eastAsia="仿宋_GB2312"/>
          <w:b w:val="0"/>
          <w:bCs w:val="0"/>
        </w:rPr>
        <w:t>出决算表</w:t>
      </w:r>
      <w:bookmarkEnd w:id="56"/>
    </w:p>
    <w:p>
      <w:pPr>
        <w:pStyle w:val="4"/>
        <w:rPr>
          <w:rFonts w:hint="eastAsia" w:ascii="仿宋_GB2312" w:hAnsi="仿宋" w:eastAsia="仿宋_GB2312"/>
          <w:b w:val="0"/>
        </w:rPr>
      </w:pPr>
      <w:bookmarkStart w:id="57" w:name="_Toc15396622"/>
      <w:r>
        <w:rPr>
          <w:rStyle w:val="17"/>
          <w:rFonts w:hint="eastAsia" w:ascii="仿宋_GB2312" w:hAnsi="仿宋" w:eastAsia="仿宋_GB2312"/>
          <w:b w:val="0"/>
          <w:bCs w:val="0"/>
        </w:rPr>
        <w:t>四、</w:t>
      </w:r>
      <w:r>
        <w:rPr>
          <w:rFonts w:hint="eastAsia" w:ascii="仿宋_GB2312" w:hAnsi="仿宋" w:eastAsia="仿宋_GB2312"/>
          <w:b w:val="0"/>
        </w:rPr>
        <w:t>财</w:t>
      </w:r>
      <w:r>
        <w:rPr>
          <w:rStyle w:val="17"/>
          <w:rFonts w:hint="eastAsia" w:ascii="仿宋_GB2312" w:hAnsi="仿宋" w:eastAsia="仿宋_GB2312"/>
          <w:b w:val="0"/>
          <w:bCs w:val="0"/>
        </w:rPr>
        <w:t>政拨款收入支出决算总表</w:t>
      </w:r>
      <w:bookmarkEnd w:id="57"/>
    </w:p>
    <w:p>
      <w:pPr>
        <w:pStyle w:val="4"/>
        <w:rPr>
          <w:rStyle w:val="17"/>
          <w:rFonts w:hint="eastAsia" w:ascii="仿宋_GB2312" w:hAnsi="仿宋" w:eastAsia="仿宋_GB2312"/>
          <w:b w:val="0"/>
          <w:bCs w:val="0"/>
        </w:rPr>
      </w:pPr>
      <w:bookmarkStart w:id="58" w:name="_Toc15396623"/>
      <w:r>
        <w:rPr>
          <w:rStyle w:val="17"/>
          <w:rFonts w:hint="eastAsia" w:ascii="仿宋_GB2312" w:hAnsi="仿宋" w:eastAsia="仿宋_GB2312"/>
          <w:b w:val="0"/>
          <w:bCs w:val="0"/>
        </w:rPr>
        <w:t>五、</w:t>
      </w:r>
      <w:r>
        <w:rPr>
          <w:rFonts w:hint="eastAsia" w:ascii="仿宋_GB2312" w:hAnsi="仿宋" w:eastAsia="仿宋_GB2312"/>
          <w:b w:val="0"/>
        </w:rPr>
        <w:t>财</w:t>
      </w:r>
      <w:r>
        <w:rPr>
          <w:rStyle w:val="17"/>
          <w:rFonts w:hint="eastAsia" w:ascii="仿宋_GB2312" w:hAnsi="仿宋" w:eastAsia="仿宋_GB2312"/>
          <w:b w:val="0"/>
          <w:bCs w:val="0"/>
        </w:rPr>
        <w:t>政拨款支出决算明细表</w:t>
      </w:r>
      <w:bookmarkEnd w:id="58"/>
      <w:bookmarkStart w:id="59" w:name="_Toc15396624"/>
    </w:p>
    <w:p>
      <w:pPr>
        <w:pStyle w:val="4"/>
        <w:rPr>
          <w:rFonts w:hint="eastAsia" w:ascii="仿宋_GB2312" w:hAnsi="仿宋" w:eastAsia="仿宋_GB2312"/>
        </w:rPr>
      </w:pPr>
      <w:r>
        <w:rPr>
          <w:rStyle w:val="17"/>
          <w:rFonts w:hint="eastAsia" w:ascii="仿宋_GB2312" w:hAnsi="仿宋" w:eastAsia="仿宋_GB2312"/>
          <w:b w:val="0"/>
          <w:bCs w:val="0"/>
        </w:rPr>
        <w:t>六、</w:t>
      </w:r>
      <w:r>
        <w:rPr>
          <w:rFonts w:hint="eastAsia" w:ascii="仿宋_GB2312" w:hAnsi="仿宋" w:eastAsia="仿宋_GB2312"/>
          <w:b w:val="0"/>
        </w:rPr>
        <w:t>一</w:t>
      </w:r>
      <w:r>
        <w:rPr>
          <w:rStyle w:val="17"/>
          <w:rFonts w:hint="eastAsia" w:ascii="仿宋_GB2312" w:hAnsi="仿宋" w:eastAsia="仿宋_GB2312"/>
          <w:b w:val="0"/>
          <w:bCs w:val="0"/>
        </w:rPr>
        <w:t>般公共预算财政拨款支出决算表</w:t>
      </w:r>
      <w:bookmarkEnd w:id="59"/>
    </w:p>
    <w:p>
      <w:pPr>
        <w:pStyle w:val="4"/>
        <w:rPr>
          <w:rFonts w:hint="eastAsia" w:ascii="仿宋_GB2312" w:hAnsi="仿宋" w:eastAsia="仿宋_GB2312"/>
        </w:rPr>
      </w:pPr>
      <w:bookmarkStart w:id="60" w:name="_Toc15396625"/>
      <w:r>
        <w:rPr>
          <w:rStyle w:val="17"/>
          <w:rFonts w:hint="eastAsia" w:ascii="仿宋_GB2312" w:hAnsi="仿宋" w:eastAsia="仿宋_GB2312"/>
          <w:b w:val="0"/>
          <w:bCs w:val="0"/>
        </w:rPr>
        <w:t>七、</w:t>
      </w:r>
      <w:r>
        <w:rPr>
          <w:rFonts w:hint="eastAsia" w:ascii="仿宋_GB2312" w:hAnsi="仿宋" w:eastAsia="仿宋_GB2312"/>
          <w:b w:val="0"/>
        </w:rPr>
        <w:t>一</w:t>
      </w:r>
      <w:r>
        <w:rPr>
          <w:rStyle w:val="17"/>
          <w:rFonts w:hint="eastAsia" w:ascii="仿宋_GB2312" w:hAnsi="仿宋" w:eastAsia="仿宋_GB2312"/>
          <w:b w:val="0"/>
          <w:bCs w:val="0"/>
        </w:rPr>
        <w:t>般公共预算财政拨款支出决算明细表</w:t>
      </w:r>
      <w:bookmarkEnd w:id="60"/>
    </w:p>
    <w:p>
      <w:pPr>
        <w:pStyle w:val="4"/>
        <w:rPr>
          <w:rFonts w:hint="eastAsia" w:ascii="仿宋_GB2312" w:hAnsi="仿宋" w:eastAsia="仿宋_GB2312"/>
        </w:rPr>
      </w:pPr>
      <w:bookmarkStart w:id="61" w:name="_Toc15396626"/>
      <w:r>
        <w:rPr>
          <w:rStyle w:val="17"/>
          <w:rFonts w:hint="eastAsia" w:ascii="仿宋_GB2312" w:hAnsi="仿宋" w:eastAsia="仿宋_GB2312"/>
          <w:b w:val="0"/>
          <w:bCs w:val="0"/>
        </w:rPr>
        <w:t>八、</w:t>
      </w:r>
      <w:r>
        <w:rPr>
          <w:rFonts w:hint="eastAsia" w:ascii="仿宋_GB2312" w:hAnsi="仿宋" w:eastAsia="仿宋_GB2312"/>
          <w:b w:val="0"/>
        </w:rPr>
        <w:t>一</w:t>
      </w:r>
      <w:r>
        <w:rPr>
          <w:rStyle w:val="17"/>
          <w:rFonts w:hint="eastAsia" w:ascii="仿宋_GB2312" w:hAnsi="仿宋" w:eastAsia="仿宋_GB2312"/>
          <w:b w:val="0"/>
          <w:bCs w:val="0"/>
        </w:rPr>
        <w:t>般公共预算财政拨款基本支出决算表</w:t>
      </w:r>
      <w:bookmarkEnd w:id="61"/>
    </w:p>
    <w:p>
      <w:pPr>
        <w:pStyle w:val="4"/>
        <w:rPr>
          <w:rFonts w:hint="eastAsia" w:ascii="仿宋_GB2312" w:hAnsi="仿宋" w:eastAsia="仿宋_GB2312"/>
        </w:rPr>
      </w:pPr>
      <w:bookmarkStart w:id="62" w:name="_Toc15396627"/>
      <w:r>
        <w:rPr>
          <w:rStyle w:val="17"/>
          <w:rFonts w:hint="eastAsia" w:ascii="仿宋_GB2312" w:hAnsi="仿宋" w:eastAsia="仿宋_GB2312"/>
          <w:b w:val="0"/>
          <w:bCs w:val="0"/>
        </w:rPr>
        <w:t>九、</w:t>
      </w:r>
      <w:r>
        <w:rPr>
          <w:rFonts w:hint="eastAsia" w:ascii="仿宋_GB2312" w:hAnsi="仿宋" w:eastAsia="仿宋_GB2312"/>
          <w:b w:val="0"/>
        </w:rPr>
        <w:t>一</w:t>
      </w:r>
      <w:r>
        <w:rPr>
          <w:rStyle w:val="17"/>
          <w:rFonts w:hint="eastAsia" w:ascii="仿宋_GB2312" w:hAnsi="仿宋" w:eastAsia="仿宋_GB2312"/>
          <w:b w:val="0"/>
          <w:bCs w:val="0"/>
        </w:rPr>
        <w:t>般公共预算财政拨款项目支出决算表</w:t>
      </w:r>
      <w:bookmarkEnd w:id="62"/>
    </w:p>
    <w:p>
      <w:pPr>
        <w:pStyle w:val="4"/>
        <w:rPr>
          <w:rFonts w:hint="eastAsia" w:ascii="仿宋_GB2312" w:hAnsi="仿宋" w:eastAsia="仿宋_GB2312"/>
        </w:rPr>
      </w:pPr>
      <w:bookmarkStart w:id="63" w:name="_Toc15396628"/>
      <w:r>
        <w:rPr>
          <w:rStyle w:val="17"/>
          <w:rFonts w:hint="eastAsia" w:ascii="仿宋_GB2312" w:hAnsi="仿宋" w:eastAsia="仿宋_GB2312"/>
          <w:b w:val="0"/>
          <w:bCs w:val="0"/>
        </w:rPr>
        <w:t>十、</w:t>
      </w:r>
      <w:r>
        <w:rPr>
          <w:rFonts w:hint="eastAsia" w:ascii="仿宋_GB2312" w:hAnsi="仿宋" w:eastAsia="仿宋_GB2312"/>
          <w:b w:val="0"/>
        </w:rPr>
        <w:t>一</w:t>
      </w:r>
      <w:r>
        <w:rPr>
          <w:rStyle w:val="17"/>
          <w:rFonts w:hint="eastAsia" w:ascii="仿宋_GB2312" w:hAnsi="仿宋" w:eastAsia="仿宋_GB2312"/>
          <w:b w:val="0"/>
          <w:bCs w:val="0"/>
        </w:rPr>
        <w:t>般公共预算财政拨款“三公”经费支出决算表</w:t>
      </w:r>
      <w:bookmarkEnd w:id="63"/>
    </w:p>
    <w:p>
      <w:pPr>
        <w:pStyle w:val="4"/>
        <w:rPr>
          <w:rFonts w:hint="eastAsia" w:ascii="仿宋_GB2312" w:hAnsi="仿宋" w:eastAsia="仿宋_GB2312"/>
        </w:rPr>
      </w:pPr>
      <w:bookmarkStart w:id="64" w:name="_Toc15396629"/>
      <w:r>
        <w:rPr>
          <w:rStyle w:val="17"/>
          <w:rFonts w:hint="eastAsia" w:ascii="仿宋_GB2312" w:hAnsi="仿宋" w:eastAsia="仿宋_GB2312"/>
          <w:b w:val="0"/>
          <w:bCs w:val="0"/>
        </w:rPr>
        <w:t>十一、</w:t>
      </w:r>
      <w:r>
        <w:rPr>
          <w:rFonts w:hint="eastAsia" w:ascii="仿宋_GB2312" w:hAnsi="仿宋" w:eastAsia="仿宋_GB2312"/>
          <w:b w:val="0"/>
        </w:rPr>
        <w:t>政</w:t>
      </w:r>
      <w:r>
        <w:rPr>
          <w:rStyle w:val="17"/>
          <w:rFonts w:hint="eastAsia" w:ascii="仿宋_GB2312" w:hAnsi="仿宋" w:eastAsia="仿宋_GB2312"/>
          <w:b w:val="0"/>
          <w:bCs w:val="0"/>
        </w:rPr>
        <w:t>府性基金预算财政拨款收入支出决算表</w:t>
      </w:r>
      <w:bookmarkEnd w:id="64"/>
    </w:p>
    <w:p>
      <w:pPr>
        <w:pStyle w:val="4"/>
        <w:rPr>
          <w:rFonts w:hint="eastAsia" w:ascii="仿宋_GB2312" w:hAnsi="仿宋" w:eastAsia="仿宋_GB2312"/>
        </w:rPr>
      </w:pPr>
      <w:bookmarkStart w:id="65" w:name="_Toc15396630"/>
      <w:r>
        <w:rPr>
          <w:rStyle w:val="17"/>
          <w:rFonts w:hint="eastAsia" w:ascii="仿宋_GB2312" w:hAnsi="仿宋" w:eastAsia="仿宋_GB2312"/>
          <w:b w:val="0"/>
          <w:bCs w:val="0"/>
        </w:rPr>
        <w:t>十二、</w:t>
      </w:r>
      <w:r>
        <w:rPr>
          <w:rFonts w:hint="eastAsia" w:ascii="仿宋_GB2312" w:hAnsi="仿宋" w:eastAsia="仿宋_GB2312"/>
          <w:b w:val="0"/>
        </w:rPr>
        <w:t>政</w:t>
      </w:r>
      <w:r>
        <w:rPr>
          <w:rStyle w:val="17"/>
          <w:rFonts w:hint="eastAsia" w:ascii="仿宋_GB2312" w:hAnsi="仿宋" w:eastAsia="仿宋_GB2312"/>
          <w:b w:val="0"/>
          <w:bCs w:val="0"/>
        </w:rPr>
        <w:t>府性基金预算财政拨款“三公”经费支出决算表</w:t>
      </w:r>
      <w:bookmarkEnd w:id="65"/>
    </w:p>
    <w:p>
      <w:pPr>
        <w:pStyle w:val="4"/>
        <w:rPr>
          <w:rStyle w:val="17"/>
          <w:rFonts w:hint="eastAsia" w:ascii="仿宋_GB2312" w:hAnsi="仿宋" w:eastAsia="仿宋_GB2312"/>
          <w:b w:val="0"/>
          <w:bCs w:val="0"/>
        </w:rPr>
      </w:pPr>
      <w:bookmarkStart w:id="66" w:name="_Toc15396631"/>
      <w:r>
        <w:rPr>
          <w:rStyle w:val="17"/>
          <w:rFonts w:hint="eastAsia" w:ascii="仿宋_GB2312" w:hAnsi="仿宋" w:eastAsia="仿宋_GB2312"/>
          <w:b w:val="0"/>
          <w:bCs w:val="0"/>
        </w:rPr>
        <w:t>十三、</w:t>
      </w:r>
      <w:r>
        <w:rPr>
          <w:rFonts w:hint="eastAsia" w:ascii="仿宋_GB2312" w:hAnsi="仿宋" w:eastAsia="仿宋_GB2312"/>
          <w:b w:val="0"/>
        </w:rPr>
        <w:t>国</w:t>
      </w:r>
      <w:r>
        <w:rPr>
          <w:rStyle w:val="17"/>
          <w:rFonts w:hint="eastAsia" w:ascii="仿宋_GB2312" w:hAnsi="仿宋" w:eastAsia="仿宋_GB2312"/>
          <w:b w:val="0"/>
          <w:bCs w:val="0"/>
        </w:rPr>
        <w:t>有资本经营预算财政拨款收入支出决算表</w:t>
      </w:r>
      <w:bookmarkEnd w:id="66"/>
    </w:p>
    <w:p>
      <w:pPr>
        <w:rPr>
          <w:rFonts w:hint="eastAsia" w:ascii="仿宋_GB2312" w:eastAsia="仿宋_GB2312"/>
        </w:rPr>
      </w:pPr>
      <w:r>
        <w:rPr>
          <w:rStyle w:val="17"/>
          <w:rFonts w:hint="eastAsia" w:ascii="仿宋_GB2312" w:hAnsi="仿宋" w:eastAsia="仿宋_GB2312"/>
          <w:b w:val="0"/>
          <w:bCs w:val="0"/>
        </w:rPr>
        <w:t>十四、国有资本经营预算财政拨款支出决算表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6579469"/>
      <w:docPartObj>
        <w:docPartGallery w:val="autotext"/>
      </w:docPartObj>
    </w:sdtPr>
    <w:sdtContent>
      <w:p>
        <w:pPr>
          <w:pStyle w:val="8"/>
        </w:pPr>
        <w:r>
          <w:fldChar w:fldCharType="begin"/>
        </w:r>
        <w:r>
          <w:instrText xml:space="preserve">PAGE   \* MERGEFORMAT</w:instrText>
        </w:r>
        <w:r>
          <w:fldChar w:fldCharType="separate"/>
        </w:r>
        <w:r>
          <w:rPr>
            <w:lang w:val="zh-CN"/>
          </w:rPr>
          <w:t>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3B02C5"/>
    <w:multiLevelType w:val="multilevel"/>
    <w:tmpl w:val="123B02C5"/>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06E1B"/>
    <w:rsid w:val="000222C6"/>
    <w:rsid w:val="0002549F"/>
    <w:rsid w:val="000468DB"/>
    <w:rsid w:val="000602A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657F"/>
    <w:rsid w:val="000D1267"/>
    <w:rsid w:val="000D1D50"/>
    <w:rsid w:val="000D2F23"/>
    <w:rsid w:val="000D5782"/>
    <w:rsid w:val="000E6613"/>
    <w:rsid w:val="000E7119"/>
    <w:rsid w:val="00114E9B"/>
    <w:rsid w:val="00142216"/>
    <w:rsid w:val="00144D6A"/>
    <w:rsid w:val="0014729F"/>
    <w:rsid w:val="00157BAB"/>
    <w:rsid w:val="001654D1"/>
    <w:rsid w:val="001721EE"/>
    <w:rsid w:val="00174518"/>
    <w:rsid w:val="0018106D"/>
    <w:rsid w:val="001877A7"/>
    <w:rsid w:val="00191536"/>
    <w:rsid w:val="00196687"/>
    <w:rsid w:val="001A228E"/>
    <w:rsid w:val="001C0962"/>
    <w:rsid w:val="001D7531"/>
    <w:rsid w:val="001E737D"/>
    <w:rsid w:val="001F0592"/>
    <w:rsid w:val="001F7506"/>
    <w:rsid w:val="002006CD"/>
    <w:rsid w:val="00202B36"/>
    <w:rsid w:val="0020394E"/>
    <w:rsid w:val="00204B7A"/>
    <w:rsid w:val="00204CDE"/>
    <w:rsid w:val="0021101A"/>
    <w:rsid w:val="00220536"/>
    <w:rsid w:val="00235629"/>
    <w:rsid w:val="00254A00"/>
    <w:rsid w:val="00260C38"/>
    <w:rsid w:val="002616C0"/>
    <w:rsid w:val="00265372"/>
    <w:rsid w:val="002662AA"/>
    <w:rsid w:val="00280496"/>
    <w:rsid w:val="0028263C"/>
    <w:rsid w:val="00284307"/>
    <w:rsid w:val="00294DC9"/>
    <w:rsid w:val="00295495"/>
    <w:rsid w:val="002A0C88"/>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2686"/>
    <w:rsid w:val="003B688C"/>
    <w:rsid w:val="003C0291"/>
    <w:rsid w:val="003C39AE"/>
    <w:rsid w:val="003C7B60"/>
    <w:rsid w:val="003D0C0F"/>
    <w:rsid w:val="003D1FB2"/>
    <w:rsid w:val="003D5251"/>
    <w:rsid w:val="003D66DA"/>
    <w:rsid w:val="003E1310"/>
    <w:rsid w:val="003E6F55"/>
    <w:rsid w:val="00406254"/>
    <w:rsid w:val="004114EC"/>
    <w:rsid w:val="00420C5B"/>
    <w:rsid w:val="004223DE"/>
    <w:rsid w:val="00433B05"/>
    <w:rsid w:val="00434489"/>
    <w:rsid w:val="00437085"/>
    <w:rsid w:val="00437DE8"/>
    <w:rsid w:val="00443880"/>
    <w:rsid w:val="004464F4"/>
    <w:rsid w:val="00454335"/>
    <w:rsid w:val="00471401"/>
    <w:rsid w:val="00473F31"/>
    <w:rsid w:val="0048157F"/>
    <w:rsid w:val="0048263A"/>
    <w:rsid w:val="00487E5D"/>
    <w:rsid w:val="0049151F"/>
    <w:rsid w:val="0049720A"/>
    <w:rsid w:val="004A711F"/>
    <w:rsid w:val="004B199D"/>
    <w:rsid w:val="004B4690"/>
    <w:rsid w:val="004C382A"/>
    <w:rsid w:val="004D5676"/>
    <w:rsid w:val="004E0A2D"/>
    <w:rsid w:val="004E206B"/>
    <w:rsid w:val="004E6DF7"/>
    <w:rsid w:val="004F0FBD"/>
    <w:rsid w:val="00501D1B"/>
    <w:rsid w:val="00505940"/>
    <w:rsid w:val="00505A47"/>
    <w:rsid w:val="00512FDA"/>
    <w:rsid w:val="00520DA0"/>
    <w:rsid w:val="00551134"/>
    <w:rsid w:val="005664BB"/>
    <w:rsid w:val="00566FFA"/>
    <w:rsid w:val="0057481D"/>
    <w:rsid w:val="0058486E"/>
    <w:rsid w:val="00585B33"/>
    <w:rsid w:val="00585F3F"/>
    <w:rsid w:val="0059014D"/>
    <w:rsid w:val="005B5C64"/>
    <w:rsid w:val="005C4A92"/>
    <w:rsid w:val="005C5337"/>
    <w:rsid w:val="005C6BD0"/>
    <w:rsid w:val="005D071F"/>
    <w:rsid w:val="005D1C8B"/>
    <w:rsid w:val="005D29E9"/>
    <w:rsid w:val="005D468D"/>
    <w:rsid w:val="005D5CED"/>
    <w:rsid w:val="005F1377"/>
    <w:rsid w:val="005F1A4C"/>
    <w:rsid w:val="005F30C0"/>
    <w:rsid w:val="00605688"/>
    <w:rsid w:val="006070AF"/>
    <w:rsid w:val="00607E6C"/>
    <w:rsid w:val="006101B1"/>
    <w:rsid w:val="00614E44"/>
    <w:rsid w:val="0062270A"/>
    <w:rsid w:val="00622830"/>
    <w:rsid w:val="00623DA0"/>
    <w:rsid w:val="00630AEF"/>
    <w:rsid w:val="006325F8"/>
    <w:rsid w:val="00633463"/>
    <w:rsid w:val="0063463E"/>
    <w:rsid w:val="00634C9A"/>
    <w:rsid w:val="006440E4"/>
    <w:rsid w:val="00651D91"/>
    <w:rsid w:val="0066343B"/>
    <w:rsid w:val="00664777"/>
    <w:rsid w:val="00666411"/>
    <w:rsid w:val="0067172E"/>
    <w:rsid w:val="006748A4"/>
    <w:rsid w:val="00681A31"/>
    <w:rsid w:val="00683E73"/>
    <w:rsid w:val="006A3141"/>
    <w:rsid w:val="006A5E34"/>
    <w:rsid w:val="006A757B"/>
    <w:rsid w:val="006B2422"/>
    <w:rsid w:val="006B2B9A"/>
    <w:rsid w:val="006B56D3"/>
    <w:rsid w:val="006C1937"/>
    <w:rsid w:val="006F020C"/>
    <w:rsid w:val="006F2644"/>
    <w:rsid w:val="00703953"/>
    <w:rsid w:val="007127B7"/>
    <w:rsid w:val="0071798E"/>
    <w:rsid w:val="00726DBF"/>
    <w:rsid w:val="007416B6"/>
    <w:rsid w:val="00746463"/>
    <w:rsid w:val="00746F48"/>
    <w:rsid w:val="0075404D"/>
    <w:rsid w:val="0076182A"/>
    <w:rsid w:val="00767B7E"/>
    <w:rsid w:val="00767F61"/>
    <w:rsid w:val="007770C3"/>
    <w:rsid w:val="00784D24"/>
    <w:rsid w:val="00785FBA"/>
    <w:rsid w:val="00786E4A"/>
    <w:rsid w:val="007875EB"/>
    <w:rsid w:val="0079426B"/>
    <w:rsid w:val="007A7506"/>
    <w:rsid w:val="007B645A"/>
    <w:rsid w:val="007D1682"/>
    <w:rsid w:val="007D312A"/>
    <w:rsid w:val="007D3F19"/>
    <w:rsid w:val="007E23B0"/>
    <w:rsid w:val="007E23E5"/>
    <w:rsid w:val="007F1991"/>
    <w:rsid w:val="007F2C2F"/>
    <w:rsid w:val="007F55FC"/>
    <w:rsid w:val="007F5665"/>
    <w:rsid w:val="00800112"/>
    <w:rsid w:val="00813348"/>
    <w:rsid w:val="008253BB"/>
    <w:rsid w:val="00827F16"/>
    <w:rsid w:val="0083706E"/>
    <w:rsid w:val="008408F6"/>
    <w:rsid w:val="008423A5"/>
    <w:rsid w:val="00850625"/>
    <w:rsid w:val="00851A34"/>
    <w:rsid w:val="00853718"/>
    <w:rsid w:val="00855221"/>
    <w:rsid w:val="00860645"/>
    <w:rsid w:val="00865BFF"/>
    <w:rsid w:val="00871F71"/>
    <w:rsid w:val="00872FD8"/>
    <w:rsid w:val="00885AF4"/>
    <w:rsid w:val="008939CD"/>
    <w:rsid w:val="008A32DC"/>
    <w:rsid w:val="008A726A"/>
    <w:rsid w:val="008B0530"/>
    <w:rsid w:val="008B768C"/>
    <w:rsid w:val="008C4DB1"/>
    <w:rsid w:val="008C4EAF"/>
    <w:rsid w:val="008C5176"/>
    <w:rsid w:val="008C7FD0"/>
    <w:rsid w:val="008D58CE"/>
    <w:rsid w:val="008E1DE7"/>
    <w:rsid w:val="008E707C"/>
    <w:rsid w:val="00900B08"/>
    <w:rsid w:val="00902155"/>
    <w:rsid w:val="00902FA3"/>
    <w:rsid w:val="00921C70"/>
    <w:rsid w:val="00923564"/>
    <w:rsid w:val="0092392E"/>
    <w:rsid w:val="009315F9"/>
    <w:rsid w:val="00933499"/>
    <w:rsid w:val="00935C98"/>
    <w:rsid w:val="009361FD"/>
    <w:rsid w:val="00946945"/>
    <w:rsid w:val="00951248"/>
    <w:rsid w:val="0095152F"/>
    <w:rsid w:val="00954C49"/>
    <w:rsid w:val="00955E37"/>
    <w:rsid w:val="0097099F"/>
    <w:rsid w:val="00971997"/>
    <w:rsid w:val="00971FFC"/>
    <w:rsid w:val="0098660A"/>
    <w:rsid w:val="009878D3"/>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1F1"/>
    <w:rsid w:val="00A47218"/>
    <w:rsid w:val="00A56DF2"/>
    <w:rsid w:val="00A56E6E"/>
    <w:rsid w:val="00A60B29"/>
    <w:rsid w:val="00A61B68"/>
    <w:rsid w:val="00A67AB5"/>
    <w:rsid w:val="00A733B2"/>
    <w:rsid w:val="00A741C2"/>
    <w:rsid w:val="00A91760"/>
    <w:rsid w:val="00A93B00"/>
    <w:rsid w:val="00A93C21"/>
    <w:rsid w:val="00AA174D"/>
    <w:rsid w:val="00AA660A"/>
    <w:rsid w:val="00AB64C9"/>
    <w:rsid w:val="00AC3C6A"/>
    <w:rsid w:val="00AC6541"/>
    <w:rsid w:val="00AD03AD"/>
    <w:rsid w:val="00AD5620"/>
    <w:rsid w:val="00AD656B"/>
    <w:rsid w:val="00AD7C1B"/>
    <w:rsid w:val="00AE16BA"/>
    <w:rsid w:val="00AE1EBE"/>
    <w:rsid w:val="00B03C9D"/>
    <w:rsid w:val="00B0535E"/>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7733"/>
    <w:rsid w:val="00BF5BD6"/>
    <w:rsid w:val="00C03E31"/>
    <w:rsid w:val="00C11691"/>
    <w:rsid w:val="00C33E72"/>
    <w:rsid w:val="00C354B2"/>
    <w:rsid w:val="00C35554"/>
    <w:rsid w:val="00C42709"/>
    <w:rsid w:val="00C455AA"/>
    <w:rsid w:val="00C533CC"/>
    <w:rsid w:val="00C5751C"/>
    <w:rsid w:val="00C61BFC"/>
    <w:rsid w:val="00C62B85"/>
    <w:rsid w:val="00C65438"/>
    <w:rsid w:val="00C7104F"/>
    <w:rsid w:val="00C8351C"/>
    <w:rsid w:val="00C87FD8"/>
    <w:rsid w:val="00C91381"/>
    <w:rsid w:val="00C91CBB"/>
    <w:rsid w:val="00C9372D"/>
    <w:rsid w:val="00CB1863"/>
    <w:rsid w:val="00CB4E70"/>
    <w:rsid w:val="00CB4F99"/>
    <w:rsid w:val="00CC09B6"/>
    <w:rsid w:val="00CC666F"/>
    <w:rsid w:val="00CD1E3F"/>
    <w:rsid w:val="00CD5592"/>
    <w:rsid w:val="00CE44F6"/>
    <w:rsid w:val="00CE49DA"/>
    <w:rsid w:val="00CE7B61"/>
    <w:rsid w:val="00CF12E3"/>
    <w:rsid w:val="00D00095"/>
    <w:rsid w:val="00D04809"/>
    <w:rsid w:val="00D114F0"/>
    <w:rsid w:val="00D156F8"/>
    <w:rsid w:val="00D20620"/>
    <w:rsid w:val="00D254F7"/>
    <w:rsid w:val="00D26091"/>
    <w:rsid w:val="00D2685C"/>
    <w:rsid w:val="00D34E7C"/>
    <w:rsid w:val="00D35489"/>
    <w:rsid w:val="00D36AFE"/>
    <w:rsid w:val="00D51276"/>
    <w:rsid w:val="00D5448B"/>
    <w:rsid w:val="00D673D2"/>
    <w:rsid w:val="00D7035F"/>
    <w:rsid w:val="00D76288"/>
    <w:rsid w:val="00D8447C"/>
    <w:rsid w:val="00D91046"/>
    <w:rsid w:val="00D97EEC"/>
    <w:rsid w:val="00DA2638"/>
    <w:rsid w:val="00DA634F"/>
    <w:rsid w:val="00DA65AC"/>
    <w:rsid w:val="00DB1913"/>
    <w:rsid w:val="00DC410D"/>
    <w:rsid w:val="00DC5A81"/>
    <w:rsid w:val="00DC68CA"/>
    <w:rsid w:val="00DC7CBA"/>
    <w:rsid w:val="00DD27DC"/>
    <w:rsid w:val="00DD73B7"/>
    <w:rsid w:val="00DF28BC"/>
    <w:rsid w:val="00DF34B9"/>
    <w:rsid w:val="00E01053"/>
    <w:rsid w:val="00E07ACF"/>
    <w:rsid w:val="00E331A1"/>
    <w:rsid w:val="00E33202"/>
    <w:rsid w:val="00E336A9"/>
    <w:rsid w:val="00E350A5"/>
    <w:rsid w:val="00E35643"/>
    <w:rsid w:val="00E472B1"/>
    <w:rsid w:val="00E50624"/>
    <w:rsid w:val="00E568DF"/>
    <w:rsid w:val="00E6189F"/>
    <w:rsid w:val="00E64269"/>
    <w:rsid w:val="00E67462"/>
    <w:rsid w:val="00E82267"/>
    <w:rsid w:val="00E853CE"/>
    <w:rsid w:val="00E85A71"/>
    <w:rsid w:val="00E867B6"/>
    <w:rsid w:val="00EA010F"/>
    <w:rsid w:val="00ED1B63"/>
    <w:rsid w:val="00ED3C1F"/>
    <w:rsid w:val="00ED4085"/>
    <w:rsid w:val="00ED420E"/>
    <w:rsid w:val="00ED6FBE"/>
    <w:rsid w:val="00EE2F57"/>
    <w:rsid w:val="00EF3112"/>
    <w:rsid w:val="00EF4C34"/>
    <w:rsid w:val="00EF77C6"/>
    <w:rsid w:val="00F05438"/>
    <w:rsid w:val="00F06572"/>
    <w:rsid w:val="00F1361C"/>
    <w:rsid w:val="00F156F0"/>
    <w:rsid w:val="00F160C7"/>
    <w:rsid w:val="00F2408F"/>
    <w:rsid w:val="00F240E9"/>
    <w:rsid w:val="00F36D8F"/>
    <w:rsid w:val="00F417B1"/>
    <w:rsid w:val="00F4343B"/>
    <w:rsid w:val="00F45853"/>
    <w:rsid w:val="00F602DF"/>
    <w:rsid w:val="00F754A1"/>
    <w:rsid w:val="00F81FD9"/>
    <w:rsid w:val="00F841AA"/>
    <w:rsid w:val="00F84A94"/>
    <w:rsid w:val="00F87E96"/>
    <w:rsid w:val="00F978ED"/>
    <w:rsid w:val="00FA23E8"/>
    <w:rsid w:val="00FA5652"/>
    <w:rsid w:val="00FB4096"/>
    <w:rsid w:val="00FC6ED1"/>
    <w:rsid w:val="00FD3CC1"/>
    <w:rsid w:val="00FD787A"/>
    <w:rsid w:val="00FE3C8F"/>
    <w:rsid w:val="00FF1E02"/>
    <w:rsid w:val="00FF30B4"/>
    <w:rsid w:val="03E63460"/>
    <w:rsid w:val="0A2032A3"/>
    <w:rsid w:val="0B7078E0"/>
    <w:rsid w:val="0B8A37D8"/>
    <w:rsid w:val="0DD0522C"/>
    <w:rsid w:val="10C055FF"/>
    <w:rsid w:val="118107EC"/>
    <w:rsid w:val="11DD6519"/>
    <w:rsid w:val="16BB723D"/>
    <w:rsid w:val="18015F3F"/>
    <w:rsid w:val="1BE8440E"/>
    <w:rsid w:val="1C0C7F98"/>
    <w:rsid w:val="1D155CEE"/>
    <w:rsid w:val="1F614596"/>
    <w:rsid w:val="20F57F95"/>
    <w:rsid w:val="240371BF"/>
    <w:rsid w:val="24B410D9"/>
    <w:rsid w:val="25C741E6"/>
    <w:rsid w:val="27842671"/>
    <w:rsid w:val="29FD04D3"/>
    <w:rsid w:val="2ABE7A3E"/>
    <w:rsid w:val="2EFA178C"/>
    <w:rsid w:val="30B46D73"/>
    <w:rsid w:val="319F7F4E"/>
    <w:rsid w:val="35E505F4"/>
    <w:rsid w:val="37AD73AE"/>
    <w:rsid w:val="39AE70AB"/>
    <w:rsid w:val="3BE36FBE"/>
    <w:rsid w:val="3C0C0783"/>
    <w:rsid w:val="3D63F1A5"/>
    <w:rsid w:val="3F795B0E"/>
    <w:rsid w:val="3F9F3A96"/>
    <w:rsid w:val="40350D30"/>
    <w:rsid w:val="41F801F1"/>
    <w:rsid w:val="461C514A"/>
    <w:rsid w:val="493C27E9"/>
    <w:rsid w:val="496F39ED"/>
    <w:rsid w:val="49FF41D3"/>
    <w:rsid w:val="4A185DC8"/>
    <w:rsid w:val="4BE068DB"/>
    <w:rsid w:val="4BF6002B"/>
    <w:rsid w:val="4C7E48C5"/>
    <w:rsid w:val="4E9311B9"/>
    <w:rsid w:val="4ECE2238"/>
    <w:rsid w:val="512144E0"/>
    <w:rsid w:val="51DB4B86"/>
    <w:rsid w:val="52724CE2"/>
    <w:rsid w:val="52E350B6"/>
    <w:rsid w:val="55333C3E"/>
    <w:rsid w:val="56AB3657"/>
    <w:rsid w:val="64CA39A1"/>
    <w:rsid w:val="6B37F53E"/>
    <w:rsid w:val="6C4A05C8"/>
    <w:rsid w:val="72734D90"/>
    <w:rsid w:val="727A79BC"/>
    <w:rsid w:val="79E7B28D"/>
    <w:rsid w:val="7C775BAB"/>
    <w:rsid w:val="7F3C2555"/>
    <w:rsid w:val="7F9F20EE"/>
    <w:rsid w:val="9E3A10E2"/>
    <w:rsid w:val="F2E1F9D4"/>
    <w:rsid w:val="F7880819"/>
    <w:rsid w:val="F7F7525E"/>
    <w:rsid w:val="FEBF1F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stacked"/>
        <c:varyColors val="false"/>
        <c:ser>
          <c:idx val="0"/>
          <c:order val="0"/>
          <c:tx>
            <c:strRef>
              <c:f>Sheet1!$B$1</c:f>
              <c:strCache>
                <c:ptCount val="1"/>
                <c:pt idx="0">
                  <c:v>收支总额决算对比表</c:v>
                </c:pt>
              </c:strCache>
            </c:strRef>
          </c:tx>
          <c:invertIfNegative val="false"/>
          <c:dLbls>
            <c:delete val="true"/>
          </c:dLbls>
          <c:cat>
            <c:strRef>
              <c:f>Sheet1!$A$2:$A$3</c:f>
              <c:strCache>
                <c:ptCount val="2"/>
                <c:pt idx="0">
                  <c:v>2021年收支总额10788.81万元</c:v>
                </c:pt>
                <c:pt idx="1">
                  <c:v>2020年收支总额11089.01万元</c:v>
                </c:pt>
              </c:strCache>
            </c:strRef>
          </c:cat>
          <c:val>
            <c:numRef>
              <c:f>Sheet1!$B$2:$B$3</c:f>
              <c:numCache>
                <c:formatCode>General</c:formatCode>
                <c:ptCount val="2"/>
                <c:pt idx="0">
                  <c:v>10788.81</c:v>
                </c:pt>
                <c:pt idx="1">
                  <c:v>11089.01</c:v>
                </c:pt>
              </c:numCache>
            </c:numRef>
          </c:val>
        </c:ser>
        <c:dLbls>
          <c:showLegendKey val="false"/>
          <c:showVal val="false"/>
          <c:showCatName val="false"/>
          <c:showSerName val="false"/>
          <c:showPercent val="false"/>
          <c:showBubbleSize val="false"/>
        </c:dLbls>
        <c:gapWidth val="150"/>
        <c:overlap val="100"/>
        <c:axId val="253945728"/>
        <c:axId val="152576768"/>
      </c:barChart>
      <c:catAx>
        <c:axId val="25394572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2576768"/>
        <c:crosses val="autoZero"/>
        <c:auto val="true"/>
        <c:lblAlgn val="ctr"/>
        <c:lblOffset val="100"/>
        <c:noMultiLvlLbl val="false"/>
      </c:catAx>
      <c:valAx>
        <c:axId val="15257676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53945728"/>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2021年收入明细表</c:v>
                </c:pt>
              </c:strCache>
            </c:strRef>
          </c:tx>
          <c:explosion val="0"/>
          <c:dPt>
            <c:idx val="0"/>
            <c:bubble3D val="false"/>
          </c:dPt>
          <c:dPt>
            <c:idx val="1"/>
            <c:bubble3D val="false"/>
          </c:dPt>
          <c:dLbls>
            <c:delete val="true"/>
          </c:dLbls>
          <c:cat>
            <c:strRef>
              <c:f>Sheet1!$A$2:$A$3</c:f>
              <c:strCache>
                <c:ptCount val="2"/>
                <c:pt idx="0">
                  <c:v>一般公共预算拨款收入8794.66万元</c:v>
                </c:pt>
                <c:pt idx="1">
                  <c:v>其他收入1895.43万元</c:v>
                </c:pt>
              </c:strCache>
            </c:strRef>
          </c:cat>
          <c:val>
            <c:numRef>
              <c:f>Sheet1!$B$2:$B$3</c:f>
              <c:numCache>
                <c:formatCode>General</c:formatCode>
                <c:ptCount val="2"/>
                <c:pt idx="0">
                  <c:v>8794.66</c:v>
                </c:pt>
                <c:pt idx="1">
                  <c:v>1895.43</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2021年支出明细表</c:v>
                </c:pt>
              </c:strCache>
            </c:strRef>
          </c:tx>
          <c:explosion val="25"/>
          <c:dPt>
            <c:idx val="0"/>
            <c:bubble3D val="false"/>
          </c:dPt>
          <c:dPt>
            <c:idx val="1"/>
            <c:bubble3D val="false"/>
          </c:dPt>
          <c:dLbls>
            <c:delete val="true"/>
          </c:dLbls>
          <c:cat>
            <c:strRef>
              <c:f>Sheet1!$A$2:$A$3</c:f>
              <c:strCache>
                <c:ptCount val="2"/>
                <c:pt idx="0">
                  <c:v>基本支出8967.7万元</c:v>
                </c:pt>
                <c:pt idx="1">
                  <c:v>项目支出1821.1万元</c:v>
                </c:pt>
              </c:strCache>
            </c:strRef>
          </c:cat>
          <c:val>
            <c:numRef>
              <c:f>Sheet1!$B$2:$B$3</c:f>
              <c:numCache>
                <c:formatCode>General</c:formatCode>
                <c:ptCount val="2"/>
                <c:pt idx="0">
                  <c:v>8967.7</c:v>
                </c:pt>
                <c:pt idx="1">
                  <c:v>1821.1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stacked"/>
        <c:varyColors val="false"/>
        <c:ser>
          <c:idx val="0"/>
          <c:order val="0"/>
          <c:tx>
            <c:strRef>
              <c:f>Sheet1!$B$1</c:f>
              <c:strCache>
                <c:ptCount val="1"/>
                <c:pt idx="0">
                  <c:v>财政拨款收支总额对比</c:v>
                </c:pt>
              </c:strCache>
            </c:strRef>
          </c:tx>
          <c:invertIfNegative val="false"/>
          <c:dLbls>
            <c:delete val="true"/>
          </c:dLbls>
          <c:cat>
            <c:strRef>
              <c:f>Sheet1!$A$2:$A$3</c:f>
              <c:strCache>
                <c:ptCount val="2"/>
                <c:pt idx="0">
                  <c:v>2021年财政拨款收支总额8794.66万元</c:v>
                </c:pt>
                <c:pt idx="1">
                  <c:v>2020年财政拨款收支总额9528.75万元</c:v>
                </c:pt>
              </c:strCache>
            </c:strRef>
          </c:cat>
          <c:val>
            <c:numRef>
              <c:f>Sheet1!$B$2:$B$3</c:f>
              <c:numCache>
                <c:formatCode>General</c:formatCode>
                <c:ptCount val="2"/>
                <c:pt idx="0">
                  <c:v>8794.66</c:v>
                </c:pt>
                <c:pt idx="1">
                  <c:v>9528.75</c:v>
                </c:pt>
              </c:numCache>
            </c:numRef>
          </c:val>
        </c:ser>
        <c:dLbls>
          <c:showLegendKey val="false"/>
          <c:showVal val="false"/>
          <c:showCatName val="false"/>
          <c:showSerName val="false"/>
          <c:showPercent val="false"/>
          <c:showBubbleSize val="false"/>
        </c:dLbls>
        <c:gapWidth val="150"/>
        <c:overlap val="100"/>
        <c:axId val="234993152"/>
        <c:axId val="234994688"/>
      </c:barChart>
      <c:catAx>
        <c:axId val="23499315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4994688"/>
        <c:crosses val="autoZero"/>
        <c:auto val="true"/>
        <c:lblAlgn val="ctr"/>
        <c:lblOffset val="100"/>
        <c:noMultiLvlLbl val="false"/>
      </c:catAx>
      <c:valAx>
        <c:axId val="2349946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4993152"/>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一般公共预算财政拨支出决算变动表</c:v>
                </c:pt>
              </c:strCache>
            </c:strRef>
          </c:tx>
          <c:invertIfNegative val="false"/>
          <c:dLbls>
            <c:delete val="true"/>
          </c:dLbls>
          <c:cat>
            <c:strRef>
              <c:f>Sheet1!$A$2:$A$3</c:f>
              <c:strCache>
                <c:ptCount val="2"/>
                <c:pt idx="0">
                  <c:v>2021年度8794.66万元</c:v>
                </c:pt>
                <c:pt idx="1">
                  <c:v>2020年度9528.75万元</c:v>
                </c:pt>
              </c:strCache>
            </c:strRef>
          </c:cat>
          <c:val>
            <c:numRef>
              <c:f>Sheet1!$B$2:$B$3</c:f>
              <c:numCache>
                <c:formatCode>General</c:formatCode>
                <c:ptCount val="2"/>
                <c:pt idx="0">
                  <c:v>8794.66</c:v>
                </c:pt>
                <c:pt idx="1">
                  <c:v>9528.75</c:v>
                </c:pt>
              </c:numCache>
            </c:numRef>
          </c:val>
        </c:ser>
        <c:dLbls>
          <c:showLegendKey val="false"/>
          <c:showVal val="false"/>
          <c:showCatName val="false"/>
          <c:showSerName val="false"/>
          <c:showPercent val="false"/>
          <c:showBubbleSize val="false"/>
        </c:dLbls>
        <c:gapWidth val="150"/>
        <c:axId val="235047936"/>
        <c:axId val="235049728"/>
      </c:barChart>
      <c:catAx>
        <c:axId val="23504793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5049728"/>
        <c:crosses val="autoZero"/>
        <c:auto val="true"/>
        <c:lblAlgn val="ctr"/>
        <c:lblOffset val="100"/>
        <c:noMultiLvlLbl val="false"/>
      </c:catAx>
      <c:valAx>
        <c:axId val="23504972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5047936"/>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manualLayout>
          <c:layoutTarget val="inner"/>
          <c:xMode val="edge"/>
          <c:yMode val="edge"/>
          <c:x val="0.0658783175568758"/>
          <c:y val="0.224561403508772"/>
          <c:w val="0.452105896510229"/>
          <c:h val="0.775438596491228"/>
        </c:manualLayout>
      </c:layout>
      <c:pieChart>
        <c:varyColors val="true"/>
        <c:ser>
          <c:idx val="0"/>
          <c:order val="0"/>
          <c:tx>
            <c:strRef>
              <c:f>Sheet1!$B$1</c:f>
              <c:strCache>
                <c:ptCount val="1"/>
                <c:pt idx="0">
                  <c:v>2021年度一般公共预算财政拨款支出决算表</c:v>
                </c:pt>
              </c:strCache>
            </c:strRef>
          </c:tx>
          <c:explosion val="23"/>
          <c:dPt>
            <c:idx val="0"/>
            <c:bubble3D val="false"/>
          </c:dPt>
          <c:dPt>
            <c:idx val="1"/>
            <c:bubble3D val="false"/>
          </c:dPt>
          <c:dPt>
            <c:idx val="2"/>
            <c:bubble3D val="false"/>
          </c:dPt>
          <c:dPt>
            <c:idx val="3"/>
            <c:bubble3D val="false"/>
          </c:dPt>
          <c:dLbls>
            <c:delete val="true"/>
          </c:dLbls>
          <c:cat>
            <c:strRef>
              <c:f>Sheet1!$A$2:$A$5</c:f>
              <c:strCache>
                <c:ptCount val="4"/>
                <c:pt idx="0">
                  <c:v>公共安全类支出7308.84万元</c:v>
                </c:pt>
                <c:pt idx="1">
                  <c:v>社会保障和就业类支出566.61万元</c:v>
                </c:pt>
                <c:pt idx="2">
                  <c:v>卫生健康支出289.83万元</c:v>
                </c:pt>
                <c:pt idx="3">
                  <c:v>住房保障支出629.37万元</c:v>
                </c:pt>
              </c:strCache>
            </c:strRef>
          </c:cat>
          <c:val>
            <c:numRef>
              <c:f>Sheet1!$B$2:$B$5</c:f>
              <c:numCache>
                <c:formatCode>General</c:formatCode>
                <c:ptCount val="4"/>
                <c:pt idx="0">
                  <c:v>7308.84</c:v>
                </c:pt>
                <c:pt idx="1">
                  <c:v>566.61</c:v>
                </c:pt>
                <c:pt idx="2">
                  <c:v>289.83</c:v>
                </c:pt>
                <c:pt idx="3">
                  <c:v>629.37</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"三公"经费财政拨款支出明细表</c:v>
                </c:pt>
              </c:strCache>
            </c:strRef>
          </c:tx>
          <c:explosion val="0"/>
          <c:dPt>
            <c:idx val="0"/>
            <c:bubble3D val="false"/>
          </c:dPt>
          <c:dPt>
            <c:idx val="1"/>
            <c:bubble3D val="false"/>
          </c:dPt>
          <c:dPt>
            <c:idx val="2"/>
            <c:bubble3D val="false"/>
          </c:dPt>
          <c:dLbls>
            <c:delete val="true"/>
          </c:dLbls>
          <c:cat>
            <c:strRef>
              <c:f>Sheet1!$A$2:$A$4</c:f>
              <c:strCache>
                <c:ptCount val="3"/>
                <c:pt idx="0">
                  <c:v>公务接待费0.5万元</c:v>
                </c:pt>
                <c:pt idx="1">
                  <c:v>因公出国（境）费0元</c:v>
                </c:pt>
                <c:pt idx="2">
                  <c:v>公务用车运行及维护费71.14万元</c:v>
                </c:pt>
              </c:strCache>
            </c:strRef>
          </c:cat>
          <c:val>
            <c:numRef>
              <c:f>Sheet1!$B$2:$B$4</c:f>
              <c:numCache>
                <c:formatCode>General</c:formatCode>
                <c:ptCount val="3"/>
                <c:pt idx="0">
                  <c:v>0.5</c:v>
                </c:pt>
                <c:pt idx="1">
                  <c:v>0</c:v>
                </c:pt>
                <c:pt idx="2">
                  <c:v>71.14</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1922</Words>
  <Characters>10958</Characters>
  <Lines>91</Lines>
  <Paragraphs>25</Paragraphs>
  <TotalTime>0</TotalTime>
  <ScaleCrop>false</ScaleCrop>
  <LinksUpToDate>false</LinksUpToDate>
  <CharactersWithSpaces>12855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2022-09-17T09:55:00Z</dcterms:created>
  <dc:creator>曹颖</dc:creator>
  <cp:lastModifiedBy> </cp:lastModifiedBy>
  <cp:lastPrinted>2022-08-07T10:23:00Z</cp:lastPrinted>
  <dcterms:modified xsi:type="dcterms:W3CDTF">2023-09-25T15:34:12Z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AF974C4359AD4A64918085502333AD76</vt:lpwstr>
  </property>
</Properties>
</file>