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96597"/>
      <w:bookmarkStart w:id="2" w:name="_Toc15396475"/>
      <w:bookmarkStart w:id="3" w:name="_Toc15378441"/>
      <w:bookmarkStart w:id="4" w:name="_Toc15377193"/>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pStyle w:val="7"/>
        <w:jc w:val="cente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251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598"/>
      <w:bookmarkStart w:id="8" w:name="_Toc15377194"/>
      <w:bookmarkStart w:id="9" w:name="_Toc15396476"/>
      <w:bookmarkStart w:id="10" w:name="_Toc15378442"/>
      <w:bookmarkStart w:id="11" w:name="_Toc15377426"/>
      <w:bookmarkStart w:id="12" w:name="_Toc13121"/>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3" w:name="_Toc15306268"/>
      <w:r>
        <w:rPr>
          <w:rFonts w:hint="eastAsia" w:ascii="方正小标宋简体" w:hAnsi="方正小标宋简体" w:eastAsia="方正小标宋简体" w:cs="方正小标宋简体"/>
          <w:color w:val="auto"/>
          <w:sz w:val="72"/>
          <w:szCs w:val="72"/>
          <w:highlight w:val="none"/>
        </w:rPr>
        <w:t>委政法委部门决算</w:t>
      </w:r>
      <w:bookmarkEnd w:id="7"/>
      <w:bookmarkEnd w:id="8"/>
      <w:bookmarkEnd w:id="9"/>
      <w:bookmarkEnd w:id="10"/>
      <w:bookmarkEnd w:id="11"/>
      <w:bookmarkEnd w:id="12"/>
      <w:bookmarkEnd w:id="13"/>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keepNext w:val="0"/>
        <w:keepLines w:val="0"/>
        <w:pageBreakBefore w:val="0"/>
        <w:widowControl/>
        <w:kinsoku/>
        <w:wordWrap/>
        <w:overflowPunct/>
        <w:topLinePunct w:val="0"/>
        <w:autoSpaceDE/>
        <w:autoSpaceDN/>
        <w:bidi w:val="0"/>
        <w:adjustRightInd/>
        <w:snapToGrid/>
        <w:jc w:val="center"/>
        <w:textAlignment w:val="auto"/>
        <w:rPr>
          <w:rFonts w:hint="eastAsia"/>
          <w:color w:val="auto"/>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pacing w:val="480"/>
          <w:kern w:val="0"/>
          <w:sz w:val="48"/>
          <w:szCs w:val="48"/>
          <w:highlight w:val="none"/>
          <w:fitText w:val="1920" w:id="366044366"/>
        </w:rPr>
        <w:t>目</w:t>
      </w:r>
      <w:r>
        <w:rPr>
          <w:rFonts w:hint="eastAsia" w:ascii="黑体" w:hAnsi="黑体" w:eastAsia="黑体"/>
          <w:color w:val="auto"/>
          <w:spacing w:val="0"/>
          <w:kern w:val="0"/>
          <w:sz w:val="48"/>
          <w:szCs w:val="48"/>
          <w:highlight w:val="none"/>
          <w:fitText w:val="1920" w:id="366044366"/>
        </w:rPr>
        <w:t>录</w:t>
      </w:r>
    </w:p>
    <w:p>
      <w:pPr>
        <w:pStyle w:val="13"/>
        <w:keepNext w:val="0"/>
        <w:keepLines w:val="0"/>
        <w:pageBreakBefore w:val="0"/>
        <w:kinsoku/>
        <w:wordWrap/>
        <w:overflowPunct/>
        <w:topLinePunct w:val="0"/>
        <w:autoSpaceDE/>
        <w:autoSpaceDN/>
        <w:bidi w:val="0"/>
        <w:adjustRightInd/>
        <w:snapToGrid/>
        <w:spacing w:before="0"/>
        <w:textAlignment w:val="auto"/>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kern w:val="2"/>
          <w:sz w:val="21"/>
          <w:szCs w:val="24"/>
          <w:lang w:val="en-US" w:eastAsia="zh-CN" w:bidi="ar-SA"/>
        </w:rPr>
        <w:id w:val="147480227"/>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b/>
            </w:rPr>
          </w:pPr>
          <w:r>
            <w:rPr>
              <w:b/>
            </w:rPr>
            <w:fldChar w:fldCharType="begin"/>
          </w:r>
          <w:r>
            <w:rPr>
              <w:b/>
            </w:rPr>
            <w:instrText xml:space="preserve"> HYPERLINK \l _Toc19345 </w:instrText>
          </w:r>
          <w:r>
            <w:rPr>
              <w:b/>
            </w:rPr>
            <w:fldChar w:fldCharType="separate"/>
          </w:r>
          <w:r>
            <w:rPr>
              <w:rFonts w:hint="eastAsia" w:ascii="黑体" w:hAnsi="黑体" w:eastAsia="黑体"/>
              <w:b/>
              <w:highlight w:val="none"/>
            </w:rPr>
            <w:t>第一部分</w:t>
          </w:r>
          <w:r>
            <w:rPr>
              <w:rFonts w:hint="eastAsia" w:ascii="黑体" w:hAnsi="黑体" w:eastAsia="黑体"/>
              <w:b/>
              <w:bCs w:val="0"/>
              <w:highlight w:val="none"/>
            </w:rPr>
            <w:t>部门概况</w:t>
          </w:r>
          <w:r>
            <w:rPr>
              <w:b/>
            </w:rPr>
            <w:tab/>
          </w:r>
          <w:r>
            <w:rPr>
              <w:b/>
            </w:rPr>
            <w:fldChar w:fldCharType="begin"/>
          </w:r>
          <w:r>
            <w:rPr>
              <w:b/>
            </w:rPr>
            <w:instrText xml:space="preserve"> PAGEREF _Toc19345 \h </w:instrText>
          </w:r>
          <w:r>
            <w:rPr>
              <w:b/>
            </w:rPr>
            <w:fldChar w:fldCharType="separate"/>
          </w:r>
          <w:r>
            <w:rPr>
              <w:b/>
            </w:rPr>
            <w:t>1</w:t>
          </w:r>
          <w:r>
            <w:rPr>
              <w:b/>
            </w:rPr>
            <w:fldChar w:fldCharType="end"/>
          </w:r>
          <w:r>
            <w:rPr>
              <w:b/>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_Toc31511 </w:instrText>
          </w:r>
          <w:r>
            <w:fldChar w:fldCharType="separate"/>
          </w:r>
          <w:r>
            <w:rPr>
              <w:rFonts w:hint="eastAsia" w:ascii="黑体" w:hAnsi="黑体" w:eastAsia="黑体"/>
              <w:lang w:eastAsia="zh-CN"/>
            </w:rPr>
            <w:t>一、</w:t>
          </w:r>
          <w:r>
            <w:rPr>
              <w:rFonts w:hint="eastAsia" w:ascii="黑体" w:hAnsi="黑体" w:eastAsia="黑体"/>
              <w:highlight w:val="none"/>
              <w:lang w:eastAsia="zh-CN"/>
            </w:rPr>
            <w:t>部门职责</w:t>
          </w:r>
          <w:r>
            <w:tab/>
          </w:r>
          <w:r>
            <w:fldChar w:fldCharType="begin"/>
          </w:r>
          <w:r>
            <w:instrText xml:space="preserve"> PAGEREF _Toc31511 \h </w:instrText>
          </w:r>
          <w:r>
            <w:fldChar w:fldCharType="separate"/>
          </w:r>
          <w:r>
            <w:t>1</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_Toc8676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_Toc8676 \h </w:instrText>
          </w:r>
          <w:r>
            <w:fldChar w:fldCharType="separate"/>
          </w:r>
          <w:r>
            <w:t>4</w:t>
          </w:r>
          <w:r>
            <w:fldChar w:fldCharType="end"/>
          </w:r>
          <w:r>
            <w:fldChar w:fldCharType="end"/>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b/>
            </w:rPr>
          </w:pPr>
          <w:r>
            <w:rPr>
              <w:b/>
            </w:rPr>
            <w:fldChar w:fldCharType="begin"/>
          </w:r>
          <w:r>
            <w:rPr>
              <w:b/>
            </w:rPr>
            <w:instrText xml:space="preserve"> HYPERLINK \l _Toc16785 </w:instrText>
          </w:r>
          <w:r>
            <w:rPr>
              <w:b/>
            </w:rPr>
            <w:fldChar w:fldCharType="separate"/>
          </w:r>
          <w:r>
            <w:rPr>
              <w:rFonts w:hint="eastAsia" w:ascii="黑体" w:hAnsi="黑体" w:eastAsia="黑体"/>
              <w:b/>
              <w:bCs/>
              <w:highlight w:val="none"/>
            </w:rPr>
            <w:t>第二部分</w:t>
          </w:r>
          <w:r>
            <w:rPr>
              <w:rFonts w:hint="eastAsia" w:ascii="黑体" w:hAnsi="黑体" w:eastAsia="黑体"/>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_Toc16785 \h </w:instrText>
          </w:r>
          <w:r>
            <w:rPr>
              <w:b/>
            </w:rPr>
            <w:fldChar w:fldCharType="separate"/>
          </w:r>
          <w:r>
            <w:rPr>
              <w:b/>
            </w:rPr>
            <w:t>5</w:t>
          </w:r>
          <w:r>
            <w:rPr>
              <w:b/>
            </w:rPr>
            <w:fldChar w:fldCharType="end"/>
          </w:r>
          <w:r>
            <w:rPr>
              <w:b/>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_Toc18883 </w:instrText>
          </w:r>
          <w:r>
            <w:fldChar w:fldCharType="separate"/>
          </w:r>
          <w:r>
            <w:rPr>
              <w:rFonts w:hint="default" w:ascii="黑体" w:hAnsi="黑体" w:eastAsia="黑体" w:cs="黑体"/>
            </w:rPr>
            <w:t>一、</w:t>
          </w:r>
          <w:r>
            <w:rPr>
              <w:rFonts w:hint="eastAsia" w:ascii="黑体" w:hAnsi="黑体" w:eastAsia="黑体" w:cs="黑体"/>
              <w:szCs w:val="32"/>
              <w:highlight w:val="none"/>
            </w:rPr>
            <w:t>收</w:t>
          </w:r>
          <w:r>
            <w:rPr>
              <w:rFonts w:hint="eastAsia" w:ascii="黑体" w:hAnsi="黑体" w:eastAsia="黑体" w:cs="黑体"/>
              <w:highlight w:val="none"/>
            </w:rPr>
            <w:t>入支出决算总体情况说明</w:t>
          </w:r>
          <w:r>
            <w:tab/>
          </w:r>
          <w:r>
            <w:fldChar w:fldCharType="begin"/>
          </w:r>
          <w:r>
            <w:instrText xml:space="preserve"> PAGEREF _Toc18883 \h </w:instrText>
          </w:r>
          <w:r>
            <w:fldChar w:fldCharType="separate"/>
          </w:r>
          <w:r>
            <w:t>5</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_Toc20784 </w:instrText>
          </w:r>
          <w:r>
            <w:fldChar w:fldCharType="separate"/>
          </w:r>
          <w:r>
            <w:rPr>
              <w:rFonts w:hint="default" w:ascii="黑体" w:hAnsi="黑体" w:eastAsia="黑体" w:cs="黑体"/>
            </w:rPr>
            <w:t>二、</w:t>
          </w:r>
          <w:r>
            <w:rPr>
              <w:rFonts w:hint="eastAsia" w:ascii="黑体" w:hAnsi="黑体" w:eastAsia="黑体" w:cs="黑体"/>
              <w:szCs w:val="32"/>
              <w:highlight w:val="none"/>
            </w:rPr>
            <w:t>收</w:t>
          </w:r>
          <w:r>
            <w:rPr>
              <w:rFonts w:hint="eastAsia" w:ascii="黑体" w:hAnsi="黑体" w:eastAsia="黑体" w:cs="黑体"/>
              <w:highlight w:val="none"/>
            </w:rPr>
            <w:t>入决算情况说明</w:t>
          </w:r>
          <w:r>
            <w:tab/>
          </w:r>
          <w:r>
            <w:fldChar w:fldCharType="begin"/>
          </w:r>
          <w:r>
            <w:instrText xml:space="preserve"> PAGEREF _Toc20784 \h </w:instrText>
          </w:r>
          <w:r>
            <w:fldChar w:fldCharType="separate"/>
          </w:r>
          <w:r>
            <w:t>5</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_Toc6606 </w:instrText>
          </w:r>
          <w:r>
            <w:fldChar w:fldCharType="separate"/>
          </w:r>
          <w:r>
            <w:rPr>
              <w:rFonts w:hint="default" w:ascii="黑体" w:hAnsi="黑体" w:eastAsia="黑体" w:cs="黑体"/>
            </w:rPr>
            <w:t>三、</w:t>
          </w:r>
          <w:r>
            <w:rPr>
              <w:rFonts w:hint="eastAsia" w:ascii="黑体" w:hAnsi="黑体" w:eastAsia="黑体" w:cs="黑体"/>
              <w:szCs w:val="32"/>
              <w:highlight w:val="none"/>
            </w:rPr>
            <w:t>支</w:t>
          </w:r>
          <w:r>
            <w:rPr>
              <w:rFonts w:hint="eastAsia" w:ascii="黑体" w:hAnsi="黑体" w:eastAsia="黑体" w:cs="黑体"/>
              <w:highlight w:val="none"/>
            </w:rPr>
            <w:t>出决算情况说明</w:t>
          </w:r>
          <w:r>
            <w:tab/>
          </w:r>
          <w:r>
            <w:fldChar w:fldCharType="begin"/>
          </w:r>
          <w:r>
            <w:instrText xml:space="preserve"> PAGEREF _Toc6606 \h </w:instrText>
          </w:r>
          <w:r>
            <w:fldChar w:fldCharType="separate"/>
          </w:r>
          <w:r>
            <w:t>6</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_Toc910 </w:instrText>
          </w:r>
          <w:r>
            <w:fldChar w:fldCharType="separate"/>
          </w:r>
          <w:r>
            <w:rPr>
              <w:rFonts w:hint="eastAsia" w:ascii="黑体" w:hAnsi="黑体" w:eastAsia="黑体" w:cs="黑体"/>
              <w:szCs w:val="32"/>
              <w:highlight w:val="none"/>
            </w:rPr>
            <w:t>四、财</w:t>
          </w:r>
          <w:r>
            <w:rPr>
              <w:rFonts w:hint="eastAsia" w:ascii="黑体" w:hAnsi="黑体" w:eastAsia="黑体" w:cs="黑体"/>
              <w:highlight w:val="none"/>
            </w:rPr>
            <w:t>政拨款收入支出决算总体情况说明</w:t>
          </w:r>
          <w:r>
            <w:tab/>
          </w:r>
          <w:r>
            <w:fldChar w:fldCharType="begin"/>
          </w:r>
          <w:r>
            <w:instrText xml:space="preserve"> PAGEREF _Toc910 \h </w:instrText>
          </w:r>
          <w:r>
            <w:fldChar w:fldCharType="separate"/>
          </w:r>
          <w:r>
            <w:t>6</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_Toc32737 </w:instrText>
          </w:r>
          <w:r>
            <w:fldChar w:fldCharType="separate"/>
          </w:r>
          <w:r>
            <w:rPr>
              <w:rFonts w:hint="eastAsia" w:ascii="黑体" w:hAnsi="黑体" w:eastAsia="黑体" w:cs="黑体"/>
              <w:szCs w:val="32"/>
              <w:highlight w:val="none"/>
            </w:rPr>
            <w:t>五、一</w:t>
          </w:r>
          <w:r>
            <w:rPr>
              <w:rFonts w:hint="eastAsia" w:ascii="黑体" w:hAnsi="黑体" w:eastAsia="黑体" w:cs="黑体"/>
              <w:highlight w:val="none"/>
            </w:rPr>
            <w:t>般公共预算财政拨款支出决算情况说明</w:t>
          </w:r>
          <w:r>
            <w:tab/>
          </w:r>
          <w:r>
            <w:fldChar w:fldCharType="begin"/>
          </w:r>
          <w:r>
            <w:instrText xml:space="preserve"> PAGEREF _Toc32737 \h </w:instrText>
          </w:r>
          <w:r>
            <w:fldChar w:fldCharType="separate"/>
          </w:r>
          <w:r>
            <w:t>7</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_Toc14786 </w:instrText>
          </w:r>
          <w:r>
            <w:fldChar w:fldCharType="separate"/>
          </w:r>
          <w:r>
            <w:rPr>
              <w:rFonts w:hint="eastAsia" w:ascii="黑体" w:hAnsi="黑体" w:eastAsia="黑体" w:cs="黑体"/>
              <w:szCs w:val="32"/>
              <w:highlight w:val="none"/>
            </w:rPr>
            <w:t>六、一</w:t>
          </w:r>
          <w:r>
            <w:rPr>
              <w:rFonts w:hint="eastAsia" w:ascii="黑体" w:hAnsi="黑体" w:eastAsia="黑体" w:cs="黑体"/>
              <w:highlight w:val="none"/>
            </w:rPr>
            <w:t>般公共预算财政拨款基本支出决算情况说明</w:t>
          </w:r>
          <w:r>
            <w:tab/>
          </w:r>
          <w:r>
            <w:fldChar w:fldCharType="begin"/>
          </w:r>
          <w:r>
            <w:instrText xml:space="preserve"> PAGEREF _Toc14786 \h </w:instrText>
          </w:r>
          <w:r>
            <w:fldChar w:fldCharType="separate"/>
          </w:r>
          <w:r>
            <w:t>10</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_Toc448 </w:instrText>
          </w:r>
          <w:r>
            <w:fldChar w:fldCharType="separate"/>
          </w:r>
          <w:r>
            <w:rPr>
              <w:rFonts w:hint="eastAsia" w:ascii="黑体" w:hAnsi="黑体" w:eastAsia="黑体" w:cs="黑体"/>
              <w:szCs w:val="32"/>
              <w:highlight w:val="none"/>
            </w:rPr>
            <w:t>七、</w:t>
          </w:r>
          <w:r>
            <w:rPr>
              <w:rFonts w:hint="eastAsia" w:ascii="黑体" w:hAnsi="黑体" w:eastAsia="黑体" w:cs="黑体"/>
              <w:highlight w:val="none"/>
            </w:rPr>
            <w:t>财政拨款“三公”经费支出决算情况说明</w:t>
          </w:r>
          <w:r>
            <w:tab/>
          </w:r>
          <w:r>
            <w:fldChar w:fldCharType="begin"/>
          </w:r>
          <w:r>
            <w:instrText xml:space="preserve"> PAGEREF _Toc448 \h </w:instrText>
          </w:r>
          <w:r>
            <w:fldChar w:fldCharType="separate"/>
          </w:r>
          <w:r>
            <w:t>10</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_Toc2707 </w:instrText>
          </w:r>
          <w:r>
            <w:fldChar w:fldCharType="separate"/>
          </w:r>
          <w:r>
            <w:rPr>
              <w:rFonts w:hint="eastAsia" w:ascii="黑体" w:hAnsi="黑体" w:eastAsia="黑体" w:cs="黑体"/>
              <w:szCs w:val="32"/>
              <w:highlight w:val="none"/>
            </w:rPr>
            <w:t>八、</w:t>
          </w:r>
          <w:r>
            <w:rPr>
              <w:rFonts w:hint="eastAsia" w:ascii="黑体" w:hAnsi="黑体" w:eastAsia="黑体" w:cs="黑体"/>
              <w:highlight w:val="none"/>
            </w:rPr>
            <w:t>政府性基金预算支出决算情况说明</w:t>
          </w:r>
          <w:r>
            <w:tab/>
          </w:r>
          <w:r>
            <w:fldChar w:fldCharType="begin"/>
          </w:r>
          <w:r>
            <w:instrText xml:space="preserve"> PAGEREF _Toc2707 \h </w:instrText>
          </w:r>
          <w:r>
            <w:fldChar w:fldCharType="separate"/>
          </w:r>
          <w:r>
            <w:t>12</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_Toc22741 </w:instrText>
          </w:r>
          <w:r>
            <w:fldChar w:fldCharType="separate"/>
          </w:r>
          <w:r>
            <w:rPr>
              <w:rFonts w:hint="eastAsia" w:ascii="黑体" w:hAnsi="黑体" w:eastAsia="黑体" w:cs="黑体"/>
            </w:rPr>
            <w:t>九、</w:t>
          </w:r>
          <w:r>
            <w:rPr>
              <w:rFonts w:hint="eastAsia" w:ascii="黑体" w:hAnsi="黑体" w:eastAsia="黑体" w:cs="黑体"/>
              <w:highlight w:val="none"/>
            </w:rPr>
            <w:t>国有资本经营预算支出决算情况说明</w:t>
          </w:r>
          <w:r>
            <w:tab/>
          </w:r>
          <w:r>
            <w:fldChar w:fldCharType="begin"/>
          </w:r>
          <w:r>
            <w:instrText xml:space="preserve"> PAGEREF _Toc22741 \h </w:instrText>
          </w:r>
          <w:r>
            <w:fldChar w:fldCharType="separate"/>
          </w:r>
          <w:r>
            <w:t>12</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_Toc27215 </w:instrText>
          </w:r>
          <w:r>
            <w:fldChar w:fldCharType="separate"/>
          </w:r>
          <w:r>
            <w:rPr>
              <w:rFonts w:hint="eastAsia" w:ascii="黑体" w:hAnsi="黑体" w:eastAsia="黑体" w:cs="黑体"/>
            </w:rPr>
            <w:t>十、</w:t>
          </w:r>
          <w:r>
            <w:rPr>
              <w:rFonts w:hint="eastAsia" w:ascii="黑体" w:hAnsi="黑体" w:eastAsia="黑体" w:cs="黑体"/>
              <w:highlight w:val="none"/>
            </w:rPr>
            <w:t>其他重要事项的情况说明</w:t>
          </w:r>
          <w:r>
            <w:tab/>
          </w:r>
          <w:r>
            <w:fldChar w:fldCharType="begin"/>
          </w:r>
          <w:r>
            <w:instrText xml:space="preserve"> PAGEREF _Toc27215 \h </w:instrText>
          </w:r>
          <w:r>
            <w:fldChar w:fldCharType="separate"/>
          </w:r>
          <w:r>
            <w:t>12</w:t>
          </w:r>
          <w:r>
            <w:fldChar w:fldCharType="end"/>
          </w:r>
          <w:r>
            <w:fldChar w:fldCharType="end"/>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b/>
            </w:rPr>
          </w:pPr>
          <w:r>
            <w:rPr>
              <w:b/>
            </w:rPr>
            <w:fldChar w:fldCharType="begin"/>
          </w:r>
          <w:r>
            <w:rPr>
              <w:b/>
            </w:rPr>
            <w:instrText xml:space="preserve"> HYPERLINK \l _Toc28047 </w:instrText>
          </w:r>
          <w:r>
            <w:rPr>
              <w:b/>
            </w:rPr>
            <w:fldChar w:fldCharType="separate"/>
          </w:r>
          <w:r>
            <w:rPr>
              <w:rFonts w:hint="eastAsia" w:ascii="黑体" w:hAnsi="黑体" w:eastAsia="黑体"/>
              <w:b/>
            </w:rPr>
            <w:t>第三部分</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_Toc28047 \h </w:instrText>
          </w:r>
          <w:r>
            <w:rPr>
              <w:b/>
            </w:rPr>
            <w:fldChar w:fldCharType="separate"/>
          </w:r>
          <w:r>
            <w:rPr>
              <w:b/>
            </w:rPr>
            <w:t>15</w:t>
          </w:r>
          <w:r>
            <w:rPr>
              <w:b/>
            </w:rPr>
            <w:fldChar w:fldCharType="end"/>
          </w:r>
          <w:r>
            <w:rPr>
              <w:b/>
            </w:rPr>
            <w:fldChar w:fldCharType="end"/>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b/>
            </w:rPr>
          </w:pPr>
          <w:r>
            <w:rPr>
              <w:b/>
            </w:rPr>
            <w:fldChar w:fldCharType="begin"/>
          </w:r>
          <w:r>
            <w:rPr>
              <w:b/>
            </w:rPr>
            <w:instrText xml:space="preserve"> HYPERLINK \l _Toc11981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四部分附件</w:t>
          </w:r>
          <w:r>
            <w:rPr>
              <w:b/>
            </w:rPr>
            <w:tab/>
          </w:r>
          <w:r>
            <w:rPr>
              <w:b/>
            </w:rPr>
            <w:fldChar w:fldCharType="begin"/>
          </w:r>
          <w:r>
            <w:rPr>
              <w:b/>
            </w:rPr>
            <w:instrText xml:space="preserve"> PAGEREF _Toc11981 \h </w:instrText>
          </w:r>
          <w:r>
            <w:rPr>
              <w:b/>
            </w:rPr>
            <w:fldChar w:fldCharType="separate"/>
          </w:r>
          <w:r>
            <w:rPr>
              <w:b/>
            </w:rPr>
            <w:t>18</w:t>
          </w:r>
          <w:r>
            <w:rPr>
              <w:b/>
            </w:rPr>
            <w:fldChar w:fldCharType="end"/>
          </w:r>
          <w:r>
            <w:rPr>
              <w:b/>
            </w:rPr>
            <w:fldChar w:fldCharType="end"/>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b/>
            </w:rPr>
          </w:pPr>
          <w:r>
            <w:rPr>
              <w:b/>
            </w:rPr>
            <w:fldChar w:fldCharType="begin"/>
          </w:r>
          <w:r>
            <w:rPr>
              <w:b/>
            </w:rPr>
            <w:instrText xml:space="preserve"> HYPERLINK \l _Toc27041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五部分附表</w:t>
          </w:r>
          <w:r>
            <w:rPr>
              <w:b/>
            </w:rPr>
            <w:tab/>
          </w:r>
          <w:r>
            <w:rPr>
              <w:b/>
            </w:rPr>
            <w:fldChar w:fldCharType="begin"/>
          </w:r>
          <w:r>
            <w:rPr>
              <w:b/>
            </w:rPr>
            <w:instrText xml:space="preserve"> PAGEREF _Toc27041 \h </w:instrText>
          </w:r>
          <w:r>
            <w:rPr>
              <w:b/>
            </w:rPr>
            <w:fldChar w:fldCharType="separate"/>
          </w:r>
          <w:r>
            <w:rPr>
              <w:b/>
            </w:rPr>
            <w:t>63</w:t>
          </w:r>
          <w:r>
            <w:rPr>
              <w:b/>
            </w:rPr>
            <w:fldChar w:fldCharType="end"/>
          </w:r>
          <w:r>
            <w:rPr>
              <w:b/>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_Toc10607 </w:instrText>
          </w:r>
          <w:r>
            <w:fldChar w:fldCharType="separate"/>
          </w:r>
          <w:r>
            <w:rPr>
              <w:rFonts w:hint="eastAsia" w:ascii="仿宋_GB2312" w:hAnsi="仿宋_GB2312" w:eastAsia="仿宋_GB2312" w:cs="仿宋_GB2312"/>
              <w:highlight w:val="none"/>
            </w:rPr>
            <w:t>一、收</w:t>
          </w:r>
          <w:r>
            <w:rPr>
              <w:rFonts w:hint="eastAsia" w:ascii="仿宋_GB2312" w:hAnsi="仿宋_GB2312" w:eastAsia="仿宋_GB2312" w:cs="仿宋_GB2312"/>
              <w:bCs w:val="0"/>
              <w:highlight w:val="none"/>
            </w:rPr>
            <w:t>入支出决算总表</w:t>
          </w:r>
          <w:r>
            <w:tab/>
          </w:r>
          <w:r>
            <w:fldChar w:fldCharType="begin"/>
          </w:r>
          <w:r>
            <w:instrText xml:space="preserve"> PAGEREF _Toc10607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_Toc15522 </w:instrText>
          </w:r>
          <w:r>
            <w:fldChar w:fldCharType="separate"/>
          </w:r>
          <w:r>
            <w:rPr>
              <w:rFonts w:hint="eastAsia" w:ascii="仿宋_GB2312" w:hAnsi="仿宋_GB2312" w:eastAsia="仿宋_GB2312" w:cs="仿宋_GB2312"/>
              <w:highlight w:val="none"/>
            </w:rPr>
            <w:t>二、收</w:t>
          </w:r>
          <w:r>
            <w:rPr>
              <w:rFonts w:hint="eastAsia" w:ascii="仿宋_GB2312" w:hAnsi="仿宋_GB2312" w:eastAsia="仿宋_GB2312" w:cs="仿宋_GB2312"/>
              <w:bCs w:val="0"/>
              <w:highlight w:val="none"/>
            </w:rPr>
            <w:t>入决算表</w:t>
          </w:r>
          <w:r>
            <w:tab/>
          </w:r>
          <w:r>
            <w:fldChar w:fldCharType="begin"/>
          </w:r>
          <w:r>
            <w:instrText xml:space="preserve"> PAGEREF _Toc15522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_Toc16864 </w:instrText>
          </w:r>
          <w:r>
            <w:fldChar w:fldCharType="separate"/>
          </w:r>
          <w:r>
            <w:rPr>
              <w:rFonts w:hint="eastAsia" w:ascii="仿宋_GB2312" w:hAnsi="仿宋_GB2312" w:eastAsia="仿宋_GB2312" w:cs="仿宋_GB2312"/>
              <w:bCs w:val="0"/>
              <w:highlight w:val="none"/>
            </w:rPr>
            <w:t>三、</w:t>
          </w:r>
          <w:r>
            <w:rPr>
              <w:rFonts w:hint="eastAsia" w:ascii="仿宋_GB2312" w:hAnsi="仿宋_GB2312" w:eastAsia="仿宋_GB2312" w:cs="仿宋_GB2312"/>
              <w:highlight w:val="none"/>
            </w:rPr>
            <w:t>支</w:t>
          </w:r>
          <w:r>
            <w:rPr>
              <w:rFonts w:hint="eastAsia" w:ascii="仿宋_GB2312" w:hAnsi="仿宋_GB2312" w:eastAsia="仿宋_GB2312" w:cs="仿宋_GB2312"/>
              <w:bCs w:val="0"/>
              <w:highlight w:val="none"/>
            </w:rPr>
            <w:t>出决算表</w:t>
          </w:r>
          <w:r>
            <w:tab/>
          </w:r>
          <w:r>
            <w:fldChar w:fldCharType="begin"/>
          </w:r>
          <w:r>
            <w:instrText xml:space="preserve"> PAGEREF _Toc16864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_Toc4501 </w:instrText>
          </w:r>
          <w:r>
            <w:fldChar w:fldCharType="separate"/>
          </w:r>
          <w:r>
            <w:rPr>
              <w:rFonts w:hint="eastAsia" w:ascii="仿宋_GB2312" w:hAnsi="仿宋_GB2312" w:eastAsia="仿宋_GB2312" w:cs="仿宋_GB2312"/>
              <w:bCs w:val="0"/>
              <w:highlight w:val="none"/>
            </w:rPr>
            <w:t>四、</w:t>
          </w:r>
          <w:r>
            <w:rPr>
              <w:rFonts w:hint="eastAsia" w:ascii="仿宋_GB2312" w:hAnsi="仿宋_GB2312" w:eastAsia="仿宋_GB2312" w:cs="仿宋_GB2312"/>
              <w:highlight w:val="none"/>
            </w:rPr>
            <w:t>财</w:t>
          </w:r>
          <w:r>
            <w:rPr>
              <w:rFonts w:hint="eastAsia" w:ascii="仿宋_GB2312" w:hAnsi="仿宋_GB2312" w:eastAsia="仿宋_GB2312" w:cs="仿宋_GB2312"/>
              <w:bCs w:val="0"/>
              <w:highlight w:val="none"/>
            </w:rPr>
            <w:t>政拨款收入支出决算总表</w:t>
          </w:r>
          <w:r>
            <w:tab/>
          </w:r>
          <w:r>
            <w:fldChar w:fldCharType="begin"/>
          </w:r>
          <w:r>
            <w:instrText xml:space="preserve"> PAGEREF _Toc4501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_Toc28766 </w:instrText>
          </w:r>
          <w:r>
            <w:fldChar w:fldCharType="separate"/>
          </w:r>
          <w:r>
            <w:rPr>
              <w:rFonts w:hint="eastAsia" w:ascii="仿宋_GB2312" w:hAnsi="仿宋_GB2312" w:eastAsia="仿宋_GB2312" w:cs="仿宋_GB2312"/>
              <w:bCs w:val="0"/>
              <w:highlight w:val="none"/>
            </w:rPr>
            <w:t>五、</w:t>
          </w:r>
          <w:r>
            <w:rPr>
              <w:rFonts w:hint="eastAsia" w:ascii="仿宋_GB2312" w:hAnsi="仿宋_GB2312" w:eastAsia="仿宋_GB2312" w:cs="仿宋_GB2312"/>
              <w:highlight w:val="none"/>
            </w:rPr>
            <w:t>财</w:t>
          </w:r>
          <w:r>
            <w:rPr>
              <w:rFonts w:hint="eastAsia" w:ascii="仿宋_GB2312" w:hAnsi="仿宋_GB2312" w:eastAsia="仿宋_GB2312" w:cs="仿宋_GB2312"/>
              <w:bCs w:val="0"/>
              <w:highlight w:val="none"/>
            </w:rPr>
            <w:t>政拨款支出决算明细表</w:t>
          </w:r>
          <w:r>
            <w:tab/>
          </w:r>
          <w:r>
            <w:fldChar w:fldCharType="begin"/>
          </w:r>
          <w:r>
            <w:instrText xml:space="preserve"> PAGEREF _Toc28766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_Toc26041 </w:instrText>
          </w:r>
          <w:r>
            <w:fldChar w:fldCharType="separate"/>
          </w:r>
          <w:r>
            <w:rPr>
              <w:rFonts w:hint="eastAsia" w:ascii="仿宋_GB2312" w:hAnsi="仿宋_GB2312" w:eastAsia="仿宋_GB2312" w:cs="仿宋_GB2312"/>
              <w:bCs w:val="0"/>
              <w:highlight w:val="none"/>
            </w:rPr>
            <w:t>六、</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般公共预算财政拨款支出决算表</w:t>
          </w:r>
          <w:r>
            <w:tab/>
          </w:r>
          <w:r>
            <w:fldChar w:fldCharType="begin"/>
          </w:r>
          <w:r>
            <w:instrText xml:space="preserve"> PAGEREF _Toc26041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_Toc7731 </w:instrText>
          </w:r>
          <w:r>
            <w:fldChar w:fldCharType="separate"/>
          </w:r>
          <w:r>
            <w:rPr>
              <w:rFonts w:hint="eastAsia" w:ascii="仿宋_GB2312" w:hAnsi="仿宋_GB2312" w:eastAsia="仿宋_GB2312" w:cs="仿宋_GB2312"/>
              <w:bCs w:val="0"/>
              <w:highlight w:val="none"/>
            </w:rPr>
            <w:t>七、</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般公共预算财政拨款支出决算明细表</w:t>
          </w:r>
          <w:r>
            <w:tab/>
          </w:r>
          <w:r>
            <w:fldChar w:fldCharType="begin"/>
          </w:r>
          <w:r>
            <w:instrText xml:space="preserve"> PAGEREF _Toc7731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_Toc537 </w:instrText>
          </w:r>
          <w:r>
            <w:fldChar w:fldCharType="separate"/>
          </w:r>
          <w:r>
            <w:rPr>
              <w:rFonts w:hint="eastAsia" w:ascii="仿宋_GB2312" w:hAnsi="仿宋_GB2312" w:eastAsia="仿宋_GB2312" w:cs="仿宋_GB2312"/>
              <w:bCs w:val="0"/>
              <w:highlight w:val="none"/>
            </w:rPr>
            <w:t>八、</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般公共预算财政拨款基本支出决算表</w:t>
          </w:r>
          <w:r>
            <w:tab/>
          </w:r>
          <w:r>
            <w:fldChar w:fldCharType="begin"/>
          </w:r>
          <w:r>
            <w:instrText xml:space="preserve"> PAGEREF _Toc537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_Toc27032 </w:instrText>
          </w:r>
          <w:r>
            <w:fldChar w:fldCharType="separate"/>
          </w:r>
          <w:r>
            <w:rPr>
              <w:rFonts w:hint="eastAsia" w:ascii="仿宋_GB2312" w:hAnsi="仿宋_GB2312" w:eastAsia="仿宋_GB2312" w:cs="仿宋_GB2312"/>
              <w:bCs w:val="0"/>
              <w:highlight w:val="none"/>
            </w:rPr>
            <w:t>九、</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般公共预算财政拨款项目支出决算表</w:t>
          </w:r>
          <w:r>
            <w:tab/>
          </w:r>
          <w:r>
            <w:fldChar w:fldCharType="begin"/>
          </w:r>
          <w:r>
            <w:instrText xml:space="preserve"> PAGEREF _Toc27032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_Toc2041 </w:instrText>
          </w:r>
          <w:r>
            <w:fldChar w:fldCharType="separate"/>
          </w:r>
          <w:r>
            <w:rPr>
              <w:rFonts w:hint="eastAsia" w:ascii="仿宋_GB2312" w:hAnsi="仿宋_GB2312" w:eastAsia="仿宋_GB2312" w:cs="仿宋_GB2312"/>
              <w:bCs w:val="0"/>
              <w:highlight w:val="none"/>
            </w:rPr>
            <w:t>十、</w:t>
          </w:r>
          <w:r>
            <w:rPr>
              <w:rFonts w:hint="eastAsia" w:ascii="仿宋_GB2312" w:hAnsi="仿宋_GB2312" w:eastAsia="仿宋_GB2312" w:cs="仿宋_GB2312"/>
              <w:highlight w:val="none"/>
            </w:rPr>
            <w:t>政</w:t>
          </w:r>
          <w:r>
            <w:rPr>
              <w:rFonts w:hint="eastAsia" w:ascii="仿宋_GB2312" w:hAnsi="仿宋_GB2312" w:eastAsia="仿宋_GB2312" w:cs="仿宋_GB2312"/>
              <w:bCs w:val="0"/>
              <w:highlight w:val="none"/>
            </w:rPr>
            <w:t>府性基金预算财政拨款收入支出决算表</w:t>
          </w:r>
          <w:r>
            <w:tab/>
          </w:r>
          <w:r>
            <w:fldChar w:fldCharType="begin"/>
          </w:r>
          <w:r>
            <w:instrText xml:space="preserve"> PAGEREF _Toc2041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_Toc17134 </w:instrText>
          </w:r>
          <w:r>
            <w:fldChar w:fldCharType="separate"/>
          </w:r>
          <w:r>
            <w:rPr>
              <w:rFonts w:hint="eastAsia" w:ascii="仿宋_GB2312" w:hAnsi="仿宋_GB2312" w:eastAsia="仿宋_GB2312" w:cs="仿宋_GB2312"/>
              <w:bCs w:val="0"/>
              <w:highlight w:val="none"/>
            </w:rPr>
            <w:t>十一、</w:t>
          </w:r>
          <w:r>
            <w:rPr>
              <w:rFonts w:hint="eastAsia" w:ascii="仿宋_GB2312" w:hAnsi="仿宋_GB2312" w:eastAsia="仿宋_GB2312" w:cs="仿宋_GB2312"/>
              <w:highlight w:val="none"/>
            </w:rPr>
            <w:t>国</w:t>
          </w:r>
          <w:r>
            <w:rPr>
              <w:rFonts w:hint="eastAsia" w:ascii="仿宋_GB2312" w:hAnsi="仿宋_GB2312" w:eastAsia="仿宋_GB2312" w:cs="仿宋_GB2312"/>
              <w:bCs w:val="0"/>
              <w:highlight w:val="none"/>
            </w:rPr>
            <w:t>有资本经营预算</w:t>
          </w:r>
          <w:r>
            <w:rPr>
              <w:rFonts w:hint="eastAsia" w:ascii="仿宋_GB2312" w:hAnsi="仿宋_GB2312" w:eastAsia="仿宋_GB2312" w:cs="仿宋_GB2312"/>
              <w:bCs w:val="0"/>
              <w:highlight w:val="none"/>
              <w:lang w:eastAsia="zh-CN"/>
            </w:rPr>
            <w:t>财政拨款收入</w:t>
          </w:r>
          <w:r>
            <w:rPr>
              <w:rFonts w:hint="eastAsia" w:ascii="仿宋_GB2312" w:hAnsi="仿宋_GB2312" w:eastAsia="仿宋_GB2312" w:cs="仿宋_GB2312"/>
              <w:bCs w:val="0"/>
              <w:highlight w:val="none"/>
            </w:rPr>
            <w:t>支出决算表</w:t>
          </w:r>
          <w:r>
            <w:tab/>
          </w:r>
          <w:r>
            <w:fldChar w:fldCharType="begin"/>
          </w:r>
          <w:r>
            <w:instrText xml:space="preserve"> PAGEREF _Toc17134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_Toc20919 </w:instrText>
          </w:r>
          <w:r>
            <w:fldChar w:fldCharType="separate"/>
          </w:r>
          <w:r>
            <w:rPr>
              <w:rFonts w:hint="eastAsia" w:ascii="仿宋_GB2312" w:hAnsi="仿宋_GB2312" w:eastAsia="仿宋_GB2312" w:cs="仿宋_GB2312"/>
              <w:bCs w:val="0"/>
              <w:highlight w:val="none"/>
            </w:rPr>
            <w:t>十二、</w:t>
          </w:r>
          <w:r>
            <w:rPr>
              <w:rFonts w:hint="eastAsia" w:ascii="仿宋_GB2312" w:hAnsi="仿宋_GB2312" w:eastAsia="仿宋_GB2312" w:cs="仿宋_GB2312"/>
              <w:bCs w:val="0"/>
              <w:highlight w:val="none"/>
              <w:lang w:eastAsia="zh-CN"/>
            </w:rPr>
            <w:t>国有资本经营预算财政拨款支出决算表</w:t>
          </w:r>
          <w:r>
            <w:tab/>
          </w:r>
          <w:r>
            <w:fldChar w:fldCharType="begin"/>
          </w:r>
          <w:r>
            <w:instrText xml:space="preserve"> PAGEREF _Toc20919 \h </w:instrText>
          </w:r>
          <w:r>
            <w:fldChar w:fldCharType="separate"/>
          </w:r>
          <w:r>
            <w:t>63</w:t>
          </w:r>
          <w:r>
            <w:fldChar w:fldCharType="end"/>
          </w:r>
          <w: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pPr>
          <w:r>
            <w:fldChar w:fldCharType="begin"/>
          </w:r>
          <w:r>
            <w:instrText xml:space="preserve"> HYPERLINK \l _Toc8338 </w:instrText>
          </w:r>
          <w:r>
            <w:fldChar w:fldCharType="separate"/>
          </w:r>
          <w:r>
            <w:rPr>
              <w:rFonts w:hint="eastAsia" w:ascii="仿宋_GB2312" w:hAnsi="仿宋_GB2312" w:eastAsia="仿宋_GB2312" w:cs="仿宋_GB2312"/>
              <w:bCs w:val="0"/>
              <w:highlight w:val="none"/>
            </w:rPr>
            <w:t>十三、</w:t>
          </w:r>
          <w:r>
            <w:rPr>
              <w:rFonts w:hint="eastAsia" w:ascii="仿宋_GB2312" w:hAnsi="仿宋_GB2312" w:eastAsia="仿宋_GB2312" w:cs="仿宋_GB2312"/>
              <w:bCs w:val="0"/>
              <w:highlight w:val="none"/>
              <w:lang w:eastAsia="zh-CN"/>
            </w:rPr>
            <w:t>财政拨款“三公”经费支出决算表</w:t>
          </w:r>
          <w:r>
            <w:tab/>
          </w:r>
          <w:r>
            <w:fldChar w:fldCharType="begin"/>
          </w:r>
          <w:r>
            <w:instrText xml:space="preserve"> PAGEREF _Toc8338 \h </w:instrText>
          </w:r>
          <w:r>
            <w:fldChar w:fldCharType="separate"/>
          </w:r>
          <w:r>
            <w:t>63</w:t>
          </w:r>
          <w:r>
            <w:fldChar w:fldCharType="end"/>
          </w:r>
          <w:r>
            <w:fldChar w:fldCharType="end"/>
          </w:r>
        </w:p>
        <w:p>
          <w:pPr>
            <w:rPr>
              <w:rFonts w:ascii="仿宋" w:hAnsi="仿宋" w:eastAsia="仿宋"/>
              <w:color w:val="auto"/>
              <w:sz w:val="24"/>
              <w:highlight w:val="none"/>
            </w:rPr>
          </w:pPr>
          <w:r>
            <w:rPr>
              <w:b/>
            </w:rPr>
            <w:fldChar w:fldCharType="end"/>
          </w:r>
        </w:p>
      </w:sdtContent>
    </w:sdt>
    <w:p>
      <w:pPr>
        <w:pStyle w:val="4"/>
        <w:pageBreakBefore w:val="0"/>
        <w:kinsoku/>
        <w:wordWrap/>
        <w:overflowPunct/>
        <w:topLinePunct w:val="0"/>
        <w:autoSpaceDE/>
        <w:autoSpaceDN/>
        <w:bidi w:val="0"/>
        <w:spacing w:line="336" w:lineRule="auto"/>
        <w:jc w:val="center"/>
        <w:textAlignment w:val="auto"/>
        <w:outlineLvl w:val="9"/>
        <w:rPr>
          <w:rFonts w:hint="eastAsia" w:ascii="黑体" w:hAnsi="黑体" w:eastAsia="黑体"/>
          <w:b w:val="0"/>
          <w:color w:val="auto"/>
          <w:highlight w:val="none"/>
        </w:rPr>
        <w:sectPr>
          <w:headerReference r:id="rId3" w:type="default"/>
          <w:footerReference r:id="rId4" w:type="default"/>
          <w:pgSz w:w="11906" w:h="16838"/>
          <w:pgMar w:top="1984" w:right="1474" w:bottom="1474" w:left="1587" w:header="851" w:footer="992" w:gutter="0"/>
          <w:pgNumType w:fmt="decimal" w:start="1"/>
          <w:cols w:space="425" w:num="1"/>
          <w:titlePg/>
          <w:docGrid w:type="lines" w:linePitch="312" w:charSpace="0"/>
        </w:sectPr>
      </w:pPr>
      <w:bookmarkStart w:id="14" w:name="_Toc15396599"/>
      <w:bookmarkStart w:id="15" w:name="_Toc15377196"/>
    </w:p>
    <w:p>
      <w:pPr>
        <w:pStyle w:val="4"/>
        <w:pageBreakBefore w:val="0"/>
        <w:kinsoku/>
        <w:wordWrap/>
        <w:overflowPunct/>
        <w:topLinePunct w:val="0"/>
        <w:autoSpaceDE/>
        <w:autoSpaceDN/>
        <w:bidi w:val="0"/>
        <w:snapToGrid w:val="0"/>
        <w:spacing w:line="324" w:lineRule="auto"/>
        <w:jc w:val="center"/>
        <w:textAlignment w:val="auto"/>
        <w:rPr>
          <w:rFonts w:ascii="黑体" w:eastAsia="黑体"/>
          <w:color w:val="auto"/>
          <w:sz w:val="32"/>
          <w:szCs w:val="32"/>
          <w:highlight w:val="none"/>
        </w:rPr>
      </w:pPr>
      <w:bookmarkStart w:id="16" w:name="_Toc19345"/>
      <w:r>
        <w:rPr>
          <w:rFonts w:hint="eastAsia" w:ascii="黑体" w:hAnsi="黑体" w:eastAsia="黑体"/>
          <w:b w:val="0"/>
          <w:color w:val="auto"/>
          <w:highlight w:val="none"/>
        </w:rPr>
        <w:t>第一部分</w:t>
      </w:r>
      <w:r>
        <w:rPr>
          <w:rStyle w:val="20"/>
          <w:rFonts w:hint="eastAsia" w:ascii="黑体" w:hAnsi="黑体" w:eastAsia="黑体"/>
          <w:b w:val="0"/>
          <w:bCs w:val="0"/>
          <w:color w:val="auto"/>
          <w:highlight w:val="none"/>
        </w:rPr>
        <w:t>部门概况</w:t>
      </w:r>
      <w:bookmarkEnd w:id="14"/>
      <w:bookmarkEnd w:id="15"/>
      <w:bookmarkEnd w:id="16"/>
    </w:p>
    <w:p>
      <w:pPr>
        <w:pStyle w:val="5"/>
        <w:pageBreakBefore w:val="0"/>
        <w:widowControl w:val="0"/>
        <w:numPr>
          <w:ilvl w:val="0"/>
          <w:numId w:val="1"/>
        </w:numPr>
        <w:kinsoku/>
        <w:wordWrap/>
        <w:overflowPunct/>
        <w:topLinePunct w:val="0"/>
        <w:autoSpaceDE/>
        <w:autoSpaceDN/>
        <w:bidi w:val="0"/>
        <w:snapToGrid w:val="0"/>
        <w:spacing w:line="324" w:lineRule="auto"/>
        <w:textAlignment w:val="auto"/>
        <w:rPr>
          <w:rFonts w:hint="eastAsia" w:ascii="黑体" w:hAnsi="黑体" w:eastAsia="黑体"/>
          <w:b w:val="0"/>
          <w:color w:val="auto"/>
          <w:highlight w:val="none"/>
          <w:lang w:eastAsia="zh-CN"/>
        </w:rPr>
      </w:pPr>
      <w:bookmarkStart w:id="17" w:name="_Toc31511"/>
      <w:r>
        <w:rPr>
          <w:rFonts w:hint="eastAsia" w:ascii="黑体" w:hAnsi="黑体" w:eastAsia="黑体"/>
          <w:b w:val="0"/>
          <w:color w:val="auto"/>
          <w:highlight w:val="none"/>
          <w:lang w:eastAsia="zh-CN"/>
        </w:rPr>
        <w:t>部门职责</w:t>
      </w:r>
      <w:bookmarkEnd w:id="17"/>
    </w:p>
    <w:p>
      <w:pPr>
        <w:pStyle w:val="8"/>
        <w:keepNext w:val="0"/>
        <w:keepLines w:val="0"/>
        <w:pageBreakBefore w:val="0"/>
        <w:widowControl w:val="0"/>
        <w:kinsoku/>
        <w:wordWrap/>
        <w:overflowPunct/>
        <w:topLinePunct w:val="0"/>
        <w:autoSpaceDE/>
        <w:autoSpaceDN/>
        <w:bidi w:val="0"/>
        <w:adjustRightInd w:val="0"/>
        <w:snapToGrid w:val="0"/>
        <w:spacing w:line="324" w:lineRule="auto"/>
        <w:ind w:firstLine="672" w:firstLineChars="210"/>
        <w:textAlignment w:val="auto"/>
        <w:outlineLvl w:val="2"/>
        <w:rPr>
          <w:rFonts w:hint="eastAsia" w:ascii="楷体_GB2312" w:hAnsi="楷体_GB2312" w:eastAsia="楷体_GB2312" w:cs="楷体_GB2312"/>
          <w:bCs/>
          <w:color w:val="000000"/>
          <w:sz w:val="32"/>
          <w:szCs w:val="32"/>
          <w:highlight w:val="none"/>
        </w:rPr>
      </w:pPr>
      <w:bookmarkStart w:id="18" w:name="_Toc15377198"/>
      <w:bookmarkStart w:id="19" w:name="_Toc15378445"/>
      <w:r>
        <w:rPr>
          <w:rFonts w:hint="eastAsia" w:ascii="楷体_GB2312" w:hAnsi="楷体_GB2312" w:eastAsia="楷体_GB2312" w:cs="楷体_GB2312"/>
          <w:bCs/>
          <w:color w:val="000000"/>
          <w:sz w:val="32"/>
          <w:szCs w:val="32"/>
          <w:highlight w:val="none"/>
        </w:rPr>
        <w:t>（一）主要职能。</w:t>
      </w:r>
    </w:p>
    <w:bookmarkEnd w:id="18"/>
    <w:bookmarkEnd w:id="19"/>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1．深入贯彻党的路线方针政策和决策部署，统一政法单位思想和行动，坚持党对政法工作的绝对领导，坚决维护党中央权威和集中统一领导。</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深入贯彻落实党中央决定和省委、市委决策，对政法工作研究提出全局性部署，推进平安广元、法治广元建设，加强过硬队伍建设，深化智能化建设，坚决维护国家政治安全、确保社会大局稳定、促进社会公平正义、保障人民安居乐业、护航经济社会发展。完善和落实政治督察、执法监督、纪律作风督查等工作制度机制。</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了解掌握和分析研判政法工作情况动态和全市社会稳定形势。创新完善多部门参与的综治维稳工作机制，构建矛盾纠纷多元化解体系和机制，协调推动预防、化解影响稳定的社会矛盾和风险，协调应对和处置重大突发事件，统筹推动全市维护稳定工作。</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4．加强对政法工作的督查，统筹协调维护政治安全、社会治安综合治理、维护社会稳定、反邪教有关法律法规政策的实施工作；指导全市政法单位网络安全和智能化建设工作。</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5．组织开展政法领域的调查研究，研究拟订全市政法工作的政策措施，及时向市委提出建议；参与有关法规、规章的起草、修改工作，及时提出立法建议。</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6．掌握分析政法舆情动态，指导协调政法单位媒体网络宣传工作，指导政法单位做好涉及政法工作的重大宣传和舆论引导工作。</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7．支持和监督政法单位依法行使职权，指导和协调政法单位密切配合，研究和协调重大、疑难案件，推进严格执法、公正司法。</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8．组织研究政法改革中带有方向性、倾向性和普遍性的重大问题，深化政法改革。</w:t>
      </w:r>
    </w:p>
    <w:p>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9．指导推进政法系统党的建设和政法队伍建设，协同市级有关职能单位管理监督政法领导干部，代管广元市法学会。</w:t>
      </w:r>
    </w:p>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10．完成市委交办的其他任务。</w:t>
      </w:r>
    </w:p>
    <w:p>
      <w:pPr>
        <w:pStyle w:val="8"/>
        <w:keepNext w:val="0"/>
        <w:keepLines w:val="0"/>
        <w:pageBreakBefore w:val="0"/>
        <w:widowControl w:val="0"/>
        <w:kinsoku/>
        <w:wordWrap/>
        <w:overflowPunct/>
        <w:topLinePunct w:val="0"/>
        <w:autoSpaceDE/>
        <w:autoSpaceDN/>
        <w:bidi w:val="0"/>
        <w:adjustRightInd w:val="0"/>
        <w:snapToGrid w:val="0"/>
        <w:spacing w:line="324" w:lineRule="auto"/>
        <w:ind w:firstLine="672" w:firstLineChars="210"/>
        <w:textAlignment w:val="auto"/>
        <w:outlineLvl w:val="2"/>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（二）20</w:t>
      </w:r>
      <w:r>
        <w:rPr>
          <w:rFonts w:hint="eastAsia" w:ascii="楷体_GB2312" w:hAnsi="楷体_GB2312" w:eastAsia="楷体_GB2312" w:cs="楷体_GB2312"/>
          <w:bCs/>
          <w:color w:val="000000"/>
          <w:sz w:val="32"/>
          <w:szCs w:val="32"/>
          <w:highlight w:val="none"/>
          <w:lang w:val="en-US" w:eastAsia="zh-CN"/>
        </w:rPr>
        <w:t>2</w:t>
      </w:r>
      <w:r>
        <w:rPr>
          <w:rFonts w:hint="eastAsia" w:ascii="楷体_GB2312" w:hAnsi="楷体_GB2312" w:eastAsia="楷体_GB2312" w:cs="楷体_GB2312"/>
          <w:bCs/>
          <w:color w:val="000000"/>
          <w:sz w:val="32"/>
          <w:szCs w:val="32"/>
          <w:highlight w:val="none"/>
          <w:lang w:val="en-US"/>
        </w:rPr>
        <w:t>2</w:t>
      </w:r>
      <w:r>
        <w:rPr>
          <w:rFonts w:hint="eastAsia" w:ascii="楷体_GB2312" w:hAnsi="楷体_GB2312" w:eastAsia="楷体_GB2312" w:cs="楷体_GB2312"/>
          <w:bCs/>
          <w:color w:val="000000"/>
          <w:sz w:val="32"/>
          <w:szCs w:val="32"/>
          <w:highlight w:val="none"/>
        </w:rPr>
        <w:t>年重点工作完成情况。</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全市政法系统认真贯彻落实党中央和省委、市委决策部署，扎实做好党的二十大、省第十二次党代会等重大会议安保维稳工作，统筹推进防风险、保安全、护稳定，工作取得新的明显成效。广元市连续11年被评为四川省维护稳定工作先进集体，平安建设满意度群众安全感测评连续9年名列全省前茅，成功创建第二批“全国法治政府建设示范市”，社会治理工作经验在全国第九次和全省第三次市域社会治理现代化试点工作交流会上交流。</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sz w:val="32"/>
          <w:szCs w:val="32"/>
          <w:lang w:val="en-US" w:eastAsia="zh-CN"/>
        </w:rPr>
        <w:t>——</w:t>
      </w:r>
      <w:r>
        <w:rPr>
          <w:rFonts w:hint="eastAsia" w:ascii="楷体_GB2312" w:hAnsi="楷体_GB2312" w:eastAsia="楷体_GB2312" w:cs="楷体_GB2312"/>
          <w:color w:val="000000"/>
          <w:kern w:val="0"/>
          <w:sz w:val="32"/>
          <w:szCs w:val="32"/>
        </w:rPr>
        <w:t>政治社会大局保持稳定。</w:t>
      </w:r>
      <w:r>
        <w:rPr>
          <w:rFonts w:hint="eastAsia" w:ascii="仿宋_GB2312" w:hAnsi="仿宋_GB2312" w:eastAsia="仿宋_GB2312" w:cs="仿宋_GB2312"/>
          <w:color w:val="000000"/>
          <w:kern w:val="0"/>
          <w:sz w:val="32"/>
          <w:szCs w:val="32"/>
        </w:rPr>
        <w:t>以为党的二十大</w:t>
      </w:r>
      <w:r>
        <w:rPr>
          <w:rFonts w:hint="eastAsia" w:ascii="仿宋_GB2312" w:hAnsi="仿宋_GB2312" w:eastAsia="仿宋_GB2312" w:cs="仿宋_GB2312"/>
          <w:color w:val="000000"/>
          <w:kern w:val="0"/>
          <w:sz w:val="32"/>
          <w:szCs w:val="32"/>
          <w:lang w:eastAsia="zh-CN"/>
        </w:rPr>
        <w:t>胜</w:t>
      </w:r>
      <w:r>
        <w:rPr>
          <w:rFonts w:hint="eastAsia" w:ascii="仿宋_GB2312" w:hAnsi="仿宋_GB2312" w:eastAsia="仿宋_GB2312" w:cs="仿宋_GB2312"/>
          <w:color w:val="000000"/>
          <w:kern w:val="0"/>
          <w:sz w:val="32"/>
          <w:szCs w:val="32"/>
        </w:rPr>
        <w:t>利召开创造安全稳定的政治社会环境为主线，有效处置11起涉政涉邪安全隐患。中央信联办交办我市的337件重复信访件全部办结，50人以上群体性事件“零发生”，打赢了</w:t>
      </w:r>
      <w:bookmarkStart w:id="115" w:name="_GoBack"/>
      <w:bookmarkEnd w:id="115"/>
      <w:r>
        <w:rPr>
          <w:rFonts w:hint="eastAsia" w:ascii="仿宋_GB2312" w:hAnsi="仿宋_GB2312" w:eastAsia="仿宋_GB2312" w:cs="仿宋_GB2312"/>
          <w:color w:val="000000"/>
          <w:kern w:val="0"/>
          <w:sz w:val="32"/>
          <w:szCs w:val="32"/>
        </w:rPr>
        <w:t>党的二十大、省第十二次党代会等重要节点维稳硬仗，社会大局持续安全稳定。《战时五大机制精准助力“大安全、大稳定”》《“1344”稳评工作法全力护航“拼经济、搞建设”》在全省推广。《关于全市党的二十大安保维稳工作情况的报告》得到市委主要领导肯定性批示。</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sz w:val="32"/>
          <w:szCs w:val="32"/>
          <w:lang w:val="en-US" w:eastAsia="zh-CN"/>
        </w:rPr>
        <w:t>——</w:t>
      </w:r>
      <w:r>
        <w:rPr>
          <w:rFonts w:hint="eastAsia" w:ascii="楷体_GB2312" w:hAnsi="楷体_GB2312" w:eastAsia="楷体_GB2312" w:cs="楷体_GB2312"/>
          <w:color w:val="000000"/>
          <w:kern w:val="0"/>
          <w:sz w:val="32"/>
          <w:szCs w:val="32"/>
        </w:rPr>
        <w:t>法治广元、平安广元建设纵深推进。</w:t>
      </w:r>
      <w:r>
        <w:rPr>
          <w:rFonts w:hint="eastAsia" w:ascii="仿宋_GB2312" w:hAnsi="仿宋_GB2312" w:eastAsia="仿宋_GB2312" w:cs="仿宋_GB2312"/>
          <w:color w:val="000000"/>
          <w:kern w:val="0"/>
          <w:sz w:val="32"/>
          <w:szCs w:val="32"/>
        </w:rPr>
        <w:t>全市行政机关负责人出庭应诉率达100%。侦办部督刑事案件数量居全省第二，破获命案积案4起，超目标300%，5起现行命案实现全破。审结广元建市以来存续时间最长、涉案人数最多的徐某等84人黑社会性质组织犯罪案。调解各类矛盾纠纷3.1万余件，命案发案率、污水毒品监测指数继续保持全省最低，未发生“民转刑”命案。“一站式”矛调中心建设稳步推进。创建省级“六无”平安村（社区）18个，组建“平安义警”2200余人，发展红袖套、平安志愿者1.2万人，街面现行案件同比下降11.8%。重点部位安防设施建设率达100%，未发生重特大安全责任事故。广元市和利州区、昭化区、朝天区分别被省委、省政府表扬为2021年度全省平安建设优秀市、先进县（区）。</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sz w:val="32"/>
          <w:szCs w:val="32"/>
          <w:lang w:val="en-US" w:eastAsia="zh-CN"/>
        </w:rPr>
        <w:t>——</w:t>
      </w:r>
      <w:r>
        <w:rPr>
          <w:rFonts w:hint="eastAsia" w:ascii="楷体_GB2312" w:hAnsi="楷体_GB2312" w:eastAsia="楷体_GB2312" w:cs="楷体_GB2312"/>
          <w:color w:val="000000"/>
          <w:kern w:val="0"/>
          <w:sz w:val="32"/>
          <w:szCs w:val="32"/>
        </w:rPr>
        <w:t>护航高质量发展成效显著。</w:t>
      </w:r>
      <w:r>
        <w:rPr>
          <w:rFonts w:hint="eastAsia" w:ascii="仿宋_GB2312" w:hAnsi="仿宋_GB2312" w:eastAsia="仿宋_GB2312" w:cs="仿宋_GB2312"/>
          <w:color w:val="000000"/>
          <w:kern w:val="0"/>
          <w:sz w:val="32"/>
          <w:szCs w:val="32"/>
        </w:rPr>
        <w:t>判处合同诈骗等破坏市场经济秩序犯罪62件222人，起诉挪用资金等侵害企业权益犯罪23人。对涉经营类犯罪企业负责人依法不捕14人、不诉15人。成功破获涉案金额1.32亿元的特大串通投标案等经济领域案件108件，央视今日说法等栏目先后8次播出广元警方案侦专题节目。</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sz w:val="32"/>
          <w:szCs w:val="32"/>
          <w:lang w:val="en-US" w:eastAsia="zh-CN"/>
        </w:rPr>
        <w:t>——</w:t>
      </w:r>
      <w:r>
        <w:rPr>
          <w:rFonts w:hint="eastAsia" w:ascii="楷体_GB2312" w:hAnsi="楷体_GB2312" w:eastAsia="楷体_GB2312" w:cs="楷体_GB2312"/>
          <w:color w:val="000000"/>
          <w:kern w:val="0"/>
          <w:sz w:val="32"/>
          <w:szCs w:val="32"/>
        </w:rPr>
        <w:t>政法领域改革不断深化。</w:t>
      </w:r>
      <w:r>
        <w:rPr>
          <w:rFonts w:hint="eastAsia" w:ascii="仿宋_GB2312" w:hAnsi="仿宋_GB2312" w:eastAsia="仿宋_GB2312" w:cs="仿宋_GB2312"/>
          <w:color w:val="000000"/>
          <w:kern w:val="0"/>
          <w:sz w:val="32"/>
          <w:szCs w:val="32"/>
        </w:rPr>
        <w:t>修订完善执法办案规章制度55项。对89件问题案件逐案开展“一案一剖析”，纠错34件次，追责问责91人次。开展“五年百佳案例”评选和“百案督办”，4件入选全省网评案例、11件督办案件限期办结，办理“12337”举报平台线索37件。县区法检财物统管改革顺利实施。跨部门办案平台建设运用全覆盖，实现刑事案件“一网通办”，全程流转。“治重化积”工作全省排名靠前，中央、省第二批交办我市15件积案全部化解。</w:t>
      </w:r>
    </w:p>
    <w:p>
      <w:pPr>
        <w:keepNext w:val="0"/>
        <w:keepLines w:val="0"/>
        <w:pageBreakBefore w:val="0"/>
        <w:widowControl w:val="0"/>
        <w:kinsoku/>
        <w:wordWrap/>
        <w:overflowPunct/>
        <w:topLinePunct w:val="0"/>
        <w:autoSpaceDE/>
        <w:autoSpaceDN/>
        <w:bidi w:val="0"/>
        <w:snapToGrid w:val="0"/>
        <w:spacing w:line="324"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sz w:val="32"/>
          <w:szCs w:val="32"/>
          <w:lang w:val="en-US" w:eastAsia="zh-CN"/>
        </w:rPr>
        <w:t>——</w:t>
      </w:r>
      <w:r>
        <w:rPr>
          <w:rFonts w:hint="eastAsia" w:ascii="楷体_GB2312" w:hAnsi="楷体_GB2312" w:eastAsia="楷体_GB2312" w:cs="楷体_GB2312"/>
          <w:color w:val="000000"/>
          <w:kern w:val="0"/>
          <w:sz w:val="32"/>
          <w:szCs w:val="32"/>
        </w:rPr>
        <w:t>政法队伍建设呈现新貌。</w:t>
      </w:r>
      <w:r>
        <w:rPr>
          <w:rFonts w:hint="eastAsia" w:ascii="仿宋_GB2312" w:hAnsi="仿宋_GB2312" w:eastAsia="仿宋_GB2312" w:cs="仿宋_GB2312"/>
          <w:color w:val="000000"/>
          <w:kern w:val="0"/>
          <w:sz w:val="32"/>
          <w:szCs w:val="32"/>
        </w:rPr>
        <w:t>扎实开展“忠诚铸魂、铁纪担当”专项活动，举办全市乡镇（街道）政法委员培训班。协助市委组织部完成县区法检两院领导班子配备，交流轮岗政法领导干部363人次。会同市纪委监委召开市级政法单位2021年度全面从严治党“四责同述”会议，被中央纪委国家监委网站报道。与人社等十余家单位联合建立个人有关事项核查机制，严格落实新时代政法干警“十个严禁”等铁规禁令。广泛开展实战练兵，全年12个集体、28名个人受到省部级以上表彰。</w:t>
      </w:r>
    </w:p>
    <w:p>
      <w:pPr>
        <w:pStyle w:val="14"/>
        <w:pageBreakBefore w:val="0"/>
        <w:widowControl w:val="0"/>
        <w:kinsoku/>
        <w:wordWrap/>
        <w:overflowPunct/>
        <w:topLinePunct w:val="0"/>
        <w:autoSpaceDE/>
        <w:autoSpaceDN/>
        <w:bidi w:val="0"/>
        <w:snapToGrid w:val="0"/>
        <w:spacing w:line="324" w:lineRule="auto"/>
        <w:textAlignment w:val="auto"/>
        <w:rPr>
          <w:rFonts w:hint="eastAsia"/>
        </w:rPr>
      </w:pPr>
    </w:p>
    <w:p>
      <w:pPr>
        <w:pStyle w:val="5"/>
        <w:pageBreakBefore w:val="0"/>
        <w:widowControl w:val="0"/>
        <w:kinsoku/>
        <w:wordWrap/>
        <w:overflowPunct/>
        <w:topLinePunct w:val="0"/>
        <w:autoSpaceDE/>
        <w:autoSpaceDN/>
        <w:bidi w:val="0"/>
        <w:snapToGrid w:val="0"/>
        <w:spacing w:line="324" w:lineRule="auto"/>
        <w:textAlignment w:val="auto"/>
        <w:rPr>
          <w:rStyle w:val="21"/>
          <w:b w:val="0"/>
          <w:bCs w:val="0"/>
          <w:color w:val="auto"/>
          <w:highlight w:val="none"/>
        </w:rPr>
      </w:pPr>
      <w:bookmarkStart w:id="20" w:name="_Toc15377200"/>
      <w:bookmarkStart w:id="21" w:name="_Toc15396601"/>
      <w:bookmarkStart w:id="22" w:name="_Toc8676"/>
      <w:r>
        <w:rPr>
          <w:rFonts w:hint="eastAsia" w:ascii="黑体" w:eastAsia="黑体"/>
          <w:b w:val="0"/>
          <w:color w:val="auto"/>
          <w:highlight w:val="none"/>
        </w:rPr>
        <w:t>二、</w:t>
      </w:r>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20"/>
      <w:bookmarkEnd w:id="21"/>
      <w:bookmarkEnd w:id="22"/>
    </w:p>
    <w:p>
      <w:pPr>
        <w:keepNext w:val="0"/>
        <w:keepLines w:val="0"/>
        <w:widowControl/>
        <w:suppressLineNumbers w:val="0"/>
        <w:spacing w:before="0" w:beforeAutospacing="0" w:after="0" w:afterAutospacing="0"/>
        <w:ind w:left="0" w:right="0" w:firstLine="800"/>
        <w:jc w:val="both"/>
        <w:rPr>
          <w:rFonts w:ascii="仿宋" w:hAnsi="仿宋" w:eastAsia="仿宋"/>
          <w:color w:val="auto"/>
          <w:sz w:val="32"/>
          <w:szCs w:val="32"/>
          <w:highlight w:val="none"/>
        </w:rPr>
      </w:pPr>
      <w:r>
        <w:rPr>
          <w:rFonts w:hint="eastAsia" w:ascii="仿宋_GB2312" w:hAnsi="仿宋_GB2312" w:eastAsia="仿宋_GB2312" w:cs="仿宋_GB2312"/>
          <w:color w:val="000000"/>
          <w:sz w:val="32"/>
          <w:szCs w:val="32"/>
        </w:rPr>
        <w:t>市委政法委</w:t>
      </w:r>
      <w:r>
        <w:rPr>
          <w:rFonts w:hint="default" w:ascii="仿宋_GB2312" w:hAnsi="仿宋_GB2312" w:eastAsia="仿宋_GB2312" w:cs="仿宋_GB2312"/>
          <w:color w:val="000000"/>
          <w:sz w:val="32"/>
          <w:szCs w:val="32"/>
        </w:rPr>
        <w:t>无</w:t>
      </w:r>
      <w:r>
        <w:rPr>
          <w:rFonts w:hint="default" w:ascii="仿宋" w:hAnsi="仿宋" w:eastAsia="仿宋" w:cs="仿宋"/>
          <w:i w:val="0"/>
          <w:iCs w:val="0"/>
          <w:caps w:val="0"/>
          <w:color w:val="000000"/>
          <w:spacing w:val="0"/>
          <w:kern w:val="0"/>
          <w:sz w:val="32"/>
          <w:szCs w:val="32"/>
          <w:lang w:val="en-US" w:eastAsia="zh-CN" w:bidi="ar"/>
        </w:rPr>
        <w:t>下属二级预算单位</w:t>
      </w:r>
      <w:r>
        <w:rPr>
          <w:rFonts w:hint="default" w:ascii="仿宋" w:hAnsi="仿宋" w:eastAsia="仿宋" w:cs="仿宋"/>
          <w:i w:val="0"/>
          <w:iCs w:val="0"/>
          <w:caps w:val="0"/>
          <w:color w:val="000000"/>
          <w:spacing w:val="0"/>
          <w:kern w:val="0"/>
          <w:sz w:val="32"/>
          <w:szCs w:val="32"/>
          <w:lang w:eastAsia="zh-CN" w:bidi="ar"/>
        </w:rPr>
        <w:t>，</w:t>
      </w:r>
      <w:r>
        <w:rPr>
          <w:rFonts w:hint="eastAsia" w:ascii="仿宋_GB2312" w:hAnsi="仿宋_GB2312" w:eastAsia="仿宋_GB2312" w:cs="仿宋_GB2312"/>
          <w:color w:val="000000"/>
          <w:sz w:val="32"/>
          <w:szCs w:val="32"/>
        </w:rPr>
        <w:t>共有3个</w:t>
      </w:r>
      <w:r>
        <w:rPr>
          <w:rFonts w:hint="default" w:ascii="仿宋_GB2312" w:hAnsi="仿宋_GB2312" w:eastAsia="仿宋_GB2312" w:cs="仿宋_GB2312"/>
          <w:color w:val="000000"/>
          <w:sz w:val="32"/>
          <w:szCs w:val="32"/>
        </w:rPr>
        <w:t>独立编制机构</w:t>
      </w:r>
      <w:r>
        <w:rPr>
          <w:rFonts w:hint="eastAsia" w:ascii="仿宋_GB2312" w:hAnsi="仿宋_GB2312" w:eastAsia="仿宋_GB2312" w:cs="仿宋_GB2312"/>
          <w:color w:val="000000"/>
          <w:sz w:val="32"/>
          <w:szCs w:val="32"/>
        </w:rPr>
        <w:t>，其中行政单位1个（中共广元市委政法委员会），其他事业单位2个（广元市综治中心、广元市法学会）。</w:t>
      </w:r>
    </w:p>
    <w:p>
      <w:pPr>
        <w:pageBreakBefore w:val="0"/>
        <w:widowControl/>
        <w:kinsoku/>
        <w:wordWrap/>
        <w:overflowPunct/>
        <w:topLinePunct w:val="0"/>
        <w:autoSpaceDE/>
        <w:autoSpaceDN/>
        <w:bidi w:val="0"/>
        <w:spacing w:line="336" w:lineRule="auto"/>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keepNext/>
        <w:keepLines/>
        <w:pageBreakBefore w:val="0"/>
        <w:widowControl w:val="0"/>
        <w:kinsoku/>
        <w:wordWrap/>
        <w:overflowPunct/>
        <w:topLinePunct w:val="0"/>
        <w:autoSpaceDE/>
        <w:autoSpaceDN/>
        <w:bidi w:val="0"/>
        <w:adjustRightInd/>
        <w:snapToGrid/>
        <w:spacing w:line="579" w:lineRule="auto"/>
        <w:ind w:right="0"/>
        <w:jc w:val="center"/>
        <w:textAlignment w:val="auto"/>
        <w:rPr>
          <w:rStyle w:val="20"/>
          <w:rFonts w:ascii="黑体" w:hAnsi="黑体" w:eastAsia="黑体"/>
          <w:b w:val="0"/>
          <w:bCs/>
          <w:color w:val="auto"/>
          <w:highlight w:val="none"/>
        </w:rPr>
      </w:pPr>
      <w:bookmarkStart w:id="23" w:name="_Toc15377204"/>
      <w:bookmarkStart w:id="24" w:name="_Toc15396602"/>
      <w:bookmarkStart w:id="25" w:name="_Toc16785"/>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20"/>
          <w:rFonts w:hint="eastAsia" w:ascii="黑体" w:hAnsi="黑体" w:eastAsia="黑体"/>
          <w:b w:val="0"/>
          <w:bCs/>
          <w:color w:val="auto"/>
          <w:highlight w:val="none"/>
        </w:rPr>
        <w:t>部门决算情况说明</w:t>
      </w:r>
      <w:bookmarkEnd w:id="23"/>
      <w:bookmarkEnd w:id="24"/>
      <w:bookmarkEnd w:id="25"/>
    </w:p>
    <w:p>
      <w:pPr>
        <w:rPr>
          <w:color w:val="auto"/>
          <w:highlight w:val="none"/>
        </w:rPr>
      </w:pPr>
    </w:p>
    <w:p>
      <w:pPr>
        <w:pStyle w:val="31"/>
        <w:numPr>
          <w:ilvl w:val="0"/>
          <w:numId w:val="2"/>
        </w:numPr>
        <w:spacing w:line="600" w:lineRule="exact"/>
        <w:ind w:firstLineChars="0"/>
        <w:outlineLvl w:val="1"/>
        <w:rPr>
          <w:rStyle w:val="21"/>
          <w:rFonts w:hint="eastAsia" w:ascii="黑体" w:hAnsi="黑体" w:eastAsia="黑体" w:cs="黑体"/>
          <w:b w:val="0"/>
          <w:color w:val="auto"/>
          <w:highlight w:val="none"/>
        </w:rPr>
      </w:pPr>
      <w:bookmarkStart w:id="26" w:name="_Toc15377205"/>
      <w:bookmarkStart w:id="27" w:name="_Toc15396603"/>
      <w:bookmarkStart w:id="28" w:name="_Toc18883"/>
      <w:r>
        <w:rPr>
          <w:rFonts w:hint="eastAsia" w:ascii="黑体" w:hAnsi="黑体" w:eastAsia="黑体" w:cs="黑体"/>
          <w:color w:val="auto"/>
          <w:sz w:val="32"/>
          <w:szCs w:val="32"/>
          <w:highlight w:val="none"/>
        </w:rPr>
        <w:t>收</w:t>
      </w:r>
      <w:r>
        <w:rPr>
          <w:rStyle w:val="21"/>
          <w:rFonts w:hint="eastAsia" w:ascii="黑体" w:hAnsi="黑体" w:eastAsia="黑体" w:cs="黑体"/>
          <w:b w:val="0"/>
          <w:color w:val="auto"/>
          <w:highlight w:val="none"/>
        </w:rPr>
        <w:t>入支出决算总体情况说明</w:t>
      </w:r>
      <w:bookmarkEnd w:id="26"/>
      <w:bookmarkEnd w:id="27"/>
      <w:bookmarkEnd w:id="2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lang w:val="en-US" w:eastAsia="zh-CN"/>
        </w:rPr>
      </w:pPr>
      <w:r>
        <w:rPr>
          <w:rFonts w:ascii="仿宋_GB2312" w:hAnsi="Times New Roman" w:eastAsia="仿宋_GB2312" w:cs="仿宋_GB2312"/>
          <w:color w:val="000000"/>
          <w:sz w:val="32"/>
          <w:szCs w:val="32"/>
          <w:lang w:val="zh-CN"/>
        </w:rPr>
        <w:t>2022</w:t>
      </w:r>
      <w:r>
        <w:rPr>
          <w:rFonts w:hint="eastAsia" w:ascii="仿宋_GB2312" w:hAnsi="Times New Roman" w:eastAsia="仿宋_GB2312" w:cs="仿宋_GB2312"/>
          <w:color w:val="000000"/>
          <w:sz w:val="32"/>
          <w:szCs w:val="32"/>
          <w:lang w:val="zh-CN"/>
        </w:rPr>
        <w:t>年度收、支总计</w:t>
      </w:r>
      <w:r>
        <w:rPr>
          <w:rFonts w:ascii="仿宋_GB2312" w:hAnsi="Times New Roman" w:eastAsia="仿宋_GB2312" w:cs="仿宋_GB2312"/>
          <w:color w:val="000000"/>
          <w:sz w:val="32"/>
          <w:szCs w:val="32"/>
          <w:lang w:val="zh-CN"/>
        </w:rPr>
        <w:t>1509.84</w:t>
      </w:r>
      <w:r>
        <w:rPr>
          <w:rFonts w:hint="eastAsia" w:ascii="仿宋_GB2312" w:hAnsi="Times New Roman" w:eastAsia="仿宋_GB2312" w:cs="仿宋_GB2312"/>
          <w:color w:val="000000"/>
          <w:sz w:val="32"/>
          <w:szCs w:val="32"/>
          <w:lang w:val="zh-CN"/>
        </w:rPr>
        <w:t>万元。与</w:t>
      </w:r>
      <w:r>
        <w:rPr>
          <w:rFonts w:ascii="仿宋_GB2312" w:hAnsi="Times New Roman" w:eastAsia="仿宋_GB2312" w:cs="仿宋_GB2312"/>
          <w:color w:val="000000"/>
          <w:sz w:val="32"/>
          <w:szCs w:val="32"/>
          <w:lang w:val="zh-CN"/>
        </w:rPr>
        <w:t>2021</w:t>
      </w:r>
      <w:r>
        <w:rPr>
          <w:rFonts w:hint="eastAsia" w:ascii="仿宋_GB2312" w:hAnsi="Times New Roman" w:eastAsia="仿宋_GB2312" w:cs="仿宋_GB2312"/>
          <w:color w:val="000000"/>
          <w:sz w:val="32"/>
          <w:szCs w:val="32"/>
          <w:lang w:val="zh-CN"/>
        </w:rPr>
        <w:t>年相比，收、支总计各减少</w:t>
      </w:r>
      <w:r>
        <w:rPr>
          <w:rFonts w:ascii="仿宋_GB2312" w:hAnsi="Times New Roman" w:eastAsia="仿宋_GB2312" w:cs="仿宋_GB2312"/>
          <w:color w:val="000000"/>
          <w:sz w:val="32"/>
          <w:szCs w:val="32"/>
          <w:lang w:val="zh-CN"/>
        </w:rPr>
        <w:t>284.52</w:t>
      </w:r>
      <w:r>
        <w:rPr>
          <w:rFonts w:hint="eastAsia" w:ascii="仿宋_GB2312" w:hAnsi="Times New Roman" w:eastAsia="仿宋_GB2312" w:cs="仿宋_GB2312"/>
          <w:color w:val="000000"/>
          <w:sz w:val="32"/>
          <w:szCs w:val="32"/>
          <w:lang w:val="zh-CN"/>
        </w:rPr>
        <w:t>万元，下降</w:t>
      </w:r>
      <w:r>
        <w:rPr>
          <w:rFonts w:ascii="仿宋_GB2312" w:hAnsi="Times New Roman" w:eastAsia="仿宋_GB2312" w:cs="仿宋_GB2312"/>
          <w:color w:val="000000"/>
          <w:sz w:val="32"/>
          <w:szCs w:val="32"/>
          <w:lang w:val="zh-CN"/>
        </w:rPr>
        <w:t>15.9%</w:t>
      </w:r>
      <w:r>
        <w:rPr>
          <w:rFonts w:hint="eastAsia" w:ascii="仿宋_GB2312" w:hAnsi="Times New Roman" w:eastAsia="仿宋_GB2312" w:cs="仿宋_GB2312"/>
          <w:color w:val="000000"/>
          <w:sz w:val="32"/>
          <w:szCs w:val="32"/>
          <w:lang w:val="zh-CN"/>
        </w:rPr>
        <w:t>。</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一是</w:t>
      </w:r>
      <w:r>
        <w:rPr>
          <w:rFonts w:hint="default"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年开展的</w:t>
      </w:r>
      <w:r>
        <w:rPr>
          <w:rFonts w:hint="eastAsia" w:ascii="仿宋_GB2312" w:hAnsi="仿宋_GB2312" w:eastAsia="仿宋_GB2312" w:cs="仿宋_GB2312"/>
          <w:color w:val="000000"/>
          <w:sz w:val="32"/>
          <w:szCs w:val="32"/>
          <w:lang w:val="en-US"/>
        </w:rPr>
        <w:t>政法队伍教育整顿工作、综治中心规范化建设项目已结束，2022年财政不再预算此经费；二是2022年铁路护路联防工作整体移交给市公安局，财政不再给我单位预算此项经费。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ascii="仿宋_GB2312" w:hAnsi="仿宋_GB2312" w:eastAsia="仿宋_GB2312" w:cs="仿宋_GB2312"/>
          <w:color w:val="auto"/>
          <w:sz w:val="32"/>
          <w:szCs w:val="32"/>
          <w:highlight w:val="none"/>
        </w:rPr>
        <w:t>（图1：收、支决算总计变动情况图）（柱状图）</w:t>
      </w:r>
    </w:p>
    <w:p>
      <w:pPr>
        <w:pStyle w:val="7"/>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仿宋_GB2312" w:hAnsi="仿宋_GB2312" w:eastAsia="仿宋_GB2312" w:cs="仿宋_GB2312"/>
          <w:color w:val="auto"/>
          <w:sz w:val="32"/>
          <w:szCs w:val="32"/>
          <w:highlight w:val="none"/>
        </w:rPr>
      </w:pPr>
      <w:r>
        <w:drawing>
          <wp:inline distT="0" distB="0" distL="114300" distR="114300">
            <wp:extent cx="4679950" cy="2879725"/>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1"/>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outlineLvl w:val="1"/>
        <w:rPr>
          <w:rStyle w:val="21"/>
          <w:rFonts w:hint="eastAsia" w:ascii="黑体" w:hAnsi="黑体" w:eastAsia="黑体" w:cs="黑体"/>
          <w:b w:val="0"/>
          <w:color w:val="auto"/>
          <w:highlight w:val="none"/>
        </w:rPr>
      </w:pPr>
      <w:bookmarkStart w:id="29" w:name="_Toc20784"/>
      <w:bookmarkStart w:id="30" w:name="_Toc15377206"/>
      <w:bookmarkStart w:id="31" w:name="_Toc15396604"/>
      <w:r>
        <w:rPr>
          <w:rFonts w:hint="eastAsia" w:ascii="黑体" w:hAnsi="黑体" w:eastAsia="黑体" w:cs="黑体"/>
          <w:color w:val="auto"/>
          <w:sz w:val="32"/>
          <w:szCs w:val="32"/>
          <w:highlight w:val="none"/>
        </w:rPr>
        <w:t>收</w:t>
      </w:r>
      <w:r>
        <w:rPr>
          <w:rStyle w:val="21"/>
          <w:rFonts w:hint="eastAsia" w:ascii="黑体" w:hAnsi="黑体" w:eastAsia="黑体" w:cs="黑体"/>
          <w:b w:val="0"/>
          <w:color w:val="auto"/>
          <w:highlight w:val="none"/>
        </w:rPr>
        <w:t>入决算情况说明</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Times New Roman" w:eastAsia="仿宋_GB2312" w:cs="仿宋_GB2312"/>
          <w:color w:val="000000"/>
          <w:sz w:val="32"/>
          <w:szCs w:val="32"/>
          <w:lang w:val="zh-CN"/>
        </w:rPr>
        <w:t>2022</w:t>
      </w:r>
      <w:r>
        <w:rPr>
          <w:rFonts w:hint="eastAsia" w:ascii="仿宋_GB2312" w:hAnsi="Times New Roman" w:eastAsia="仿宋_GB2312" w:cs="仿宋_GB2312"/>
          <w:color w:val="000000"/>
          <w:sz w:val="32"/>
          <w:szCs w:val="32"/>
          <w:lang w:val="zh-CN"/>
        </w:rPr>
        <w:t>年本年收入合计</w:t>
      </w:r>
      <w:r>
        <w:rPr>
          <w:rFonts w:ascii="仿宋_GB2312" w:hAnsi="Times New Roman" w:eastAsia="仿宋_GB2312" w:cs="仿宋_GB2312"/>
          <w:color w:val="000000"/>
          <w:sz w:val="32"/>
          <w:szCs w:val="32"/>
          <w:lang w:val="zh-CN"/>
        </w:rPr>
        <w:t>1425.76</w:t>
      </w:r>
      <w:r>
        <w:rPr>
          <w:rFonts w:hint="eastAsia" w:ascii="仿宋_GB2312" w:hAnsi="Times New Roman" w:eastAsia="仿宋_GB2312" w:cs="仿宋_GB2312"/>
          <w:color w:val="000000"/>
          <w:sz w:val="32"/>
          <w:szCs w:val="32"/>
          <w:lang w:val="zh-CN"/>
        </w:rPr>
        <w:t>万元，其中：一般公共预算财政拨款收入</w:t>
      </w:r>
      <w:r>
        <w:rPr>
          <w:rFonts w:ascii="仿宋_GB2312" w:hAnsi="Times New Roman" w:eastAsia="仿宋_GB2312" w:cs="仿宋_GB2312"/>
          <w:color w:val="000000"/>
          <w:sz w:val="32"/>
          <w:szCs w:val="32"/>
          <w:lang w:val="zh-CN"/>
        </w:rPr>
        <w:t>1425.76</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100%</w:t>
      </w:r>
      <w:r>
        <w:rPr>
          <w:rFonts w:hint="eastAsia" w:ascii="仿宋_GB2312" w:hAnsi="Times New Roman" w:eastAsia="仿宋_GB2312" w:cs="仿宋_GB2312"/>
          <w:color w:val="000000"/>
          <w:sz w:val="32"/>
          <w:szCs w:val="32"/>
          <w:lang w:val="zh-CN"/>
        </w:rPr>
        <w:t>。</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（图2：收入决算结构图）（饼状图）</w:t>
      </w:r>
    </w:p>
    <w:p>
      <w:pPr>
        <w:pStyle w:val="7"/>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rPr>
      </w:pPr>
      <w:r>
        <w:drawing>
          <wp:inline distT="0" distB="0" distL="114300" distR="114300">
            <wp:extent cx="4679950" cy="2879725"/>
            <wp:effectExtent l="0" t="0" r="0" b="0"/>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1"/>
        <w:numPr>
          <w:ilvl w:val="0"/>
          <w:numId w:val="2"/>
        </w:numPr>
        <w:spacing w:line="600" w:lineRule="exact"/>
        <w:ind w:firstLineChars="0"/>
        <w:outlineLvl w:val="1"/>
        <w:rPr>
          <w:rStyle w:val="21"/>
          <w:rFonts w:hint="eastAsia" w:ascii="黑体" w:hAnsi="黑体" w:eastAsia="黑体" w:cs="黑体"/>
          <w:b w:val="0"/>
          <w:color w:val="auto"/>
          <w:highlight w:val="none"/>
        </w:rPr>
      </w:pPr>
      <w:bookmarkStart w:id="32" w:name="_Toc6606"/>
      <w:bookmarkStart w:id="33" w:name="_Toc15396605"/>
      <w:bookmarkStart w:id="34" w:name="_Toc15377207"/>
      <w:r>
        <w:rPr>
          <w:rFonts w:hint="eastAsia" w:ascii="黑体" w:hAnsi="黑体" w:eastAsia="黑体" w:cs="黑体"/>
          <w:color w:val="auto"/>
          <w:sz w:val="32"/>
          <w:szCs w:val="32"/>
          <w:highlight w:val="none"/>
        </w:rPr>
        <w:t>支</w:t>
      </w:r>
      <w:r>
        <w:rPr>
          <w:rStyle w:val="21"/>
          <w:rFonts w:hint="eastAsia" w:ascii="黑体" w:hAnsi="黑体" w:eastAsia="黑体" w:cs="黑体"/>
          <w:b w:val="0"/>
          <w:color w:val="auto"/>
          <w:highlight w:val="none"/>
        </w:rPr>
        <w:t>出决算情况说明</w:t>
      </w:r>
      <w:bookmarkEnd w:id="32"/>
      <w:bookmarkEnd w:id="33"/>
      <w:bookmarkEnd w:id="34"/>
    </w:p>
    <w:p>
      <w:pPr>
        <w:spacing w:line="600" w:lineRule="exact"/>
        <w:ind w:firstLine="640" w:firstLineChars="200"/>
        <w:outlineLvl w:val="1"/>
        <w:rPr>
          <w:rFonts w:hint="eastAsia" w:ascii="仿宋_GB2312" w:hAnsi="仿宋_GB2312" w:eastAsia="仿宋_GB2312" w:cs="仿宋_GB2312"/>
          <w:color w:val="auto"/>
          <w:sz w:val="32"/>
          <w:szCs w:val="32"/>
          <w:highlight w:val="none"/>
        </w:rPr>
      </w:pPr>
      <w:bookmarkStart w:id="35" w:name="_Toc9838"/>
      <w:r>
        <w:rPr>
          <w:rFonts w:ascii="仿宋_GB2312" w:hAnsi="Times New Roman" w:eastAsia="仿宋_GB2312" w:cs="仿宋_GB2312"/>
          <w:color w:val="000000"/>
          <w:sz w:val="32"/>
          <w:szCs w:val="32"/>
          <w:lang w:val="zh-CN"/>
        </w:rPr>
        <w:t>2022</w:t>
      </w:r>
      <w:r>
        <w:rPr>
          <w:rFonts w:hint="eastAsia" w:ascii="仿宋_GB2312" w:hAnsi="Times New Roman" w:eastAsia="仿宋_GB2312" w:cs="仿宋_GB2312"/>
          <w:color w:val="000000"/>
          <w:sz w:val="32"/>
          <w:szCs w:val="32"/>
          <w:lang w:val="zh-CN"/>
        </w:rPr>
        <w:t>年本年支出合计</w:t>
      </w:r>
      <w:r>
        <w:rPr>
          <w:rFonts w:ascii="仿宋_GB2312" w:hAnsi="Times New Roman" w:eastAsia="仿宋_GB2312" w:cs="仿宋_GB2312"/>
          <w:color w:val="000000"/>
          <w:sz w:val="32"/>
          <w:szCs w:val="32"/>
          <w:lang w:val="zh-CN"/>
        </w:rPr>
        <w:t>1509.84</w:t>
      </w:r>
      <w:r>
        <w:rPr>
          <w:rFonts w:hint="eastAsia" w:ascii="仿宋_GB2312" w:hAnsi="Times New Roman" w:eastAsia="仿宋_GB2312" w:cs="仿宋_GB2312"/>
          <w:color w:val="000000"/>
          <w:sz w:val="32"/>
          <w:szCs w:val="32"/>
          <w:lang w:val="zh-CN"/>
        </w:rPr>
        <w:t>万元，其中：基本支出</w:t>
      </w:r>
      <w:r>
        <w:rPr>
          <w:rFonts w:ascii="仿宋_GB2312" w:hAnsi="Times New Roman" w:eastAsia="仿宋_GB2312" w:cs="仿宋_GB2312"/>
          <w:color w:val="000000"/>
          <w:sz w:val="32"/>
          <w:szCs w:val="32"/>
          <w:lang w:val="zh-CN"/>
        </w:rPr>
        <w:t>1224.07</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81.1%</w:t>
      </w:r>
      <w:r>
        <w:rPr>
          <w:rFonts w:hint="eastAsia" w:ascii="仿宋_GB2312" w:hAnsi="Times New Roman" w:eastAsia="仿宋_GB2312" w:cs="仿宋_GB2312"/>
          <w:color w:val="000000"/>
          <w:sz w:val="32"/>
          <w:szCs w:val="32"/>
          <w:lang w:val="zh-CN"/>
        </w:rPr>
        <w:t>；项目支出</w:t>
      </w:r>
      <w:r>
        <w:rPr>
          <w:rFonts w:ascii="仿宋_GB2312" w:hAnsi="Times New Roman" w:eastAsia="仿宋_GB2312" w:cs="仿宋_GB2312"/>
          <w:color w:val="000000"/>
          <w:sz w:val="32"/>
          <w:szCs w:val="32"/>
          <w:lang w:val="zh-CN"/>
        </w:rPr>
        <w:t>285.77</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18.9%</w:t>
      </w:r>
      <w:r>
        <w:rPr>
          <w:rFonts w:hint="eastAsia" w:ascii="仿宋_GB2312" w:hAnsi="Times New Roman" w:eastAsia="仿宋_GB2312" w:cs="仿宋_GB2312"/>
          <w:color w:val="000000"/>
          <w:sz w:val="32"/>
          <w:szCs w:val="32"/>
          <w:lang w:val="zh-CN"/>
        </w:rPr>
        <w:t>。</w:t>
      </w:r>
      <w:bookmarkEnd w:id="35"/>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pPr>
        <w:keepNext w:val="0"/>
        <w:keepLines w:val="0"/>
        <w:pageBreakBefore w:val="0"/>
        <w:widowControl w:val="0"/>
        <w:kinsoku/>
        <w:wordWrap/>
        <w:overflowPunct/>
        <w:topLinePunct w:val="0"/>
        <w:autoSpaceDE/>
        <w:autoSpaceDN/>
        <w:bidi w:val="0"/>
        <w:adjustRightInd/>
        <w:snapToGrid/>
        <w:ind w:firstLine="630" w:firstLineChars="300"/>
        <w:textAlignment w:val="auto"/>
      </w:pPr>
      <w:r>
        <w:drawing>
          <wp:inline distT="0" distB="0" distL="114300" distR="114300">
            <wp:extent cx="4679950" cy="2879725"/>
            <wp:effectExtent l="0" t="0" r="0" b="0"/>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1"/>
          <w:rFonts w:hint="eastAsia" w:ascii="黑体" w:hAnsi="黑体" w:eastAsia="黑体" w:cs="黑体"/>
          <w:b w:val="0"/>
          <w:color w:val="auto"/>
          <w:highlight w:val="none"/>
        </w:rPr>
      </w:pPr>
      <w:bookmarkStart w:id="36" w:name="_Toc15396606"/>
      <w:bookmarkStart w:id="37" w:name="_Toc910"/>
      <w:bookmarkStart w:id="38" w:name="_Toc15377208"/>
      <w:r>
        <w:rPr>
          <w:rFonts w:hint="eastAsia" w:ascii="黑体" w:hAnsi="黑体" w:eastAsia="黑体" w:cs="黑体"/>
          <w:color w:val="auto"/>
          <w:sz w:val="32"/>
          <w:szCs w:val="32"/>
          <w:highlight w:val="none"/>
        </w:rPr>
        <w:t>四、财</w:t>
      </w:r>
      <w:r>
        <w:rPr>
          <w:rStyle w:val="21"/>
          <w:rFonts w:hint="eastAsia" w:ascii="黑体" w:hAnsi="黑体" w:eastAsia="黑体" w:cs="黑体"/>
          <w:b w:val="0"/>
          <w:color w:val="auto"/>
          <w:highlight w:val="none"/>
        </w:rPr>
        <w:t>政拨款收入支出决算总体情况说明</w:t>
      </w:r>
      <w:bookmarkEnd w:id="36"/>
      <w:bookmarkEnd w:id="37"/>
      <w:bookmarkEnd w:id="38"/>
    </w:p>
    <w:p>
      <w:pPr>
        <w:spacing w:line="600" w:lineRule="exact"/>
        <w:ind w:firstLine="640"/>
        <w:rPr>
          <w:rFonts w:hint="eastAsia" w:ascii="仿宋_GB2312" w:hAnsi="仿宋_GB2312" w:eastAsia="仿宋_GB2312" w:cs="仿宋_GB2312"/>
          <w:color w:val="auto"/>
          <w:sz w:val="32"/>
          <w:szCs w:val="32"/>
          <w:highlight w:val="none"/>
        </w:rPr>
      </w:pPr>
      <w:r>
        <w:rPr>
          <w:rFonts w:ascii="仿宋_GB2312" w:hAnsi="Times New Roman" w:eastAsia="仿宋_GB2312" w:cs="仿宋_GB2312"/>
          <w:color w:val="000000"/>
          <w:sz w:val="32"/>
          <w:szCs w:val="32"/>
          <w:lang w:val="zh-CN"/>
        </w:rPr>
        <w:t>2022</w:t>
      </w:r>
      <w:r>
        <w:rPr>
          <w:rFonts w:hint="eastAsia" w:ascii="仿宋_GB2312" w:hAnsi="Times New Roman" w:eastAsia="仿宋_GB2312" w:cs="仿宋_GB2312"/>
          <w:color w:val="000000"/>
          <w:sz w:val="32"/>
          <w:szCs w:val="32"/>
          <w:lang w:val="zh-CN"/>
        </w:rPr>
        <w:t>年财政拨款收、支总计</w:t>
      </w:r>
      <w:r>
        <w:rPr>
          <w:rFonts w:ascii="仿宋_GB2312" w:hAnsi="Times New Roman" w:eastAsia="仿宋_GB2312" w:cs="仿宋_GB2312"/>
          <w:color w:val="000000"/>
          <w:sz w:val="32"/>
          <w:szCs w:val="32"/>
          <w:lang w:val="zh-CN"/>
        </w:rPr>
        <w:t>1509.84</w:t>
      </w:r>
      <w:r>
        <w:rPr>
          <w:rFonts w:hint="eastAsia" w:ascii="仿宋_GB2312" w:hAnsi="Times New Roman" w:eastAsia="仿宋_GB2312" w:cs="仿宋_GB2312"/>
          <w:color w:val="000000"/>
          <w:sz w:val="32"/>
          <w:szCs w:val="32"/>
          <w:lang w:val="zh-CN"/>
        </w:rPr>
        <w:t>万元。与</w:t>
      </w:r>
      <w:r>
        <w:rPr>
          <w:rFonts w:ascii="仿宋_GB2312" w:hAnsi="Times New Roman" w:eastAsia="仿宋_GB2312" w:cs="仿宋_GB2312"/>
          <w:color w:val="000000"/>
          <w:sz w:val="32"/>
          <w:szCs w:val="32"/>
          <w:lang w:val="zh-CN"/>
        </w:rPr>
        <w:t>2021</w:t>
      </w:r>
      <w:r>
        <w:rPr>
          <w:rFonts w:hint="eastAsia" w:ascii="仿宋_GB2312" w:hAnsi="Times New Roman" w:eastAsia="仿宋_GB2312" w:cs="仿宋_GB2312"/>
          <w:color w:val="000000"/>
          <w:sz w:val="32"/>
          <w:szCs w:val="32"/>
          <w:lang w:val="zh-CN"/>
        </w:rPr>
        <w:t>年相比，财政拨款收、支总计各减少</w:t>
      </w:r>
      <w:r>
        <w:rPr>
          <w:rFonts w:ascii="仿宋_GB2312" w:hAnsi="Times New Roman" w:eastAsia="仿宋_GB2312" w:cs="仿宋_GB2312"/>
          <w:color w:val="000000"/>
          <w:sz w:val="32"/>
          <w:szCs w:val="32"/>
          <w:lang w:val="zh-CN"/>
        </w:rPr>
        <w:t>284.52</w:t>
      </w:r>
      <w:r>
        <w:rPr>
          <w:rFonts w:hint="eastAsia" w:ascii="仿宋_GB2312" w:hAnsi="Times New Roman" w:eastAsia="仿宋_GB2312" w:cs="仿宋_GB2312"/>
          <w:color w:val="000000"/>
          <w:sz w:val="32"/>
          <w:szCs w:val="32"/>
          <w:lang w:val="zh-CN"/>
        </w:rPr>
        <w:t>万元，下降</w:t>
      </w:r>
      <w:r>
        <w:rPr>
          <w:rFonts w:ascii="仿宋_GB2312" w:hAnsi="Times New Roman" w:eastAsia="仿宋_GB2312" w:cs="仿宋_GB2312"/>
          <w:color w:val="000000"/>
          <w:sz w:val="32"/>
          <w:szCs w:val="32"/>
          <w:lang w:val="zh-CN"/>
        </w:rPr>
        <w:t>15.9%</w:t>
      </w:r>
      <w:r>
        <w:rPr>
          <w:rFonts w:hint="eastAsia" w:ascii="仿宋_GB2312" w:hAnsi="Times New Roman" w:eastAsia="仿宋_GB2312" w:cs="仿宋_GB2312"/>
          <w:color w:val="000000"/>
          <w:sz w:val="32"/>
          <w:szCs w:val="32"/>
          <w:lang w:val="zh-CN"/>
        </w:rPr>
        <w:t>。</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一是</w:t>
      </w:r>
      <w:r>
        <w:rPr>
          <w:rFonts w:hint="default"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年开展的</w:t>
      </w:r>
      <w:r>
        <w:rPr>
          <w:rFonts w:hint="eastAsia" w:ascii="仿宋_GB2312" w:hAnsi="仿宋_GB2312" w:eastAsia="仿宋_GB2312" w:cs="仿宋_GB2312"/>
          <w:color w:val="000000"/>
          <w:sz w:val="32"/>
          <w:szCs w:val="32"/>
          <w:lang w:val="en-US"/>
        </w:rPr>
        <w:t>政法队伍教育整顿工作、综治中心规范化建设项目已结束，2022年财政不再预算此经费；二是2022年铁路护路联防工作整体移交给市公安局，财政不再给我单位预算此项经费。</w:t>
      </w:r>
    </w:p>
    <w:p>
      <w:pPr>
        <w:spacing w:line="600" w:lineRule="exact"/>
        <w:ind w:firstLine="640" w:firstLineChars="200"/>
        <w:rPr>
          <w:rFonts w:hint="eastAsia"/>
        </w:rPr>
      </w:pPr>
      <w:r>
        <w:rPr>
          <w:rFonts w:hint="eastAsia" w:ascii="仿宋_GB2312" w:hAnsi="仿宋_GB2312" w:eastAsia="仿宋_GB2312" w:cs="仿宋_GB2312"/>
          <w:color w:val="auto"/>
          <w:sz w:val="32"/>
          <w:szCs w:val="32"/>
          <w:highlight w:val="none"/>
        </w:rPr>
        <w:t>（图4：财政拨款收、支决算总计变动情况）（柱状图）</w:t>
      </w:r>
    </w:p>
    <w:p>
      <w:pPr>
        <w:keepNext w:val="0"/>
        <w:keepLines w:val="0"/>
        <w:pageBreakBefore w:val="0"/>
        <w:widowControl w:val="0"/>
        <w:kinsoku/>
        <w:wordWrap/>
        <w:overflowPunct/>
        <w:topLinePunct w:val="0"/>
        <w:autoSpaceDE/>
        <w:autoSpaceDN/>
        <w:bidi w:val="0"/>
        <w:adjustRightInd/>
        <w:snapToGrid/>
        <w:ind w:firstLine="630" w:firstLineChars="300"/>
        <w:textAlignment w:val="auto"/>
      </w:pPr>
      <w:r>
        <w:drawing>
          <wp:inline distT="0" distB="0" distL="114300" distR="114300">
            <wp:extent cx="4679950" cy="2879725"/>
            <wp:effectExtent l="0" t="0" r="0" b="0"/>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21"/>
          <w:rFonts w:hint="eastAsia" w:ascii="黑体" w:hAnsi="黑体" w:eastAsia="黑体" w:cs="黑体"/>
          <w:b w:val="0"/>
          <w:color w:val="auto"/>
          <w:highlight w:val="none"/>
        </w:rPr>
      </w:pPr>
      <w:bookmarkStart w:id="39" w:name="_Toc15377209"/>
      <w:bookmarkStart w:id="40" w:name="_Toc15396607"/>
      <w:bookmarkStart w:id="41" w:name="_Toc32737"/>
      <w:r>
        <w:rPr>
          <w:rFonts w:hint="eastAsia" w:ascii="黑体" w:hAnsi="黑体" w:eastAsia="黑体" w:cs="黑体"/>
          <w:color w:val="auto"/>
          <w:sz w:val="32"/>
          <w:szCs w:val="32"/>
          <w:highlight w:val="none"/>
        </w:rPr>
        <w:t>五、</w:t>
      </w:r>
      <w:r>
        <w:rPr>
          <w:rFonts w:hint="eastAsia" w:ascii="黑体" w:hAnsi="黑体" w:eastAsia="黑体" w:cs="黑体"/>
          <w:b/>
          <w:color w:val="auto"/>
          <w:sz w:val="32"/>
          <w:szCs w:val="32"/>
          <w:highlight w:val="none"/>
        </w:rPr>
        <w:t>一</w:t>
      </w:r>
      <w:r>
        <w:rPr>
          <w:rStyle w:val="21"/>
          <w:rFonts w:hint="eastAsia" w:ascii="黑体" w:hAnsi="黑体" w:eastAsia="黑体" w:cs="黑体"/>
          <w:b w:val="0"/>
          <w:color w:val="auto"/>
          <w:highlight w:val="none"/>
        </w:rPr>
        <w:t>般公共预算财政拨款支出决算情况说明</w:t>
      </w:r>
      <w:bookmarkEnd w:id="39"/>
      <w:bookmarkEnd w:id="40"/>
      <w:bookmarkEnd w:id="41"/>
    </w:p>
    <w:p>
      <w:pPr>
        <w:spacing w:line="600" w:lineRule="exact"/>
        <w:ind w:firstLine="642" w:firstLineChars="200"/>
        <w:outlineLvl w:val="2"/>
        <w:rPr>
          <w:rFonts w:hint="eastAsia" w:ascii="仿宋_GB2312" w:hAnsi="仿宋_GB2312" w:eastAsia="仿宋_GB2312" w:cs="仿宋_GB2312"/>
          <w:b/>
          <w:color w:val="auto"/>
          <w:sz w:val="32"/>
          <w:szCs w:val="32"/>
          <w:highlight w:val="none"/>
        </w:rPr>
      </w:pPr>
      <w:bookmarkStart w:id="42" w:name="_Toc15377210"/>
      <w:r>
        <w:rPr>
          <w:rFonts w:hint="eastAsia" w:ascii="仿宋_GB2312" w:hAnsi="仿宋_GB2312" w:eastAsia="仿宋_GB2312" w:cs="仿宋_GB2312"/>
          <w:b/>
          <w:color w:val="auto"/>
          <w:sz w:val="32"/>
          <w:szCs w:val="32"/>
          <w:highlight w:val="none"/>
        </w:rPr>
        <w:t>（一）一般公共预算财政拨款支出决算总体情况</w:t>
      </w:r>
      <w:bookmarkEnd w:id="42"/>
    </w:p>
    <w:p>
      <w:pPr>
        <w:spacing w:line="600" w:lineRule="exact"/>
        <w:ind w:firstLine="640" w:firstLineChars="200"/>
        <w:rPr>
          <w:rFonts w:hint="eastAsia" w:ascii="仿宋_GB2312" w:hAnsi="仿宋_GB2312" w:eastAsia="仿宋_GB2312" w:cs="仿宋_GB2312"/>
          <w:color w:val="auto"/>
          <w:sz w:val="32"/>
          <w:szCs w:val="32"/>
          <w:highlight w:val="none"/>
        </w:rPr>
      </w:pPr>
      <w:r>
        <w:rPr>
          <w:rFonts w:ascii="仿宋_GB2312" w:hAnsi="Times New Roman" w:eastAsia="仿宋_GB2312" w:cs="仿宋_GB2312"/>
          <w:color w:val="000000"/>
          <w:sz w:val="32"/>
          <w:szCs w:val="32"/>
          <w:lang w:val="zh-CN"/>
        </w:rPr>
        <w:t>2022</w:t>
      </w:r>
      <w:r>
        <w:rPr>
          <w:rFonts w:hint="eastAsia" w:ascii="仿宋_GB2312" w:hAnsi="Times New Roman" w:eastAsia="仿宋_GB2312" w:cs="仿宋_GB2312"/>
          <w:color w:val="000000"/>
          <w:sz w:val="32"/>
          <w:szCs w:val="32"/>
          <w:lang w:val="zh-CN"/>
        </w:rPr>
        <w:t>年一般公共预算财政拨款支出</w:t>
      </w:r>
      <w:r>
        <w:rPr>
          <w:rFonts w:ascii="仿宋_GB2312" w:hAnsi="Times New Roman" w:eastAsia="仿宋_GB2312" w:cs="仿宋_GB2312"/>
          <w:color w:val="000000"/>
          <w:sz w:val="32"/>
          <w:szCs w:val="32"/>
          <w:lang w:val="zh-CN"/>
        </w:rPr>
        <w:t>1509.84</w:t>
      </w:r>
      <w:r>
        <w:rPr>
          <w:rFonts w:hint="eastAsia" w:ascii="仿宋_GB2312" w:hAnsi="Times New Roman" w:eastAsia="仿宋_GB2312" w:cs="仿宋_GB2312"/>
          <w:color w:val="000000"/>
          <w:sz w:val="32"/>
          <w:szCs w:val="32"/>
          <w:lang w:val="zh-CN"/>
        </w:rPr>
        <w:t>万元，占本年支出合计的</w:t>
      </w:r>
      <w:r>
        <w:rPr>
          <w:rFonts w:ascii="仿宋_GB2312" w:hAnsi="Times New Roman" w:eastAsia="仿宋_GB2312" w:cs="仿宋_GB2312"/>
          <w:color w:val="000000"/>
          <w:sz w:val="32"/>
          <w:szCs w:val="32"/>
          <w:lang w:val="zh-CN"/>
        </w:rPr>
        <w:t>100%</w:t>
      </w:r>
      <w:r>
        <w:rPr>
          <w:rFonts w:hint="eastAsia" w:ascii="仿宋_GB2312" w:hAnsi="Times New Roman" w:eastAsia="仿宋_GB2312" w:cs="仿宋_GB2312"/>
          <w:color w:val="000000"/>
          <w:sz w:val="32"/>
          <w:szCs w:val="32"/>
          <w:lang w:val="zh-CN"/>
        </w:rPr>
        <w:t>。与</w:t>
      </w:r>
      <w:r>
        <w:rPr>
          <w:rFonts w:ascii="仿宋_GB2312" w:hAnsi="Times New Roman" w:eastAsia="仿宋_GB2312" w:cs="仿宋_GB2312"/>
          <w:color w:val="000000"/>
          <w:sz w:val="32"/>
          <w:szCs w:val="32"/>
          <w:lang w:val="zh-CN"/>
        </w:rPr>
        <w:t>2021</w:t>
      </w:r>
      <w:r>
        <w:rPr>
          <w:rFonts w:hint="eastAsia" w:ascii="仿宋_GB2312" w:hAnsi="Times New Roman" w:eastAsia="仿宋_GB2312" w:cs="仿宋_GB2312"/>
          <w:color w:val="000000"/>
          <w:sz w:val="32"/>
          <w:szCs w:val="32"/>
          <w:lang w:val="zh-CN"/>
        </w:rPr>
        <w:t>年相比，一般公共预算财政拨款支出减少</w:t>
      </w:r>
      <w:r>
        <w:rPr>
          <w:rFonts w:ascii="仿宋_GB2312" w:hAnsi="Times New Roman" w:eastAsia="仿宋_GB2312" w:cs="仿宋_GB2312"/>
          <w:color w:val="000000"/>
          <w:sz w:val="32"/>
          <w:szCs w:val="32"/>
          <w:lang w:val="zh-CN"/>
        </w:rPr>
        <w:t>200.43</w:t>
      </w:r>
      <w:r>
        <w:rPr>
          <w:rFonts w:hint="eastAsia" w:ascii="仿宋_GB2312" w:hAnsi="Times New Roman" w:eastAsia="仿宋_GB2312" w:cs="仿宋_GB2312"/>
          <w:color w:val="000000"/>
          <w:sz w:val="32"/>
          <w:szCs w:val="32"/>
          <w:lang w:val="zh-CN"/>
        </w:rPr>
        <w:t>万元，下降</w:t>
      </w:r>
      <w:r>
        <w:rPr>
          <w:rFonts w:ascii="仿宋_GB2312" w:hAnsi="Times New Roman" w:eastAsia="仿宋_GB2312" w:cs="仿宋_GB2312"/>
          <w:color w:val="000000"/>
          <w:sz w:val="32"/>
          <w:szCs w:val="32"/>
          <w:lang w:val="zh-CN"/>
        </w:rPr>
        <w:t>11.7%</w:t>
      </w:r>
      <w:r>
        <w:rPr>
          <w:rFonts w:hint="eastAsia" w:ascii="仿宋_GB2312" w:hAnsi="Times New Roman" w:eastAsia="仿宋_GB2312" w:cs="仿宋_GB2312"/>
          <w:color w:val="000000"/>
          <w:sz w:val="32"/>
          <w:szCs w:val="32"/>
          <w:lang w:val="zh-CN"/>
        </w:rPr>
        <w:t>。</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一是</w:t>
      </w:r>
      <w:r>
        <w:rPr>
          <w:rFonts w:hint="default"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年开展的</w:t>
      </w:r>
      <w:r>
        <w:rPr>
          <w:rFonts w:hint="eastAsia" w:ascii="仿宋_GB2312" w:hAnsi="仿宋_GB2312" w:eastAsia="仿宋_GB2312" w:cs="仿宋_GB2312"/>
          <w:color w:val="000000"/>
          <w:sz w:val="32"/>
          <w:szCs w:val="32"/>
          <w:lang w:val="en-US"/>
        </w:rPr>
        <w:t>政法队伍教育整顿工作、综治中心规范化建设项目已结束，2022年财政不再预算此经费；二是2022年铁路护路联防工作整体移交给市公安局，财政不再给我单位预算此项经费。</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pacing w:val="-6"/>
          <w:sz w:val="32"/>
          <w:szCs w:val="32"/>
          <w:highlight w:val="none"/>
        </w:rPr>
        <w:t>图5：一般公共预算财政拨款支出决算变动情况）（柱状</w:t>
      </w:r>
      <w:r>
        <w:rPr>
          <w:rFonts w:hint="eastAsia" w:ascii="仿宋_GB2312" w:hAnsi="仿宋_GB2312" w:eastAsia="仿宋_GB2312" w:cs="仿宋_GB2312"/>
          <w:color w:val="auto"/>
          <w:sz w:val="32"/>
          <w:szCs w:val="32"/>
          <w:highlight w:val="none"/>
        </w:rPr>
        <w:t>图）</w:t>
      </w:r>
    </w:p>
    <w:p>
      <w:pPr>
        <w:pStyle w:val="7"/>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rPr>
      </w:pPr>
      <w:r>
        <w:drawing>
          <wp:inline distT="0" distB="0" distL="114300" distR="114300">
            <wp:extent cx="4679950" cy="2879725"/>
            <wp:effectExtent l="0" t="0" r="0" b="0"/>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2" w:firstLineChars="200"/>
        <w:outlineLvl w:val="2"/>
        <w:rPr>
          <w:rFonts w:hint="eastAsia" w:ascii="仿宋_GB2312" w:hAnsi="仿宋_GB2312" w:eastAsia="仿宋_GB2312" w:cs="仿宋_GB2312"/>
          <w:b/>
          <w:color w:val="auto"/>
          <w:sz w:val="32"/>
          <w:szCs w:val="32"/>
          <w:highlight w:val="none"/>
        </w:rPr>
      </w:pPr>
      <w:bookmarkStart w:id="43" w:name="_Toc15377211"/>
      <w:r>
        <w:rPr>
          <w:rFonts w:hint="eastAsia" w:ascii="仿宋_GB2312" w:hAnsi="仿宋_GB2312" w:eastAsia="仿宋_GB2312" w:cs="仿宋_GB2312"/>
          <w:b/>
          <w:color w:val="auto"/>
          <w:sz w:val="32"/>
          <w:szCs w:val="32"/>
          <w:highlight w:val="none"/>
        </w:rPr>
        <w:t>（二）一般公共预算财政拨款支出决算结构情况</w:t>
      </w:r>
      <w:bookmarkEnd w:id="43"/>
    </w:p>
    <w:p>
      <w:pPr>
        <w:spacing w:line="600" w:lineRule="exact"/>
        <w:ind w:firstLine="640"/>
        <w:rPr>
          <w:rFonts w:hint="eastAsia" w:ascii="仿宋_GB2312" w:hAnsi="仿宋_GB2312" w:eastAsia="仿宋_GB2312" w:cs="仿宋_GB2312"/>
          <w:color w:val="auto"/>
          <w:sz w:val="32"/>
          <w:szCs w:val="32"/>
          <w:highlight w:val="none"/>
        </w:rPr>
      </w:pPr>
      <w:r>
        <w:rPr>
          <w:rFonts w:ascii="仿宋_GB2312" w:hAnsi="Times New Roman" w:eastAsia="仿宋_GB2312" w:cs="仿宋_GB2312"/>
          <w:color w:val="000000"/>
          <w:sz w:val="32"/>
          <w:szCs w:val="32"/>
          <w:lang w:val="zh-CN"/>
        </w:rPr>
        <w:t>2022</w:t>
      </w:r>
      <w:r>
        <w:rPr>
          <w:rFonts w:hint="eastAsia" w:ascii="仿宋_GB2312" w:hAnsi="Times New Roman" w:eastAsia="仿宋_GB2312" w:cs="仿宋_GB2312"/>
          <w:color w:val="000000"/>
          <w:sz w:val="32"/>
          <w:szCs w:val="32"/>
          <w:lang w:val="zh-CN"/>
        </w:rPr>
        <w:t>年一般公共预算财政拨款支出</w:t>
      </w:r>
      <w:r>
        <w:rPr>
          <w:rFonts w:ascii="仿宋_GB2312" w:hAnsi="Times New Roman" w:eastAsia="仿宋_GB2312" w:cs="仿宋_GB2312"/>
          <w:color w:val="000000"/>
          <w:sz w:val="32"/>
          <w:szCs w:val="32"/>
          <w:lang w:val="zh-CN"/>
        </w:rPr>
        <w:t>1509.84</w:t>
      </w:r>
      <w:r>
        <w:rPr>
          <w:rFonts w:hint="eastAsia" w:ascii="仿宋_GB2312" w:hAnsi="Times New Roman" w:eastAsia="仿宋_GB2312" w:cs="仿宋_GB2312"/>
          <w:color w:val="000000"/>
          <w:sz w:val="32"/>
          <w:szCs w:val="32"/>
          <w:lang w:val="zh-CN"/>
        </w:rPr>
        <w:t>万元，主要用于以下方面</w:t>
      </w:r>
      <w:r>
        <w:rPr>
          <w:rFonts w:hint="eastAsia" w:ascii="仿宋_GB2312"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一般公共服务支出</w:t>
      </w:r>
      <w:r>
        <w:rPr>
          <w:rFonts w:ascii="仿宋_GB2312" w:hAnsi="Times New Roman" w:eastAsia="仿宋_GB2312" w:cs="仿宋_GB2312"/>
          <w:color w:val="000000"/>
          <w:sz w:val="32"/>
          <w:szCs w:val="32"/>
          <w:lang w:val="zh-CN"/>
        </w:rPr>
        <w:t>1288.5</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85.3%</w:t>
      </w:r>
      <w:r>
        <w:rPr>
          <w:rFonts w:hint="eastAsia" w:ascii="仿宋_GB2312" w:hAnsi="Times New Roman" w:eastAsia="仿宋_GB2312" w:cs="仿宋_GB2312"/>
          <w:color w:val="000000"/>
          <w:sz w:val="32"/>
          <w:szCs w:val="32"/>
          <w:lang w:val="zh-CN"/>
        </w:rPr>
        <w:t>；社会保障和就业支出</w:t>
      </w:r>
      <w:r>
        <w:rPr>
          <w:rFonts w:ascii="仿宋_GB2312" w:hAnsi="Times New Roman" w:eastAsia="仿宋_GB2312" w:cs="仿宋_GB2312"/>
          <w:color w:val="000000"/>
          <w:sz w:val="32"/>
          <w:szCs w:val="32"/>
          <w:lang w:val="zh-CN"/>
        </w:rPr>
        <w:t>100.73</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6.7%</w:t>
      </w:r>
      <w:r>
        <w:rPr>
          <w:rFonts w:hint="eastAsia" w:ascii="仿宋_GB2312" w:hAnsi="Times New Roman" w:eastAsia="仿宋_GB2312" w:cs="仿宋_GB2312"/>
          <w:color w:val="000000"/>
          <w:sz w:val="32"/>
          <w:szCs w:val="32"/>
          <w:lang w:val="zh-CN"/>
        </w:rPr>
        <w:t>；卫生健康支出</w:t>
      </w:r>
      <w:r>
        <w:rPr>
          <w:rFonts w:ascii="仿宋_GB2312" w:hAnsi="Times New Roman" w:eastAsia="仿宋_GB2312" w:cs="仿宋_GB2312"/>
          <w:color w:val="000000"/>
          <w:sz w:val="32"/>
          <w:szCs w:val="32"/>
          <w:lang w:val="zh-CN"/>
        </w:rPr>
        <w:t>34.97</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2.3%</w:t>
      </w:r>
      <w:r>
        <w:rPr>
          <w:rFonts w:hint="eastAsia" w:ascii="仿宋_GB2312" w:hAnsi="Times New Roman" w:eastAsia="仿宋_GB2312" w:cs="仿宋_GB2312"/>
          <w:color w:val="000000"/>
          <w:sz w:val="32"/>
          <w:szCs w:val="32"/>
          <w:lang w:val="zh-CN"/>
        </w:rPr>
        <w:t>；住房保障支出</w:t>
      </w:r>
      <w:r>
        <w:rPr>
          <w:rFonts w:ascii="仿宋_GB2312" w:hAnsi="Times New Roman" w:eastAsia="仿宋_GB2312" w:cs="仿宋_GB2312"/>
          <w:color w:val="000000"/>
          <w:sz w:val="32"/>
          <w:szCs w:val="32"/>
          <w:lang w:val="zh-CN"/>
        </w:rPr>
        <w:t>85.64</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5.7%</w:t>
      </w:r>
      <w:r>
        <w:rPr>
          <w:rFonts w:hint="eastAsia" w:ascii="仿宋_GB2312" w:hAnsi="Times New Roman" w:eastAsia="仿宋_GB2312" w:cs="仿宋_GB2312"/>
          <w:color w:val="000000"/>
          <w:sz w:val="32"/>
          <w:szCs w:val="32"/>
          <w:lang w:val="zh-CN"/>
        </w:rPr>
        <w:t>。</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pPr>
        <w:pStyle w:val="7"/>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rPr>
      </w:pPr>
      <w:r>
        <w:drawing>
          <wp:inline distT="0" distB="0" distL="114300" distR="114300">
            <wp:extent cx="4679950" cy="2519680"/>
            <wp:effectExtent l="0" t="0" r="0" b="0"/>
            <wp:docPr id="103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outlineLvl w:val="2"/>
        <w:rPr>
          <w:rFonts w:hint="eastAsia" w:ascii="仿宋_GB2312" w:hAnsi="仿宋_GB2312" w:eastAsia="仿宋_GB2312" w:cs="仿宋_GB2312"/>
          <w:b/>
          <w:color w:val="auto"/>
          <w:sz w:val="32"/>
          <w:szCs w:val="32"/>
          <w:highlight w:val="none"/>
        </w:rPr>
      </w:pPr>
      <w:bookmarkStart w:id="44" w:name="_Toc15377212"/>
      <w:r>
        <w:rPr>
          <w:rFonts w:hint="eastAsia" w:ascii="仿宋_GB2312" w:hAnsi="仿宋_GB2312" w:eastAsia="仿宋_GB2312" w:cs="仿宋_GB2312"/>
          <w:b/>
          <w:color w:val="auto"/>
          <w:sz w:val="32"/>
          <w:szCs w:val="32"/>
          <w:highlight w:val="none"/>
        </w:rPr>
        <w:t>（三）一般公共预算财政拨款支出决算具体情况</w:t>
      </w:r>
      <w:bookmarkEnd w:id="44"/>
    </w:p>
    <w:p>
      <w:pPr>
        <w:keepNext/>
        <w:keepLines/>
        <w:autoSpaceDE w:val="0"/>
        <w:autoSpaceDN w:val="0"/>
        <w:adjustRightInd w:val="0"/>
        <w:spacing w:line="576" w:lineRule="exact"/>
        <w:ind w:firstLine="643"/>
        <w:rPr>
          <w:rFonts w:hint="eastAsia" w:ascii="仿宋_GB2312" w:hAnsi="Times New Roman" w:eastAsia="仿宋_GB2312" w:cs="仿宋_GB2312"/>
          <w:b/>
          <w:bCs/>
          <w:color w:val="000000"/>
          <w:sz w:val="32"/>
          <w:szCs w:val="32"/>
          <w:lang w:val="zh-CN"/>
        </w:rPr>
      </w:pPr>
      <w:bookmarkStart w:id="45" w:name="_Toc15377444"/>
      <w:bookmarkStart w:id="46" w:name="_Toc15377213"/>
      <w:bookmarkStart w:id="47" w:name="_Toc15378460"/>
      <w:r>
        <w:rPr>
          <w:rFonts w:ascii="仿宋_GB2312" w:hAnsi="Times New Roman" w:eastAsia="仿宋_GB2312" w:cs="仿宋_GB2312"/>
          <w:b/>
          <w:bCs/>
          <w:color w:val="000000"/>
          <w:sz w:val="32"/>
          <w:szCs w:val="32"/>
          <w:lang w:val="zh-CN"/>
        </w:rPr>
        <w:t>2022</w:t>
      </w:r>
      <w:r>
        <w:rPr>
          <w:rFonts w:hint="eastAsia" w:ascii="仿宋_GB2312" w:hAnsi="Times New Roman" w:eastAsia="仿宋_GB2312" w:cs="仿宋_GB2312"/>
          <w:b/>
          <w:bCs/>
          <w:color w:val="000000"/>
          <w:sz w:val="32"/>
          <w:szCs w:val="32"/>
          <w:lang w:val="zh-CN"/>
        </w:rPr>
        <w:t>年一般公共预算支出决算数为</w:t>
      </w:r>
      <w:r>
        <w:rPr>
          <w:rFonts w:ascii="仿宋_GB2312" w:hAnsi="Times New Roman" w:eastAsia="仿宋_GB2312" w:cs="仿宋_GB2312"/>
          <w:b/>
          <w:bCs/>
          <w:color w:val="000000"/>
          <w:sz w:val="32"/>
          <w:szCs w:val="32"/>
          <w:lang w:val="zh-CN"/>
        </w:rPr>
        <w:t>1509.84</w:t>
      </w:r>
      <w:r>
        <w:rPr>
          <w:rFonts w:hint="eastAsia" w:ascii="仿宋_GB2312" w:hAnsi="Times New Roman" w:eastAsia="仿宋_GB2312" w:cs="仿宋_GB2312"/>
          <w:b/>
          <w:bCs/>
          <w:color w:val="000000"/>
          <w:sz w:val="32"/>
          <w:szCs w:val="32"/>
          <w:lang w:val="zh-CN"/>
        </w:rPr>
        <w:t>万元</w:t>
      </w:r>
      <w:r>
        <w:rPr>
          <w:rFonts w:hint="eastAsia" w:ascii="仿宋_GB2312" w:hAnsi="Times New Roman" w:eastAsia="仿宋_GB2312" w:cs="仿宋_GB2312"/>
          <w:color w:val="000000"/>
          <w:sz w:val="32"/>
          <w:szCs w:val="32"/>
          <w:lang w:val="zh-CN"/>
        </w:rPr>
        <w:t>，</w:t>
      </w:r>
      <w:r>
        <w:rPr>
          <w:rFonts w:hint="eastAsia" w:ascii="仿宋_GB2312" w:hAnsi="Times New Roman" w:eastAsia="仿宋_GB2312" w:cs="仿宋_GB2312"/>
          <w:b/>
          <w:bCs/>
          <w:color w:val="000000"/>
          <w:sz w:val="32"/>
          <w:szCs w:val="32"/>
          <w:lang w:val="zh-CN"/>
        </w:rPr>
        <w:t>完成预算</w:t>
      </w:r>
      <w:r>
        <w:rPr>
          <w:rFonts w:ascii="仿宋_GB2312" w:hAnsi="Times New Roman" w:eastAsia="仿宋_GB2312" w:cs="仿宋_GB2312"/>
          <w:b/>
          <w:bCs/>
          <w:color w:val="000000"/>
          <w:sz w:val="32"/>
          <w:szCs w:val="32"/>
          <w:lang w:val="zh-CN"/>
        </w:rPr>
        <w:t>100%</w:t>
      </w:r>
      <w:r>
        <w:rPr>
          <w:rFonts w:hint="eastAsia" w:ascii="仿宋_GB2312" w:hAnsi="Times New Roman" w:eastAsia="仿宋_GB2312" w:cs="仿宋_GB2312"/>
          <w:b/>
          <w:bCs/>
          <w:color w:val="000000"/>
          <w:sz w:val="32"/>
          <w:szCs w:val="32"/>
          <w:lang w:val="zh-CN"/>
        </w:rPr>
        <w:t>。其中：</w:t>
      </w:r>
    </w:p>
    <w:p>
      <w:pPr>
        <w:keepNext w:val="0"/>
        <w:keepLines w:val="0"/>
        <w:pageBreakBefore w:val="0"/>
        <w:widowControl w:val="0"/>
        <w:kinsoku/>
        <w:wordWrap/>
        <w:overflowPunct/>
        <w:topLinePunct w:val="0"/>
        <w:autoSpaceDE/>
        <w:autoSpaceDN/>
        <w:bidi w:val="0"/>
        <w:adjustRightInd/>
        <w:snapToGrid/>
        <w:spacing w:line="360" w:lineRule="auto"/>
        <w:ind w:right="0" w:firstLine="642" w:firstLineChars="200"/>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Cs/>
          <w:color w:val="000000"/>
          <w:sz w:val="32"/>
          <w:szCs w:val="32"/>
          <w:highlight w:val="none"/>
        </w:rPr>
        <w:t>1.一般公共服务（类）</w:t>
      </w:r>
      <w:r>
        <w:rPr>
          <w:rStyle w:val="18"/>
          <w:rFonts w:hint="eastAsia" w:ascii="仿宋_GB2312" w:hAnsi="仿宋_GB2312" w:eastAsia="仿宋_GB2312" w:cs="仿宋_GB2312"/>
          <w:bCs/>
          <w:color w:val="000000"/>
          <w:spacing w:val="-2"/>
          <w:sz w:val="32"/>
          <w:szCs w:val="32"/>
        </w:rPr>
        <w:t>党委办公厅（室）及相关机构事务（款）行政运行（项）</w:t>
      </w:r>
      <w:r>
        <w:rPr>
          <w:rStyle w:val="18"/>
          <w:rFonts w:hint="eastAsia" w:ascii="仿宋_GB2312" w:hAnsi="仿宋_GB2312" w:eastAsia="仿宋_GB2312" w:cs="仿宋_GB2312"/>
          <w:bCs/>
          <w:color w:val="000000"/>
          <w:spacing w:val="-2"/>
          <w:sz w:val="32"/>
          <w:szCs w:val="32"/>
          <w:lang w:eastAsia="zh-CN"/>
        </w:rPr>
        <w:t>：</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rPr>
        <w:t>920.19</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rPr>
        <w:t>100</w:t>
      </w:r>
      <w:r>
        <w:rPr>
          <w:rStyle w:val="18"/>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firstLine="642" w:firstLineChars="200"/>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Cs/>
          <w:color w:val="000000"/>
          <w:sz w:val="32"/>
          <w:szCs w:val="32"/>
          <w:highlight w:val="none"/>
          <w:lang w:val="en-US"/>
        </w:rPr>
        <w:t>2</w:t>
      </w:r>
      <w:r>
        <w:rPr>
          <w:rStyle w:val="18"/>
          <w:rFonts w:hint="eastAsia" w:ascii="仿宋_GB2312" w:hAnsi="仿宋_GB2312" w:eastAsia="仿宋_GB2312" w:cs="仿宋_GB2312"/>
          <w:bCs/>
          <w:color w:val="000000"/>
          <w:sz w:val="32"/>
          <w:szCs w:val="32"/>
          <w:highlight w:val="none"/>
        </w:rPr>
        <w:t>.</w:t>
      </w:r>
      <w:r>
        <w:rPr>
          <w:rStyle w:val="18"/>
          <w:rFonts w:hint="eastAsia" w:ascii="仿宋_GB2312" w:hAnsi="仿宋_GB2312" w:eastAsia="仿宋_GB2312" w:cs="仿宋_GB2312"/>
          <w:bCs/>
          <w:color w:val="000000"/>
          <w:spacing w:val="-2"/>
          <w:sz w:val="32"/>
          <w:szCs w:val="32"/>
        </w:rPr>
        <w:t>一般公共服务支出（类）党委办公厅（室）及相关机构事务（款）一般行政管理事务（项）</w:t>
      </w:r>
      <w:r>
        <w:rPr>
          <w:rStyle w:val="18"/>
          <w:rFonts w:hint="eastAsia" w:ascii="仿宋_GB2312" w:hAnsi="仿宋_GB2312" w:eastAsia="仿宋_GB2312" w:cs="仿宋_GB2312"/>
          <w:bCs/>
          <w:color w:val="000000"/>
          <w:spacing w:val="-2"/>
          <w:sz w:val="32"/>
          <w:szCs w:val="32"/>
          <w:lang w:eastAsia="zh-CN"/>
        </w:rPr>
        <w:t>：</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rPr>
        <w:t>285.77</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rPr>
        <w:t>100</w:t>
      </w:r>
      <w:r>
        <w:rPr>
          <w:rStyle w:val="18"/>
          <w:rFonts w:hint="eastAsia" w:ascii="仿宋_GB2312" w:hAnsi="仿宋_GB2312" w:eastAsia="仿宋_GB2312" w:cs="仿宋_GB2312"/>
          <w:b w:val="0"/>
          <w:bCs/>
          <w:color w:val="000000"/>
          <w:sz w:val="32"/>
          <w:szCs w:val="32"/>
          <w:highlight w:val="none"/>
        </w:rPr>
        <w:t>%</w:t>
      </w:r>
      <w:r>
        <w:rPr>
          <w:rStyle w:val="18"/>
          <w:rFonts w:hint="eastAsia" w:ascii="仿宋_GB2312" w:hAnsi="仿宋_GB2312" w:eastAsia="仿宋_GB2312" w:cs="仿宋_GB2312"/>
          <w:b w:val="0"/>
          <w:bCs/>
          <w:color w:val="000000"/>
          <w:sz w:val="32"/>
          <w:szCs w:val="32"/>
        </w:rPr>
        <w:t>。</w:t>
      </w:r>
    </w:p>
    <w:p>
      <w:pPr>
        <w:pStyle w:val="7"/>
        <w:keepNext w:val="0"/>
        <w:keepLines w:val="0"/>
        <w:pageBreakBefore w:val="0"/>
        <w:widowControl w:val="0"/>
        <w:kinsoku/>
        <w:wordWrap/>
        <w:overflowPunct/>
        <w:topLinePunct w:val="0"/>
        <w:bidi w:val="0"/>
        <w:snapToGrid/>
        <w:spacing w:line="360" w:lineRule="auto"/>
        <w:ind w:firstLine="642"/>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Cs/>
          <w:color w:val="000000"/>
          <w:sz w:val="32"/>
          <w:szCs w:val="32"/>
          <w:highlight w:val="none"/>
          <w:lang w:val="en-US"/>
        </w:rPr>
        <w:t>3</w:t>
      </w:r>
      <w:r>
        <w:rPr>
          <w:rStyle w:val="18"/>
          <w:rFonts w:hint="eastAsia" w:ascii="仿宋_GB2312" w:hAnsi="仿宋_GB2312" w:eastAsia="仿宋_GB2312" w:cs="仿宋_GB2312"/>
          <w:bCs/>
          <w:color w:val="000000"/>
          <w:sz w:val="32"/>
          <w:szCs w:val="32"/>
          <w:highlight w:val="none"/>
        </w:rPr>
        <w:t>.</w:t>
      </w:r>
      <w:r>
        <w:rPr>
          <w:rStyle w:val="18"/>
          <w:rFonts w:hint="eastAsia" w:ascii="仿宋_GB2312" w:hAnsi="仿宋_GB2312" w:eastAsia="仿宋_GB2312" w:cs="仿宋_GB2312"/>
          <w:bCs/>
          <w:color w:val="000000"/>
          <w:spacing w:val="-2"/>
          <w:sz w:val="32"/>
          <w:szCs w:val="32"/>
        </w:rPr>
        <w:t>一般公共服务支出（类）党委办公厅（室）及相关机构事务（款）事业运行（项）</w:t>
      </w:r>
      <w:r>
        <w:rPr>
          <w:rStyle w:val="18"/>
          <w:rFonts w:hint="eastAsia" w:ascii="仿宋_GB2312" w:hAnsi="仿宋_GB2312" w:eastAsia="仿宋_GB2312" w:cs="仿宋_GB2312"/>
          <w:bCs/>
          <w:color w:val="000000"/>
          <w:spacing w:val="-2"/>
          <w:sz w:val="32"/>
          <w:szCs w:val="32"/>
          <w:lang w:eastAsia="zh-CN"/>
        </w:rPr>
        <w:t>：</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rPr>
        <w:t>82.54</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rPr>
        <w:t>100</w:t>
      </w:r>
      <w:r>
        <w:rPr>
          <w:rStyle w:val="18"/>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bidi w:val="0"/>
        <w:snapToGrid/>
        <w:spacing w:line="360" w:lineRule="auto"/>
        <w:ind w:firstLine="642" w:firstLineChars="200"/>
        <w:rPr>
          <w:rStyle w:val="18"/>
          <w:rFonts w:hint="eastAsia" w:ascii="仿宋_GB2312" w:hAnsi="仿宋_GB2312" w:eastAsia="仿宋_GB2312" w:cs="仿宋_GB2312"/>
          <w:b w:val="0"/>
          <w:bCs/>
          <w:color w:val="000000"/>
          <w:sz w:val="32"/>
          <w:szCs w:val="32"/>
          <w:highlight w:val="none"/>
        </w:rPr>
      </w:pPr>
      <w:r>
        <w:rPr>
          <w:rStyle w:val="18"/>
          <w:rFonts w:hint="eastAsia" w:ascii="仿宋_GB2312" w:hAnsi="仿宋_GB2312" w:eastAsia="仿宋_GB2312" w:cs="仿宋_GB2312"/>
          <w:bCs/>
          <w:color w:val="000000"/>
          <w:sz w:val="32"/>
          <w:szCs w:val="32"/>
          <w:highlight w:val="none"/>
          <w:lang w:val="en-US"/>
        </w:rPr>
        <w:t>4</w:t>
      </w:r>
      <w:r>
        <w:rPr>
          <w:rStyle w:val="18"/>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
          <w:color w:val="000000"/>
          <w:sz w:val="32"/>
          <w:szCs w:val="32"/>
        </w:rPr>
        <w:t>社会保障和就业</w:t>
      </w:r>
      <w:r>
        <w:rPr>
          <w:rStyle w:val="18"/>
          <w:rFonts w:hint="eastAsia" w:ascii="仿宋_GB2312" w:hAnsi="仿宋_GB2312" w:eastAsia="仿宋_GB2312" w:cs="仿宋_GB2312"/>
          <w:bCs/>
          <w:color w:val="000000"/>
          <w:sz w:val="32"/>
          <w:szCs w:val="32"/>
        </w:rPr>
        <w:t>（类）</w:t>
      </w:r>
      <w:r>
        <w:rPr>
          <w:rFonts w:hint="eastAsia" w:ascii="仿宋_GB2312" w:hAnsi="仿宋_GB2312" w:eastAsia="仿宋_GB2312" w:cs="仿宋_GB2312"/>
          <w:b/>
          <w:color w:val="000000"/>
          <w:sz w:val="32"/>
          <w:szCs w:val="32"/>
        </w:rPr>
        <w:t>人力资源和社会保障管理事务</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lang w:val="en-US"/>
        </w:rPr>
        <w:t>款</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引进人才费用</w:t>
      </w:r>
      <w:r>
        <w:rPr>
          <w:rStyle w:val="18"/>
          <w:rFonts w:hint="eastAsia" w:ascii="仿宋_GB2312" w:hAnsi="仿宋_GB2312" w:eastAsia="仿宋_GB2312" w:cs="仿宋_GB2312"/>
          <w:bCs/>
          <w:color w:val="000000"/>
          <w:sz w:val="32"/>
          <w:szCs w:val="32"/>
        </w:rPr>
        <w:t>（项）</w:t>
      </w:r>
      <w:r>
        <w:rPr>
          <w:rStyle w:val="18"/>
          <w:rFonts w:hint="eastAsia" w:ascii="仿宋_GB2312" w:hAnsi="仿宋_GB2312" w:eastAsia="仿宋_GB2312" w:cs="仿宋_GB2312"/>
          <w:bCs/>
          <w:color w:val="000000"/>
          <w:sz w:val="32"/>
          <w:szCs w:val="32"/>
          <w:lang w:eastAsia="zh-CN"/>
        </w:rPr>
        <w:t>：</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rPr>
        <w:t>4.6</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rPr>
        <w:t>100</w:t>
      </w:r>
      <w:r>
        <w:rPr>
          <w:rStyle w:val="18"/>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bidi w:val="0"/>
        <w:snapToGrid/>
        <w:spacing w:line="360" w:lineRule="auto"/>
        <w:ind w:firstLine="642" w:firstLineChars="200"/>
        <w:rPr>
          <w:rStyle w:val="18"/>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color w:val="000000"/>
          <w:sz w:val="32"/>
          <w:szCs w:val="32"/>
          <w:lang w:val="en-US"/>
        </w:rPr>
        <w:t>5</w:t>
      </w:r>
      <w:r>
        <w:rPr>
          <w:rFonts w:hint="default"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社会保障和就业</w:t>
      </w:r>
      <w:r>
        <w:rPr>
          <w:rStyle w:val="18"/>
          <w:rFonts w:hint="eastAsia" w:ascii="仿宋_GB2312" w:hAnsi="仿宋_GB2312" w:eastAsia="仿宋_GB2312" w:cs="仿宋_GB2312"/>
          <w:bCs/>
          <w:color w:val="000000"/>
          <w:sz w:val="32"/>
          <w:szCs w:val="32"/>
        </w:rPr>
        <w:t>（类）</w:t>
      </w:r>
      <w:r>
        <w:rPr>
          <w:rFonts w:hint="eastAsia" w:ascii="仿宋_GB2312" w:hAnsi="仿宋_GB2312" w:eastAsia="仿宋_GB2312" w:cs="仿宋_GB2312"/>
          <w:b/>
          <w:color w:val="000000"/>
          <w:sz w:val="32"/>
          <w:szCs w:val="32"/>
        </w:rPr>
        <w:t>行政事业单位养老支出</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lang w:val="en-US"/>
        </w:rPr>
        <w:t>款</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机关事业单位基本养老保险缴费支出</w:t>
      </w:r>
      <w:r>
        <w:rPr>
          <w:rStyle w:val="18"/>
          <w:rFonts w:hint="eastAsia" w:ascii="仿宋_GB2312" w:hAnsi="仿宋_GB2312" w:eastAsia="仿宋_GB2312" w:cs="仿宋_GB2312"/>
          <w:bCs/>
          <w:color w:val="000000"/>
          <w:sz w:val="32"/>
          <w:szCs w:val="32"/>
        </w:rPr>
        <w:t>（项）</w:t>
      </w:r>
      <w:r>
        <w:rPr>
          <w:rStyle w:val="18"/>
          <w:rFonts w:hint="eastAsia" w:ascii="仿宋_GB2312" w:hAnsi="仿宋_GB2312" w:eastAsia="仿宋_GB2312" w:cs="仿宋_GB2312"/>
          <w:bCs/>
          <w:color w:val="000000"/>
          <w:sz w:val="32"/>
          <w:szCs w:val="32"/>
          <w:lang w:eastAsia="zh-CN"/>
        </w:rPr>
        <w:t>：</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rPr>
        <w:t>79.43</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rPr>
        <w:t>100</w:t>
      </w:r>
      <w:r>
        <w:rPr>
          <w:rStyle w:val="18"/>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bidi w:val="0"/>
        <w:snapToGrid/>
        <w:spacing w:line="360" w:lineRule="auto"/>
        <w:ind w:firstLine="642" w:firstLineChars="200"/>
        <w:rPr>
          <w:rFonts w:hint="eastAsia"/>
        </w:rPr>
      </w:pPr>
      <w:r>
        <w:rPr>
          <w:rStyle w:val="18"/>
          <w:rFonts w:hint="eastAsia" w:ascii="仿宋_GB2312" w:hAnsi="仿宋_GB2312" w:eastAsia="仿宋_GB2312" w:cs="仿宋_GB2312"/>
          <w:b/>
          <w:bCs w:val="0"/>
          <w:color w:val="000000"/>
          <w:sz w:val="32"/>
          <w:szCs w:val="32"/>
          <w:highlight w:val="none"/>
          <w:lang w:val="en-US"/>
        </w:rPr>
        <w:t>6</w:t>
      </w:r>
      <w:r>
        <w:rPr>
          <w:rFonts w:hint="default" w:ascii="仿宋_GB2312" w:hAnsi="仿宋_GB2312" w:eastAsia="仿宋_GB2312" w:cs="仿宋_GB2312"/>
          <w:b/>
          <w:bCs w:val="0"/>
          <w:color w:val="000000"/>
          <w:sz w:val="32"/>
          <w:szCs w:val="32"/>
        </w:rPr>
        <w:t>.</w:t>
      </w:r>
      <w:r>
        <w:rPr>
          <w:rFonts w:hint="eastAsia" w:ascii="仿宋_GB2312" w:hAnsi="仿宋_GB2312" w:eastAsia="仿宋_GB2312" w:cs="仿宋_GB2312"/>
          <w:b/>
          <w:color w:val="000000"/>
          <w:sz w:val="32"/>
          <w:szCs w:val="32"/>
        </w:rPr>
        <w:t>社会保障和就业</w:t>
      </w:r>
      <w:r>
        <w:rPr>
          <w:rStyle w:val="18"/>
          <w:rFonts w:hint="eastAsia" w:ascii="仿宋_GB2312" w:hAnsi="仿宋_GB2312" w:eastAsia="仿宋_GB2312" w:cs="仿宋_GB2312"/>
          <w:bCs/>
          <w:color w:val="000000"/>
          <w:sz w:val="32"/>
          <w:szCs w:val="32"/>
        </w:rPr>
        <w:t>（类）</w:t>
      </w:r>
      <w:r>
        <w:rPr>
          <w:rFonts w:hint="eastAsia" w:ascii="仿宋_GB2312" w:hAnsi="仿宋_GB2312" w:eastAsia="仿宋_GB2312" w:cs="仿宋_GB2312"/>
          <w:b/>
          <w:color w:val="000000"/>
          <w:sz w:val="32"/>
          <w:szCs w:val="32"/>
        </w:rPr>
        <w:t>行政事业单位养老支出</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lang w:val="en-US"/>
        </w:rPr>
        <w:t>款</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机关事业单位职业年金缴费支出</w:t>
      </w:r>
      <w:r>
        <w:rPr>
          <w:rStyle w:val="18"/>
          <w:rFonts w:hint="eastAsia" w:ascii="仿宋_GB2312" w:hAnsi="仿宋_GB2312" w:eastAsia="仿宋_GB2312" w:cs="仿宋_GB2312"/>
          <w:bCs/>
          <w:color w:val="000000"/>
          <w:sz w:val="32"/>
          <w:szCs w:val="32"/>
        </w:rPr>
        <w:t>（项）</w:t>
      </w:r>
      <w:r>
        <w:rPr>
          <w:rStyle w:val="18"/>
          <w:rFonts w:hint="eastAsia" w:ascii="仿宋_GB2312" w:hAnsi="仿宋_GB2312" w:eastAsia="仿宋_GB2312" w:cs="仿宋_GB2312"/>
          <w:bCs/>
          <w:color w:val="000000"/>
          <w:sz w:val="32"/>
          <w:szCs w:val="32"/>
          <w:lang w:eastAsia="zh-CN"/>
        </w:rPr>
        <w:t>：</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rPr>
        <w:t>13.59</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rPr>
        <w:t>100</w:t>
      </w:r>
      <w:r>
        <w:rPr>
          <w:rStyle w:val="18"/>
          <w:rFonts w:hint="eastAsia" w:ascii="仿宋_GB2312" w:hAnsi="仿宋_GB2312" w:eastAsia="仿宋_GB2312" w:cs="仿宋_GB2312"/>
          <w:b w:val="0"/>
          <w:bCs/>
          <w:color w:val="000000"/>
          <w:sz w:val="32"/>
          <w:szCs w:val="32"/>
          <w:highlight w:val="none"/>
        </w:rPr>
        <w:t>%。</w:t>
      </w:r>
    </w:p>
    <w:p>
      <w:pPr>
        <w:pStyle w:val="7"/>
        <w:ind w:firstLine="642" w:firstLineChars="200"/>
        <w:rPr>
          <w:rFonts w:hint="default" w:eastAsia="仿宋_GB2312"/>
          <w:color w:val="000000"/>
          <w:lang w:val="en-US" w:eastAsia="zh-CN"/>
        </w:rPr>
      </w:pPr>
      <w:r>
        <w:rPr>
          <w:rStyle w:val="18"/>
          <w:rFonts w:hint="eastAsia" w:ascii="仿宋_GB2312" w:hAnsi="仿宋_GB2312" w:eastAsia="仿宋_GB2312" w:cs="仿宋_GB2312"/>
          <w:bCs/>
          <w:color w:val="000000"/>
          <w:kern w:val="2"/>
          <w:sz w:val="32"/>
          <w:szCs w:val="32"/>
          <w:highlight w:val="none"/>
          <w:lang w:val="en-US" w:bidi="ar-SA"/>
        </w:rPr>
        <w:t>7</w:t>
      </w:r>
      <w:r>
        <w:rPr>
          <w:rStyle w:val="18"/>
          <w:rFonts w:hint="eastAsia" w:ascii="仿宋_GB2312" w:hAnsi="仿宋_GB2312" w:eastAsia="仿宋_GB2312" w:cs="仿宋_GB2312"/>
          <w:bCs/>
          <w:color w:val="000000"/>
          <w:kern w:val="2"/>
          <w:sz w:val="32"/>
          <w:szCs w:val="32"/>
          <w:highlight w:val="none"/>
          <w:lang w:val="en-US" w:eastAsia="zh-CN" w:bidi="ar-SA"/>
        </w:rPr>
        <w:t>.社会保障和就业（类）其他社会保障和就业支出（款）其他社会保障和就业支出（项）</w:t>
      </w:r>
      <w:r>
        <w:rPr>
          <w:rStyle w:val="18"/>
          <w:rFonts w:hint="eastAsia" w:ascii="仿宋_GB2312" w:hAnsi="仿宋_GB2312" w:eastAsia="仿宋_GB2312" w:cs="仿宋_GB2312"/>
          <w:bCs/>
          <w:color w:val="000000"/>
          <w:kern w:val="2"/>
          <w:sz w:val="32"/>
          <w:szCs w:val="32"/>
          <w:highlight w:val="none"/>
          <w:lang w:val="en-US" w:bidi="ar-SA"/>
        </w:rPr>
        <w:t>：</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rPr>
        <w:t>3.11</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rPr>
        <w:t>100</w:t>
      </w:r>
      <w:r>
        <w:rPr>
          <w:rStyle w:val="18"/>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bidi w:val="0"/>
        <w:snapToGrid/>
        <w:spacing w:line="360" w:lineRule="auto"/>
        <w:ind w:firstLine="642" w:firstLineChars="200"/>
        <w:rPr>
          <w:rFonts w:hint="eastAsia" w:ascii="仿宋_GB2312" w:hAnsi="仿宋_GB2312" w:eastAsia="仿宋_GB2312" w:cs="仿宋_GB2312"/>
          <w:b/>
          <w:color w:val="000000"/>
          <w:sz w:val="32"/>
          <w:szCs w:val="32"/>
          <w:highlight w:val="none"/>
        </w:rPr>
      </w:pPr>
      <w:r>
        <w:rPr>
          <w:rStyle w:val="18"/>
          <w:rFonts w:hint="eastAsia" w:ascii="仿宋_GB2312" w:hAnsi="仿宋_GB2312" w:eastAsia="仿宋_GB2312" w:cs="仿宋_GB2312"/>
          <w:bCs/>
          <w:color w:val="000000"/>
          <w:sz w:val="32"/>
          <w:szCs w:val="32"/>
          <w:highlight w:val="none"/>
          <w:lang w:val="en-US"/>
        </w:rPr>
        <w:t>8</w:t>
      </w:r>
      <w:r>
        <w:rPr>
          <w:rStyle w:val="18"/>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
          <w:color w:val="000000"/>
          <w:sz w:val="32"/>
          <w:szCs w:val="32"/>
        </w:rPr>
        <w:t>卫生健康支出（类）行政事业单位医疗（款）行政单位医疗（项）</w:t>
      </w:r>
      <w:r>
        <w:rPr>
          <w:rFonts w:hint="eastAsia" w:ascii="仿宋_GB2312" w:hAnsi="仿宋_GB2312" w:eastAsia="仿宋_GB2312" w:cs="仿宋_GB2312"/>
          <w:b/>
          <w:color w:val="000000"/>
          <w:sz w:val="32"/>
          <w:szCs w:val="32"/>
          <w:lang w:eastAsia="zh-CN"/>
        </w:rPr>
        <w:t>：</w:t>
      </w:r>
      <w:r>
        <w:rPr>
          <w:rStyle w:val="18"/>
          <w:rFonts w:hint="eastAsia" w:ascii="仿宋_GB2312" w:hAnsi="仿宋_GB2312" w:eastAsia="仿宋_GB2312" w:cs="仿宋_GB2312"/>
          <w:b w:val="0"/>
          <w:bCs/>
          <w:color w:val="000000"/>
          <w:sz w:val="32"/>
          <w:szCs w:val="32"/>
          <w:highlight w:val="none"/>
        </w:rPr>
        <w:t>支出决算为</w:t>
      </w:r>
      <w:r>
        <w:rPr>
          <w:rStyle w:val="18"/>
          <w:rFonts w:hint="eastAsia" w:ascii="仿宋_GB2312" w:hAnsi="仿宋_GB2312" w:eastAsia="仿宋_GB2312" w:cs="仿宋_GB2312"/>
          <w:b w:val="0"/>
          <w:bCs/>
          <w:color w:val="000000"/>
          <w:sz w:val="32"/>
          <w:szCs w:val="32"/>
          <w:highlight w:val="none"/>
          <w:lang w:val="en-US"/>
        </w:rPr>
        <w:t>34.97</w:t>
      </w:r>
      <w:r>
        <w:rPr>
          <w:rStyle w:val="18"/>
          <w:rFonts w:hint="eastAsia" w:ascii="仿宋_GB2312" w:hAnsi="仿宋_GB2312" w:eastAsia="仿宋_GB2312" w:cs="仿宋_GB2312"/>
          <w:b w:val="0"/>
          <w:bCs/>
          <w:color w:val="000000"/>
          <w:sz w:val="32"/>
          <w:szCs w:val="32"/>
          <w:highlight w:val="none"/>
        </w:rPr>
        <w:t>万元，完成预算</w:t>
      </w:r>
      <w:r>
        <w:rPr>
          <w:rStyle w:val="18"/>
          <w:rFonts w:hint="eastAsia" w:ascii="仿宋_GB2312" w:hAnsi="仿宋_GB2312" w:eastAsia="仿宋_GB2312" w:cs="仿宋_GB2312"/>
          <w:b w:val="0"/>
          <w:bCs/>
          <w:color w:val="000000"/>
          <w:sz w:val="32"/>
          <w:szCs w:val="32"/>
          <w:highlight w:val="none"/>
          <w:lang w:val="en-US"/>
        </w:rPr>
        <w:t>100</w:t>
      </w:r>
      <w:r>
        <w:rPr>
          <w:rStyle w:val="18"/>
          <w:rFonts w:hint="eastAsia" w:ascii="仿宋_GB2312" w:hAnsi="仿宋_GB2312" w:eastAsia="仿宋_GB2312" w:cs="仿宋_GB2312"/>
          <w:b w:val="0"/>
          <w:bCs/>
          <w:color w:val="000000"/>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ind w:leftChars="0"/>
        <w:textAlignment w:val="auto"/>
        <w:rPr>
          <w:rFonts w:hint="eastAsia" w:ascii="仿宋_GB2312" w:hAnsi="Times New Roman" w:eastAsia="仿宋_GB2312" w:cs="仿宋_GB2312"/>
          <w:b/>
          <w:bCs/>
          <w:color w:val="000000"/>
          <w:sz w:val="32"/>
          <w:szCs w:val="32"/>
          <w:lang w:val="zh-CN"/>
        </w:rPr>
      </w:pPr>
      <w:r>
        <w:rPr>
          <w:rFonts w:hint="eastAsia" w:hAnsi="仿宋_GB2312" w:eastAsia="仿宋_GB2312" w:cs="仿宋_GB2312"/>
          <w:b/>
          <w:color w:val="000000"/>
          <w:sz w:val="32"/>
          <w:szCs w:val="32"/>
          <w:lang w:val="en-US"/>
        </w:rPr>
        <w:t>9</w:t>
      </w:r>
      <w:r>
        <w:rPr>
          <w:rFonts w:hint="eastAsia" w:ascii="仿宋_GB2312" w:hAnsi="仿宋_GB2312" w:eastAsia="仿宋_GB2312" w:cs="仿宋_GB2312"/>
          <w:b/>
          <w:color w:val="000000"/>
          <w:sz w:val="32"/>
          <w:szCs w:val="32"/>
          <w:lang w:val="en-US"/>
        </w:rPr>
        <w:t>.</w:t>
      </w:r>
      <w:r>
        <w:rPr>
          <w:rFonts w:hint="eastAsia" w:ascii="仿宋_GB2312" w:hAnsi="仿宋_GB2312" w:eastAsia="仿宋_GB2312" w:cs="仿宋_GB2312"/>
          <w:b/>
          <w:color w:val="000000"/>
          <w:sz w:val="32"/>
          <w:szCs w:val="32"/>
        </w:rPr>
        <w:t>住房保障支出（类）住房改革支出（款）住房公积金（项）</w:t>
      </w:r>
      <w:r>
        <w:rPr>
          <w:rFonts w:hint="eastAsia" w:hAnsi="仿宋_GB2312" w:eastAsia="仿宋_GB2312" w:cs="仿宋_GB2312"/>
          <w:b/>
          <w:color w:val="000000"/>
          <w:sz w:val="32"/>
          <w:szCs w:val="32"/>
          <w:lang w:eastAsia="zh-CN"/>
        </w:rPr>
        <w:t>：</w:t>
      </w:r>
      <w:r>
        <w:rPr>
          <w:rStyle w:val="18"/>
          <w:rFonts w:hint="eastAsia" w:ascii="仿宋_GB2312" w:hAnsi="仿宋_GB2312" w:eastAsia="仿宋_GB2312" w:cs="仿宋_GB2312"/>
          <w:b w:val="0"/>
          <w:bCs/>
          <w:color w:val="000000"/>
          <w:sz w:val="32"/>
          <w:szCs w:val="32"/>
        </w:rPr>
        <w:t>支出决算为</w:t>
      </w:r>
      <w:r>
        <w:rPr>
          <w:rStyle w:val="18"/>
          <w:rFonts w:hint="eastAsia" w:hAnsi="仿宋_GB2312" w:eastAsia="仿宋_GB2312" w:cs="仿宋_GB2312"/>
          <w:b w:val="0"/>
          <w:bCs/>
          <w:color w:val="000000"/>
          <w:sz w:val="32"/>
          <w:szCs w:val="32"/>
          <w:lang w:val="en-US"/>
        </w:rPr>
        <w:t>85.64</w:t>
      </w:r>
      <w:r>
        <w:rPr>
          <w:rStyle w:val="18"/>
          <w:rFonts w:hint="eastAsia" w:ascii="仿宋_GB2312" w:hAnsi="仿宋_GB2312" w:eastAsia="仿宋_GB2312" w:cs="仿宋_GB2312"/>
          <w:b w:val="0"/>
          <w:bCs/>
          <w:color w:val="000000"/>
          <w:sz w:val="32"/>
          <w:szCs w:val="32"/>
        </w:rPr>
        <w:t>万元，完成预算100%。</w:t>
      </w:r>
    </w:p>
    <w:bookmarkEnd w:id="45"/>
    <w:bookmarkEnd w:id="46"/>
    <w:bookmarkEnd w:id="47"/>
    <w:p>
      <w:pPr>
        <w:tabs>
          <w:tab w:val="right" w:pos="8306"/>
        </w:tabs>
        <w:spacing w:line="600" w:lineRule="exact"/>
        <w:ind w:firstLine="640"/>
        <w:outlineLvl w:val="1"/>
        <w:rPr>
          <w:rStyle w:val="21"/>
          <w:rFonts w:hint="eastAsia" w:ascii="黑体" w:hAnsi="黑体" w:eastAsia="黑体" w:cs="黑体"/>
          <w:color w:val="auto"/>
          <w:highlight w:val="none"/>
        </w:rPr>
      </w:pPr>
      <w:bookmarkStart w:id="48" w:name="_Toc15396608"/>
      <w:bookmarkStart w:id="49" w:name="_Toc15377214"/>
      <w:bookmarkStart w:id="50" w:name="_Toc14786"/>
      <w:r>
        <w:rPr>
          <w:rFonts w:hint="eastAsia" w:ascii="黑体" w:hAnsi="黑体" w:eastAsia="黑体" w:cs="黑体"/>
          <w:color w:val="auto"/>
          <w:sz w:val="32"/>
          <w:szCs w:val="32"/>
          <w:highlight w:val="none"/>
        </w:rPr>
        <w:t>六</w:t>
      </w:r>
      <w:r>
        <w:rPr>
          <w:rFonts w:hint="eastAsia" w:ascii="黑体" w:hAnsi="黑体" w:eastAsia="黑体" w:cs="黑体"/>
          <w:b/>
          <w:color w:val="auto"/>
          <w:sz w:val="32"/>
          <w:szCs w:val="32"/>
          <w:highlight w:val="none"/>
        </w:rPr>
        <w:t>、一</w:t>
      </w:r>
      <w:r>
        <w:rPr>
          <w:rStyle w:val="21"/>
          <w:rFonts w:hint="eastAsia" w:ascii="黑体" w:hAnsi="黑体" w:eastAsia="黑体" w:cs="黑体"/>
          <w:b w:val="0"/>
          <w:color w:val="auto"/>
          <w:highlight w:val="none"/>
        </w:rPr>
        <w:t>般公共预算财政拨款基本支出决算情况说明</w:t>
      </w:r>
      <w:bookmarkEnd w:id="48"/>
      <w:bookmarkEnd w:id="49"/>
      <w:bookmarkEnd w:id="50"/>
      <w:r>
        <w:rPr>
          <w:rStyle w:val="21"/>
          <w:rFonts w:hint="eastAsia" w:ascii="黑体" w:hAnsi="黑体" w:eastAsia="黑体" w:cs="黑体"/>
          <w:b w:val="0"/>
          <w:color w:val="auto"/>
          <w:highlight w:val="none"/>
        </w:rPr>
        <w:tab/>
      </w:r>
    </w:p>
    <w:p>
      <w:pPr>
        <w:spacing w:line="600" w:lineRule="exact"/>
        <w:ind w:firstLine="645"/>
        <w:rPr>
          <w:rFonts w:hint="eastAsia" w:ascii="仿宋_GB2312" w:hAnsi="仿宋_GB2312" w:eastAsia="仿宋_GB2312" w:cs="仿宋_GB2312"/>
          <w:color w:val="auto"/>
          <w:sz w:val="32"/>
          <w:szCs w:val="32"/>
          <w:highlight w:val="none"/>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年一般公共预算财政拨款基本支出</w:t>
      </w:r>
      <w:r>
        <w:rPr>
          <w:rFonts w:ascii="仿宋_GB2312" w:hAnsi="Cambria" w:eastAsia="仿宋_GB2312" w:cs="仿宋_GB2312"/>
          <w:color w:val="000000"/>
          <w:sz w:val="32"/>
          <w:szCs w:val="32"/>
          <w:lang w:val="zh-CN"/>
        </w:rPr>
        <w:t>1224.07</w:t>
      </w:r>
      <w:r>
        <w:rPr>
          <w:rFonts w:hint="eastAsia" w:ascii="仿宋_GB2312" w:hAnsi="Cambria" w:eastAsia="仿宋_GB2312" w:cs="仿宋_GB2312"/>
          <w:color w:val="000000"/>
          <w:sz w:val="32"/>
          <w:szCs w:val="32"/>
          <w:lang w:val="zh-CN"/>
        </w:rPr>
        <w:t>万元，其中：</w:t>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ascii="仿宋_GB2312" w:hAnsi="Cambria" w:eastAsia="仿宋_GB2312" w:cs="仿宋_GB2312"/>
          <w:color w:val="000000"/>
          <w:sz w:val="32"/>
          <w:szCs w:val="32"/>
          <w:lang w:val="zh-CN"/>
        </w:rPr>
        <w:t>1083.78</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万元，主要包括：基本工资、津贴补贴、奖金、绩效工资、机关事业单位基本养老保险缴费、职业年金缴费、职工基本医疗保险缴费、其他社会保障缴费、住房公积金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其他工资福利支出、生活补助、奖励金。</w:t>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ascii="仿宋_GB2312" w:hAnsi="Cambria" w:eastAsia="仿宋_GB2312" w:cs="仿宋_GB2312"/>
          <w:color w:val="000000"/>
          <w:sz w:val="32"/>
          <w:szCs w:val="32"/>
          <w:lang w:val="zh-CN"/>
        </w:rPr>
        <w:t>140.29</w:t>
      </w:r>
      <w:r>
        <w:rPr>
          <w:rFonts w:hint="eastAsia" w:ascii="仿宋_GB2312" w:hAnsi="仿宋_GB2312" w:eastAsia="仿宋_GB2312" w:cs="仿宋_GB2312"/>
          <w:color w:val="auto"/>
          <w:sz w:val="32"/>
          <w:szCs w:val="32"/>
          <w:highlight w:val="none"/>
        </w:rPr>
        <w:t>万元，主要包括：办公费、印刷费、水费、电费、邮电费、物业管理费、差旅费、维修（护）费、租赁费、会议费、培训费、公务接待费、劳务费、委托业务费、工会经费、福利费、公务用车运行维护费、其他交通费用、其他商品和服务支出。</w:t>
      </w:r>
    </w:p>
    <w:p>
      <w:pPr>
        <w:spacing w:line="600" w:lineRule="exact"/>
        <w:ind w:firstLine="640"/>
        <w:outlineLvl w:val="1"/>
        <w:rPr>
          <w:rStyle w:val="21"/>
          <w:rFonts w:hint="eastAsia" w:ascii="黑体" w:hAnsi="黑体" w:eastAsia="黑体" w:cs="黑体"/>
          <w:b w:val="0"/>
          <w:color w:val="auto"/>
          <w:highlight w:val="none"/>
        </w:rPr>
      </w:pPr>
      <w:bookmarkStart w:id="51" w:name="_Toc15377215"/>
      <w:bookmarkStart w:id="52" w:name="_Toc448"/>
      <w:bookmarkStart w:id="53" w:name="_Toc15396609"/>
      <w:r>
        <w:rPr>
          <w:rFonts w:hint="eastAsia" w:ascii="黑体" w:hAnsi="黑体" w:eastAsia="黑体" w:cs="黑体"/>
          <w:color w:val="auto"/>
          <w:sz w:val="32"/>
          <w:szCs w:val="32"/>
          <w:highlight w:val="none"/>
        </w:rPr>
        <w:t>七、</w:t>
      </w:r>
      <w:r>
        <w:rPr>
          <w:rStyle w:val="21"/>
          <w:rFonts w:hint="eastAsia" w:ascii="黑体" w:hAnsi="黑体" w:eastAsia="黑体" w:cs="黑体"/>
          <w:b w:val="0"/>
          <w:color w:val="auto"/>
          <w:highlight w:val="none"/>
        </w:rPr>
        <w:t>财政拨款</w:t>
      </w:r>
      <w:r>
        <w:rPr>
          <w:rStyle w:val="21"/>
          <w:rFonts w:hint="eastAsia" w:ascii="黑体" w:hAnsi="黑体" w:eastAsia="黑体" w:cs="黑体"/>
          <w:color w:val="auto"/>
          <w:highlight w:val="none"/>
        </w:rPr>
        <w:t>“</w:t>
      </w:r>
      <w:r>
        <w:rPr>
          <w:rStyle w:val="21"/>
          <w:rFonts w:hint="eastAsia" w:ascii="黑体" w:hAnsi="黑体" w:eastAsia="黑体" w:cs="黑体"/>
          <w:b w:val="0"/>
          <w:color w:val="auto"/>
          <w:highlight w:val="none"/>
        </w:rPr>
        <w:t>三公”经费支出决算情况说明</w:t>
      </w:r>
      <w:bookmarkEnd w:id="51"/>
      <w:bookmarkEnd w:id="52"/>
      <w:bookmarkEnd w:id="53"/>
    </w:p>
    <w:p>
      <w:pPr>
        <w:spacing w:line="600" w:lineRule="exact"/>
        <w:ind w:firstLine="640"/>
        <w:outlineLvl w:val="2"/>
        <w:rPr>
          <w:rFonts w:hint="eastAsia" w:ascii="仿宋_GB2312" w:hAnsi="仿宋_GB2312" w:eastAsia="仿宋_GB2312" w:cs="仿宋_GB2312"/>
          <w:b/>
          <w:color w:val="auto"/>
          <w:sz w:val="32"/>
          <w:szCs w:val="32"/>
          <w:highlight w:val="none"/>
        </w:rPr>
      </w:pPr>
      <w:bookmarkStart w:id="54" w:name="_Toc15377216"/>
      <w:r>
        <w:rPr>
          <w:rFonts w:hint="eastAsia" w:ascii="仿宋_GB2312" w:hAnsi="仿宋_GB2312" w:eastAsia="仿宋_GB2312" w:cs="仿宋_GB2312"/>
          <w:b/>
          <w:color w:val="auto"/>
          <w:sz w:val="32"/>
          <w:szCs w:val="32"/>
          <w:highlight w:val="none"/>
        </w:rPr>
        <w:t>（一）“三公”经费财政拨款支出决算总体情况说明</w:t>
      </w:r>
      <w:bookmarkEnd w:id="54"/>
    </w:p>
    <w:p>
      <w:pPr>
        <w:spacing w:line="600" w:lineRule="exact"/>
        <w:ind w:firstLine="640"/>
        <w:rPr>
          <w:rFonts w:hint="eastAsia" w:ascii="仿宋_GB2312" w:hAnsi="仿宋_GB2312" w:eastAsia="仿宋_GB2312" w:cs="仿宋_GB2312"/>
          <w:color w:val="auto"/>
          <w:sz w:val="32"/>
          <w:szCs w:val="32"/>
          <w:highlight w:val="none"/>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三公</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经费财政拨款支出决算为</w:t>
      </w:r>
      <w:r>
        <w:rPr>
          <w:rFonts w:ascii="仿宋_GB2312" w:hAnsi="Cambria" w:eastAsia="仿宋_GB2312" w:cs="仿宋_GB2312"/>
          <w:color w:val="000000"/>
          <w:sz w:val="32"/>
          <w:szCs w:val="32"/>
          <w:lang w:val="zh-CN"/>
        </w:rPr>
        <w:t>6.35</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70.6%</w:t>
      </w:r>
      <w:r>
        <w:rPr>
          <w:rFonts w:hint="eastAsia" w:ascii="仿宋_GB2312" w:hAnsi="Cambria" w:eastAsia="仿宋_GB2312" w:cs="仿宋_GB2312"/>
          <w:color w:val="000000"/>
          <w:sz w:val="32"/>
          <w:szCs w:val="32"/>
          <w:lang w:val="zh-CN"/>
        </w:rPr>
        <w:t>；较上年减少</w:t>
      </w:r>
      <w:r>
        <w:rPr>
          <w:rFonts w:ascii="仿宋_GB2312" w:hAnsi="Cambria" w:eastAsia="仿宋_GB2312" w:cs="仿宋_GB2312"/>
          <w:color w:val="000000"/>
          <w:sz w:val="32"/>
          <w:szCs w:val="32"/>
          <w:lang w:val="zh-CN"/>
        </w:rPr>
        <w:t>1.05</w:t>
      </w:r>
      <w:r>
        <w:rPr>
          <w:rFonts w:hint="eastAsia" w:ascii="仿宋_GB2312" w:hAnsi="Cambria" w:eastAsia="仿宋_GB2312" w:cs="仿宋_GB2312"/>
          <w:color w:val="000000"/>
          <w:sz w:val="32"/>
          <w:szCs w:val="32"/>
          <w:lang w:val="zh-CN"/>
        </w:rPr>
        <w:t>万元，下降</w:t>
      </w:r>
      <w:r>
        <w:rPr>
          <w:rFonts w:ascii="仿宋_GB2312" w:hAnsi="Cambria" w:eastAsia="仿宋_GB2312" w:cs="仿宋_GB2312"/>
          <w:color w:val="000000"/>
          <w:sz w:val="32"/>
          <w:szCs w:val="32"/>
          <w:lang w:val="zh-CN"/>
        </w:rPr>
        <w:t>14.2%</w:t>
      </w:r>
      <w:r>
        <w:rPr>
          <w:rFonts w:hint="eastAsia" w:ascii="仿宋_GB2312" w:hAnsi="Cambria" w:eastAsia="仿宋_GB2312" w:cs="仿宋_GB2312"/>
          <w:color w:val="000000"/>
          <w:sz w:val="32"/>
          <w:szCs w:val="32"/>
          <w:lang w:val="zh-CN"/>
        </w:rPr>
        <w:t>。</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000000"/>
          <w:sz w:val="32"/>
          <w:szCs w:val="32"/>
          <w:highlight w:val="none"/>
        </w:rPr>
        <w:t>厉行节约，压减“三公”经费开支。</w:t>
      </w:r>
    </w:p>
    <w:p>
      <w:pPr>
        <w:spacing w:line="600" w:lineRule="exact"/>
        <w:ind w:firstLine="640"/>
        <w:outlineLvl w:val="2"/>
        <w:rPr>
          <w:rFonts w:hint="eastAsia" w:ascii="仿宋_GB2312" w:hAnsi="仿宋_GB2312" w:eastAsia="仿宋_GB2312" w:cs="仿宋_GB2312"/>
          <w:b/>
          <w:color w:val="auto"/>
          <w:sz w:val="32"/>
          <w:szCs w:val="32"/>
          <w:highlight w:val="none"/>
        </w:rPr>
      </w:pPr>
      <w:bookmarkStart w:id="55" w:name="_Toc15377217"/>
      <w:r>
        <w:rPr>
          <w:rFonts w:hint="eastAsia" w:ascii="仿宋_GB2312" w:hAnsi="仿宋_GB2312" w:eastAsia="仿宋_GB2312" w:cs="仿宋_GB2312"/>
          <w:b/>
          <w:color w:val="auto"/>
          <w:sz w:val="32"/>
          <w:szCs w:val="32"/>
          <w:highlight w:val="none"/>
        </w:rPr>
        <w:t>（二）“三公”经费财政拨款支出决算具体情况说明</w:t>
      </w:r>
      <w:bookmarkEnd w:id="55"/>
    </w:p>
    <w:p>
      <w:pPr>
        <w:spacing w:line="600" w:lineRule="exact"/>
        <w:ind w:firstLine="640"/>
        <w:rPr>
          <w:rFonts w:hint="eastAsia" w:ascii="仿宋_GB2312" w:hAnsi="仿宋_GB2312" w:eastAsia="仿宋_GB2312" w:cs="仿宋_GB2312"/>
          <w:color w:val="auto"/>
          <w:sz w:val="32"/>
          <w:szCs w:val="32"/>
          <w:highlight w:val="none"/>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三公</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经费财政拨款支出决算中，因公出国（境）费支出决算</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万元，占</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；公务用车购置及运行维护费支出决算</w:t>
      </w:r>
      <w:r>
        <w:rPr>
          <w:rFonts w:ascii="仿宋_GB2312" w:hAnsi="Cambria" w:eastAsia="仿宋_GB2312" w:cs="仿宋_GB2312"/>
          <w:color w:val="000000"/>
          <w:sz w:val="32"/>
          <w:szCs w:val="32"/>
          <w:lang w:val="zh-CN"/>
        </w:rPr>
        <w:t>3.85</w:t>
      </w:r>
      <w:r>
        <w:rPr>
          <w:rFonts w:hint="eastAsia" w:ascii="仿宋_GB2312" w:hAnsi="Cambria" w:eastAsia="仿宋_GB2312" w:cs="仿宋_GB2312"/>
          <w:color w:val="000000"/>
          <w:sz w:val="32"/>
          <w:szCs w:val="32"/>
          <w:lang w:val="zh-CN"/>
        </w:rPr>
        <w:t>万元，占</w:t>
      </w:r>
      <w:r>
        <w:rPr>
          <w:rFonts w:ascii="仿宋_GB2312" w:hAnsi="Cambria" w:eastAsia="仿宋_GB2312" w:cs="仿宋_GB2312"/>
          <w:color w:val="000000"/>
          <w:sz w:val="32"/>
          <w:szCs w:val="32"/>
          <w:lang w:val="zh-CN"/>
        </w:rPr>
        <w:t>60.6%</w:t>
      </w:r>
      <w:r>
        <w:rPr>
          <w:rFonts w:hint="eastAsia" w:ascii="仿宋_GB2312" w:hAnsi="Cambria" w:eastAsia="仿宋_GB2312" w:cs="仿宋_GB2312"/>
          <w:color w:val="000000"/>
          <w:sz w:val="32"/>
          <w:szCs w:val="32"/>
          <w:lang w:val="zh-CN"/>
        </w:rPr>
        <w:t>；公务接待费支出决算</w:t>
      </w:r>
      <w:r>
        <w:rPr>
          <w:rFonts w:ascii="仿宋_GB2312" w:hAnsi="Cambria" w:eastAsia="仿宋_GB2312" w:cs="仿宋_GB2312"/>
          <w:color w:val="000000"/>
          <w:sz w:val="32"/>
          <w:szCs w:val="32"/>
          <w:lang w:val="zh-CN"/>
        </w:rPr>
        <w:t>2.5</w:t>
      </w:r>
      <w:r>
        <w:rPr>
          <w:rFonts w:hint="eastAsia" w:ascii="仿宋_GB2312" w:hAnsi="Cambria" w:eastAsia="仿宋_GB2312" w:cs="仿宋_GB2312"/>
          <w:color w:val="000000"/>
          <w:sz w:val="32"/>
          <w:szCs w:val="32"/>
          <w:lang w:val="zh-CN"/>
        </w:rPr>
        <w:t>万元，占</w:t>
      </w:r>
      <w:r>
        <w:rPr>
          <w:rFonts w:ascii="仿宋_GB2312" w:hAnsi="Cambria" w:eastAsia="仿宋_GB2312" w:cs="仿宋_GB2312"/>
          <w:color w:val="000000"/>
          <w:sz w:val="32"/>
          <w:szCs w:val="32"/>
          <w:lang w:val="zh-CN"/>
        </w:rPr>
        <w:t>39.4%</w:t>
      </w:r>
      <w:r>
        <w:rPr>
          <w:rFonts w:hint="eastAsia" w:ascii="仿宋_GB2312" w:hAnsi="Cambria" w:eastAsia="仿宋_GB2312" w:cs="仿宋_GB2312"/>
          <w:color w:val="000000"/>
          <w:sz w:val="32"/>
          <w:szCs w:val="32"/>
          <w:lang w:val="zh-CN"/>
        </w:rPr>
        <w:t>。具体情况如下：</w:t>
      </w:r>
    </w:p>
    <w:p>
      <w:pPr>
        <w:spacing w:line="600" w:lineRule="exact"/>
        <w:ind w:firstLine="640"/>
        <w:rPr>
          <w:rFonts w:hint="eastAsia"/>
        </w:rPr>
      </w:pPr>
      <w:r>
        <w:rPr>
          <w:rFonts w:hint="eastAsia" w:ascii="仿宋_GB2312" w:hAnsi="仿宋_GB2312" w:eastAsia="仿宋_GB2312" w:cs="仿宋_GB2312"/>
          <w:color w:val="auto"/>
          <w:sz w:val="32"/>
          <w:szCs w:val="32"/>
          <w:highlight w:val="none"/>
        </w:rPr>
        <w:t>（图7：“三公”经费财政拨款支出结构）（饼状图）</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rPr>
      </w:pPr>
      <w:r>
        <w:drawing>
          <wp:inline distT="0" distB="0" distL="114300" distR="114300">
            <wp:extent cx="4679950" cy="2879725"/>
            <wp:effectExtent l="0" t="0" r="0" b="0"/>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kinsoku/>
        <w:wordWrap/>
        <w:overflowPunct/>
        <w:topLinePunct w:val="0"/>
        <w:bidi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ascii="仿宋_GB2312" w:hAnsi="Cambria" w:eastAsia="仿宋_GB2312" w:cs="仿宋_GB2312"/>
          <w:b/>
          <w:bCs/>
          <w:color w:val="000000"/>
          <w:sz w:val="32"/>
          <w:szCs w:val="32"/>
          <w:lang w:val="zh-CN"/>
        </w:rPr>
        <w:t>1.</w:t>
      </w:r>
      <w:r>
        <w:rPr>
          <w:rFonts w:hint="eastAsia" w:ascii="仿宋_GB2312" w:hAnsi="Cambria" w:eastAsia="仿宋_GB2312" w:cs="仿宋_GB2312"/>
          <w:b/>
          <w:bCs/>
          <w:color w:val="000000"/>
          <w:sz w:val="32"/>
          <w:szCs w:val="32"/>
          <w:lang w:val="zh-CN"/>
        </w:rPr>
        <w:t>因公出国（境）经费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r>
        <w:rPr>
          <w:rFonts w:hint="eastAsia" w:ascii="仿宋_GB2312" w:hAnsi="仿宋_GB2312" w:eastAsia="仿宋_GB2312" w:cs="仿宋_GB2312"/>
          <w:color w:val="000000"/>
          <w:sz w:val="32"/>
          <w:szCs w:val="32"/>
          <w:highlight w:val="none"/>
        </w:rPr>
        <w:t>年初未安排预算。因公出国（境）支出决算较20</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rPr>
        <w:t>1</w:t>
      </w:r>
      <w:r>
        <w:rPr>
          <w:rFonts w:hint="eastAsia" w:ascii="仿宋_GB2312" w:hAnsi="仿宋_GB2312" w:eastAsia="仿宋_GB2312" w:cs="仿宋_GB2312"/>
          <w:color w:val="000000"/>
          <w:sz w:val="32"/>
          <w:szCs w:val="32"/>
          <w:highlight w:val="none"/>
        </w:rPr>
        <w:t>年无变化。</w:t>
      </w:r>
    </w:p>
    <w:p>
      <w:pPr>
        <w:pageBreakBefore w:val="0"/>
        <w:kinsoku/>
        <w:wordWrap/>
        <w:overflowPunct/>
        <w:topLinePunct w:val="0"/>
        <w:bidi w:val="0"/>
        <w:snapToGrid w:val="0"/>
        <w:spacing w:line="360" w:lineRule="auto"/>
        <w:ind w:firstLine="640"/>
        <w:textAlignment w:val="auto"/>
        <w:rPr>
          <w:rFonts w:hint="eastAsia" w:ascii="仿宋_GB2312" w:hAnsi="仿宋_GB2312" w:eastAsia="仿宋_GB2312" w:cs="仿宋_GB2312"/>
          <w:b/>
          <w:color w:val="auto"/>
          <w:sz w:val="32"/>
          <w:szCs w:val="32"/>
          <w:highlight w:val="none"/>
        </w:rPr>
      </w:pPr>
      <w:r>
        <w:rPr>
          <w:rFonts w:ascii="仿宋_GB2312" w:hAnsi="Cambria" w:eastAsia="仿宋_GB2312" w:cs="仿宋_GB2312"/>
          <w:b/>
          <w:bCs/>
          <w:color w:val="000000"/>
          <w:sz w:val="32"/>
          <w:szCs w:val="32"/>
          <w:lang w:val="zh-CN"/>
        </w:rPr>
        <w:t>2.</w:t>
      </w:r>
      <w:r>
        <w:rPr>
          <w:rFonts w:hint="eastAsia" w:ascii="仿宋_GB2312" w:hAnsi="Cambria" w:eastAsia="仿宋_GB2312" w:cs="仿宋_GB2312"/>
          <w:b/>
          <w:bCs/>
          <w:color w:val="000000"/>
          <w:sz w:val="32"/>
          <w:szCs w:val="32"/>
          <w:lang w:val="zh-CN"/>
        </w:rPr>
        <w:t>公务用车购置及运行维护费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3.85</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77%</w:t>
      </w:r>
      <w:r>
        <w:rPr>
          <w:rFonts w:hint="eastAsia" w:ascii="仿宋_GB2312" w:hAnsi="Cambria" w:eastAsia="仿宋_GB2312" w:cs="仿宋_GB2312"/>
          <w:color w:val="000000"/>
          <w:sz w:val="32"/>
          <w:szCs w:val="32"/>
          <w:lang w:val="zh-CN"/>
        </w:rPr>
        <w:t>。公务用车购置及运行维护费支出决算比</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年减少</w:t>
      </w:r>
      <w:r>
        <w:rPr>
          <w:rFonts w:ascii="仿宋_GB2312" w:hAnsi="Cambria" w:eastAsia="仿宋_GB2312" w:cs="仿宋_GB2312"/>
          <w:color w:val="000000"/>
          <w:sz w:val="32"/>
          <w:szCs w:val="32"/>
          <w:lang w:val="zh-CN"/>
        </w:rPr>
        <w:t>0.51</w:t>
      </w:r>
      <w:r>
        <w:rPr>
          <w:rFonts w:hint="eastAsia" w:ascii="仿宋_GB2312" w:hAnsi="Cambria" w:eastAsia="仿宋_GB2312" w:cs="仿宋_GB2312"/>
          <w:color w:val="000000"/>
          <w:sz w:val="32"/>
          <w:szCs w:val="32"/>
          <w:lang w:val="zh-CN"/>
        </w:rPr>
        <w:t>万元，下降</w:t>
      </w:r>
      <w:r>
        <w:rPr>
          <w:rFonts w:ascii="仿宋_GB2312" w:hAnsi="Cambria" w:eastAsia="仿宋_GB2312" w:cs="仿宋_GB2312"/>
          <w:color w:val="000000"/>
          <w:sz w:val="32"/>
          <w:szCs w:val="32"/>
          <w:lang w:val="zh-CN"/>
        </w:rPr>
        <w:t>11.7%</w:t>
      </w:r>
      <w:r>
        <w:rPr>
          <w:rFonts w:hint="eastAsia" w:ascii="仿宋_GB2312" w:hAnsi="Cambria" w:eastAsia="仿宋_GB2312" w:cs="仿宋_GB2312"/>
          <w:color w:val="000000"/>
          <w:sz w:val="32"/>
          <w:szCs w:val="32"/>
          <w:lang w:val="zh-CN"/>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000000"/>
          <w:sz w:val="32"/>
          <w:szCs w:val="32"/>
        </w:rPr>
        <w:t>加强对公务车辆管理，整合压缩公务车辆派遣次数，降低车辆运行成本</w:t>
      </w:r>
      <w:r>
        <w:rPr>
          <w:rFonts w:hint="eastAsia" w:ascii="仿宋_GB2312" w:hAnsi="仿宋_GB2312" w:eastAsia="仿宋_GB2312" w:cs="仿宋_GB2312"/>
          <w:color w:val="000000"/>
          <w:sz w:val="32"/>
          <w:szCs w:val="32"/>
          <w:lang w:eastAsia="zh-CN"/>
        </w:rPr>
        <w:t>。</w:t>
      </w:r>
    </w:p>
    <w:p>
      <w:pPr>
        <w:pageBreakBefore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000000"/>
          <w:sz w:val="32"/>
          <w:szCs w:val="32"/>
          <w:highlight w:val="none"/>
        </w:rPr>
        <w:t>其中：</w:t>
      </w:r>
      <w:r>
        <w:rPr>
          <w:rFonts w:hint="eastAsia" w:ascii="仿宋_GB2312" w:hAnsi="仿宋_GB2312" w:eastAsia="仿宋_GB2312" w:cs="仿宋_GB2312"/>
          <w:b/>
          <w:color w:val="000000"/>
          <w:sz w:val="32"/>
          <w:szCs w:val="32"/>
          <w:highlight w:val="none"/>
        </w:rPr>
        <w:t>公务用车购置支出</w:t>
      </w:r>
      <w:r>
        <w:rPr>
          <w:rFonts w:hint="eastAsia" w:ascii="仿宋_GB2312" w:hAnsi="仿宋_GB2312" w:eastAsia="仿宋_GB2312" w:cs="仿宋_GB2312"/>
          <w:b/>
          <w:color w:val="000000"/>
          <w:sz w:val="32"/>
          <w:szCs w:val="32"/>
          <w:highlight w:val="none"/>
          <w:lang w:val="en-US"/>
        </w:rPr>
        <w:t>0</w:t>
      </w:r>
      <w:r>
        <w:rPr>
          <w:rFonts w:hint="eastAsia" w:ascii="仿宋_GB2312" w:hAnsi="仿宋_GB2312" w:eastAsia="仿宋_GB2312" w:cs="仿宋_GB2312"/>
          <w:color w:val="000000"/>
          <w:sz w:val="32"/>
          <w:szCs w:val="32"/>
          <w:highlight w:val="none"/>
        </w:rPr>
        <w:t>万元。全年按规定更新购置公务用车</w:t>
      </w:r>
      <w:r>
        <w:rPr>
          <w:rFonts w:hint="eastAsia" w:ascii="仿宋_GB2312" w:hAnsi="仿宋_GB2312" w:eastAsia="仿宋_GB2312" w:cs="仿宋_GB2312"/>
          <w:color w:val="000000"/>
          <w:sz w:val="32"/>
          <w:szCs w:val="32"/>
          <w:highlight w:val="none"/>
          <w:lang w:val="en-US"/>
        </w:rPr>
        <w:t>0</w:t>
      </w:r>
      <w:r>
        <w:rPr>
          <w:rFonts w:hint="eastAsia" w:ascii="仿宋_GB2312" w:hAnsi="仿宋_GB2312" w:eastAsia="仿宋_GB2312" w:cs="仿宋_GB2312"/>
          <w:color w:val="000000"/>
          <w:sz w:val="32"/>
          <w:szCs w:val="32"/>
          <w:highlight w:val="none"/>
        </w:rPr>
        <w:t>辆。截至20</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rPr>
        <w:t>2</w:t>
      </w:r>
      <w:r>
        <w:rPr>
          <w:rFonts w:hint="eastAsia" w:ascii="仿宋_GB2312" w:hAnsi="仿宋_GB2312" w:eastAsia="仿宋_GB2312" w:cs="仿宋_GB2312"/>
          <w:color w:val="000000"/>
          <w:sz w:val="32"/>
          <w:szCs w:val="32"/>
          <w:highlight w:val="none"/>
        </w:rPr>
        <w:t>年12月底，单位共有公务用车</w:t>
      </w:r>
      <w:r>
        <w:rPr>
          <w:rFonts w:hint="eastAsia" w:ascii="仿宋_GB2312" w:hAnsi="仿宋_GB2312" w:eastAsia="仿宋_GB2312" w:cs="仿宋_GB2312"/>
          <w:color w:val="000000"/>
          <w:sz w:val="32"/>
          <w:szCs w:val="32"/>
          <w:highlight w:val="none"/>
          <w:lang w:val="en-US"/>
        </w:rPr>
        <w:t>1</w:t>
      </w:r>
      <w:r>
        <w:rPr>
          <w:rFonts w:hint="eastAsia" w:ascii="仿宋_GB2312" w:hAnsi="仿宋_GB2312" w:eastAsia="仿宋_GB2312" w:cs="仿宋_GB2312"/>
          <w:color w:val="000000"/>
          <w:sz w:val="32"/>
          <w:szCs w:val="32"/>
          <w:highlight w:val="none"/>
        </w:rPr>
        <w:t>辆，其中：越野车</w:t>
      </w:r>
      <w:r>
        <w:rPr>
          <w:rFonts w:hint="eastAsia" w:ascii="仿宋_GB2312" w:hAnsi="仿宋_GB2312" w:eastAsia="仿宋_GB2312" w:cs="仿宋_GB2312"/>
          <w:color w:val="000000"/>
          <w:sz w:val="32"/>
          <w:szCs w:val="32"/>
          <w:highlight w:val="none"/>
          <w:lang w:val="en-US"/>
        </w:rPr>
        <w:t>1</w:t>
      </w:r>
      <w:r>
        <w:rPr>
          <w:rFonts w:hint="eastAsia" w:ascii="仿宋_GB2312" w:hAnsi="仿宋_GB2312" w:eastAsia="仿宋_GB2312" w:cs="仿宋_GB2312"/>
          <w:color w:val="000000"/>
          <w:sz w:val="32"/>
          <w:szCs w:val="32"/>
          <w:highlight w:val="none"/>
        </w:rPr>
        <w:t>辆。</w:t>
      </w:r>
    </w:p>
    <w:p>
      <w:pPr>
        <w:pageBreakBefore w:val="0"/>
        <w:kinsoku/>
        <w:wordWrap/>
        <w:overflowPunct/>
        <w:topLinePunct w:val="0"/>
        <w:bidi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Cambria" w:eastAsia="仿宋_GB2312" w:cs="仿宋_GB2312"/>
          <w:b/>
          <w:bCs/>
          <w:color w:val="000000"/>
          <w:sz w:val="32"/>
          <w:szCs w:val="32"/>
          <w:lang w:val="zh-CN"/>
        </w:rPr>
        <w:t>公务用车运行维护费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3.85</w:t>
      </w:r>
      <w:r>
        <w:rPr>
          <w:rFonts w:hint="eastAsia" w:ascii="仿宋_GB2312" w:hAnsi="Cambria" w:eastAsia="仿宋_GB2312" w:cs="仿宋_GB2312"/>
          <w:color w:val="000000"/>
          <w:sz w:val="32"/>
          <w:szCs w:val="32"/>
          <w:lang w:val="zh-CN"/>
        </w:rPr>
        <w:t>万元。主要用于平安广元建设、涉法涉诉信访、维护社会稳定、政治安全与反邪教、扫黑除恶、矛盾纠纷多元化解、法学会等所需的公务用车燃料费、维修费、过路过桥费、保险费等支出。</w:t>
      </w:r>
    </w:p>
    <w:p>
      <w:pPr>
        <w:keepNext/>
        <w:keepLines/>
        <w:pageBreakBefore w:val="0"/>
        <w:kinsoku/>
        <w:wordWrap/>
        <w:overflowPunct/>
        <w:topLinePunct w:val="0"/>
        <w:autoSpaceDE w:val="0"/>
        <w:autoSpaceDN w:val="0"/>
        <w:bidi w:val="0"/>
        <w:adjustRightInd w:val="0"/>
        <w:snapToGrid w:val="0"/>
        <w:spacing w:line="360" w:lineRule="auto"/>
        <w:ind w:firstLine="643"/>
        <w:textAlignment w:val="auto"/>
        <w:rPr>
          <w:rFonts w:ascii="仿宋_GB2312" w:hAnsi="Cambria" w:eastAsia="仿宋_GB2312" w:cs="仿宋_GB2312"/>
          <w:color w:val="000000"/>
          <w:sz w:val="32"/>
          <w:szCs w:val="32"/>
          <w:lang w:val="zh-CN"/>
        </w:rPr>
      </w:pPr>
      <w:r>
        <w:rPr>
          <w:rFonts w:ascii="仿宋_GB2312" w:hAnsi="Cambria" w:eastAsia="仿宋_GB2312" w:cs="仿宋_GB2312"/>
          <w:b/>
          <w:bCs/>
          <w:color w:val="000000"/>
          <w:sz w:val="32"/>
          <w:szCs w:val="32"/>
          <w:lang w:val="zh-CN"/>
        </w:rPr>
        <w:t>3.</w:t>
      </w:r>
      <w:r>
        <w:rPr>
          <w:rFonts w:hint="eastAsia" w:ascii="仿宋_GB2312" w:hAnsi="Cambria" w:eastAsia="仿宋_GB2312" w:cs="仿宋_GB2312"/>
          <w:b/>
          <w:bCs/>
          <w:color w:val="000000"/>
          <w:sz w:val="32"/>
          <w:szCs w:val="32"/>
          <w:lang w:val="zh-CN"/>
        </w:rPr>
        <w:t>公务接待费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2.5</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62.5%</w:t>
      </w:r>
      <w:r>
        <w:rPr>
          <w:rFonts w:hint="eastAsia" w:ascii="仿宋_GB2312" w:hAnsi="Cambria" w:eastAsia="仿宋_GB2312" w:cs="仿宋_GB2312"/>
          <w:color w:val="000000"/>
          <w:sz w:val="32"/>
          <w:szCs w:val="32"/>
          <w:lang w:val="zh-CN"/>
        </w:rPr>
        <w:t>。公务接待费支出决算比</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年减少</w:t>
      </w:r>
      <w:r>
        <w:rPr>
          <w:rFonts w:ascii="仿宋_GB2312" w:hAnsi="Cambria" w:eastAsia="仿宋_GB2312" w:cs="仿宋_GB2312"/>
          <w:color w:val="000000"/>
          <w:sz w:val="32"/>
          <w:szCs w:val="32"/>
          <w:lang w:val="zh-CN"/>
        </w:rPr>
        <w:t>0.53</w:t>
      </w:r>
      <w:r>
        <w:rPr>
          <w:rFonts w:hint="eastAsia" w:ascii="仿宋_GB2312" w:hAnsi="Cambria" w:eastAsia="仿宋_GB2312" w:cs="仿宋_GB2312"/>
          <w:color w:val="000000"/>
          <w:sz w:val="32"/>
          <w:szCs w:val="32"/>
          <w:lang w:val="zh-CN"/>
        </w:rPr>
        <w:t>万元，下降</w:t>
      </w:r>
      <w:r>
        <w:rPr>
          <w:rFonts w:ascii="仿宋_GB2312" w:hAnsi="Cambria" w:eastAsia="仿宋_GB2312" w:cs="仿宋_GB2312"/>
          <w:color w:val="000000"/>
          <w:sz w:val="32"/>
          <w:szCs w:val="32"/>
          <w:lang w:val="zh-CN"/>
        </w:rPr>
        <w:t>17.5%</w:t>
      </w:r>
      <w:r>
        <w:rPr>
          <w:rFonts w:hint="eastAsia" w:ascii="仿宋_GB2312" w:hAnsi="Cambria" w:eastAsia="仿宋_GB2312" w:cs="仿宋_GB2312"/>
          <w:color w:val="000000"/>
          <w:sz w:val="32"/>
          <w:szCs w:val="32"/>
          <w:lang w:val="zh-CN"/>
        </w:rPr>
        <w:t>。主要原因是</w:t>
      </w:r>
      <w:r>
        <w:rPr>
          <w:rFonts w:hint="eastAsia" w:ascii="仿宋_GB2312" w:eastAsia="仿宋_GB2312"/>
          <w:color w:val="000000"/>
          <w:sz w:val="32"/>
          <w:szCs w:val="32"/>
        </w:rPr>
        <w:t>厉行节约，严格控制接待标准和陪餐人数。</w:t>
      </w:r>
      <w:r>
        <w:rPr>
          <w:rFonts w:hint="eastAsia" w:ascii="仿宋_GB2312" w:hAnsi="Cambria" w:eastAsia="仿宋_GB2312" w:cs="仿宋_GB2312"/>
          <w:color w:val="000000"/>
          <w:sz w:val="32"/>
          <w:szCs w:val="32"/>
          <w:lang w:val="zh-CN"/>
        </w:rPr>
        <w:t>其中：</w:t>
      </w:r>
    </w:p>
    <w:p>
      <w:pPr>
        <w:keepNext/>
        <w:keepLines/>
        <w:pageBreakBefore w:val="0"/>
        <w:kinsoku/>
        <w:wordWrap/>
        <w:overflowPunct/>
        <w:topLinePunct w:val="0"/>
        <w:autoSpaceDE w:val="0"/>
        <w:autoSpaceDN w:val="0"/>
        <w:bidi w:val="0"/>
        <w:adjustRightInd w:val="0"/>
        <w:snapToGrid w:val="0"/>
        <w:spacing w:line="360" w:lineRule="auto"/>
        <w:ind w:firstLine="643"/>
        <w:textAlignment w:val="auto"/>
        <w:rPr>
          <w:rFonts w:ascii="仿宋_GB2312" w:hAnsi="Cambria" w:eastAsia="仿宋_GB2312" w:cs="仿宋_GB2312"/>
          <w:color w:val="000000"/>
          <w:sz w:val="32"/>
          <w:szCs w:val="32"/>
        </w:rPr>
      </w:pPr>
      <w:r>
        <w:rPr>
          <w:rFonts w:hint="eastAsia" w:ascii="仿宋_GB2312" w:hAnsi="Cambria" w:eastAsia="仿宋_GB2312" w:cs="仿宋_GB2312"/>
          <w:b/>
          <w:bCs/>
          <w:color w:val="000000"/>
          <w:sz w:val="32"/>
          <w:szCs w:val="32"/>
          <w:lang w:val="zh-CN"/>
        </w:rPr>
        <w:t>国内公务接待</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2.5</w:t>
      </w:r>
      <w:r>
        <w:rPr>
          <w:rFonts w:hint="eastAsia" w:ascii="仿宋_GB2312" w:hAnsi="Cambria" w:eastAsia="仿宋_GB2312" w:cs="仿宋_GB2312"/>
          <w:color w:val="000000"/>
          <w:sz w:val="32"/>
          <w:szCs w:val="32"/>
          <w:lang w:val="zh-CN"/>
        </w:rPr>
        <w:t>万元。主要用于维护社会稳定、案件评查、平安广元建设等工作中</w:t>
      </w:r>
      <w:r>
        <w:rPr>
          <w:rFonts w:hint="eastAsia" w:ascii="仿宋_GB2312" w:hAnsi="Cambria" w:eastAsia="仿宋_GB2312" w:cs="仿宋_GB2312"/>
          <w:color w:val="000000"/>
          <w:sz w:val="32"/>
          <w:szCs w:val="32"/>
          <w:highlight w:val="white"/>
        </w:rPr>
        <w:t>执行公务、开展业务活动开支的用餐费等。</w:t>
      </w:r>
      <w:r>
        <w:rPr>
          <w:rFonts w:hint="eastAsia" w:ascii="仿宋_GB2312" w:hAnsi="Cambria" w:eastAsia="仿宋_GB2312" w:cs="仿宋_GB2312"/>
          <w:color w:val="000000"/>
          <w:sz w:val="32"/>
          <w:szCs w:val="32"/>
          <w:lang w:val="zh-CN"/>
        </w:rPr>
        <w:t>国内公务接待</w:t>
      </w:r>
      <w:r>
        <w:rPr>
          <w:rFonts w:ascii="仿宋_GB2312" w:hAnsi="Cambria" w:eastAsia="仿宋_GB2312" w:cs="仿宋_GB2312"/>
          <w:color w:val="000000"/>
          <w:sz w:val="32"/>
          <w:szCs w:val="32"/>
          <w:lang w:val="zh-CN"/>
        </w:rPr>
        <w:t>23</w:t>
      </w:r>
      <w:r>
        <w:rPr>
          <w:rFonts w:hint="eastAsia" w:ascii="仿宋_GB2312" w:hAnsi="Cambria" w:eastAsia="仿宋_GB2312" w:cs="仿宋_GB2312"/>
          <w:color w:val="000000"/>
          <w:sz w:val="32"/>
          <w:szCs w:val="32"/>
          <w:lang w:val="zh-CN"/>
        </w:rPr>
        <w:t>批次，</w:t>
      </w:r>
      <w:r>
        <w:rPr>
          <w:rFonts w:ascii="仿宋_GB2312" w:hAnsi="Cambria" w:eastAsia="仿宋_GB2312" w:cs="仿宋_GB2312"/>
          <w:color w:val="000000"/>
          <w:sz w:val="32"/>
          <w:szCs w:val="32"/>
          <w:lang w:val="zh-CN"/>
        </w:rPr>
        <w:t>226</w:t>
      </w:r>
      <w:r>
        <w:rPr>
          <w:rFonts w:hint="eastAsia" w:ascii="仿宋_GB2312" w:hAnsi="Cambria" w:eastAsia="仿宋_GB2312" w:cs="仿宋_GB2312"/>
          <w:color w:val="000000"/>
          <w:sz w:val="32"/>
          <w:szCs w:val="32"/>
          <w:lang w:val="zh-CN"/>
        </w:rPr>
        <w:t>人次，共计支出</w:t>
      </w:r>
      <w:r>
        <w:rPr>
          <w:rFonts w:ascii="仿宋_GB2312" w:hAnsi="Cambria" w:eastAsia="仿宋_GB2312" w:cs="仿宋_GB2312"/>
          <w:color w:val="000000"/>
          <w:sz w:val="32"/>
          <w:szCs w:val="32"/>
          <w:lang w:val="zh-CN"/>
        </w:rPr>
        <w:t>2.5</w:t>
      </w:r>
      <w:r>
        <w:rPr>
          <w:rFonts w:hint="eastAsia" w:ascii="仿宋_GB2312" w:hAnsi="Cambria" w:eastAsia="仿宋_GB2312" w:cs="仿宋_GB2312"/>
          <w:color w:val="000000"/>
          <w:sz w:val="32"/>
          <w:szCs w:val="32"/>
          <w:lang w:val="zh-CN"/>
        </w:rPr>
        <w:t>万元，具体内容包括省委政法委案件评查工作组来广、二十大信访维稳督导组来广、养老诈骗</w:t>
      </w:r>
      <w:r>
        <w:rPr>
          <w:rFonts w:hint="eastAsia" w:ascii="仿宋_GB2312" w:hAnsi="Cambria" w:eastAsia="仿宋_GB2312" w:cs="仿宋_GB2312"/>
          <w:color w:val="000000"/>
          <w:sz w:val="32"/>
          <w:szCs w:val="32"/>
          <w:highlight w:val="white"/>
        </w:rPr>
        <w:t>督导等</w:t>
      </w:r>
      <w:r>
        <w:rPr>
          <w:rFonts w:hint="eastAsia" w:ascii="仿宋_GB2312" w:hAnsi="仿宋_GB2312" w:eastAsia="仿宋_GB2312" w:cs="仿宋_GB2312"/>
          <w:color w:val="000000"/>
          <w:sz w:val="32"/>
          <w:szCs w:val="32"/>
          <w:highlight w:val="none"/>
        </w:rPr>
        <w:t>以及市州来广工作接待</w:t>
      </w:r>
      <w:r>
        <w:rPr>
          <w:rFonts w:hint="eastAsia" w:ascii="仿宋_GB2312" w:hAnsi="Cambria" w:eastAsia="仿宋_GB2312" w:cs="仿宋_GB2312"/>
          <w:color w:val="000000"/>
          <w:sz w:val="32"/>
          <w:szCs w:val="32"/>
          <w:highlight w:val="white"/>
        </w:rPr>
        <w:t>。</w:t>
      </w:r>
    </w:p>
    <w:p>
      <w:pPr>
        <w:pageBreakBefore w:val="0"/>
        <w:kinsoku/>
        <w:wordWrap/>
        <w:overflowPunct/>
        <w:topLinePunct w:val="0"/>
        <w:bidi w:val="0"/>
        <w:snapToGrid w:val="0"/>
        <w:spacing w:line="360" w:lineRule="auto"/>
        <w:ind w:firstLine="640"/>
        <w:textAlignment w:val="auto"/>
        <w:outlineLvl w:val="1"/>
        <w:rPr>
          <w:rFonts w:hint="eastAsia" w:ascii="仿宋_GB2312" w:hAnsi="仿宋_GB2312" w:eastAsia="仿宋_GB2312" w:cs="仿宋_GB2312"/>
          <w:color w:val="auto"/>
          <w:sz w:val="32"/>
          <w:szCs w:val="32"/>
          <w:highlight w:val="none"/>
        </w:rPr>
      </w:pPr>
      <w:bookmarkStart w:id="56" w:name="_Toc597"/>
      <w:r>
        <w:rPr>
          <w:rFonts w:hint="eastAsia" w:ascii="仿宋_GB2312" w:hAnsi="仿宋_GB2312" w:eastAsia="仿宋_GB2312" w:cs="仿宋_GB2312"/>
          <w:b/>
          <w:color w:val="000000"/>
          <w:sz w:val="32"/>
          <w:szCs w:val="32"/>
          <w:highlight w:val="none"/>
        </w:rPr>
        <w:t>外事接待支出</w:t>
      </w:r>
      <w:r>
        <w:rPr>
          <w:rFonts w:hint="eastAsia" w:ascii="仿宋_GB2312" w:hAnsi="仿宋_GB2312" w:eastAsia="仿宋_GB2312" w:cs="仿宋_GB2312"/>
          <w:b/>
          <w:color w:val="000000"/>
          <w:sz w:val="32"/>
          <w:szCs w:val="32"/>
          <w:highlight w:val="none"/>
          <w:lang w:val="en-US"/>
        </w:rPr>
        <w:t>0</w:t>
      </w:r>
      <w:r>
        <w:rPr>
          <w:rFonts w:hint="eastAsia" w:ascii="仿宋_GB2312" w:hAnsi="仿宋_GB2312" w:eastAsia="仿宋_GB2312" w:cs="仿宋_GB2312"/>
          <w:color w:val="000000"/>
          <w:sz w:val="32"/>
          <w:szCs w:val="32"/>
          <w:highlight w:val="none"/>
        </w:rPr>
        <w:t>万元，外事接待</w:t>
      </w:r>
      <w:r>
        <w:rPr>
          <w:rFonts w:hint="eastAsia" w:ascii="仿宋_GB2312" w:hAnsi="仿宋_GB2312" w:eastAsia="仿宋_GB2312" w:cs="仿宋_GB2312"/>
          <w:color w:val="000000"/>
          <w:sz w:val="32"/>
          <w:szCs w:val="32"/>
          <w:highlight w:val="none"/>
          <w:lang w:val="en-US"/>
        </w:rPr>
        <w:t>0</w:t>
      </w:r>
      <w:r>
        <w:rPr>
          <w:rFonts w:hint="eastAsia" w:ascii="仿宋_GB2312" w:hAnsi="仿宋_GB2312" w:eastAsia="仿宋_GB2312" w:cs="仿宋_GB2312"/>
          <w:color w:val="000000"/>
          <w:sz w:val="32"/>
          <w:szCs w:val="32"/>
          <w:highlight w:val="none"/>
        </w:rPr>
        <w:t>批次，</w:t>
      </w:r>
      <w:r>
        <w:rPr>
          <w:rFonts w:hint="eastAsia" w:ascii="仿宋_GB2312" w:hAnsi="仿宋_GB2312" w:eastAsia="仿宋_GB2312" w:cs="仿宋_GB2312"/>
          <w:color w:val="000000"/>
          <w:sz w:val="32"/>
          <w:szCs w:val="32"/>
          <w:highlight w:val="none"/>
          <w:lang w:val="en-US"/>
        </w:rPr>
        <w:t>0</w:t>
      </w:r>
      <w:r>
        <w:rPr>
          <w:rFonts w:hint="eastAsia" w:ascii="仿宋_GB2312" w:hAnsi="仿宋_GB2312" w:eastAsia="仿宋_GB2312" w:cs="仿宋_GB2312"/>
          <w:color w:val="000000"/>
          <w:sz w:val="32"/>
          <w:szCs w:val="32"/>
          <w:highlight w:val="none"/>
        </w:rPr>
        <w:t>人，共计支出</w:t>
      </w:r>
      <w:r>
        <w:rPr>
          <w:rFonts w:hint="eastAsia" w:ascii="仿宋_GB2312" w:hAnsi="仿宋_GB2312" w:eastAsia="仿宋_GB2312" w:cs="仿宋_GB2312"/>
          <w:color w:val="000000"/>
          <w:sz w:val="32"/>
          <w:szCs w:val="32"/>
          <w:highlight w:val="none"/>
          <w:lang w:val="en-US"/>
        </w:rPr>
        <w:t>0</w:t>
      </w:r>
      <w:r>
        <w:rPr>
          <w:rFonts w:hint="eastAsia" w:ascii="仿宋_GB2312" w:hAnsi="仿宋_GB2312" w:eastAsia="仿宋_GB2312" w:cs="仿宋_GB2312"/>
          <w:color w:val="000000"/>
          <w:sz w:val="32"/>
          <w:szCs w:val="32"/>
          <w:highlight w:val="none"/>
        </w:rPr>
        <w:t>万元。</w:t>
      </w:r>
      <w:bookmarkEnd w:id="56"/>
      <w:bookmarkStart w:id="57" w:name="_Toc15377218"/>
      <w:bookmarkStart w:id="58" w:name="_Toc15396610"/>
    </w:p>
    <w:p>
      <w:pPr>
        <w:pageBreakBefore w:val="0"/>
        <w:kinsoku/>
        <w:wordWrap/>
        <w:overflowPunct/>
        <w:topLinePunct w:val="0"/>
        <w:bidi w:val="0"/>
        <w:snapToGrid w:val="0"/>
        <w:spacing w:line="360" w:lineRule="auto"/>
        <w:ind w:firstLine="640"/>
        <w:textAlignment w:val="auto"/>
        <w:outlineLvl w:val="1"/>
        <w:rPr>
          <w:rStyle w:val="21"/>
          <w:rFonts w:hint="eastAsia" w:ascii="黑体" w:hAnsi="黑体" w:eastAsia="黑体" w:cs="黑体"/>
          <w:color w:val="auto"/>
          <w:highlight w:val="none"/>
        </w:rPr>
      </w:pPr>
      <w:bookmarkStart w:id="59" w:name="_Toc2707"/>
      <w:r>
        <w:rPr>
          <w:rFonts w:hint="eastAsia" w:ascii="黑体" w:hAnsi="黑体" w:eastAsia="黑体" w:cs="黑体"/>
          <w:color w:val="auto"/>
          <w:sz w:val="32"/>
          <w:szCs w:val="32"/>
          <w:highlight w:val="none"/>
        </w:rPr>
        <w:t>八、</w:t>
      </w:r>
      <w:r>
        <w:rPr>
          <w:rStyle w:val="21"/>
          <w:rFonts w:hint="eastAsia" w:ascii="黑体" w:hAnsi="黑体" w:eastAsia="黑体" w:cs="黑体"/>
          <w:b w:val="0"/>
          <w:color w:val="auto"/>
          <w:highlight w:val="none"/>
        </w:rPr>
        <w:t>政府性基金预算支出决算情况说明</w:t>
      </w:r>
      <w:bookmarkEnd w:id="57"/>
      <w:bookmarkEnd w:id="58"/>
      <w:bookmarkEnd w:id="59"/>
    </w:p>
    <w:p>
      <w:pPr>
        <w:pageBreakBefore w:val="0"/>
        <w:kinsoku/>
        <w:wordWrap/>
        <w:overflowPunct/>
        <w:topLinePunct w:val="0"/>
        <w:bidi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w:t>
      </w:r>
    </w:p>
    <w:p>
      <w:pPr>
        <w:pageBreakBefore w:val="0"/>
        <w:numPr>
          <w:ilvl w:val="0"/>
          <w:numId w:val="3"/>
        </w:numPr>
        <w:kinsoku/>
        <w:wordWrap/>
        <w:overflowPunct/>
        <w:topLinePunct w:val="0"/>
        <w:bidi w:val="0"/>
        <w:snapToGrid w:val="0"/>
        <w:spacing w:line="360" w:lineRule="auto"/>
        <w:ind w:firstLine="640"/>
        <w:textAlignment w:val="auto"/>
        <w:outlineLvl w:val="1"/>
        <w:rPr>
          <w:rStyle w:val="21"/>
          <w:rFonts w:hint="eastAsia" w:ascii="黑体" w:hAnsi="黑体" w:eastAsia="黑体" w:cs="黑体"/>
          <w:b w:val="0"/>
          <w:color w:val="auto"/>
          <w:highlight w:val="none"/>
        </w:rPr>
      </w:pPr>
      <w:bookmarkStart w:id="60" w:name="_Toc22741"/>
      <w:bookmarkStart w:id="61" w:name="_Toc15377219"/>
      <w:bookmarkStart w:id="62" w:name="_Toc15396611"/>
      <w:r>
        <w:rPr>
          <w:rStyle w:val="21"/>
          <w:rFonts w:hint="eastAsia" w:ascii="黑体" w:hAnsi="黑体" w:eastAsia="黑体" w:cs="黑体"/>
          <w:b w:val="0"/>
          <w:color w:val="auto"/>
          <w:highlight w:val="none"/>
        </w:rPr>
        <w:t>国有资本经营预算支出决算情况说明</w:t>
      </w:r>
      <w:bookmarkEnd w:id="60"/>
      <w:bookmarkEnd w:id="61"/>
      <w:bookmarkEnd w:id="62"/>
    </w:p>
    <w:p>
      <w:pPr>
        <w:pageBreakBefore w:val="0"/>
        <w:kinsoku/>
        <w:wordWrap/>
        <w:overflowPunct/>
        <w:topLinePunct w:val="0"/>
        <w:bidi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年国有资本经营预算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w:t>
      </w:r>
    </w:p>
    <w:p>
      <w:pPr>
        <w:pageBreakBefore w:val="0"/>
        <w:numPr>
          <w:ilvl w:val="0"/>
          <w:numId w:val="3"/>
        </w:numPr>
        <w:kinsoku/>
        <w:wordWrap/>
        <w:overflowPunct/>
        <w:topLinePunct w:val="0"/>
        <w:bidi w:val="0"/>
        <w:snapToGrid w:val="0"/>
        <w:spacing w:line="360" w:lineRule="auto"/>
        <w:ind w:firstLine="640"/>
        <w:textAlignment w:val="auto"/>
        <w:outlineLvl w:val="1"/>
        <w:rPr>
          <w:rStyle w:val="21"/>
          <w:rFonts w:hint="eastAsia" w:ascii="黑体" w:hAnsi="黑体" w:eastAsia="黑体" w:cs="黑体"/>
          <w:b w:val="0"/>
          <w:color w:val="auto"/>
          <w:highlight w:val="none"/>
        </w:rPr>
      </w:pPr>
      <w:bookmarkStart w:id="63" w:name="_Toc27215"/>
      <w:bookmarkStart w:id="64" w:name="_Toc15377221"/>
      <w:bookmarkStart w:id="65" w:name="_Toc15396612"/>
      <w:r>
        <w:rPr>
          <w:rStyle w:val="21"/>
          <w:rFonts w:hint="eastAsia" w:ascii="黑体" w:hAnsi="黑体" w:eastAsia="黑体" w:cs="黑体"/>
          <w:b w:val="0"/>
          <w:color w:val="auto"/>
          <w:highlight w:val="none"/>
        </w:rPr>
        <w:t>其他重要事项的情况说明</w:t>
      </w:r>
      <w:bookmarkEnd w:id="63"/>
      <w:bookmarkEnd w:id="64"/>
      <w:bookmarkEnd w:id="65"/>
    </w:p>
    <w:p>
      <w:pPr>
        <w:pageBreakBefore w:val="0"/>
        <w:kinsoku/>
        <w:wordWrap/>
        <w:overflowPunct/>
        <w:topLinePunct w:val="0"/>
        <w:bidi w:val="0"/>
        <w:snapToGrid w:val="0"/>
        <w:spacing w:line="360" w:lineRule="auto"/>
        <w:ind w:firstLine="642" w:firstLineChars="200"/>
        <w:textAlignment w:val="auto"/>
        <w:outlineLvl w:val="2"/>
        <w:rPr>
          <w:rFonts w:hint="eastAsia" w:ascii="仿宋_GB2312" w:hAnsi="仿宋_GB2312" w:eastAsia="仿宋_GB2312" w:cs="仿宋_GB2312"/>
          <w:color w:val="auto"/>
          <w:sz w:val="32"/>
          <w:szCs w:val="32"/>
          <w:highlight w:val="none"/>
        </w:rPr>
      </w:pPr>
      <w:bookmarkStart w:id="66" w:name="_Toc15377222"/>
      <w:r>
        <w:rPr>
          <w:rFonts w:hint="eastAsia" w:ascii="仿宋_GB2312" w:hAnsi="仿宋_GB2312" w:eastAsia="仿宋_GB2312" w:cs="仿宋_GB2312"/>
          <w:b/>
          <w:color w:val="auto"/>
          <w:sz w:val="32"/>
          <w:szCs w:val="32"/>
          <w:highlight w:val="none"/>
        </w:rPr>
        <w:t>（一）机关运行经费支出情况</w:t>
      </w:r>
      <w:bookmarkEnd w:id="66"/>
    </w:p>
    <w:p>
      <w:pPr>
        <w:pageBreakBefore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年，市委政法委机关运行经费支出</w:t>
      </w:r>
      <w:r>
        <w:rPr>
          <w:rFonts w:ascii="仿宋_GB2312" w:hAnsi="Cambria" w:eastAsia="仿宋_GB2312" w:cs="仿宋_GB2312"/>
          <w:color w:val="000000"/>
          <w:sz w:val="32"/>
          <w:szCs w:val="32"/>
          <w:lang w:val="zh-CN"/>
        </w:rPr>
        <w:t>140.29</w:t>
      </w:r>
      <w:r>
        <w:rPr>
          <w:rFonts w:hint="eastAsia" w:ascii="仿宋_GB2312" w:hAnsi="Cambria" w:eastAsia="仿宋_GB2312" w:cs="仿宋_GB2312"/>
          <w:color w:val="000000"/>
          <w:sz w:val="32"/>
          <w:szCs w:val="32"/>
          <w:lang w:val="zh-CN"/>
        </w:rPr>
        <w:t>万元，比</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年减少</w:t>
      </w:r>
      <w:r>
        <w:rPr>
          <w:rFonts w:ascii="仿宋_GB2312" w:hAnsi="Cambria" w:eastAsia="仿宋_GB2312" w:cs="仿宋_GB2312"/>
          <w:color w:val="000000"/>
          <w:sz w:val="32"/>
          <w:szCs w:val="32"/>
          <w:lang w:val="zh-CN"/>
        </w:rPr>
        <w:t>5.47</w:t>
      </w:r>
      <w:r>
        <w:rPr>
          <w:rFonts w:hint="eastAsia" w:ascii="仿宋_GB2312" w:hAnsi="Cambria" w:eastAsia="仿宋_GB2312" w:cs="仿宋_GB2312"/>
          <w:color w:val="000000"/>
          <w:sz w:val="32"/>
          <w:szCs w:val="32"/>
          <w:lang w:val="zh-CN"/>
        </w:rPr>
        <w:t>万元，下降</w:t>
      </w:r>
      <w:r>
        <w:rPr>
          <w:rFonts w:ascii="仿宋_GB2312" w:hAnsi="Cambria" w:eastAsia="仿宋_GB2312" w:cs="仿宋_GB2312"/>
          <w:color w:val="000000"/>
          <w:sz w:val="32"/>
          <w:szCs w:val="32"/>
          <w:lang w:val="zh-CN"/>
        </w:rPr>
        <w:t>3.8%</w:t>
      </w:r>
      <w:r>
        <w:rPr>
          <w:rFonts w:hint="eastAsia" w:ascii="仿宋_GB2312" w:hAnsi="Cambria" w:eastAsia="仿宋_GB2312" w:cs="仿宋_GB2312"/>
          <w:color w:val="000000"/>
          <w:sz w:val="32"/>
          <w:szCs w:val="32"/>
          <w:lang w:val="zh-CN"/>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sz w:val="32"/>
          <w:szCs w:val="32"/>
        </w:rPr>
        <w:t>积极践行广元市过“紧日子”十三条措施，压减公用经费支出</w:t>
      </w:r>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autoSpaceDE w:val="0"/>
        <w:autoSpaceDN w:val="0"/>
        <w:bidi w:val="0"/>
        <w:adjustRightInd w:val="0"/>
        <w:snapToGrid w:val="0"/>
        <w:spacing w:line="360" w:lineRule="auto"/>
        <w:ind w:firstLine="642" w:firstLineChars="200"/>
        <w:jc w:val="left"/>
        <w:textAlignment w:val="auto"/>
        <w:outlineLvl w:val="2"/>
        <w:rPr>
          <w:rFonts w:hint="eastAsia" w:ascii="仿宋_GB2312" w:hAnsi="仿宋_GB2312" w:eastAsia="仿宋_GB2312" w:cs="仿宋_GB2312"/>
          <w:b/>
          <w:color w:val="auto"/>
          <w:sz w:val="32"/>
          <w:szCs w:val="32"/>
          <w:highlight w:val="none"/>
        </w:rPr>
      </w:pPr>
      <w:bookmarkStart w:id="67" w:name="_Toc15377223"/>
      <w:r>
        <w:rPr>
          <w:rFonts w:hint="eastAsia" w:ascii="仿宋_GB2312" w:hAnsi="仿宋_GB2312" w:eastAsia="仿宋_GB2312" w:cs="仿宋_GB2312"/>
          <w:b/>
          <w:color w:val="auto"/>
          <w:sz w:val="32"/>
          <w:szCs w:val="32"/>
          <w:highlight w:val="none"/>
        </w:rPr>
        <w:t>（二）政府采购支出情况</w:t>
      </w:r>
      <w:bookmarkEnd w:id="67"/>
    </w:p>
    <w:p>
      <w:pPr>
        <w:pageBreakBefore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年，市委政法委政府采购支出总额</w:t>
      </w:r>
      <w:r>
        <w:rPr>
          <w:rFonts w:ascii="仿宋_GB2312" w:hAnsi="Cambria" w:eastAsia="仿宋_GB2312" w:cs="仿宋_GB2312"/>
          <w:color w:val="000000"/>
          <w:sz w:val="32"/>
          <w:szCs w:val="32"/>
          <w:lang w:val="zh-CN"/>
        </w:rPr>
        <w:t>3.7</w:t>
      </w:r>
      <w:r>
        <w:rPr>
          <w:rFonts w:hint="eastAsia" w:ascii="仿宋_GB2312" w:hAnsi="Cambria" w:eastAsia="仿宋_GB2312" w:cs="仿宋_GB2312"/>
          <w:color w:val="000000"/>
          <w:sz w:val="32"/>
          <w:szCs w:val="32"/>
          <w:lang w:val="zh-CN"/>
        </w:rPr>
        <w:t>万元，其中：政府采购货物支出</w:t>
      </w:r>
      <w:r>
        <w:rPr>
          <w:rFonts w:ascii="仿宋_GB2312" w:hAnsi="Cambria" w:eastAsia="仿宋_GB2312" w:cs="仿宋_GB2312"/>
          <w:color w:val="000000"/>
          <w:sz w:val="32"/>
          <w:szCs w:val="32"/>
          <w:lang w:val="zh-CN"/>
        </w:rPr>
        <w:t>3.7</w:t>
      </w:r>
      <w:r>
        <w:rPr>
          <w:rFonts w:hint="eastAsia" w:ascii="仿宋_GB2312" w:hAnsi="Cambria" w:eastAsia="仿宋_GB2312" w:cs="仿宋_GB2312"/>
          <w:color w:val="000000"/>
          <w:sz w:val="32"/>
          <w:szCs w:val="32"/>
          <w:lang w:val="zh-CN"/>
        </w:rPr>
        <w:t>万元。主要用于复印机采购</w:t>
      </w:r>
      <w:r>
        <w:rPr>
          <w:rFonts w:hint="eastAsia" w:ascii="仿宋_GB2312" w:hAnsi="Cambria" w:eastAsia="仿宋_GB2312" w:cs="仿宋_GB2312"/>
          <w:color w:val="000000"/>
          <w:sz w:val="32"/>
          <w:szCs w:val="32"/>
          <w:highlight w:val="white"/>
          <w:lang w:val="zh-CN"/>
        </w:rPr>
        <w:t>。</w:t>
      </w:r>
      <w:r>
        <w:rPr>
          <w:rFonts w:hint="eastAsia" w:ascii="仿宋_GB2312" w:hAnsi="Cambria" w:eastAsia="仿宋_GB2312" w:cs="仿宋_GB2312"/>
          <w:color w:val="000000"/>
          <w:sz w:val="32"/>
          <w:szCs w:val="32"/>
          <w:lang w:val="zh-CN"/>
        </w:rPr>
        <w:t>授予中小企业合同金额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万元，占政府采购支出总额的</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，其中：授予小微企业合同金额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r>
        <w:rPr>
          <w:rFonts w:hint="eastAsia" w:ascii="仿宋_GB2312" w:hAnsi="Cambria" w:eastAsia="仿宋_GB2312" w:cs="仿宋_GB2312"/>
          <w:sz w:val="32"/>
          <w:szCs w:val="32"/>
        </w:rPr>
        <w:t>占政府采购支出总额的</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w:t>
      </w:r>
    </w:p>
    <w:p>
      <w:pPr>
        <w:pageBreakBefore w:val="0"/>
        <w:kinsoku/>
        <w:wordWrap/>
        <w:overflowPunct/>
        <w:topLinePunct w:val="0"/>
        <w:autoSpaceDE w:val="0"/>
        <w:autoSpaceDN w:val="0"/>
        <w:bidi w:val="0"/>
        <w:adjustRightInd w:val="0"/>
        <w:snapToGrid w:val="0"/>
        <w:spacing w:line="360" w:lineRule="auto"/>
        <w:ind w:firstLine="642" w:firstLineChars="200"/>
        <w:jc w:val="left"/>
        <w:textAlignment w:val="auto"/>
        <w:outlineLvl w:val="2"/>
        <w:rPr>
          <w:rFonts w:hint="eastAsia" w:ascii="仿宋_GB2312" w:hAnsi="仿宋_GB2312" w:eastAsia="仿宋_GB2312" w:cs="仿宋_GB2312"/>
          <w:b/>
          <w:color w:val="auto"/>
          <w:sz w:val="32"/>
          <w:szCs w:val="32"/>
          <w:highlight w:val="none"/>
        </w:rPr>
      </w:pPr>
      <w:bookmarkStart w:id="68" w:name="_Toc15377224"/>
      <w:r>
        <w:rPr>
          <w:rFonts w:hint="eastAsia" w:ascii="仿宋_GB2312" w:hAnsi="仿宋_GB2312" w:eastAsia="仿宋_GB2312" w:cs="仿宋_GB2312"/>
          <w:b/>
          <w:color w:val="auto"/>
          <w:sz w:val="32"/>
          <w:szCs w:val="32"/>
          <w:highlight w:val="none"/>
        </w:rPr>
        <w:t>（三）国有资产占有使用情况</w:t>
      </w:r>
      <w:bookmarkEnd w:id="68"/>
    </w:p>
    <w:p>
      <w:pPr>
        <w:pageBreakBefore w:val="0"/>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Cambria" w:eastAsia="仿宋_GB2312" w:cs="仿宋_GB2312"/>
          <w:color w:val="000000"/>
          <w:sz w:val="32"/>
          <w:szCs w:val="32"/>
          <w:lang w:val="zh-CN"/>
        </w:rPr>
        <w:t>截至</w:t>
      </w: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月</w:t>
      </w:r>
      <w:r>
        <w:rPr>
          <w:rFonts w:ascii="仿宋_GB2312" w:hAnsi="Cambria" w:eastAsia="仿宋_GB2312" w:cs="仿宋_GB2312"/>
          <w:color w:val="000000"/>
          <w:sz w:val="32"/>
          <w:szCs w:val="32"/>
          <w:lang w:val="zh-CN"/>
        </w:rPr>
        <w:t>31</w:t>
      </w:r>
      <w:r>
        <w:rPr>
          <w:rFonts w:hint="eastAsia" w:ascii="仿宋_GB2312" w:hAnsi="Cambria" w:eastAsia="仿宋_GB2312" w:cs="仿宋_GB2312"/>
          <w:color w:val="000000"/>
          <w:sz w:val="32"/>
          <w:szCs w:val="32"/>
          <w:lang w:val="zh-CN"/>
        </w:rPr>
        <w:t>日，市委政法委共有车辆</w:t>
      </w:r>
      <w:r>
        <w:rPr>
          <w:rFonts w:ascii="仿宋_GB2312" w:hAnsi="Cambria" w:eastAsia="仿宋_GB2312" w:cs="仿宋_GB2312"/>
          <w:color w:val="000000"/>
          <w:sz w:val="32"/>
          <w:szCs w:val="32"/>
          <w:lang w:val="zh-CN"/>
        </w:rPr>
        <w:t>1</w:t>
      </w:r>
      <w:r>
        <w:rPr>
          <w:rFonts w:hint="eastAsia" w:ascii="仿宋_GB2312" w:hAnsi="Cambria" w:eastAsia="仿宋_GB2312" w:cs="仿宋_GB2312"/>
          <w:color w:val="000000"/>
          <w:sz w:val="32"/>
          <w:szCs w:val="32"/>
          <w:lang w:val="zh-CN"/>
        </w:rPr>
        <w:t>辆，其中：其他用车</w:t>
      </w:r>
      <w:r>
        <w:rPr>
          <w:rFonts w:ascii="仿宋_GB2312" w:hAnsi="Cambria" w:eastAsia="仿宋_GB2312" w:cs="仿宋_GB2312"/>
          <w:color w:val="000000"/>
          <w:sz w:val="32"/>
          <w:szCs w:val="32"/>
          <w:lang w:val="zh-CN"/>
        </w:rPr>
        <w:t>1</w:t>
      </w:r>
      <w:r>
        <w:rPr>
          <w:rFonts w:hint="eastAsia" w:ascii="仿宋_GB2312" w:hAnsi="Cambria" w:eastAsia="仿宋_GB2312" w:cs="仿宋_GB2312"/>
          <w:color w:val="000000"/>
          <w:sz w:val="32"/>
          <w:szCs w:val="32"/>
          <w:lang w:val="zh-CN"/>
        </w:rPr>
        <w:t>辆。其中：其他用车主要是用于</w:t>
      </w:r>
      <w:r>
        <w:rPr>
          <w:rFonts w:hint="eastAsia" w:ascii="仿宋_GB2312" w:hAnsi="仿宋_GB2312" w:eastAsia="仿宋_GB2312" w:cs="仿宋_GB2312"/>
          <w:color w:val="000000"/>
          <w:sz w:val="32"/>
          <w:szCs w:val="32"/>
        </w:rPr>
        <w:t>机要通信及维稳应急保障工作</w:t>
      </w:r>
      <w:r>
        <w:rPr>
          <w:rFonts w:hint="eastAsia" w:ascii="仿宋_GB2312" w:hAnsi="仿宋_GB2312" w:eastAsia="仿宋_GB2312" w:cs="仿宋_GB2312"/>
          <w:color w:val="000000"/>
          <w:sz w:val="32"/>
          <w:szCs w:val="32"/>
          <w:highlight w:val="none"/>
          <w:lang w:val="en-US"/>
        </w:rPr>
        <w:t>。</w:t>
      </w:r>
      <w:r>
        <w:rPr>
          <w:rFonts w:hint="eastAsia" w:ascii="仿宋_GB2312" w:hAnsi="Cambria" w:eastAsia="仿宋_GB2312" w:cs="仿宋_GB2312"/>
          <w:color w:val="000000"/>
          <w:sz w:val="32"/>
          <w:szCs w:val="32"/>
          <w:lang w:val="zh-CN"/>
        </w:rPr>
        <w:t>单价</w:t>
      </w:r>
      <w:r>
        <w:rPr>
          <w:rFonts w:ascii="仿宋_GB2312" w:hAnsi="Cambria" w:eastAsia="仿宋_GB2312" w:cs="仿宋_GB2312"/>
          <w:color w:val="000000"/>
          <w:sz w:val="32"/>
          <w:szCs w:val="32"/>
          <w:lang w:val="zh-CN"/>
        </w:rPr>
        <w:t>100</w:t>
      </w:r>
      <w:r>
        <w:rPr>
          <w:rFonts w:hint="eastAsia" w:ascii="仿宋_GB2312" w:hAnsi="Cambria" w:eastAsia="仿宋_GB2312" w:cs="仿宋_GB2312"/>
          <w:color w:val="000000"/>
          <w:sz w:val="32"/>
          <w:szCs w:val="32"/>
          <w:lang w:val="zh-CN"/>
        </w:rPr>
        <w:t>万元（含）以上设备</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台（套）。</w:t>
      </w:r>
    </w:p>
    <w:p>
      <w:pPr>
        <w:pageBreakBefore w:val="0"/>
        <w:kinsoku/>
        <w:wordWrap/>
        <w:overflowPunct/>
        <w:topLinePunct w:val="0"/>
        <w:autoSpaceDE w:val="0"/>
        <w:autoSpaceDN w:val="0"/>
        <w:bidi w:val="0"/>
        <w:adjustRightInd w:val="0"/>
        <w:snapToGrid w:val="0"/>
        <w:spacing w:line="360" w:lineRule="auto"/>
        <w:ind w:firstLine="642" w:firstLineChars="200"/>
        <w:jc w:val="left"/>
        <w:textAlignment w:val="auto"/>
        <w:outlineLvl w:val="2"/>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（四）预算绩效管理情况</w:t>
      </w:r>
    </w:p>
    <w:p>
      <w:pPr>
        <w:pageBreakBefore w:val="0"/>
        <w:widowControl/>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年度预算编制阶段，组织对智慧政法—涉密视频会商系统等</w:t>
      </w:r>
      <w:r>
        <w:rPr>
          <w:rFonts w:hint="eastAsia" w:ascii="仿宋_GB2312" w:hAnsi="仿宋_GB2312" w:eastAsia="仿宋_GB2312" w:cs="仿宋_GB2312"/>
          <w:color w:val="auto"/>
          <w:sz w:val="32"/>
          <w:szCs w:val="32"/>
          <w:highlight w:val="none"/>
          <w:lang w:val="en-US"/>
        </w:rPr>
        <w:t>1</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rPr>
        <w:t>15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rPr>
        <w:t>8</w:t>
      </w:r>
      <w:r>
        <w:rPr>
          <w:rFonts w:hint="eastAsia" w:ascii="仿宋_GB2312" w:hAnsi="仿宋_GB2312" w:eastAsia="仿宋_GB2312" w:cs="仿宋_GB2312"/>
          <w:color w:val="auto"/>
          <w:sz w:val="32"/>
          <w:szCs w:val="32"/>
          <w:highlight w:val="none"/>
        </w:rPr>
        <w:t>个项目开展绩效监控。</w:t>
      </w:r>
    </w:p>
    <w:p>
      <w:pPr>
        <w:pageBreakBefore w:val="0"/>
        <w:widowControl/>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组织对2022年度一般公共预算资金等全面开展绩效自评，形成市委政法委部门整体（含部门预算项目）绩效自评报告、矛盾纠纷多元化解经费等专项预算项目绩效自评报告，其中，市委政法委部门整体（含部门预算项目）绩效自评得分为</w:t>
      </w:r>
      <w:r>
        <w:rPr>
          <w:rFonts w:hint="eastAsia" w:ascii="仿宋_GB2312" w:hAnsi="仿宋_GB2312" w:eastAsia="仿宋_GB2312" w:cs="仿宋_GB2312"/>
          <w:color w:val="auto"/>
          <w:sz w:val="32"/>
          <w:szCs w:val="32"/>
          <w:highlight w:val="none"/>
          <w:lang w:val="en-US"/>
        </w:rPr>
        <w:t>97.3</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i w:val="0"/>
          <w:caps w:val="0"/>
          <w:color w:val="000000"/>
          <w:spacing w:val="0"/>
          <w:sz w:val="32"/>
          <w:szCs w:val="32"/>
          <w:shd w:val="clear" w:color="auto" w:fill="FFFFFF"/>
          <w:lang w:val="en-US"/>
        </w:rPr>
        <w:t>2022年，我委部门整体支出绩效目标制定</w:t>
      </w:r>
      <w:r>
        <w:rPr>
          <w:rFonts w:hint="eastAsia" w:ascii="仿宋_GB2312" w:hAnsi="仿宋_GB2312" w:eastAsia="仿宋_GB2312" w:cs="仿宋_GB2312"/>
          <w:i w:val="0"/>
          <w:caps w:val="0"/>
          <w:color w:val="000000"/>
          <w:spacing w:val="0"/>
          <w:sz w:val="32"/>
          <w:szCs w:val="32"/>
          <w:shd w:val="clear" w:color="auto" w:fill="FFFFFF"/>
          <w:lang w:val="en-US" w:eastAsia="zh-CN"/>
        </w:rPr>
        <w:t>科学合理，项目管理规范，</w:t>
      </w:r>
      <w:r>
        <w:rPr>
          <w:rFonts w:hint="eastAsia" w:ascii="仿宋_GB2312" w:hAnsi="仿宋_GB2312" w:eastAsia="仿宋_GB2312" w:cs="仿宋_GB2312"/>
          <w:i w:val="0"/>
          <w:caps w:val="0"/>
          <w:color w:val="000000"/>
          <w:spacing w:val="0"/>
          <w:sz w:val="32"/>
          <w:szCs w:val="32"/>
          <w:shd w:val="clear" w:color="auto" w:fill="FFFFFF"/>
          <w:lang w:val="en-US"/>
        </w:rPr>
        <w:t>资金使用</w:t>
      </w:r>
      <w:r>
        <w:rPr>
          <w:rFonts w:hint="eastAsia" w:ascii="仿宋_GB2312" w:hAnsi="仿宋_GB2312" w:eastAsia="仿宋_GB2312" w:cs="仿宋_GB2312"/>
          <w:i w:val="0"/>
          <w:caps w:val="0"/>
          <w:color w:val="000000"/>
          <w:spacing w:val="0"/>
          <w:sz w:val="32"/>
          <w:szCs w:val="32"/>
          <w:shd w:val="clear" w:color="auto" w:fill="FFFFFF"/>
          <w:lang w:val="en-US" w:eastAsia="zh-CN"/>
        </w:rPr>
        <w:t>到位，</w:t>
      </w:r>
      <w:r>
        <w:rPr>
          <w:rFonts w:hint="eastAsia" w:ascii="仿宋_GB2312" w:hAnsi="仿宋_GB2312" w:eastAsia="仿宋_GB2312" w:cs="仿宋_GB2312"/>
          <w:i w:val="0"/>
          <w:caps w:val="0"/>
          <w:color w:val="000000"/>
          <w:spacing w:val="0"/>
          <w:sz w:val="32"/>
          <w:szCs w:val="32"/>
          <w:shd w:val="clear" w:color="auto" w:fill="FFFFFF"/>
          <w:lang w:val="en-US"/>
        </w:rPr>
        <w:t>各项工作目标</w:t>
      </w:r>
      <w:r>
        <w:rPr>
          <w:rFonts w:hint="eastAsia" w:ascii="仿宋_GB2312" w:hAnsi="仿宋_GB2312" w:eastAsia="仿宋_GB2312" w:cs="仿宋_GB2312"/>
          <w:i w:val="0"/>
          <w:caps w:val="0"/>
          <w:color w:val="000000"/>
          <w:spacing w:val="0"/>
          <w:sz w:val="32"/>
          <w:szCs w:val="32"/>
          <w:shd w:val="clear" w:color="auto" w:fill="FFFFFF"/>
          <w:lang w:val="en-US" w:eastAsia="zh-CN"/>
        </w:rPr>
        <w:t>完成质量较高，运行保障有力，</w:t>
      </w:r>
      <w:r>
        <w:rPr>
          <w:rFonts w:hint="eastAsia" w:ascii="仿宋_GB2312" w:hAnsi="仿宋_GB2312" w:eastAsia="仿宋_GB2312" w:cs="仿宋_GB2312"/>
          <w:i w:val="0"/>
          <w:caps w:val="0"/>
          <w:color w:val="000000"/>
          <w:spacing w:val="0"/>
          <w:sz w:val="32"/>
          <w:szCs w:val="32"/>
          <w:shd w:val="clear" w:color="auto" w:fill="FFFFFF"/>
          <w:lang w:val="zh-CN" w:eastAsia="zh-CN"/>
        </w:rPr>
        <w:t>全市政法工作取得新的明显成效</w:t>
      </w:r>
      <w:r>
        <w:rPr>
          <w:rFonts w:hint="eastAsia" w:ascii="仿宋_GB2312" w:hAnsi="仿宋_GB2312" w:eastAsia="仿宋_GB2312" w:cs="仿宋_GB2312"/>
          <w:i w:val="0"/>
          <w:caps w:val="0"/>
          <w:color w:val="000000"/>
          <w:spacing w:val="0"/>
          <w:sz w:val="32"/>
          <w:szCs w:val="32"/>
          <w:shd w:val="clear" w:color="auto" w:fill="FFFFFF"/>
          <w:lang w:val="en-US"/>
        </w:rPr>
        <w:t>。</w:t>
      </w:r>
      <w:r>
        <w:rPr>
          <w:rFonts w:hint="eastAsia" w:ascii="仿宋_GB2312" w:hAnsi="仿宋_GB2312" w:eastAsia="仿宋_GB2312" w:cs="仿宋_GB2312"/>
          <w:color w:val="auto"/>
          <w:sz w:val="32"/>
          <w:szCs w:val="32"/>
          <w:highlight w:val="none"/>
        </w:rPr>
        <w:t>矛盾纠纷</w:t>
      </w:r>
      <w:r>
        <w:rPr>
          <w:rFonts w:hint="eastAsia" w:ascii="仿宋_GB2312" w:hAnsi="仿宋_GB2312" w:eastAsia="仿宋_GB2312" w:cs="仿宋_GB2312"/>
          <w:i w:val="0"/>
          <w:caps w:val="0"/>
          <w:color w:val="000000"/>
          <w:spacing w:val="0"/>
          <w:sz w:val="32"/>
          <w:szCs w:val="32"/>
          <w:shd w:val="clear" w:color="auto" w:fill="FFFFFF"/>
          <w:lang w:val="en-US"/>
        </w:rPr>
        <w:t>多元</w:t>
      </w:r>
      <w:r>
        <w:rPr>
          <w:rFonts w:hint="eastAsia" w:ascii="仿宋_GB2312" w:hAnsi="仿宋_GB2312" w:eastAsia="仿宋_GB2312" w:cs="仿宋_GB2312"/>
          <w:color w:val="auto"/>
          <w:sz w:val="32"/>
          <w:szCs w:val="32"/>
          <w:highlight w:val="none"/>
        </w:rPr>
        <w:t>化解工作专项预算项目绩效自评得分为</w:t>
      </w:r>
      <w:r>
        <w:rPr>
          <w:rFonts w:hint="eastAsia" w:ascii="仿宋_GB2312" w:hAnsi="仿宋_GB2312" w:eastAsia="仿宋_GB2312" w:cs="仿宋_GB2312"/>
          <w:color w:val="auto"/>
          <w:sz w:val="32"/>
          <w:szCs w:val="32"/>
          <w:highlight w:val="none"/>
          <w:lang w:val="en-US"/>
        </w:rPr>
        <w:t>96.5</w:t>
      </w:r>
      <w:r>
        <w:rPr>
          <w:rFonts w:hint="eastAsia" w:ascii="仿宋_GB2312" w:hAnsi="仿宋_GB2312" w:eastAsia="仿宋_GB2312" w:cs="仿宋_GB2312"/>
          <w:color w:val="auto"/>
          <w:sz w:val="32"/>
          <w:szCs w:val="32"/>
          <w:highlight w:val="none"/>
        </w:rPr>
        <w:t>分，绩效自评综述：矛盾纠纷</w:t>
      </w:r>
      <w:r>
        <w:rPr>
          <w:rFonts w:hint="eastAsia" w:ascii="仿宋_GB2312" w:hAnsi="仿宋_GB2312" w:eastAsia="仿宋_GB2312" w:cs="仿宋_GB2312"/>
          <w:color w:val="000000"/>
          <w:sz w:val="32"/>
          <w:szCs w:val="32"/>
        </w:rPr>
        <w:t>多元化解工作项目绩效目标编制明确量化，</w:t>
      </w:r>
      <w:r>
        <w:rPr>
          <w:rFonts w:hint="eastAsia" w:ascii="仿宋_GB2312" w:hAnsi="仿宋_GB2312" w:eastAsia="仿宋_GB2312" w:cs="仿宋_GB2312"/>
          <w:color w:val="000000"/>
          <w:sz w:val="32"/>
          <w:szCs w:val="32"/>
          <w:shd w:val="clear" w:color="auto" w:fill="FFFFFF"/>
        </w:rPr>
        <w:t>财务管理规范，内控制度健全，财政资金使用符合要求，预算执行基本收支平衡，专项经费收支情况良好，财政支出绩效评价较好。</w:t>
      </w:r>
      <w:r>
        <w:rPr>
          <w:rFonts w:hint="eastAsia" w:ascii="仿宋_GB2312" w:hAnsi="仿宋_GB2312" w:eastAsia="仿宋_GB2312" w:cs="仿宋_GB2312"/>
          <w:color w:val="auto"/>
          <w:sz w:val="32"/>
          <w:szCs w:val="32"/>
          <w:highlight w:val="none"/>
        </w:rPr>
        <w:t>绩效自评报告详见附件。</w:t>
      </w:r>
    </w:p>
    <w:p>
      <w:pPr>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yellow"/>
        </w:rPr>
        <w:br w:type="page"/>
      </w:r>
    </w:p>
    <w:p>
      <w:pPr>
        <w:pStyle w:val="7"/>
      </w:pPr>
    </w:p>
    <w:p>
      <w:pPr>
        <w:keepNext w:val="0"/>
        <w:keepLines w:val="0"/>
        <w:pageBreakBefore w:val="0"/>
        <w:widowControl w:val="0"/>
        <w:numPr>
          <w:ilvl w:val="0"/>
          <w:numId w:val="4"/>
        </w:numPr>
        <w:kinsoku/>
        <w:wordWrap/>
        <w:overflowPunct/>
        <w:topLinePunct w:val="0"/>
        <w:bidi w:val="0"/>
        <w:snapToGrid w:val="0"/>
        <w:spacing w:line="360" w:lineRule="auto"/>
        <w:ind w:firstLine="660" w:firstLineChars="150"/>
        <w:jc w:val="center"/>
        <w:textAlignment w:val="auto"/>
        <w:outlineLvl w:val="0"/>
        <w:rPr>
          <w:rStyle w:val="20"/>
          <w:rFonts w:ascii="黑体" w:hAnsi="黑体" w:eastAsia="黑体"/>
          <w:b w:val="0"/>
          <w:color w:val="auto"/>
          <w:highlight w:val="none"/>
        </w:rPr>
      </w:pPr>
      <w:bookmarkStart w:id="69" w:name="_Toc15396613"/>
      <w:bookmarkStart w:id="70" w:name="_Toc28047"/>
      <w:bookmarkStart w:id="71" w:name="_Toc15377225"/>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69"/>
      <w:bookmarkEnd w:id="70"/>
      <w:bookmarkEnd w:id="71"/>
    </w:p>
    <w:p>
      <w:pPr>
        <w:keepNext w:val="0"/>
        <w:keepLines w:val="0"/>
        <w:pageBreakBefore w:val="0"/>
        <w:widowControl w:val="0"/>
        <w:kinsoku/>
        <w:wordWrap/>
        <w:overflowPunct/>
        <w:topLinePunct w:val="0"/>
        <w:bidi w:val="0"/>
        <w:snapToGrid w:val="0"/>
        <w:spacing w:line="360" w:lineRule="auto"/>
        <w:jc w:val="left"/>
        <w:textAlignment w:val="auto"/>
        <w:rPr>
          <w:rFonts w:ascii="宋体"/>
          <w:b/>
          <w:color w:val="auto"/>
          <w:sz w:val="44"/>
          <w:szCs w:val="44"/>
          <w:highlight w:val="none"/>
        </w:rPr>
      </w:pPr>
    </w:p>
    <w:p>
      <w:pPr>
        <w:pStyle w:val="30"/>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outlineLvl w:val="1"/>
        <w:rPr>
          <w:rFonts w:ascii="仿宋_GB2312" w:eastAsia="仿宋_GB2312"/>
          <w:color w:val="000000"/>
          <w:sz w:val="32"/>
          <w:szCs w:val="32"/>
        </w:rPr>
      </w:pPr>
      <w:bookmarkStart w:id="72" w:name="_Toc30579"/>
      <w:r>
        <w:rPr>
          <w:rFonts w:hint="eastAsia" w:ascii="仿宋_GB2312" w:eastAsia="仿宋_GB2312"/>
          <w:color w:val="000000"/>
          <w:sz w:val="32"/>
          <w:szCs w:val="32"/>
        </w:rPr>
        <w:t>财政拨款收入：指单位从同级财政部门取得的财政预算资金。</w:t>
      </w:r>
      <w:bookmarkEnd w:id="72"/>
    </w:p>
    <w:p>
      <w:pPr>
        <w:pStyle w:val="30"/>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ascii="仿宋_GB2312" w:eastAsia="仿宋_GB2312"/>
          <w:color w:val="000000"/>
          <w:sz w:val="32"/>
          <w:szCs w:val="32"/>
        </w:rPr>
      </w:pPr>
      <w:r>
        <w:rPr>
          <w:rFonts w:hint="eastAsia" w:ascii="仿宋_GB2312" w:eastAsia="仿宋_GB2312"/>
          <w:color w:val="000000"/>
          <w:sz w:val="32"/>
          <w:szCs w:val="32"/>
        </w:rPr>
        <w:t>年初结转和结余：指以前年度尚未完成、结转到本年按有关规定继续使用的资金。</w:t>
      </w:r>
    </w:p>
    <w:p>
      <w:pPr>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ascii="仿宋_GB2312" w:eastAsia="仿宋_GB2312"/>
          <w:b w:val="0"/>
          <w:bCs w:val="0"/>
          <w:color w:val="000000"/>
          <w:sz w:val="32"/>
          <w:szCs w:val="32"/>
        </w:rPr>
      </w:pPr>
      <w:r>
        <w:rPr>
          <w:rStyle w:val="18"/>
          <w:rFonts w:hint="eastAsia" w:ascii="仿宋_GB2312" w:hAnsi="仿宋_GB2312" w:eastAsia="仿宋_GB2312" w:cs="仿宋_GB2312"/>
          <w:b w:val="0"/>
          <w:bCs w:val="0"/>
          <w:color w:val="000000"/>
          <w:sz w:val="32"/>
          <w:szCs w:val="32"/>
          <w:highlight w:val="none"/>
        </w:rPr>
        <w:t>一般公共服务（类）</w:t>
      </w:r>
      <w:r>
        <w:rPr>
          <w:rStyle w:val="18"/>
          <w:rFonts w:hint="eastAsia" w:ascii="仿宋_GB2312" w:hAnsi="仿宋_GB2312" w:eastAsia="仿宋_GB2312" w:cs="仿宋_GB2312"/>
          <w:b w:val="0"/>
          <w:bCs w:val="0"/>
          <w:color w:val="000000"/>
          <w:spacing w:val="-2"/>
          <w:sz w:val="32"/>
          <w:szCs w:val="32"/>
        </w:rPr>
        <w:t>党委办公厅（室）及相关机构事务（款）行政运行（项）</w:t>
      </w:r>
      <w:r>
        <w:rPr>
          <w:rStyle w:val="18"/>
          <w:rFonts w:hint="eastAsia" w:ascii="仿宋_GB2312" w:hAnsi="仿宋_GB2312" w:eastAsia="仿宋_GB2312" w:cs="仿宋_GB2312"/>
          <w:b w:val="0"/>
          <w:bCs w:val="0"/>
          <w:color w:val="000000"/>
          <w:spacing w:val="-2"/>
          <w:sz w:val="32"/>
          <w:szCs w:val="32"/>
          <w:lang w:eastAsia="zh-CN"/>
        </w:rPr>
        <w:t>：</w:t>
      </w:r>
      <w:r>
        <w:rPr>
          <w:rFonts w:hint="eastAsia" w:ascii="仿宋_GB2312" w:eastAsia="仿宋_GB2312"/>
          <w:b w:val="0"/>
          <w:bCs w:val="0"/>
          <w:color w:val="000000"/>
          <w:sz w:val="32"/>
          <w:szCs w:val="32"/>
        </w:rPr>
        <w:t>反映行政单位的基本支出。</w:t>
      </w:r>
    </w:p>
    <w:p>
      <w:pPr>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hint="eastAsia" w:ascii="仿宋_GB2312" w:eastAsia="仿宋_GB2312"/>
          <w:b w:val="0"/>
          <w:bCs w:val="0"/>
          <w:color w:val="000000"/>
          <w:sz w:val="32"/>
          <w:szCs w:val="32"/>
        </w:rPr>
      </w:pPr>
      <w:r>
        <w:rPr>
          <w:rStyle w:val="18"/>
          <w:rFonts w:hint="eastAsia" w:ascii="仿宋_GB2312" w:hAnsi="仿宋_GB2312" w:eastAsia="仿宋_GB2312" w:cs="仿宋_GB2312"/>
          <w:b w:val="0"/>
          <w:bCs w:val="0"/>
          <w:color w:val="000000"/>
          <w:spacing w:val="-2"/>
          <w:sz w:val="32"/>
          <w:szCs w:val="32"/>
        </w:rPr>
        <w:t>一般公共服务支出（类）党委办公厅（室）及相关机构事务（款）一般行政管理事务（项）</w:t>
      </w:r>
      <w:r>
        <w:rPr>
          <w:rStyle w:val="18"/>
          <w:rFonts w:hint="eastAsia" w:ascii="仿宋_GB2312" w:hAnsi="仿宋_GB2312" w:eastAsia="仿宋_GB2312" w:cs="仿宋_GB2312"/>
          <w:b w:val="0"/>
          <w:bCs w:val="0"/>
          <w:color w:val="000000"/>
          <w:spacing w:val="-2"/>
          <w:sz w:val="32"/>
          <w:szCs w:val="32"/>
          <w:lang w:eastAsia="zh-CN"/>
        </w:rPr>
        <w:t>：</w:t>
      </w:r>
      <w:r>
        <w:rPr>
          <w:rFonts w:hint="eastAsia" w:ascii="仿宋_GB2312" w:eastAsia="仿宋_GB2312"/>
          <w:b w:val="0"/>
          <w:bCs w:val="0"/>
          <w:color w:val="000000"/>
          <w:sz w:val="32"/>
          <w:szCs w:val="32"/>
        </w:rPr>
        <w:t>反映行政单位的</w:t>
      </w:r>
      <w:r>
        <w:rPr>
          <w:rStyle w:val="18"/>
          <w:rFonts w:hint="eastAsia" w:ascii="仿宋_GB2312" w:hAnsi="仿宋_GB2312" w:eastAsia="仿宋_GB2312" w:cs="仿宋_GB2312"/>
          <w:b w:val="0"/>
          <w:bCs w:val="0"/>
          <w:color w:val="000000"/>
          <w:spacing w:val="-2"/>
          <w:sz w:val="32"/>
          <w:szCs w:val="32"/>
        </w:rPr>
        <w:t>一般行政管理事务</w:t>
      </w:r>
      <w:r>
        <w:rPr>
          <w:rFonts w:hint="eastAsia" w:ascii="仿宋_GB2312" w:eastAsia="仿宋_GB2312"/>
          <w:b w:val="0"/>
          <w:bCs w:val="0"/>
          <w:color w:val="000000"/>
          <w:sz w:val="32"/>
          <w:szCs w:val="32"/>
        </w:rPr>
        <w:t>支出。</w:t>
      </w:r>
    </w:p>
    <w:p>
      <w:pPr>
        <w:pStyle w:val="7"/>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hint="eastAsia" w:ascii="仿宋_GB2312" w:hAnsi="仿宋_GB2312" w:eastAsia="仿宋_GB2312" w:cs="仿宋_GB2312"/>
          <w:b w:val="0"/>
          <w:bCs w:val="0"/>
          <w:color w:val="000000"/>
          <w:kern w:val="2"/>
          <w:sz w:val="32"/>
          <w:szCs w:val="32"/>
          <w:lang w:val="en-US" w:eastAsia="zh-CN" w:bidi="ar-SA"/>
        </w:rPr>
      </w:pPr>
      <w:r>
        <w:rPr>
          <w:rStyle w:val="18"/>
          <w:rFonts w:hint="eastAsia" w:ascii="仿宋_GB2312" w:hAnsi="仿宋_GB2312" w:eastAsia="仿宋_GB2312" w:cs="仿宋_GB2312"/>
          <w:b w:val="0"/>
          <w:bCs w:val="0"/>
          <w:color w:val="000000"/>
          <w:spacing w:val="-2"/>
          <w:sz w:val="32"/>
          <w:szCs w:val="32"/>
        </w:rPr>
        <w:t>一般公共服务支出（类）党委办公厅（室）及相关机构事</w:t>
      </w:r>
      <w:r>
        <w:rPr>
          <w:rFonts w:hint="eastAsia" w:ascii="仿宋_GB2312" w:hAnsi="仿宋_GB2312" w:eastAsia="仿宋_GB2312" w:cs="仿宋_GB2312"/>
          <w:b w:val="0"/>
          <w:bCs w:val="0"/>
          <w:color w:val="000000"/>
          <w:kern w:val="2"/>
          <w:sz w:val="32"/>
          <w:szCs w:val="32"/>
          <w:lang w:val="en-US" w:eastAsia="zh-CN" w:bidi="ar-SA"/>
        </w:rPr>
        <w:t>务（款）</w:t>
      </w:r>
      <w:r>
        <w:rPr>
          <w:rFonts w:hint="eastAsia" w:ascii="仿宋_GB2312" w:hAnsi="仿宋_GB2312" w:eastAsia="仿宋_GB2312" w:cs="仿宋_GB2312"/>
          <w:b w:val="0"/>
          <w:bCs w:val="0"/>
          <w:color w:val="000000"/>
          <w:kern w:val="2"/>
          <w:sz w:val="32"/>
          <w:szCs w:val="32"/>
          <w:lang w:val="en-US" w:bidi="ar-SA"/>
        </w:rPr>
        <w:t>事业运行</w:t>
      </w:r>
      <w:r>
        <w:rPr>
          <w:rFonts w:hint="eastAsia" w:ascii="仿宋_GB2312" w:hAnsi="仿宋_GB2312" w:eastAsia="仿宋_GB2312" w:cs="仿宋_GB2312"/>
          <w:b w:val="0"/>
          <w:bCs w:val="0"/>
          <w:color w:val="000000"/>
          <w:kern w:val="2"/>
          <w:sz w:val="32"/>
          <w:szCs w:val="32"/>
          <w:lang w:val="en-US" w:eastAsia="zh-CN" w:bidi="ar-SA"/>
        </w:rPr>
        <w:t>（项）：反映</w:t>
      </w:r>
      <w:r>
        <w:rPr>
          <w:rFonts w:hint="eastAsia" w:ascii="仿宋_GB2312" w:hAnsi="仿宋_GB2312" w:eastAsia="仿宋_GB2312" w:cs="仿宋_GB2312"/>
          <w:b w:val="0"/>
          <w:bCs w:val="0"/>
          <w:color w:val="000000"/>
          <w:kern w:val="2"/>
          <w:sz w:val="32"/>
          <w:szCs w:val="32"/>
          <w:lang w:val="en-US" w:bidi="ar-SA"/>
        </w:rPr>
        <w:t>下设事业单位</w:t>
      </w:r>
      <w:r>
        <w:rPr>
          <w:rFonts w:hint="eastAsia" w:ascii="仿宋_GB2312" w:hAnsi="仿宋_GB2312" w:eastAsia="仿宋_GB2312" w:cs="仿宋_GB2312"/>
          <w:b w:val="0"/>
          <w:bCs w:val="0"/>
          <w:color w:val="000000"/>
          <w:kern w:val="2"/>
          <w:sz w:val="32"/>
          <w:szCs w:val="32"/>
          <w:lang w:val="en-US" w:eastAsia="zh-CN" w:bidi="ar-SA"/>
        </w:rPr>
        <w:t>的基本支出。</w:t>
      </w:r>
    </w:p>
    <w:p>
      <w:pPr>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hint="eastAsia" w:ascii="仿宋_GB2312" w:hAnsi="仿宋_GB2312" w:eastAsia="仿宋_GB2312" w:cs="仿宋_GB2312"/>
          <w:b w:val="0"/>
          <w:bCs w:val="0"/>
          <w:color w:val="000000"/>
          <w:kern w:val="2"/>
          <w:sz w:val="32"/>
          <w:szCs w:val="32"/>
          <w:lang w:val="en-US" w:bidi="ar-SA"/>
        </w:rPr>
      </w:pPr>
      <w:r>
        <w:rPr>
          <w:rFonts w:hint="eastAsia" w:ascii="仿宋_GB2312" w:hAnsi="仿宋_GB2312" w:eastAsia="仿宋_GB2312" w:cs="仿宋_GB2312"/>
          <w:b w:val="0"/>
          <w:bCs w:val="0"/>
          <w:color w:val="000000"/>
          <w:kern w:val="2"/>
          <w:sz w:val="32"/>
          <w:szCs w:val="32"/>
          <w:lang w:val="en-US" w:eastAsia="zh-CN" w:bidi="ar-SA"/>
        </w:rPr>
        <w:t>社会保障和就业（类）</w:t>
      </w:r>
      <w:r>
        <w:rPr>
          <w:rFonts w:hint="eastAsia" w:ascii="仿宋_GB2312" w:hAnsi="仿宋_GB2312" w:eastAsia="仿宋_GB2312" w:cs="仿宋_GB2312"/>
          <w:b w:val="0"/>
          <w:bCs w:val="0"/>
          <w:color w:val="000000"/>
          <w:kern w:val="2"/>
          <w:sz w:val="32"/>
          <w:szCs w:val="32"/>
          <w:lang w:val="en-US" w:bidi="ar-SA"/>
        </w:rPr>
        <w:t>人力资源和社会保障管理事务</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bidi="ar-SA"/>
        </w:rPr>
        <w:t>款</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bidi="ar-SA"/>
        </w:rPr>
        <w:t>引进人才费用</w:t>
      </w:r>
      <w:r>
        <w:rPr>
          <w:rFonts w:hint="eastAsia" w:ascii="仿宋_GB2312" w:hAnsi="仿宋_GB2312" w:eastAsia="仿宋_GB2312" w:cs="仿宋_GB2312"/>
          <w:b w:val="0"/>
          <w:bCs w:val="0"/>
          <w:color w:val="000000"/>
          <w:kern w:val="2"/>
          <w:sz w:val="32"/>
          <w:szCs w:val="32"/>
          <w:lang w:val="en-US" w:eastAsia="zh-CN" w:bidi="ar-SA"/>
        </w:rPr>
        <w:t>（项）</w:t>
      </w:r>
      <w:r>
        <w:rPr>
          <w:rFonts w:hint="eastAsia" w:ascii="仿宋_GB2312" w:hAnsi="仿宋_GB2312" w:eastAsia="仿宋_GB2312" w:cs="仿宋_GB2312"/>
          <w:b w:val="0"/>
          <w:bCs w:val="0"/>
          <w:color w:val="000000"/>
          <w:kern w:val="2"/>
          <w:sz w:val="32"/>
          <w:szCs w:val="32"/>
          <w:lang w:val="en-US" w:bidi="ar-SA"/>
        </w:rPr>
        <w:t>：反映引进人才安家费及生活补贴。</w:t>
      </w:r>
    </w:p>
    <w:p>
      <w:pPr>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hint="eastAsia" w:ascii="仿宋_GB2312" w:eastAsia="仿宋_GB2312"/>
          <w:b w:val="0"/>
          <w:bCs w:val="0"/>
          <w:color w:val="000000"/>
          <w:sz w:val="32"/>
          <w:szCs w:val="32"/>
        </w:rPr>
      </w:pPr>
      <w:r>
        <w:rPr>
          <w:rFonts w:hint="eastAsia" w:ascii="仿宋_GB2312" w:hAnsi="仿宋_GB2312" w:eastAsia="仿宋_GB2312" w:cs="仿宋_GB2312"/>
          <w:b w:val="0"/>
          <w:bCs w:val="0"/>
          <w:color w:val="000000"/>
          <w:sz w:val="32"/>
          <w:szCs w:val="32"/>
        </w:rPr>
        <w:t>社会保障和就业</w:t>
      </w:r>
      <w:r>
        <w:rPr>
          <w:rStyle w:val="18"/>
          <w:rFonts w:hint="eastAsia" w:ascii="仿宋_GB2312" w:hAnsi="仿宋_GB2312" w:eastAsia="仿宋_GB2312" w:cs="仿宋_GB2312"/>
          <w:b w:val="0"/>
          <w:bCs w:val="0"/>
          <w:color w:val="000000"/>
          <w:sz w:val="32"/>
          <w:szCs w:val="32"/>
        </w:rPr>
        <w:t>（类）</w:t>
      </w:r>
      <w:r>
        <w:rPr>
          <w:rFonts w:hint="eastAsia" w:ascii="仿宋_GB2312" w:hAnsi="仿宋_GB2312" w:eastAsia="仿宋_GB2312" w:cs="仿宋_GB2312"/>
          <w:b w:val="0"/>
          <w:bCs w:val="0"/>
          <w:color w:val="000000"/>
          <w:sz w:val="32"/>
          <w:szCs w:val="32"/>
        </w:rPr>
        <w:t>行政事业单位养老支出</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rPr>
        <w:t>款</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机关事业单位基本养老保险缴费支出</w:t>
      </w:r>
      <w:r>
        <w:rPr>
          <w:rStyle w:val="18"/>
          <w:rFonts w:hint="eastAsia" w:ascii="仿宋_GB2312" w:hAnsi="仿宋_GB2312" w:eastAsia="仿宋_GB2312" w:cs="仿宋_GB2312"/>
          <w:b w:val="0"/>
          <w:bCs w:val="0"/>
          <w:color w:val="000000"/>
          <w:sz w:val="32"/>
          <w:szCs w:val="32"/>
        </w:rPr>
        <w:t>（项）</w:t>
      </w:r>
      <w:r>
        <w:rPr>
          <w:rFonts w:hint="eastAsia" w:ascii="仿宋_GB2312" w:eastAsia="仿宋_GB2312"/>
          <w:b w:val="0"/>
          <w:bCs w:val="0"/>
          <w:color w:val="000000"/>
          <w:sz w:val="32"/>
          <w:szCs w:val="32"/>
        </w:rPr>
        <w:t>：反映机关事业单位实施养老制度由单位缴纳的基本养老保险费支出。</w:t>
      </w:r>
    </w:p>
    <w:p>
      <w:pPr>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hint="eastAsia" w:ascii="仿宋_GB2312" w:eastAsia="仿宋_GB2312"/>
          <w:b w:val="0"/>
          <w:bCs w:val="0"/>
          <w:color w:val="000000"/>
          <w:sz w:val="32"/>
          <w:szCs w:val="32"/>
        </w:rPr>
      </w:pPr>
      <w:r>
        <w:rPr>
          <w:rFonts w:hint="eastAsia" w:ascii="仿宋_GB2312" w:hAnsi="仿宋_GB2312" w:eastAsia="仿宋_GB2312" w:cs="仿宋_GB2312"/>
          <w:b w:val="0"/>
          <w:bCs w:val="0"/>
          <w:color w:val="000000"/>
          <w:kern w:val="2"/>
          <w:sz w:val="32"/>
          <w:szCs w:val="32"/>
          <w:lang w:val="en-US" w:eastAsia="zh-CN" w:bidi="ar-SA"/>
        </w:rPr>
        <w:t>社会保障和就业（类）行政事业单位</w:t>
      </w:r>
      <w:r>
        <w:rPr>
          <w:rFonts w:hint="eastAsia" w:ascii="仿宋_GB2312" w:hAnsi="仿宋_GB2312" w:eastAsia="仿宋_GB2312" w:cs="仿宋_GB2312"/>
          <w:b w:val="0"/>
          <w:bCs w:val="0"/>
          <w:color w:val="000000"/>
          <w:kern w:val="2"/>
          <w:sz w:val="32"/>
          <w:szCs w:val="32"/>
          <w:lang w:val="en-US" w:bidi="ar-SA"/>
        </w:rPr>
        <w:t>养老支出</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bidi="ar-SA"/>
        </w:rPr>
        <w:t>款</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bidi="ar-SA"/>
        </w:rPr>
        <w:t>机关事业单位职业年金缴费支出</w:t>
      </w:r>
      <w:r>
        <w:rPr>
          <w:rFonts w:hint="eastAsia" w:ascii="仿宋_GB2312" w:hAnsi="仿宋_GB2312" w:eastAsia="仿宋_GB2312" w:cs="仿宋_GB2312"/>
          <w:b w:val="0"/>
          <w:bCs w:val="0"/>
          <w:color w:val="000000"/>
          <w:kern w:val="2"/>
          <w:sz w:val="32"/>
          <w:szCs w:val="32"/>
          <w:lang w:val="en-US" w:eastAsia="zh-CN" w:bidi="ar-SA"/>
        </w:rPr>
        <w:t>（项）：</w:t>
      </w:r>
      <w:r>
        <w:rPr>
          <w:rFonts w:hint="eastAsia" w:ascii="仿宋_GB2312" w:eastAsia="仿宋_GB2312"/>
          <w:b w:val="0"/>
          <w:bCs w:val="0"/>
          <w:color w:val="000000"/>
          <w:sz w:val="32"/>
          <w:szCs w:val="32"/>
        </w:rPr>
        <w:t>反映机关事业单位缴纳的职业年金支出。</w:t>
      </w:r>
    </w:p>
    <w:p>
      <w:pPr>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hint="eastAsia" w:ascii="仿宋_GB2312" w:eastAsia="仿宋_GB2312"/>
          <w:b w:val="0"/>
          <w:bCs w:val="0"/>
          <w:color w:val="000000"/>
          <w:sz w:val="32"/>
          <w:szCs w:val="32"/>
        </w:rPr>
      </w:pPr>
      <w:r>
        <w:rPr>
          <w:rStyle w:val="18"/>
          <w:rFonts w:hint="eastAsia" w:ascii="仿宋_GB2312" w:hAnsi="仿宋_GB2312" w:eastAsia="仿宋_GB2312" w:cs="仿宋_GB2312"/>
          <w:b w:val="0"/>
          <w:bCs w:val="0"/>
          <w:color w:val="000000"/>
          <w:kern w:val="2"/>
          <w:sz w:val="32"/>
          <w:szCs w:val="32"/>
          <w:highlight w:val="none"/>
          <w:lang w:val="en-US" w:eastAsia="zh-CN" w:bidi="ar-SA"/>
        </w:rPr>
        <w:t>社会保障和就业（类）其他社会保障和就业支出（款）其他社会保障和就业支出（项）</w:t>
      </w:r>
      <w:r>
        <w:rPr>
          <w:rStyle w:val="18"/>
          <w:rFonts w:hint="eastAsia" w:ascii="仿宋_GB2312" w:hAnsi="仿宋_GB2312" w:eastAsia="仿宋_GB2312" w:cs="仿宋_GB2312"/>
          <w:b w:val="0"/>
          <w:bCs w:val="0"/>
          <w:color w:val="000000"/>
          <w:kern w:val="2"/>
          <w:sz w:val="32"/>
          <w:szCs w:val="32"/>
          <w:highlight w:val="none"/>
          <w:lang w:val="en-US" w:bidi="ar-SA"/>
        </w:rPr>
        <w:t>：反映工伤失业等其他社会保障和就业支出。</w:t>
      </w:r>
    </w:p>
    <w:p>
      <w:pPr>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hint="eastAsia" w:ascii="仿宋_GB2312" w:eastAsia="仿宋_GB2312"/>
          <w:b w:val="0"/>
          <w:bCs w:val="0"/>
          <w:color w:val="000000"/>
          <w:sz w:val="32"/>
          <w:szCs w:val="32"/>
        </w:rPr>
      </w:pPr>
      <w:r>
        <w:rPr>
          <w:rFonts w:hint="eastAsia" w:ascii="仿宋_GB2312" w:hAnsi="仿宋_GB2312" w:eastAsia="仿宋_GB2312" w:cs="仿宋_GB2312"/>
          <w:b w:val="0"/>
          <w:bCs w:val="0"/>
          <w:color w:val="000000"/>
          <w:sz w:val="32"/>
          <w:szCs w:val="32"/>
        </w:rPr>
        <w:t>卫生健康支出（类）行政事业单位医疗（款）行政单位医疗（项）</w:t>
      </w:r>
      <w:r>
        <w:rPr>
          <w:rFonts w:hint="eastAsia" w:ascii="仿宋_GB2312" w:eastAsia="仿宋_GB2312"/>
          <w:b w:val="0"/>
          <w:bCs w:val="0"/>
          <w:color w:val="000000"/>
          <w:sz w:val="32"/>
          <w:szCs w:val="32"/>
        </w:rPr>
        <w:t>：反映财政部门集中安排的行政单位基本医疗保险缴费经费。</w:t>
      </w:r>
    </w:p>
    <w:p>
      <w:pPr>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hint="eastAsia" w:ascii="仿宋_GB2312" w:eastAsia="仿宋_GB2312"/>
          <w:color w:val="000000"/>
          <w:sz w:val="32"/>
          <w:szCs w:val="32"/>
          <w:lang w:eastAsia="zh-CN"/>
        </w:rPr>
      </w:pPr>
      <w:r>
        <w:rPr>
          <w:rFonts w:hint="eastAsia" w:ascii="仿宋_GB2312" w:hAnsi="仿宋_GB2312" w:eastAsia="仿宋_GB2312" w:cs="仿宋_GB2312"/>
          <w:b w:val="0"/>
          <w:bCs w:val="0"/>
          <w:color w:val="000000"/>
          <w:sz w:val="32"/>
          <w:szCs w:val="32"/>
        </w:rPr>
        <w:t>住房保障支出（类）住房改革支出（款）住房公积金（项）</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b w:val="0"/>
          <w:bCs w:val="0"/>
          <w:color w:val="000000"/>
          <w:sz w:val="32"/>
          <w:szCs w:val="32"/>
        </w:rPr>
        <w:t>反映行政事业单位按人力资源和社会保障部、财政部规定的基本工资和津补贴以及规定比</w:t>
      </w:r>
      <w:r>
        <w:rPr>
          <w:rFonts w:hint="eastAsia" w:ascii="仿宋_GB2312" w:eastAsia="仿宋_GB2312"/>
          <w:color w:val="000000"/>
          <w:sz w:val="32"/>
          <w:szCs w:val="32"/>
        </w:rPr>
        <w:t>例为职工缴纳的住房公积金。</w:t>
      </w:r>
    </w:p>
    <w:p>
      <w:pPr>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基本支出：指为保障机构正常运转、完成日常工作任务而发生的人员支出和公用支出。</w:t>
      </w:r>
    </w:p>
    <w:p>
      <w:pPr>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项目支出：指在基本支出之外为完成特定行政任务和事业发展目标所发生的支出。</w:t>
      </w:r>
    </w:p>
    <w:p>
      <w:pPr>
        <w:pStyle w:val="30"/>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keepNext w:val="0"/>
        <w:keepLines w:val="0"/>
        <w:pageBreakBefore w:val="0"/>
        <w:widowControl w:val="0"/>
        <w:numPr>
          <w:ilvl w:val="0"/>
          <w:numId w:val="5"/>
        </w:numPr>
        <w:kinsoku/>
        <w:wordWrap/>
        <w:overflowPunct/>
        <w:topLinePunct w:val="0"/>
        <w:bidi w:val="0"/>
        <w:snapToGrid w:val="0"/>
        <w:spacing w:line="360" w:lineRule="auto"/>
        <w:ind w:left="0" w:leftChars="0" w:firstLine="400" w:firstLineChars="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br w:type="page"/>
      </w:r>
    </w:p>
    <w:p>
      <w:pPr>
        <w:spacing w:line="600" w:lineRule="exact"/>
        <w:jc w:val="center"/>
        <w:outlineLvl w:val="0"/>
        <w:rPr>
          <w:rStyle w:val="20"/>
          <w:rFonts w:hint="eastAsia" w:ascii="黑体" w:hAnsi="黑体" w:eastAsia="黑体"/>
          <w:b w:val="0"/>
          <w:color w:val="auto"/>
          <w:highlight w:val="none"/>
          <w:lang w:eastAsia="zh-CN"/>
        </w:rPr>
      </w:pPr>
      <w:bookmarkStart w:id="73" w:name="_Toc15396614"/>
      <w:bookmarkStart w:id="74" w:name="_Toc11981"/>
      <w:bookmarkStart w:id="75" w:name="_Toc15377226"/>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四部分附件</w:t>
      </w:r>
      <w:bookmarkEnd w:id="73"/>
      <w:bookmarkEnd w:id="74"/>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黑体" w:hAnsi="黑体" w:eastAsia="黑体" w:cs="黑体"/>
          <w:color w:val="auto"/>
          <w:sz w:val="32"/>
          <w:szCs w:val="32"/>
          <w:highlight w:val="none"/>
        </w:rPr>
      </w:pPr>
      <w:bookmarkStart w:id="76" w:name="_Toc6620"/>
      <w:r>
        <w:rPr>
          <w:rFonts w:hint="eastAsia" w:ascii="黑体" w:hAnsi="黑体" w:eastAsia="黑体" w:cs="黑体"/>
          <w:color w:val="auto"/>
          <w:sz w:val="32"/>
          <w:szCs w:val="32"/>
          <w:highlight w:val="none"/>
        </w:rPr>
        <w:t>附件</w:t>
      </w:r>
      <w:bookmarkEnd w:id="76"/>
    </w:p>
    <w:p>
      <w:pPr>
        <w:pStyle w:val="7"/>
      </w:pPr>
    </w:p>
    <w:p>
      <w:pPr>
        <w:keepNext w:val="0"/>
        <w:keepLines w:val="0"/>
        <w:pageBreakBefore w:val="0"/>
        <w:kinsoku/>
        <w:wordWrap/>
        <w:overflowPunct/>
        <w:topLinePunct w:val="0"/>
        <w:autoSpaceDE/>
        <w:autoSpaceDN/>
        <w:bidi w:val="0"/>
        <w:adjustRightInd/>
        <w:snapToGrid w:val="0"/>
        <w:spacing w:line="324" w:lineRule="auto"/>
        <w:jc w:val="center"/>
        <w:textAlignment w:val="auto"/>
        <w:rPr>
          <w:rFonts w:hint="eastAsia" w:ascii="方正小标宋简体" w:hAnsi="宋体" w:eastAsia="方正小标宋简体"/>
          <w:color w:val="000000"/>
          <w:kern w:val="0"/>
          <w:sz w:val="40"/>
          <w:szCs w:val="40"/>
          <w:highlight w:val="none"/>
        </w:rPr>
      </w:pPr>
      <w:r>
        <w:rPr>
          <w:rFonts w:hint="eastAsia" w:ascii="方正小标宋简体" w:hAnsi="宋体" w:eastAsia="方正小标宋简体"/>
          <w:color w:val="000000"/>
          <w:kern w:val="0"/>
          <w:sz w:val="40"/>
          <w:szCs w:val="40"/>
          <w:highlight w:val="none"/>
        </w:rPr>
        <w:t>20</w:t>
      </w:r>
      <w:r>
        <w:rPr>
          <w:rFonts w:hint="eastAsia" w:ascii="方正小标宋简体" w:hAnsi="宋体" w:eastAsia="方正小标宋简体"/>
          <w:color w:val="000000"/>
          <w:kern w:val="0"/>
          <w:sz w:val="40"/>
          <w:szCs w:val="40"/>
          <w:highlight w:val="none"/>
          <w:lang w:val="en-US" w:eastAsia="zh-CN"/>
        </w:rPr>
        <w:t>23</w:t>
      </w:r>
      <w:r>
        <w:rPr>
          <w:rFonts w:hint="eastAsia" w:ascii="方正小标宋简体" w:hAnsi="宋体" w:eastAsia="方正小标宋简体"/>
          <w:color w:val="000000"/>
          <w:kern w:val="0"/>
          <w:sz w:val="40"/>
          <w:szCs w:val="40"/>
          <w:highlight w:val="none"/>
        </w:rPr>
        <w:t>年市委政法委</w:t>
      </w:r>
      <w:r>
        <w:rPr>
          <w:rFonts w:hint="eastAsia" w:ascii="方正小标宋简体" w:hAnsi="宋体" w:eastAsia="方正小标宋简体"/>
          <w:color w:val="000000"/>
          <w:kern w:val="0"/>
          <w:sz w:val="40"/>
          <w:szCs w:val="40"/>
          <w:highlight w:val="none"/>
          <w:lang w:eastAsia="zh-CN"/>
        </w:rPr>
        <w:t>市</w:t>
      </w:r>
      <w:r>
        <w:rPr>
          <w:rFonts w:hint="eastAsia" w:ascii="方正小标宋简体" w:hAnsi="宋体" w:eastAsia="方正小标宋简体"/>
          <w:color w:val="000000"/>
          <w:kern w:val="0"/>
          <w:sz w:val="40"/>
          <w:szCs w:val="40"/>
          <w:highlight w:val="none"/>
        </w:rPr>
        <w:t>级部门整体绩效评价报告</w:t>
      </w:r>
    </w:p>
    <w:p>
      <w:pPr>
        <w:keepNext w:val="0"/>
        <w:keepLines w:val="0"/>
        <w:pageBreakBefore w:val="0"/>
        <w:widowControl/>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r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Chars="0" w:firstLine="640" w:firstLineChars="200"/>
        <w:contextualSpacing/>
        <w:jc w:val="left"/>
        <w:textAlignment w:val="auto"/>
        <w:outlineLvl w:val="1"/>
        <w:rPr>
          <w:rFonts w:hint="eastAsia" w:ascii="黑体" w:hAnsi="黑体" w:eastAsia="黑体" w:cs="黑体"/>
          <w:b w:val="0"/>
          <w:bCs w:val="0"/>
          <w:color w:val="000000"/>
          <w:kern w:val="0"/>
          <w:sz w:val="32"/>
          <w:szCs w:val="32"/>
          <w:highlight w:val="none"/>
          <w:shd w:val="clear" w:color="auto" w:fill="FFFFFF"/>
          <w:lang w:val="zh-CN"/>
        </w:rPr>
      </w:pPr>
      <w:bookmarkStart w:id="77" w:name="_Toc13512"/>
      <w:r>
        <w:rPr>
          <w:rFonts w:hint="eastAsia" w:ascii="黑体" w:hAnsi="黑体" w:eastAsia="黑体" w:cs="黑体"/>
          <w:b w:val="0"/>
          <w:bCs w:val="0"/>
          <w:color w:val="000000"/>
          <w:kern w:val="0"/>
          <w:sz w:val="32"/>
          <w:szCs w:val="32"/>
          <w:highlight w:val="none"/>
          <w:shd w:val="clear" w:color="auto" w:fill="FFFFFF"/>
          <w:lang w:val="zh-CN"/>
        </w:rPr>
        <w:t>部门（单位）基本情况</w:t>
      </w:r>
      <w:bookmarkEnd w:id="77"/>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（一）机构组成。</w:t>
      </w:r>
    </w:p>
    <w:p>
      <w:pPr>
        <w:pStyle w:val="2"/>
        <w:keepNext w:val="0"/>
        <w:keepLines w:val="0"/>
        <w:pageBreakBefore w:val="0"/>
        <w:widowControl w:val="0"/>
        <w:kinsoku/>
        <w:wordWrap/>
        <w:overflowPunct/>
        <w:topLinePunct w:val="0"/>
        <w:autoSpaceDE/>
        <w:autoSpaceDN/>
        <w:bidi w:val="0"/>
        <w:adjustRightInd/>
        <w:snapToGrid w:val="0"/>
        <w:spacing w:after="0" w:line="360" w:lineRule="auto"/>
        <w:ind w:left="0"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我委共有机构3个，其中行政单位1个（中共广元市委政法委员会），事业单位2个（广元市综治中心、广元市法学会）。</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（二）机构职能和人员概况。</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rPr>
        <w:t>1.机构职能</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深入贯彻党的路线方针政策和决策部署，统一政法单位思想和行动，坚持党对政法工作的绝对领导，坚决维护党中央权威和集中统一领导。</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深入贯彻落实党中央决定和省委、市委决策，对政法工作研究提出全局性部署，推进平安广元、法治广元建设，加强过硬队伍建设，深化智能化建设，坚决维护国家政治安全、确保社会大局稳定、促进社会公平正义、保障人民安居乐业、护航经济社会发展。完善和落实政治督察、执法监督、纪律作风督查等工作制度机制。协调推动全市开展常态化扫黑除恶斗争。</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了解掌握和分析研判政法工作情况动态和全市社会稳定形势。创新完善多部门参与的综治维稳工作机制，构建矛盾纠纷多元化解体系和机制，协调推动预防、化解影响稳定的社会矛盾和风险，协调应对和处置重大突发事件，统筹推动全市维护稳定工作。</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加强对政法工作的督查，统筹协调维护政治安全、社会治安综合治理、维护社会稳定、反邪教有关法律法规政策的实施工作；指导全市政法单位网络安全和智能化建设工作。</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组织开展政法领域的调查研究，研究拟订全市政法工作的政策措施，及时向市委提出建议；参与有关法规、规章的起草、修改工作，及时提出立法建议。</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掌握分析政法舆情动态，指导协调政法单位媒体网络宣传工作，指导政法单位做好涉及政法工作的重大宣传和舆论引导工作。</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支持和监督政法单位依法行使职权，指导和协调政法单位密切配合，研究和协调重大、疑难案件，推进严格执法、公正司法。</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组织研究政法改革中带有方向性、倾向性和普遍性的重大问题，深化政法改革。</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指导推进政法系统党的建设和政法队伍建设，协同市级有关职能单位管理监督政法领导干部，代管广元市法学会。</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完成市委交办的其他任务。</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en-US"/>
        </w:rPr>
        <w:t>.人员概况</w:t>
      </w:r>
    </w:p>
    <w:p>
      <w:pPr>
        <w:pStyle w:val="8"/>
        <w:keepNext w:val="0"/>
        <w:keepLines w:val="0"/>
        <w:pageBreakBefore w:val="0"/>
        <w:widowControl w:val="0"/>
        <w:kinsoku/>
        <w:wordWrap/>
        <w:overflowPunct/>
        <w:topLinePunct w:val="0"/>
        <w:bidi w:val="0"/>
        <w:adjustRightInd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rPr>
        <w:t>22</w:t>
      </w:r>
      <w:r>
        <w:rPr>
          <w:rFonts w:hint="eastAsia" w:ascii="仿宋_GB2312" w:hAnsi="仿宋_GB2312" w:eastAsia="仿宋_GB2312" w:cs="仿宋_GB2312"/>
          <w:color w:val="000000"/>
          <w:sz w:val="32"/>
          <w:szCs w:val="32"/>
        </w:rPr>
        <w:t>年我委共有干部职工</w:t>
      </w:r>
      <w:r>
        <w:rPr>
          <w:rFonts w:hint="eastAsia" w:ascii="仿宋_GB2312" w:hAnsi="仿宋_GB2312" w:eastAsia="仿宋_GB2312" w:cs="仿宋_GB2312"/>
          <w:color w:val="000000"/>
          <w:sz w:val="32"/>
          <w:szCs w:val="32"/>
          <w:lang w:val="en-US"/>
        </w:rPr>
        <w:t>51</w:t>
      </w:r>
      <w:r>
        <w:rPr>
          <w:rFonts w:hint="eastAsia" w:ascii="仿宋_GB2312" w:hAnsi="仿宋_GB2312" w:eastAsia="仿宋_GB2312" w:cs="仿宋_GB2312"/>
          <w:color w:val="000000"/>
          <w:sz w:val="32"/>
          <w:szCs w:val="32"/>
        </w:rPr>
        <w:t>人，其中公务员</w:t>
      </w:r>
      <w:r>
        <w:rPr>
          <w:rFonts w:hint="eastAsia" w:ascii="仿宋_GB2312" w:hAnsi="仿宋_GB2312" w:eastAsia="仿宋_GB2312" w:cs="仿宋_GB2312"/>
          <w:color w:val="000000"/>
          <w:sz w:val="32"/>
          <w:szCs w:val="32"/>
          <w:lang w:val="en-US"/>
        </w:rPr>
        <w:t>3</w:t>
      </w:r>
      <w:r>
        <w:rPr>
          <w:rFonts w:hint="eastAsia" w:ascii="仿宋_GB2312" w:hAnsi="仿宋_GB2312" w:eastAsia="仿宋_GB2312" w:cs="仿宋_GB2312"/>
          <w:color w:val="000000"/>
          <w:sz w:val="32"/>
          <w:szCs w:val="32"/>
        </w:rPr>
        <w:t>4人，工勤人员4人，事业人员1</w:t>
      </w:r>
      <w:r>
        <w:rPr>
          <w:rFonts w:hint="eastAsia" w:ascii="仿宋_GB2312" w:hAnsi="仿宋_GB2312" w:eastAsia="仿宋_GB2312" w:cs="仿宋_GB2312"/>
          <w:color w:val="000000"/>
          <w:sz w:val="32"/>
          <w:szCs w:val="32"/>
          <w:lang w:val="en-US"/>
        </w:rPr>
        <w:t>3</w:t>
      </w:r>
      <w:r>
        <w:rPr>
          <w:rFonts w:hint="eastAsia" w:ascii="仿宋_GB2312" w:hAnsi="仿宋_GB2312" w:eastAsia="仿宋_GB2312" w:cs="仿宋_GB2312"/>
          <w:color w:val="000000"/>
          <w:sz w:val="32"/>
          <w:szCs w:val="32"/>
        </w:rPr>
        <w:t>人。</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（三）年度主要工作任务。</w:t>
      </w:r>
    </w:p>
    <w:p>
      <w:pPr>
        <w:pStyle w:val="2"/>
        <w:keepNext w:val="0"/>
        <w:keepLines w:val="0"/>
        <w:pageBreakBefore w:val="0"/>
        <w:widowControl w:val="0"/>
        <w:kinsoku/>
        <w:wordWrap/>
        <w:overflowPunct/>
        <w:topLinePunct w:val="0"/>
        <w:bidi w:val="0"/>
        <w:snapToGrid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主要工作任务：防范化解</w:t>
      </w:r>
      <w:r>
        <w:rPr>
          <w:rFonts w:hint="eastAsia" w:ascii="仿宋_GB2312" w:hAnsi="仿宋_GB2312" w:eastAsia="仿宋_GB2312" w:cs="仿宋_GB2312"/>
          <w:color w:val="000000"/>
          <w:sz w:val="32"/>
          <w:szCs w:val="32"/>
          <w:lang w:val="zh-CN" w:eastAsia="zh-CN"/>
        </w:rPr>
        <w:t>和</w:t>
      </w:r>
      <w:r>
        <w:rPr>
          <w:rFonts w:hint="eastAsia" w:ascii="仿宋_GB2312" w:hAnsi="仿宋_GB2312" w:eastAsia="仿宋_GB2312" w:cs="仿宋_GB2312"/>
          <w:color w:val="000000"/>
          <w:sz w:val="32"/>
          <w:szCs w:val="32"/>
          <w:lang w:val="zh-CN"/>
        </w:rPr>
        <w:t>妥善处置群体性事件；</w:t>
      </w:r>
      <w:r>
        <w:rPr>
          <w:rFonts w:hint="eastAsia" w:ascii="仿宋_GB2312" w:hAnsi="仿宋_GB2312" w:eastAsia="仿宋_GB2312" w:cs="仿宋_GB2312"/>
          <w:color w:val="000000"/>
          <w:sz w:val="32"/>
          <w:szCs w:val="32"/>
          <w:lang w:val="zh-CN" w:eastAsia="zh-CN"/>
        </w:rPr>
        <w:t>扫黑除恶斗争常态化</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zh-CN" w:eastAsia="zh-CN"/>
        </w:rPr>
        <w:t>深入开展“六</w:t>
      </w:r>
      <w:r>
        <w:rPr>
          <w:rFonts w:hint="eastAsia" w:hAnsi="仿宋_GB2312" w:eastAsia="仿宋_GB2312" w:cs="仿宋_GB2312"/>
          <w:color w:val="000000"/>
          <w:sz w:val="32"/>
          <w:szCs w:val="32"/>
          <w:lang w:val="zh-CN"/>
        </w:rPr>
        <w:t>五</w:t>
      </w:r>
      <w:r>
        <w:rPr>
          <w:rFonts w:hint="eastAsia" w:ascii="仿宋_GB2312" w:hAnsi="仿宋_GB2312" w:eastAsia="仿宋_GB2312" w:cs="仿宋_GB2312"/>
          <w:color w:val="000000"/>
          <w:sz w:val="32"/>
          <w:szCs w:val="32"/>
          <w:lang w:val="zh-CN" w:eastAsia="zh-CN"/>
        </w:rPr>
        <w:t>”斗争，有效防范化解政治安全风险</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zh-CN" w:eastAsia="zh-CN"/>
        </w:rPr>
        <w:t>深入推进反邪教工作</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zh-CN" w:eastAsia="zh-CN"/>
        </w:rPr>
        <w:t>完善社会治安防控体系，开展矛盾纠纷预防化解，加强社会治安综合治理，推进市域社会治理现代化，建设更高水平平安广元</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zh-CN" w:eastAsia="zh-CN"/>
        </w:rPr>
        <w:t>组织开展重大风险化解攻坚</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zh-CN" w:eastAsia="zh-CN"/>
        </w:rPr>
        <w:t>认真贯彻执行《中国共产党政法工作条例》，严格落实《关于巩固全国政法队伍教育整顿成果推进全面从严管党治警的意见》</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zh-CN" w:eastAsia="zh-CN"/>
        </w:rPr>
        <w:t>深入推进社会稳定风险评估</w:t>
      </w:r>
      <w:r>
        <w:rPr>
          <w:rFonts w:hint="eastAsia" w:ascii="仿宋_GB2312" w:hAnsi="仿宋_GB2312" w:eastAsia="仿宋_GB2312" w:cs="仿宋_GB2312"/>
          <w:color w:val="00000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（四）部门整体支出绩效目标。</w:t>
      </w:r>
    </w:p>
    <w:p>
      <w:pPr>
        <w:pStyle w:val="2"/>
        <w:keepNext w:val="0"/>
        <w:keepLines w:val="0"/>
        <w:pageBreakBefore w:val="0"/>
        <w:widowControl w:val="0"/>
        <w:kinsoku/>
        <w:wordWrap/>
        <w:overflowPunct/>
        <w:topLinePunct w:val="0"/>
        <w:bidi w:val="0"/>
        <w:snapToGrid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目标</w:t>
      </w:r>
      <w:r>
        <w:rPr>
          <w:rFonts w:hint="eastAsia" w:ascii="仿宋_GB2312" w:hAnsi="仿宋_GB2312" w:eastAsia="仿宋_GB2312" w:cs="仿宋_GB2312"/>
          <w:color w:val="000000"/>
          <w:sz w:val="32"/>
          <w:szCs w:val="32"/>
          <w:lang w:val="en-US"/>
        </w:rPr>
        <w:t>1</w:t>
      </w:r>
      <w:r>
        <w:rPr>
          <w:rFonts w:hint="eastAsia" w:ascii="仿宋_GB2312" w:hAnsi="仿宋_GB2312" w:eastAsia="仿宋_GB2312" w:cs="仿宋_GB2312"/>
          <w:color w:val="000000"/>
          <w:sz w:val="32"/>
          <w:szCs w:val="32"/>
          <w:lang w:val="zh-CN"/>
        </w:rPr>
        <w:t>：防范化解重大社会稳定风险，妥善处置群体性事件。</w:t>
      </w:r>
    </w:p>
    <w:p>
      <w:pPr>
        <w:pStyle w:val="2"/>
        <w:keepNext w:val="0"/>
        <w:keepLines w:val="0"/>
        <w:pageBreakBefore w:val="0"/>
        <w:widowControl w:val="0"/>
        <w:kinsoku/>
        <w:wordWrap/>
        <w:overflowPunct/>
        <w:topLinePunct w:val="0"/>
        <w:bidi w:val="0"/>
        <w:snapToGrid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目标2：开展重大风险化解攻坚行动，有效解决区域性、行业系统性重大稳定风险问题。</w:t>
      </w:r>
    </w:p>
    <w:p>
      <w:pPr>
        <w:pStyle w:val="2"/>
        <w:keepNext w:val="0"/>
        <w:keepLines w:val="0"/>
        <w:pageBreakBefore w:val="0"/>
        <w:widowControl w:val="0"/>
        <w:kinsoku/>
        <w:wordWrap/>
        <w:overflowPunct/>
        <w:topLinePunct w:val="0"/>
        <w:bidi w:val="0"/>
        <w:snapToGrid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目标3：深入开展“五反”斗争，有效防范化解涉邪教风险隐患，确保维护国家政治安全。</w:t>
      </w:r>
    </w:p>
    <w:p>
      <w:pPr>
        <w:pStyle w:val="2"/>
        <w:keepNext w:val="0"/>
        <w:keepLines w:val="0"/>
        <w:pageBreakBefore w:val="0"/>
        <w:widowControl w:val="0"/>
        <w:kinsoku/>
        <w:wordWrap/>
        <w:overflowPunct/>
        <w:topLinePunct w:val="0"/>
        <w:bidi w:val="0"/>
        <w:snapToGrid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目标4：完善社会治安防控体系，开展矛盾纠纷预防化解，加强社会治安综合治理，推进市域社会治理现代化，建设更高水平平安广元。</w:t>
      </w:r>
    </w:p>
    <w:p>
      <w:pPr>
        <w:pStyle w:val="2"/>
        <w:keepNext w:val="0"/>
        <w:keepLines w:val="0"/>
        <w:pageBreakBefore w:val="0"/>
        <w:widowControl w:val="0"/>
        <w:kinsoku/>
        <w:wordWrap/>
        <w:overflowPunct/>
        <w:topLinePunct w:val="0"/>
        <w:bidi w:val="0"/>
        <w:snapToGrid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目标5：做好涉法涉诉信访工作，开展“治重化积”专项行动。</w:t>
      </w:r>
    </w:p>
    <w:p>
      <w:pPr>
        <w:pStyle w:val="2"/>
        <w:keepNext w:val="0"/>
        <w:keepLines w:val="0"/>
        <w:pageBreakBefore w:val="0"/>
        <w:widowControl w:val="0"/>
        <w:kinsoku/>
        <w:wordWrap/>
        <w:overflowPunct/>
        <w:topLinePunct w:val="0"/>
        <w:bidi w:val="0"/>
        <w:snapToGrid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目标6：强化执法监督，进一步提升执法司法公信力。</w:t>
      </w:r>
    </w:p>
    <w:p>
      <w:pPr>
        <w:pStyle w:val="2"/>
        <w:keepNext w:val="0"/>
        <w:keepLines w:val="0"/>
        <w:pageBreakBefore w:val="0"/>
        <w:widowControl w:val="0"/>
        <w:kinsoku/>
        <w:wordWrap/>
        <w:overflowPunct/>
        <w:topLinePunct w:val="0"/>
        <w:bidi w:val="0"/>
        <w:snapToGrid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目标7：推动重大决策社会稳定风险评估“全覆盖”。</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outlineLvl w:val="1"/>
        <w:rPr>
          <w:rFonts w:hint="eastAsia" w:ascii="黑体" w:hAnsi="黑体" w:eastAsia="黑体" w:cs="黑体"/>
          <w:b w:val="0"/>
          <w:bCs w:val="0"/>
          <w:color w:val="000000"/>
          <w:kern w:val="0"/>
          <w:sz w:val="32"/>
          <w:szCs w:val="32"/>
          <w:highlight w:val="none"/>
          <w:shd w:val="clear" w:color="auto" w:fill="FFFFFF"/>
        </w:rPr>
      </w:pPr>
      <w:bookmarkStart w:id="78" w:name="_Toc24939"/>
      <w:r>
        <w:rPr>
          <w:rFonts w:hint="eastAsia" w:ascii="黑体" w:hAnsi="黑体" w:eastAsia="黑体" w:cs="黑体"/>
          <w:b w:val="0"/>
          <w:bCs w:val="0"/>
          <w:color w:val="000000"/>
          <w:kern w:val="0"/>
          <w:sz w:val="32"/>
          <w:szCs w:val="32"/>
          <w:highlight w:val="none"/>
          <w:shd w:val="clear" w:color="auto" w:fill="FFFFFF"/>
        </w:rPr>
        <w:t>二、</w:t>
      </w:r>
      <w:r>
        <w:rPr>
          <w:rFonts w:hint="eastAsia" w:ascii="黑体" w:hAnsi="黑体" w:eastAsia="黑体" w:cs="黑体"/>
          <w:b w:val="0"/>
          <w:bCs w:val="0"/>
          <w:color w:val="000000"/>
          <w:kern w:val="0"/>
          <w:sz w:val="32"/>
          <w:szCs w:val="32"/>
          <w:highlight w:val="none"/>
          <w:shd w:val="clear" w:color="auto" w:fill="FFFFFF"/>
          <w:lang w:eastAsia="zh-CN"/>
        </w:rPr>
        <w:t>部门</w:t>
      </w:r>
      <w:r>
        <w:rPr>
          <w:rFonts w:hint="eastAsia" w:ascii="黑体" w:hAnsi="黑体" w:eastAsia="黑体" w:cs="黑体"/>
          <w:b w:val="0"/>
          <w:bCs w:val="0"/>
          <w:color w:val="000000"/>
          <w:kern w:val="0"/>
          <w:sz w:val="32"/>
          <w:szCs w:val="32"/>
          <w:highlight w:val="none"/>
          <w:shd w:val="clear" w:color="auto" w:fill="FFFFFF"/>
        </w:rPr>
        <w:t>资金收支情况</w:t>
      </w:r>
      <w:bookmarkEnd w:id="78"/>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（一）部门总体收支情况。</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1.部门总体收入情况</w:t>
      </w:r>
    </w:p>
    <w:p>
      <w:pPr>
        <w:pStyle w:val="2"/>
        <w:keepNext w:val="0"/>
        <w:keepLines w:val="0"/>
        <w:pageBreakBefore w:val="0"/>
        <w:kinsoku/>
        <w:wordWrap/>
        <w:overflowPunct/>
        <w:topLinePunct w:val="0"/>
        <w:bidi w:val="0"/>
        <w:spacing w:after="0" w:line="360" w:lineRule="auto"/>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rPr>
        <w:t>2</w:t>
      </w:r>
      <w:r>
        <w:rPr>
          <w:rFonts w:hint="eastAsia" w:ascii="仿宋_GB2312" w:hAnsi="仿宋_GB2312" w:eastAsia="仿宋_GB2312" w:cs="仿宋_GB2312"/>
          <w:color w:val="000000"/>
          <w:sz w:val="32"/>
          <w:szCs w:val="32"/>
          <w:highlight w:val="none"/>
        </w:rPr>
        <w:t>年本年收入合计</w:t>
      </w:r>
      <w:r>
        <w:rPr>
          <w:rFonts w:hint="eastAsia" w:ascii="仿宋_GB2312" w:hAnsi="仿宋_GB2312" w:eastAsia="仿宋_GB2312" w:cs="仿宋_GB2312"/>
          <w:color w:val="000000"/>
          <w:sz w:val="32"/>
          <w:szCs w:val="32"/>
          <w:highlight w:val="none"/>
          <w:lang w:val="en-US"/>
        </w:rPr>
        <w:t>1897.87</w:t>
      </w:r>
      <w:r>
        <w:rPr>
          <w:rFonts w:hint="eastAsia" w:ascii="仿宋_GB2312" w:hAnsi="仿宋_GB2312" w:eastAsia="仿宋_GB2312" w:cs="仿宋_GB2312"/>
          <w:color w:val="000000"/>
          <w:sz w:val="32"/>
          <w:szCs w:val="32"/>
          <w:highlight w:val="none"/>
        </w:rPr>
        <w:t>万元，其中：</w:t>
      </w:r>
      <w:r>
        <w:rPr>
          <w:rFonts w:hint="eastAsia" w:ascii="仿宋_GB2312" w:hAnsi="仿宋_GB2312" w:eastAsia="仿宋_GB2312" w:cs="仿宋_GB2312"/>
          <w:color w:val="000000"/>
          <w:sz w:val="32"/>
          <w:szCs w:val="32"/>
          <w:highlight w:val="none"/>
          <w:lang w:val="en-US"/>
        </w:rPr>
        <w:t>人员经费1083.39万元，</w:t>
      </w:r>
      <w:r>
        <w:rPr>
          <w:rFonts w:hint="eastAsia" w:ascii="仿宋_GB2312" w:hAnsi="仿宋_GB2312" w:eastAsia="仿宋_GB2312" w:cs="仿宋_GB2312"/>
          <w:color w:val="000000"/>
          <w:sz w:val="32"/>
          <w:szCs w:val="32"/>
          <w:highlight w:val="none"/>
          <w:lang w:val="en-US" w:eastAsia="zh-CN"/>
        </w:rPr>
        <w:t>占57.</w:t>
      </w:r>
      <w:r>
        <w:rPr>
          <w:rFonts w:hint="eastAsia" w:ascii="仿宋_GB2312" w:hAnsi="仿宋_GB2312" w:eastAsia="仿宋_GB2312" w:cs="仿宋_GB2312"/>
          <w:color w:val="000000"/>
          <w:sz w:val="32"/>
          <w:szCs w:val="32"/>
          <w:highlight w:val="none"/>
          <w:lang w:val="en-US"/>
        </w:rPr>
        <w:t>09</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rPr>
        <w:t>公用经费156.45万元，</w:t>
      </w:r>
      <w:r>
        <w:rPr>
          <w:rFonts w:hint="eastAsia" w:ascii="仿宋_GB2312" w:hAnsi="仿宋_GB2312" w:eastAsia="仿宋_GB2312" w:cs="仿宋_GB2312"/>
          <w:color w:val="000000"/>
          <w:sz w:val="32"/>
          <w:szCs w:val="32"/>
          <w:highlight w:val="none"/>
          <w:lang w:val="en-US" w:eastAsia="zh-CN"/>
        </w:rPr>
        <w:t>占8.24%；</w:t>
      </w:r>
      <w:r>
        <w:rPr>
          <w:rFonts w:hint="eastAsia" w:ascii="仿宋_GB2312" w:hAnsi="仿宋_GB2312" w:eastAsia="仿宋_GB2312" w:cs="仿宋_GB2312"/>
          <w:color w:val="000000"/>
          <w:sz w:val="32"/>
          <w:szCs w:val="32"/>
          <w:highlight w:val="none"/>
          <w:lang w:val="en-US"/>
        </w:rPr>
        <w:t>项目经费658.03万元</w:t>
      </w:r>
      <w:r>
        <w:rPr>
          <w:rFonts w:hint="eastAsia"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其中代管资金</w:t>
      </w:r>
      <w:r>
        <w:rPr>
          <w:rFonts w:hint="eastAsia" w:ascii="仿宋_GB2312" w:hAnsi="仿宋_GB2312" w:eastAsia="仿宋_GB2312" w:cs="仿宋_GB2312"/>
          <w:color w:val="000000"/>
          <w:sz w:val="32"/>
          <w:szCs w:val="32"/>
          <w:highlight w:val="none"/>
          <w:lang w:val="en-US"/>
        </w:rPr>
        <w:t>131万元</w:t>
      </w:r>
      <w:r>
        <w:rPr>
          <w:rFonts w:hint="eastAsia"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占</w:t>
      </w:r>
      <w:r>
        <w:rPr>
          <w:rFonts w:hint="eastAsia" w:ascii="仿宋_GB2312" w:hAnsi="仿宋_GB2312" w:eastAsia="仿宋_GB2312" w:cs="仿宋_GB2312"/>
          <w:color w:val="000000"/>
          <w:sz w:val="32"/>
          <w:szCs w:val="32"/>
          <w:highlight w:val="none"/>
          <w:lang w:val="en-US"/>
        </w:rPr>
        <w:t>34.67</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2.部门总体支出情况</w:t>
      </w:r>
    </w:p>
    <w:p>
      <w:pPr>
        <w:pStyle w:val="2"/>
        <w:keepNext w:val="0"/>
        <w:keepLines w:val="0"/>
        <w:pageBreakBefore w:val="0"/>
        <w:kinsoku/>
        <w:wordWrap/>
        <w:overflowPunct/>
        <w:topLinePunct w:val="0"/>
        <w:bidi w:val="0"/>
        <w:spacing w:after="0" w:line="360" w:lineRule="auto"/>
        <w:ind w:lef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rPr>
        <w:t>2</w:t>
      </w:r>
      <w:r>
        <w:rPr>
          <w:rFonts w:hint="eastAsia" w:ascii="仿宋_GB2312" w:hAnsi="仿宋_GB2312" w:eastAsia="仿宋_GB2312" w:cs="仿宋_GB2312"/>
          <w:color w:val="000000"/>
          <w:sz w:val="32"/>
          <w:szCs w:val="32"/>
          <w:highlight w:val="none"/>
        </w:rPr>
        <w:t>年本年支出合计</w:t>
      </w:r>
      <w:r>
        <w:rPr>
          <w:rFonts w:hint="eastAsia" w:ascii="仿宋_GB2312" w:hAnsi="仿宋_GB2312" w:eastAsia="仿宋_GB2312" w:cs="仿宋_GB2312"/>
          <w:color w:val="000000"/>
          <w:sz w:val="32"/>
          <w:szCs w:val="32"/>
          <w:highlight w:val="none"/>
          <w:lang w:val="en-US" w:eastAsia="zh-CN"/>
        </w:rPr>
        <w:t>1635.29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kern w:val="2"/>
          <w:sz w:val="32"/>
          <w:szCs w:val="32"/>
          <w:lang w:val="en-US" w:bidi="ar-SA"/>
        </w:rPr>
        <w:t>全年执行率为86.16%。</w:t>
      </w:r>
      <w:r>
        <w:rPr>
          <w:rFonts w:hint="eastAsia" w:ascii="仿宋_GB2312" w:hAnsi="仿宋_GB2312" w:eastAsia="仿宋_GB2312" w:cs="仿宋_GB2312"/>
          <w:color w:val="000000"/>
          <w:sz w:val="32"/>
          <w:szCs w:val="32"/>
          <w:highlight w:val="none"/>
        </w:rPr>
        <w:t>其中：人员经费支出</w:t>
      </w:r>
      <w:r>
        <w:rPr>
          <w:rFonts w:hint="eastAsia" w:ascii="仿宋_GB2312" w:hAnsi="仿宋_GB2312" w:eastAsia="仿宋_GB2312" w:cs="仿宋_GB2312"/>
          <w:color w:val="000000"/>
          <w:sz w:val="32"/>
          <w:szCs w:val="32"/>
          <w:highlight w:val="none"/>
          <w:lang w:val="en-US"/>
        </w:rPr>
        <w:t>1063.62万元，</w:t>
      </w:r>
      <w:r>
        <w:rPr>
          <w:rFonts w:hint="eastAsia" w:ascii="仿宋_GB2312" w:hAnsi="仿宋_GB2312" w:eastAsia="仿宋_GB2312" w:cs="仿宋_GB2312"/>
          <w:color w:val="000000"/>
          <w:kern w:val="2"/>
          <w:sz w:val="32"/>
          <w:szCs w:val="32"/>
          <w:lang w:val="en-US" w:bidi="ar-SA"/>
        </w:rPr>
        <w:t>执行率98.18%</w:t>
      </w:r>
      <w:r>
        <w:rPr>
          <w:rFonts w:hint="eastAsia" w:ascii="仿宋_GB2312" w:hAnsi="仿宋_GB2312" w:eastAsia="仿宋_GB2312" w:cs="仿宋_GB2312"/>
          <w:color w:val="000000"/>
          <w:sz w:val="32"/>
          <w:szCs w:val="32"/>
          <w:highlight w:val="none"/>
        </w:rPr>
        <w:t>；公用经费支出</w:t>
      </w:r>
      <w:r>
        <w:rPr>
          <w:rFonts w:hint="eastAsia" w:ascii="仿宋_GB2312" w:hAnsi="仿宋_GB2312" w:eastAsia="仿宋_GB2312" w:cs="仿宋_GB2312"/>
          <w:color w:val="000000"/>
          <w:sz w:val="32"/>
          <w:szCs w:val="32"/>
          <w:highlight w:val="none"/>
          <w:lang w:val="en-US"/>
        </w:rPr>
        <w:t>156.45万元，执行率100%</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项目支出</w:t>
      </w:r>
      <w:r>
        <w:rPr>
          <w:rFonts w:hint="eastAsia" w:ascii="仿宋_GB2312" w:hAnsi="仿宋_GB2312" w:eastAsia="仿宋_GB2312" w:cs="仿宋_GB2312"/>
          <w:color w:val="000000"/>
          <w:sz w:val="32"/>
          <w:szCs w:val="32"/>
          <w:highlight w:val="none"/>
          <w:lang w:val="en-US"/>
        </w:rPr>
        <w:t>415.22</w:t>
      </w:r>
      <w:r>
        <w:rPr>
          <w:rFonts w:hint="eastAsia" w:ascii="仿宋_GB2312" w:hAnsi="仿宋_GB2312" w:eastAsia="仿宋_GB2312" w:cs="仿宋_GB2312"/>
          <w:color w:val="000000"/>
          <w:sz w:val="32"/>
          <w:szCs w:val="32"/>
          <w:highlight w:val="none"/>
        </w:rPr>
        <w:t>万元</w:t>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rPr>
        <w:t>其中代管资金125.45万元</w:t>
      </w:r>
      <w:r>
        <w:rPr>
          <w:rFonts w:hint="eastAsia"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kern w:val="2"/>
          <w:sz w:val="32"/>
          <w:szCs w:val="32"/>
          <w:lang w:val="en-US" w:bidi="ar-SA"/>
        </w:rPr>
        <w:t>执行率63.1%</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3.部门总体结转结余情况</w:t>
      </w:r>
    </w:p>
    <w:p>
      <w:pPr>
        <w:pStyle w:val="2"/>
        <w:keepNext w:val="0"/>
        <w:keepLines w:val="0"/>
        <w:pageBreakBefore w:val="0"/>
        <w:kinsoku/>
        <w:wordWrap/>
        <w:overflowPunct/>
        <w:topLinePunct w:val="0"/>
        <w:bidi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2022年年末结转结余252.65万元，其中人员经费19.77万元，占7.83%，主要是2022年基础绩效部分应交养老保险、公积金等结转；项目经费232.88万元，占92.17%，主要是维护社会稳定、扫黑除恶、多元化解工作和智慧政法-涉密视频会商系统经费结转。</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（二）部门财政拨款收支情况。</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1.部门财政拨款收入情况</w:t>
      </w:r>
    </w:p>
    <w:p>
      <w:pPr>
        <w:pStyle w:val="2"/>
        <w:keepNext w:val="0"/>
        <w:keepLines w:val="0"/>
        <w:pageBreakBefore w:val="0"/>
        <w:kinsoku/>
        <w:wordWrap/>
        <w:overflowPunct/>
        <w:topLinePunct w:val="0"/>
        <w:bidi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rPr>
        <w:t>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eastAsia="zh-CN"/>
        </w:rPr>
        <w:t>部门财政拨款</w:t>
      </w:r>
      <w:r>
        <w:rPr>
          <w:rFonts w:hint="eastAsia" w:ascii="仿宋_GB2312" w:hAnsi="仿宋_GB2312" w:eastAsia="仿宋_GB2312" w:cs="仿宋_GB2312"/>
          <w:color w:val="000000"/>
          <w:sz w:val="32"/>
          <w:szCs w:val="32"/>
          <w:highlight w:val="none"/>
        </w:rPr>
        <w:t>收入合计</w:t>
      </w:r>
      <w:r>
        <w:rPr>
          <w:rFonts w:hint="eastAsia" w:ascii="仿宋_GB2312" w:hAnsi="仿宋_GB2312" w:eastAsia="仿宋_GB2312" w:cs="仿宋_GB2312"/>
          <w:color w:val="000000"/>
          <w:sz w:val="32"/>
          <w:szCs w:val="32"/>
          <w:highlight w:val="none"/>
          <w:lang w:val="en-US" w:eastAsia="zh-CN"/>
        </w:rPr>
        <w:t>1766.87</w:t>
      </w:r>
      <w:r>
        <w:rPr>
          <w:rFonts w:hint="eastAsia" w:ascii="仿宋_GB2312" w:hAnsi="仿宋_GB2312" w:eastAsia="仿宋_GB2312" w:cs="仿宋_GB2312"/>
          <w:color w:val="000000"/>
          <w:sz w:val="32"/>
          <w:szCs w:val="32"/>
          <w:highlight w:val="none"/>
        </w:rPr>
        <w:t>万元，其中：</w:t>
      </w:r>
      <w:r>
        <w:rPr>
          <w:rFonts w:hint="eastAsia" w:ascii="仿宋_GB2312" w:hAnsi="仿宋_GB2312" w:eastAsia="仿宋_GB2312" w:cs="仿宋_GB2312"/>
          <w:color w:val="000000"/>
          <w:sz w:val="32"/>
          <w:szCs w:val="32"/>
          <w:highlight w:val="none"/>
          <w:lang w:val="en-US"/>
        </w:rPr>
        <w:t>人员经费1083.39万元，</w:t>
      </w:r>
      <w:r>
        <w:rPr>
          <w:rFonts w:hint="eastAsia" w:ascii="仿宋_GB2312" w:hAnsi="仿宋_GB2312" w:eastAsia="仿宋_GB2312" w:cs="仿宋_GB2312"/>
          <w:color w:val="000000"/>
          <w:sz w:val="32"/>
          <w:szCs w:val="32"/>
          <w:highlight w:val="none"/>
          <w:lang w:val="en-US" w:eastAsia="zh-CN"/>
        </w:rPr>
        <w:t>占61.</w:t>
      </w:r>
      <w:r>
        <w:rPr>
          <w:rFonts w:hint="eastAsia" w:ascii="仿宋_GB2312" w:hAnsi="仿宋_GB2312" w:eastAsia="仿宋_GB2312" w:cs="仿宋_GB2312"/>
          <w:color w:val="000000"/>
          <w:sz w:val="32"/>
          <w:szCs w:val="32"/>
          <w:highlight w:val="none"/>
          <w:lang w:val="en-US"/>
        </w:rPr>
        <w:t>32</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rPr>
        <w:t>公用经费156.45万元，</w:t>
      </w:r>
      <w:r>
        <w:rPr>
          <w:rFonts w:hint="eastAsia" w:ascii="仿宋_GB2312" w:hAnsi="仿宋_GB2312" w:eastAsia="仿宋_GB2312" w:cs="仿宋_GB2312"/>
          <w:color w:val="000000"/>
          <w:sz w:val="32"/>
          <w:szCs w:val="32"/>
          <w:highlight w:val="none"/>
          <w:lang w:val="en-US" w:eastAsia="zh-CN"/>
        </w:rPr>
        <w:t>占8.8</w:t>
      </w:r>
      <w:r>
        <w:rPr>
          <w:rFonts w:hint="eastAsia" w:ascii="仿宋_GB2312" w:hAnsi="仿宋_GB2312" w:eastAsia="仿宋_GB2312" w:cs="仿宋_GB2312"/>
          <w:color w:val="000000"/>
          <w:sz w:val="32"/>
          <w:szCs w:val="32"/>
          <w:highlight w:val="none"/>
          <w:lang w:val="en-US"/>
        </w:rPr>
        <w:t>6</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rPr>
        <w:t>项目经费</w:t>
      </w:r>
      <w:r>
        <w:rPr>
          <w:rFonts w:hint="eastAsia" w:ascii="仿宋_GB2312" w:hAnsi="仿宋_GB2312" w:eastAsia="仿宋_GB2312" w:cs="仿宋_GB2312"/>
          <w:color w:val="000000"/>
          <w:sz w:val="32"/>
          <w:szCs w:val="32"/>
          <w:highlight w:val="none"/>
          <w:lang w:val="en-US" w:eastAsia="zh-CN"/>
        </w:rPr>
        <w:t>52</w:t>
      </w:r>
      <w:r>
        <w:rPr>
          <w:rFonts w:hint="eastAsia" w:ascii="仿宋_GB2312" w:hAnsi="仿宋_GB2312" w:eastAsia="仿宋_GB2312" w:cs="仿宋_GB2312"/>
          <w:color w:val="000000"/>
          <w:sz w:val="32"/>
          <w:szCs w:val="32"/>
          <w:highlight w:val="none"/>
          <w:lang w:val="en-US"/>
        </w:rPr>
        <w:t>7</w:t>
      </w:r>
      <w:r>
        <w:rPr>
          <w:rFonts w:hint="eastAsia" w:ascii="仿宋_GB2312" w:hAnsi="仿宋_GB2312" w:eastAsia="仿宋_GB2312" w:cs="仿宋_GB2312"/>
          <w:color w:val="000000"/>
          <w:sz w:val="32"/>
          <w:szCs w:val="32"/>
          <w:highlight w:val="none"/>
          <w:lang w:val="en-US" w:eastAsia="zh-CN"/>
        </w:rPr>
        <w:t>.03</w:t>
      </w:r>
      <w:r>
        <w:rPr>
          <w:rFonts w:hint="eastAsia" w:ascii="仿宋_GB2312" w:hAnsi="仿宋_GB2312" w:eastAsia="仿宋_GB2312" w:cs="仿宋_GB2312"/>
          <w:color w:val="000000"/>
          <w:sz w:val="32"/>
          <w:szCs w:val="32"/>
          <w:highlight w:val="none"/>
          <w:lang w:val="en-US"/>
        </w:rPr>
        <w:t>万元</w:t>
      </w:r>
      <w:r>
        <w:rPr>
          <w:rFonts w:hint="eastAsia"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占</w:t>
      </w:r>
      <w:r>
        <w:rPr>
          <w:rFonts w:hint="eastAsia" w:ascii="仿宋_GB2312" w:hAnsi="仿宋_GB2312" w:eastAsia="仿宋_GB2312" w:cs="仿宋_GB2312"/>
          <w:color w:val="000000"/>
          <w:sz w:val="32"/>
          <w:szCs w:val="32"/>
          <w:highlight w:val="none"/>
          <w:lang w:val="en-US"/>
        </w:rPr>
        <w:t>29.83</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2.部门财政拨款支出情况</w:t>
      </w:r>
    </w:p>
    <w:p>
      <w:pPr>
        <w:pStyle w:val="2"/>
        <w:keepNext w:val="0"/>
        <w:keepLines w:val="0"/>
        <w:pageBreakBefore w:val="0"/>
        <w:kinsoku/>
        <w:wordWrap/>
        <w:overflowPunct/>
        <w:topLinePunct w:val="0"/>
        <w:bidi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rPr>
        <w:t>2</w:t>
      </w:r>
      <w:r>
        <w:rPr>
          <w:rFonts w:hint="eastAsia" w:ascii="仿宋_GB2312" w:hAnsi="仿宋_GB2312" w:eastAsia="仿宋_GB2312" w:cs="仿宋_GB2312"/>
          <w:color w:val="000000"/>
          <w:sz w:val="32"/>
          <w:szCs w:val="32"/>
          <w:highlight w:val="none"/>
        </w:rPr>
        <w:t>年部门财政拨款支出合计</w:t>
      </w:r>
      <w:r>
        <w:rPr>
          <w:rFonts w:hint="eastAsia" w:ascii="仿宋_GB2312" w:hAnsi="仿宋_GB2312" w:eastAsia="仿宋_GB2312" w:cs="仿宋_GB2312"/>
          <w:color w:val="000000"/>
          <w:sz w:val="32"/>
          <w:szCs w:val="32"/>
          <w:highlight w:val="none"/>
          <w:lang w:val="en-US"/>
        </w:rPr>
        <w:t>1509.84</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kern w:val="2"/>
          <w:sz w:val="32"/>
          <w:szCs w:val="32"/>
          <w:lang w:val="en-US" w:bidi="ar-SA"/>
        </w:rPr>
        <w:t>全年执行率为85.45%。</w:t>
      </w:r>
      <w:r>
        <w:rPr>
          <w:rFonts w:hint="eastAsia" w:ascii="仿宋_GB2312" w:hAnsi="仿宋_GB2312" w:eastAsia="仿宋_GB2312" w:cs="仿宋_GB2312"/>
          <w:color w:val="000000"/>
          <w:sz w:val="32"/>
          <w:szCs w:val="32"/>
          <w:highlight w:val="none"/>
        </w:rPr>
        <w:t>其中：人员经费支出</w:t>
      </w:r>
      <w:r>
        <w:rPr>
          <w:rFonts w:hint="eastAsia" w:ascii="仿宋_GB2312" w:hAnsi="仿宋_GB2312" w:eastAsia="仿宋_GB2312" w:cs="仿宋_GB2312"/>
          <w:color w:val="000000"/>
          <w:sz w:val="32"/>
          <w:szCs w:val="32"/>
          <w:highlight w:val="none"/>
          <w:lang w:val="en-US"/>
        </w:rPr>
        <w:t>1063.62万元，</w:t>
      </w:r>
      <w:r>
        <w:rPr>
          <w:rFonts w:hint="eastAsia" w:ascii="仿宋_GB2312" w:hAnsi="仿宋_GB2312" w:eastAsia="仿宋_GB2312" w:cs="仿宋_GB2312"/>
          <w:color w:val="000000"/>
          <w:kern w:val="2"/>
          <w:sz w:val="32"/>
          <w:szCs w:val="32"/>
          <w:lang w:val="en-US" w:bidi="ar-SA"/>
        </w:rPr>
        <w:t>执行率98.18%</w:t>
      </w:r>
      <w:r>
        <w:rPr>
          <w:rFonts w:hint="eastAsia" w:ascii="仿宋_GB2312" w:hAnsi="仿宋_GB2312" w:eastAsia="仿宋_GB2312" w:cs="仿宋_GB2312"/>
          <w:color w:val="000000"/>
          <w:sz w:val="32"/>
          <w:szCs w:val="32"/>
          <w:highlight w:val="none"/>
        </w:rPr>
        <w:t>；公用经费支出</w:t>
      </w:r>
      <w:r>
        <w:rPr>
          <w:rFonts w:hint="eastAsia" w:ascii="仿宋_GB2312" w:hAnsi="仿宋_GB2312" w:eastAsia="仿宋_GB2312" w:cs="仿宋_GB2312"/>
          <w:color w:val="000000"/>
          <w:sz w:val="32"/>
          <w:szCs w:val="32"/>
          <w:highlight w:val="none"/>
          <w:lang w:val="en-US"/>
        </w:rPr>
        <w:t>156.45万元，执行率100%</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项目支出</w:t>
      </w:r>
      <w:r>
        <w:rPr>
          <w:rFonts w:hint="eastAsia" w:ascii="仿宋_GB2312" w:hAnsi="仿宋_GB2312" w:eastAsia="仿宋_GB2312" w:cs="仿宋_GB2312"/>
          <w:color w:val="000000"/>
          <w:sz w:val="32"/>
          <w:szCs w:val="32"/>
          <w:highlight w:val="none"/>
          <w:lang w:val="en-US" w:eastAsia="zh-CN"/>
        </w:rPr>
        <w:t>28</w:t>
      </w:r>
      <w:r>
        <w:rPr>
          <w:rFonts w:hint="eastAsia" w:ascii="仿宋_GB2312" w:hAnsi="仿宋_GB2312" w:eastAsia="仿宋_GB2312" w:cs="仿宋_GB2312"/>
          <w:color w:val="000000"/>
          <w:sz w:val="32"/>
          <w:szCs w:val="32"/>
          <w:highlight w:val="none"/>
          <w:lang w:val="en-US"/>
        </w:rPr>
        <w:t>9</w:t>
      </w:r>
      <w:r>
        <w:rPr>
          <w:rFonts w:hint="eastAsia" w:ascii="仿宋_GB2312" w:hAnsi="仿宋_GB2312" w:eastAsia="仿宋_GB2312" w:cs="仿宋_GB2312"/>
          <w:color w:val="000000"/>
          <w:sz w:val="32"/>
          <w:szCs w:val="32"/>
          <w:highlight w:val="none"/>
          <w:lang w:val="en-US" w:eastAsia="zh-CN"/>
        </w:rPr>
        <w:t>.77</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kern w:val="2"/>
          <w:sz w:val="32"/>
          <w:szCs w:val="32"/>
          <w:lang w:val="en-US" w:bidi="ar-SA"/>
        </w:rPr>
        <w:t>执行率54.98%</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3.部门财政拨款结转结余情况</w:t>
      </w:r>
    </w:p>
    <w:p>
      <w:pPr>
        <w:pStyle w:val="2"/>
        <w:keepNext w:val="0"/>
        <w:keepLines w:val="0"/>
        <w:pageBreakBefore w:val="0"/>
        <w:kinsoku/>
        <w:wordWrap/>
        <w:overflowPunct/>
        <w:topLinePunct w:val="0"/>
        <w:bidi w:val="0"/>
        <w:spacing w:after="0" w:line="360" w:lineRule="auto"/>
        <w:ind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rPr>
        <w:t>2022年年末结转结余252.65万元，其中人员经费19.77万元，占7.83%，主要是2022年基础绩效部分应交养老保险、公积金等结转；项目经费232.88万元，占92.17%，主要是维护社会稳定、扫黑除恶、多元化解工作和智慧政法-涉密视频会商系统经费结转。</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outlineLvl w:val="1"/>
        <w:rPr>
          <w:rFonts w:hint="eastAsia" w:ascii="黑体" w:hAnsi="黑体" w:eastAsia="黑体" w:cs="黑体"/>
          <w:b w:val="0"/>
          <w:bCs w:val="0"/>
          <w:color w:val="000000"/>
          <w:kern w:val="0"/>
          <w:sz w:val="32"/>
          <w:szCs w:val="32"/>
          <w:highlight w:val="none"/>
          <w:shd w:val="clear" w:color="auto" w:fill="FFFFFF"/>
          <w:lang w:eastAsia="zh-CN"/>
        </w:rPr>
      </w:pPr>
      <w:bookmarkStart w:id="79" w:name="_Toc28225"/>
      <w:r>
        <w:rPr>
          <w:rFonts w:hint="eastAsia" w:ascii="黑体" w:hAnsi="黑体" w:eastAsia="黑体" w:cs="黑体"/>
          <w:b w:val="0"/>
          <w:bCs w:val="0"/>
          <w:color w:val="000000"/>
          <w:kern w:val="0"/>
          <w:sz w:val="32"/>
          <w:szCs w:val="32"/>
          <w:highlight w:val="none"/>
          <w:shd w:val="clear" w:color="auto" w:fill="FFFFFF"/>
        </w:rPr>
        <w:t>三、部门整体绩效</w:t>
      </w:r>
      <w:r>
        <w:rPr>
          <w:rFonts w:hint="eastAsia" w:ascii="黑体" w:hAnsi="黑体" w:eastAsia="黑体" w:cs="黑体"/>
          <w:b w:val="0"/>
          <w:bCs w:val="0"/>
          <w:color w:val="000000"/>
          <w:kern w:val="0"/>
          <w:sz w:val="32"/>
          <w:szCs w:val="32"/>
          <w:highlight w:val="none"/>
          <w:shd w:val="clear" w:color="auto" w:fill="FFFFFF"/>
          <w:lang w:eastAsia="zh-CN"/>
        </w:rPr>
        <w:t>分析</w:t>
      </w:r>
      <w:bookmarkEnd w:id="79"/>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（一）部门预算项目绩效分析。</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1.人员类项目绩效分析</w:t>
      </w:r>
    </w:p>
    <w:p>
      <w:pPr>
        <w:pStyle w:val="2"/>
        <w:keepNext w:val="0"/>
        <w:keepLines w:val="0"/>
        <w:pageBreakBefore w:val="0"/>
        <w:kinsoku/>
        <w:wordWrap/>
        <w:overflowPunct/>
        <w:topLinePunct w:val="0"/>
        <w:bidi w:val="0"/>
        <w:spacing w:after="0" w:line="360" w:lineRule="auto"/>
        <w:ind w:leftChars="0"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rPr>
      </w:pPr>
      <w:r>
        <w:rPr>
          <w:rFonts w:hint="eastAsia" w:ascii="仿宋_GB2312" w:hAnsi="仿宋_GB2312" w:eastAsia="仿宋_GB2312" w:cs="仿宋_GB2312"/>
          <w:b w:val="0"/>
          <w:bCs w:val="0"/>
          <w:color w:val="000000"/>
          <w:kern w:val="0"/>
          <w:sz w:val="32"/>
          <w:szCs w:val="32"/>
          <w:highlight w:val="none"/>
          <w:shd w:val="clear" w:color="auto" w:fill="FFFFFF"/>
          <w:lang w:val="zh-CN"/>
        </w:rPr>
        <w:t>我委人员类经费主要用于</w:t>
      </w:r>
      <w:r>
        <w:rPr>
          <w:rFonts w:hint="eastAsia" w:ascii="仿宋_GB2312" w:hAnsi="仿宋_GB2312" w:eastAsia="仿宋_GB2312" w:cs="仿宋_GB2312"/>
          <w:color w:val="000000"/>
          <w:sz w:val="32"/>
          <w:szCs w:val="32"/>
        </w:rPr>
        <w:t>工资奖金津补贴、其他工资福利支出。</w:t>
      </w:r>
      <w:r>
        <w:rPr>
          <w:rFonts w:hint="eastAsia" w:ascii="仿宋_GB2312" w:hAnsi="仿宋_GB2312" w:eastAsia="仿宋_GB2312" w:cs="仿宋_GB2312"/>
          <w:b w:val="0"/>
          <w:bCs w:val="0"/>
          <w:color w:val="000000"/>
          <w:kern w:val="0"/>
          <w:sz w:val="32"/>
          <w:szCs w:val="32"/>
          <w:highlight w:val="none"/>
          <w:shd w:val="clear" w:color="auto" w:fill="FFFFFF"/>
          <w:lang w:val="en-US"/>
        </w:rPr>
        <w:t>2022年人员经费收入</w:t>
      </w:r>
      <w:r>
        <w:rPr>
          <w:rFonts w:hint="eastAsia" w:ascii="仿宋_GB2312" w:hAnsi="仿宋_GB2312" w:eastAsia="仿宋_GB2312" w:cs="仿宋_GB2312"/>
          <w:color w:val="000000"/>
          <w:sz w:val="32"/>
          <w:szCs w:val="32"/>
          <w:highlight w:val="none"/>
          <w:lang w:val="en-US"/>
        </w:rPr>
        <w:t>1083.39</w:t>
      </w:r>
      <w:r>
        <w:rPr>
          <w:rFonts w:hint="eastAsia" w:ascii="仿宋_GB2312" w:hAnsi="仿宋_GB2312" w:eastAsia="仿宋_GB2312" w:cs="仿宋_GB2312"/>
          <w:b w:val="0"/>
          <w:bCs w:val="0"/>
          <w:color w:val="000000"/>
          <w:kern w:val="0"/>
          <w:sz w:val="32"/>
          <w:szCs w:val="32"/>
          <w:highlight w:val="none"/>
          <w:shd w:val="clear" w:color="auto" w:fill="FFFFFF"/>
          <w:lang w:val="en-US"/>
        </w:rPr>
        <w:t>万元，</w:t>
      </w:r>
      <w:r>
        <w:rPr>
          <w:rFonts w:hint="eastAsia" w:ascii="仿宋_GB2312" w:hAnsi="仿宋_GB2312" w:eastAsia="仿宋_GB2312" w:cs="仿宋_GB2312"/>
          <w:b w:val="0"/>
          <w:bCs w:val="0"/>
          <w:color w:val="000000"/>
          <w:kern w:val="0"/>
          <w:sz w:val="32"/>
          <w:szCs w:val="32"/>
          <w:highlight w:val="none"/>
          <w:shd w:val="clear" w:color="auto" w:fill="FFFFFF"/>
          <w:lang w:val="zh-CN"/>
        </w:rPr>
        <w:t>支出</w:t>
      </w:r>
      <w:r>
        <w:rPr>
          <w:rFonts w:hint="eastAsia" w:ascii="仿宋_GB2312" w:hAnsi="仿宋_GB2312" w:eastAsia="仿宋_GB2312" w:cs="仿宋_GB2312"/>
          <w:color w:val="000000"/>
          <w:sz w:val="32"/>
          <w:szCs w:val="32"/>
          <w:highlight w:val="none"/>
          <w:lang w:val="en-US"/>
        </w:rPr>
        <w:t>1063.62</w:t>
      </w:r>
      <w:r>
        <w:rPr>
          <w:rFonts w:hint="eastAsia" w:ascii="仿宋_GB2312" w:hAnsi="仿宋_GB2312" w:eastAsia="仿宋_GB2312" w:cs="仿宋_GB2312"/>
          <w:b w:val="0"/>
          <w:bCs w:val="0"/>
          <w:color w:val="000000"/>
          <w:kern w:val="0"/>
          <w:sz w:val="32"/>
          <w:szCs w:val="32"/>
          <w:highlight w:val="none"/>
          <w:shd w:val="clear" w:color="auto" w:fill="FFFFFF"/>
          <w:lang w:val="zh-CN"/>
        </w:rPr>
        <w:t>万元，资金执行率达到</w:t>
      </w:r>
      <w:r>
        <w:rPr>
          <w:rFonts w:hint="eastAsia" w:ascii="仿宋_GB2312" w:hAnsi="仿宋_GB2312" w:eastAsia="仿宋_GB2312" w:cs="仿宋_GB2312"/>
          <w:b w:val="0"/>
          <w:bCs w:val="0"/>
          <w:color w:val="000000"/>
          <w:kern w:val="0"/>
          <w:sz w:val="32"/>
          <w:szCs w:val="32"/>
          <w:highlight w:val="none"/>
          <w:shd w:val="clear" w:color="auto" w:fill="FFFFFF"/>
          <w:lang w:val="en-US"/>
        </w:rPr>
        <w:t>98.18</w:t>
      </w:r>
      <w:r>
        <w:rPr>
          <w:rFonts w:hint="eastAsia" w:ascii="仿宋_GB2312" w:hAnsi="仿宋_GB2312" w:eastAsia="仿宋_GB2312" w:cs="仿宋_GB2312"/>
          <w:b w:val="0"/>
          <w:bCs w:val="0"/>
          <w:color w:val="000000"/>
          <w:kern w:val="0"/>
          <w:sz w:val="32"/>
          <w:szCs w:val="32"/>
          <w:highlight w:val="none"/>
          <w:shd w:val="clear" w:color="auto" w:fill="FFFFFF"/>
          <w:lang w:val="zh-CN"/>
        </w:rPr>
        <w:t>%。结余部分为</w:t>
      </w:r>
      <w:r>
        <w:rPr>
          <w:rFonts w:hint="eastAsia" w:ascii="仿宋_GB2312" w:hAnsi="仿宋_GB2312" w:eastAsia="仿宋_GB2312" w:cs="仿宋_GB2312"/>
          <w:b w:val="0"/>
          <w:bCs w:val="0"/>
          <w:color w:val="000000"/>
          <w:kern w:val="0"/>
          <w:sz w:val="32"/>
          <w:szCs w:val="32"/>
          <w:highlight w:val="none"/>
          <w:shd w:val="clear" w:color="auto" w:fill="FFFFFF"/>
          <w:lang w:val="en-US"/>
        </w:rPr>
        <w:t>2022年基础绩效奖应交养老保险及公积金费用。</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2.运转类项目绩效分析</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rPr>
        <w:t>我委运转类经费主要用于办公费、印刷费、手续费、水费、电费、邮电费、差旅费、维修（护）费、租赁费、会议费、培训费、公务接待费、劳务费、委托业务费、工会经费、福利费、公务用车运行维护费、其他交通费等支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bCs w:val="0"/>
          <w:color w:val="000000"/>
          <w:kern w:val="0"/>
          <w:sz w:val="32"/>
          <w:szCs w:val="32"/>
          <w:highlight w:val="none"/>
          <w:shd w:val="clear" w:color="auto" w:fill="FFFFFF"/>
          <w:lang w:val="en-US"/>
        </w:rPr>
        <w:t>2022年运转类经费收入</w:t>
      </w:r>
      <w:r>
        <w:rPr>
          <w:rFonts w:hint="eastAsia" w:ascii="仿宋_GB2312" w:hAnsi="仿宋_GB2312" w:eastAsia="仿宋_GB2312" w:cs="仿宋_GB2312"/>
          <w:color w:val="000000"/>
          <w:sz w:val="32"/>
          <w:szCs w:val="32"/>
          <w:highlight w:val="none"/>
          <w:lang w:val="en-US"/>
        </w:rPr>
        <w:t>156.45</w:t>
      </w:r>
      <w:r>
        <w:rPr>
          <w:rFonts w:hint="eastAsia" w:ascii="仿宋_GB2312" w:hAnsi="仿宋_GB2312" w:eastAsia="仿宋_GB2312" w:cs="仿宋_GB2312"/>
          <w:b w:val="0"/>
          <w:bCs w:val="0"/>
          <w:color w:val="000000"/>
          <w:kern w:val="0"/>
          <w:sz w:val="32"/>
          <w:szCs w:val="32"/>
          <w:highlight w:val="none"/>
          <w:shd w:val="clear" w:color="auto" w:fill="FFFFFF"/>
          <w:lang w:val="en-US"/>
        </w:rPr>
        <w:t>万元，</w:t>
      </w:r>
      <w:r>
        <w:rPr>
          <w:rFonts w:hint="eastAsia" w:ascii="仿宋_GB2312" w:hAnsi="仿宋_GB2312" w:eastAsia="仿宋_GB2312" w:cs="仿宋_GB2312"/>
          <w:b w:val="0"/>
          <w:bCs w:val="0"/>
          <w:color w:val="000000"/>
          <w:kern w:val="0"/>
          <w:sz w:val="32"/>
          <w:szCs w:val="32"/>
          <w:highlight w:val="none"/>
          <w:shd w:val="clear" w:color="auto" w:fill="FFFFFF"/>
          <w:lang w:val="zh-CN"/>
        </w:rPr>
        <w:t>支出</w:t>
      </w:r>
      <w:r>
        <w:rPr>
          <w:rFonts w:hint="eastAsia" w:ascii="仿宋_GB2312" w:hAnsi="仿宋_GB2312" w:eastAsia="仿宋_GB2312" w:cs="仿宋_GB2312"/>
          <w:color w:val="000000"/>
          <w:sz w:val="32"/>
          <w:szCs w:val="32"/>
          <w:highlight w:val="none"/>
          <w:lang w:val="en-US"/>
        </w:rPr>
        <w:t>156.45</w:t>
      </w:r>
      <w:r>
        <w:rPr>
          <w:rFonts w:hint="eastAsia" w:ascii="仿宋_GB2312" w:hAnsi="仿宋_GB2312" w:eastAsia="仿宋_GB2312" w:cs="仿宋_GB2312"/>
          <w:b w:val="0"/>
          <w:bCs w:val="0"/>
          <w:color w:val="000000"/>
          <w:kern w:val="0"/>
          <w:sz w:val="32"/>
          <w:szCs w:val="32"/>
          <w:highlight w:val="none"/>
          <w:shd w:val="clear" w:color="auto" w:fill="FFFFFF"/>
          <w:lang w:val="zh-CN"/>
        </w:rPr>
        <w:t>万元，资金执行率达到</w:t>
      </w:r>
      <w:r>
        <w:rPr>
          <w:rFonts w:hint="eastAsia" w:ascii="仿宋_GB2312" w:hAnsi="仿宋_GB2312" w:eastAsia="仿宋_GB2312" w:cs="仿宋_GB2312"/>
          <w:b w:val="0"/>
          <w:bCs w:val="0"/>
          <w:color w:val="000000"/>
          <w:kern w:val="0"/>
          <w:sz w:val="32"/>
          <w:szCs w:val="32"/>
          <w:highlight w:val="none"/>
          <w:shd w:val="clear" w:color="auto" w:fill="FFFFFF"/>
          <w:lang w:val="en-US"/>
        </w:rPr>
        <w:t>100</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3.特定目标类项目绩效分析</w:t>
      </w:r>
    </w:p>
    <w:p>
      <w:pPr>
        <w:pStyle w:val="2"/>
        <w:keepNext w:val="0"/>
        <w:keepLines w:val="0"/>
        <w:pageBreakBefore w:val="0"/>
        <w:widowControl w:val="0"/>
        <w:kinsoku/>
        <w:wordWrap/>
        <w:overflowPunct/>
        <w:topLinePunct w:val="0"/>
        <w:autoSpaceDE/>
        <w:autoSpaceDN/>
        <w:bidi w:val="0"/>
        <w:snapToGrid w:val="0"/>
        <w:spacing w:after="0" w:line="360" w:lineRule="auto"/>
        <w:ind w:leftChars="0"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rPr>
        <w:t>我委特定目标类经费主要用于“平安广元”建设工作、政治安全与反邪教指导工作、涉法涉诉信访工作、政法三级专网运维费、派驻纪检组工作、多元矛盾纠纷化解工作等项目的开支。</w:t>
      </w:r>
      <w:r>
        <w:rPr>
          <w:rFonts w:hint="eastAsia" w:ascii="仿宋_GB2312" w:hAnsi="仿宋_GB2312" w:eastAsia="仿宋_GB2312" w:cs="仿宋_GB2312"/>
          <w:b w:val="0"/>
          <w:bCs w:val="0"/>
          <w:color w:val="000000"/>
          <w:kern w:val="0"/>
          <w:sz w:val="32"/>
          <w:szCs w:val="32"/>
          <w:highlight w:val="none"/>
          <w:shd w:val="clear" w:color="auto" w:fill="FFFFFF"/>
          <w:lang w:val="en-US"/>
        </w:rPr>
        <w:t>2022年特定目标类收入</w:t>
      </w:r>
      <w:r>
        <w:rPr>
          <w:rFonts w:hint="eastAsia" w:ascii="仿宋_GB2312" w:hAnsi="仿宋_GB2312" w:eastAsia="仿宋_GB2312" w:cs="仿宋_GB2312"/>
          <w:color w:val="000000"/>
          <w:sz w:val="32"/>
          <w:szCs w:val="32"/>
          <w:highlight w:val="none"/>
          <w:lang w:val="en-US" w:eastAsia="zh-CN"/>
        </w:rPr>
        <w:t>52</w:t>
      </w:r>
      <w:r>
        <w:rPr>
          <w:rFonts w:hint="eastAsia" w:ascii="仿宋_GB2312" w:hAnsi="仿宋_GB2312" w:eastAsia="仿宋_GB2312" w:cs="仿宋_GB2312"/>
          <w:color w:val="000000"/>
          <w:sz w:val="32"/>
          <w:szCs w:val="32"/>
          <w:highlight w:val="none"/>
          <w:lang w:val="en-US"/>
        </w:rPr>
        <w:t>7</w:t>
      </w:r>
      <w:r>
        <w:rPr>
          <w:rFonts w:hint="eastAsia" w:ascii="仿宋_GB2312" w:hAnsi="仿宋_GB2312" w:eastAsia="仿宋_GB2312" w:cs="仿宋_GB2312"/>
          <w:color w:val="000000"/>
          <w:sz w:val="32"/>
          <w:szCs w:val="32"/>
          <w:highlight w:val="none"/>
          <w:lang w:val="en-US" w:eastAsia="zh-CN"/>
        </w:rPr>
        <w:t>.03</w:t>
      </w:r>
      <w:r>
        <w:rPr>
          <w:rFonts w:hint="eastAsia" w:ascii="仿宋_GB2312" w:hAnsi="仿宋_GB2312" w:eastAsia="仿宋_GB2312" w:cs="仿宋_GB2312"/>
          <w:b w:val="0"/>
          <w:bCs w:val="0"/>
          <w:color w:val="000000"/>
          <w:kern w:val="0"/>
          <w:sz w:val="32"/>
          <w:szCs w:val="32"/>
          <w:highlight w:val="none"/>
          <w:shd w:val="clear" w:color="auto" w:fill="FFFFFF"/>
          <w:lang w:val="en-US"/>
        </w:rPr>
        <w:t>万元，</w:t>
      </w:r>
      <w:r>
        <w:rPr>
          <w:rFonts w:hint="eastAsia" w:ascii="仿宋_GB2312" w:hAnsi="仿宋_GB2312" w:eastAsia="仿宋_GB2312" w:cs="仿宋_GB2312"/>
          <w:b w:val="0"/>
          <w:bCs w:val="0"/>
          <w:color w:val="000000"/>
          <w:kern w:val="0"/>
          <w:sz w:val="32"/>
          <w:szCs w:val="32"/>
          <w:highlight w:val="none"/>
          <w:shd w:val="clear" w:color="auto" w:fill="FFFFFF"/>
          <w:lang w:val="zh-CN"/>
        </w:rPr>
        <w:t>支出</w:t>
      </w:r>
      <w:r>
        <w:rPr>
          <w:rFonts w:hint="eastAsia" w:ascii="仿宋_GB2312" w:hAnsi="仿宋_GB2312" w:eastAsia="仿宋_GB2312" w:cs="仿宋_GB2312"/>
          <w:color w:val="000000"/>
          <w:sz w:val="32"/>
          <w:szCs w:val="32"/>
          <w:highlight w:val="none"/>
          <w:lang w:val="en-US" w:eastAsia="zh-CN"/>
        </w:rPr>
        <w:t>28</w:t>
      </w:r>
      <w:r>
        <w:rPr>
          <w:rFonts w:hint="eastAsia" w:ascii="仿宋_GB2312" w:hAnsi="仿宋_GB2312" w:eastAsia="仿宋_GB2312" w:cs="仿宋_GB2312"/>
          <w:color w:val="000000"/>
          <w:sz w:val="32"/>
          <w:szCs w:val="32"/>
          <w:highlight w:val="none"/>
          <w:lang w:val="en-US"/>
        </w:rPr>
        <w:t>9</w:t>
      </w:r>
      <w:r>
        <w:rPr>
          <w:rFonts w:hint="eastAsia" w:ascii="仿宋_GB2312" w:hAnsi="仿宋_GB2312" w:eastAsia="仿宋_GB2312" w:cs="仿宋_GB2312"/>
          <w:color w:val="000000"/>
          <w:sz w:val="32"/>
          <w:szCs w:val="32"/>
          <w:highlight w:val="none"/>
          <w:lang w:val="en-US" w:eastAsia="zh-CN"/>
        </w:rPr>
        <w:t>.77</w:t>
      </w:r>
      <w:r>
        <w:rPr>
          <w:rFonts w:hint="eastAsia" w:ascii="仿宋_GB2312" w:hAnsi="仿宋_GB2312" w:eastAsia="仿宋_GB2312" w:cs="仿宋_GB2312"/>
          <w:b w:val="0"/>
          <w:bCs w:val="0"/>
          <w:color w:val="000000"/>
          <w:kern w:val="0"/>
          <w:sz w:val="32"/>
          <w:szCs w:val="32"/>
          <w:highlight w:val="none"/>
          <w:shd w:val="clear" w:color="auto" w:fill="FFFFFF"/>
          <w:lang w:val="zh-CN"/>
        </w:rPr>
        <w:t>万元，资金执行率达到</w:t>
      </w:r>
      <w:r>
        <w:rPr>
          <w:rFonts w:hint="eastAsia" w:ascii="仿宋_GB2312" w:hAnsi="仿宋_GB2312" w:eastAsia="仿宋_GB2312" w:cs="仿宋_GB2312"/>
          <w:color w:val="000000"/>
          <w:kern w:val="2"/>
          <w:sz w:val="32"/>
          <w:szCs w:val="32"/>
          <w:lang w:val="en-US" w:bidi="ar-SA"/>
        </w:rPr>
        <w:t>54.98</w:t>
      </w:r>
      <w:r>
        <w:rPr>
          <w:rFonts w:hint="eastAsia" w:ascii="仿宋_GB2312" w:hAnsi="仿宋_GB2312" w:eastAsia="仿宋_GB2312" w:cs="仿宋_GB2312"/>
          <w:b w:val="0"/>
          <w:bCs w:val="0"/>
          <w:color w:val="000000"/>
          <w:kern w:val="0"/>
          <w:sz w:val="32"/>
          <w:szCs w:val="32"/>
          <w:highlight w:val="none"/>
          <w:shd w:val="clear" w:color="auto" w:fill="FFFFFF"/>
          <w:lang w:val="zh-CN"/>
        </w:rPr>
        <w:t>%。结余部分为</w:t>
      </w:r>
      <w:r>
        <w:rPr>
          <w:rFonts w:hint="eastAsia" w:ascii="仿宋_GB2312" w:hAnsi="仿宋_GB2312" w:eastAsia="仿宋_GB2312" w:cs="仿宋_GB2312"/>
          <w:color w:val="000000"/>
          <w:sz w:val="32"/>
          <w:szCs w:val="32"/>
          <w:lang w:val="en-US"/>
        </w:rPr>
        <w:t>维护社会稳定、扫黑除恶、多元化解工作和智慧政法-涉密视频会商系统经费结转。</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（二）部门整体履职绩效分析。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rPr>
      </w:pPr>
      <w:r>
        <w:rPr>
          <w:rFonts w:hint="eastAsia" w:ascii="仿宋_GB2312" w:hAnsi="仿宋_GB2312" w:eastAsia="仿宋_GB2312" w:cs="仿宋_GB2312"/>
          <w:b w:val="0"/>
          <w:bCs w:val="0"/>
          <w:color w:val="000000"/>
          <w:kern w:val="0"/>
          <w:sz w:val="32"/>
          <w:szCs w:val="32"/>
          <w:highlight w:val="none"/>
          <w:shd w:val="clear" w:color="auto" w:fill="FFFFFF"/>
          <w:lang w:val="en-US"/>
        </w:rPr>
        <w:t>一是政治社会大局保持稳定。提前评估研判风险，及时交办处置，有效处置11起涉政涉邪安全隐患，50人以上群体性事件“零发生”，打赢了党的二十大、省第十二次党代会等重要节点维稳硬仗，社会大局持续安全稳定。《战时五大机制精准助力“大安全、大稳定”》、旺苍《“1344”稳评工作法全力护航“拼经济、搞建设”》在全省推广。《关于全市党的二十大安保维稳工作情况的报告》得到市委主要领导肯定性批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rPr>
      </w:pPr>
      <w:r>
        <w:rPr>
          <w:rFonts w:hint="eastAsia" w:ascii="仿宋_GB2312" w:hAnsi="仿宋_GB2312" w:eastAsia="仿宋_GB2312" w:cs="仿宋_GB2312"/>
          <w:b w:val="0"/>
          <w:bCs w:val="0"/>
          <w:color w:val="000000"/>
          <w:kern w:val="0"/>
          <w:sz w:val="32"/>
          <w:szCs w:val="32"/>
          <w:highlight w:val="none"/>
          <w:shd w:val="clear" w:color="auto" w:fill="FFFFFF"/>
          <w:lang w:val="en-US"/>
        </w:rPr>
        <w:t>二是平安广元建设纵深推进。侦办部督刑事案件数量居全省第二，命案发案率、污水毒品监测指数继续保持全省最低，未发生“民转刑”命案。我市群众安全感测评连续9年名列全省前茅，连续7年入选“中国最安全城市”，被省委、省政府表扬为2021年度全省平安建设优秀市，市域社会治理工作经验在全国、全省交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rPr>
      </w:pPr>
      <w:r>
        <w:rPr>
          <w:rFonts w:hint="eastAsia" w:ascii="仿宋_GB2312" w:hAnsi="仿宋_GB2312" w:eastAsia="仿宋_GB2312" w:cs="仿宋_GB2312"/>
          <w:b w:val="0"/>
          <w:bCs w:val="0"/>
          <w:color w:val="000000"/>
          <w:kern w:val="0"/>
          <w:sz w:val="32"/>
          <w:szCs w:val="32"/>
          <w:highlight w:val="none"/>
          <w:shd w:val="clear" w:color="auto" w:fill="FFFFFF"/>
          <w:lang w:val="en-US"/>
        </w:rPr>
        <w:t>三是政法领域改革不断深化。修订完善执法办案规章制度55项，对89件问题案件逐案开展“一案一剖析”，纠错34件次。“治重化积”工作全省排名靠前，中央、省第二批交办我市15件积案全部化解。</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（三）结果应用情况。</w:t>
      </w:r>
    </w:p>
    <w:p>
      <w:pPr>
        <w:pStyle w:val="2"/>
        <w:keepNext w:val="0"/>
        <w:keepLines w:val="0"/>
        <w:pageBreakBefore w:val="0"/>
        <w:widowControl w:val="0"/>
        <w:kinsoku/>
        <w:wordWrap/>
        <w:overflowPunct/>
        <w:topLinePunct w:val="0"/>
        <w:bidi w:val="0"/>
        <w:snapToGrid w:val="0"/>
        <w:spacing w:after="0" w:line="360" w:lineRule="auto"/>
        <w:ind w:leftChars="0"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color w:val="000000"/>
          <w:sz w:val="32"/>
          <w:szCs w:val="32"/>
          <w:lang w:val="en-US"/>
        </w:rPr>
        <w:t>我委认真</w:t>
      </w:r>
      <w:r>
        <w:rPr>
          <w:rFonts w:hint="eastAsia" w:ascii="仿宋_GB2312" w:hAnsi="仿宋_GB2312" w:eastAsia="仿宋_GB2312" w:cs="仿宋_GB2312"/>
          <w:color w:val="000000"/>
          <w:sz w:val="32"/>
          <w:szCs w:val="32"/>
          <w:lang w:val="en-US" w:eastAsia="zh-CN"/>
        </w:rPr>
        <w:t>做好绩效评价结果应用工作，</w:t>
      </w:r>
      <w:r>
        <w:rPr>
          <w:rFonts w:hint="eastAsia" w:ascii="仿宋_GB2312" w:hAnsi="仿宋_GB2312" w:eastAsia="仿宋_GB2312" w:cs="仿宋_GB2312"/>
          <w:color w:val="000000"/>
          <w:sz w:val="32"/>
          <w:szCs w:val="32"/>
          <w:lang w:val="en-US"/>
        </w:rPr>
        <w:t>对绩效评价结果较好的项目，预算安排时给予倾斜；对绩效评价发现问题、</w:t>
      </w:r>
      <w:r>
        <w:rPr>
          <w:rFonts w:hint="eastAsia" w:ascii="仿宋_GB2312" w:hAnsi="仿宋_GB2312" w:eastAsia="仿宋_GB2312" w:cs="仿宋_GB2312"/>
          <w:color w:val="000000"/>
          <w:sz w:val="32"/>
          <w:szCs w:val="32"/>
          <w:lang w:val="en-US" w:eastAsia="zh-CN"/>
        </w:rPr>
        <w:t>项目实施达不到预期目标、资金使用效益不明显的，</w:t>
      </w:r>
      <w:r>
        <w:rPr>
          <w:rFonts w:hint="eastAsia" w:ascii="仿宋_GB2312" w:hAnsi="仿宋_GB2312" w:eastAsia="仿宋_GB2312" w:cs="仿宋_GB2312"/>
          <w:color w:val="000000"/>
          <w:sz w:val="32"/>
          <w:szCs w:val="32"/>
          <w:lang w:val="en-US"/>
        </w:rPr>
        <w:t>根据情况</w:t>
      </w:r>
      <w:r>
        <w:rPr>
          <w:rFonts w:hint="eastAsia" w:ascii="仿宋_GB2312" w:hAnsi="仿宋_GB2312" w:eastAsia="仿宋_GB2312" w:cs="仿宋_GB2312"/>
          <w:color w:val="000000"/>
          <w:sz w:val="32"/>
          <w:szCs w:val="32"/>
          <w:lang w:val="en-US" w:eastAsia="zh-CN"/>
        </w:rPr>
        <w:t>相应核减下一年度项目支出预算。</w:t>
      </w:r>
      <w:r>
        <w:rPr>
          <w:rFonts w:hint="eastAsia" w:ascii="仿宋_GB2312" w:hAnsi="仿宋_GB2312" w:eastAsia="仿宋_GB2312" w:cs="仿宋_GB2312"/>
          <w:color w:val="000000"/>
          <w:sz w:val="32"/>
          <w:szCs w:val="32"/>
          <w:lang w:val="en-US"/>
        </w:rPr>
        <w:t>同时，</w:t>
      </w:r>
      <w:r>
        <w:rPr>
          <w:rFonts w:hint="eastAsia" w:ascii="仿宋_GB2312" w:hAnsi="仿宋_GB2312" w:eastAsia="仿宋_GB2312" w:cs="仿宋_GB2312"/>
          <w:color w:val="000000"/>
          <w:sz w:val="32"/>
          <w:szCs w:val="32"/>
          <w:lang w:val="en-US" w:eastAsia="zh-CN"/>
        </w:rPr>
        <w:t>按要求将部门整体绩效自评情况和</w:t>
      </w:r>
      <w:r>
        <w:rPr>
          <w:rFonts w:hint="eastAsia" w:ascii="仿宋_GB2312" w:hAnsi="仿宋_GB2312" w:eastAsia="仿宋_GB2312" w:cs="仿宋_GB2312"/>
          <w:color w:val="000000"/>
          <w:sz w:val="32"/>
          <w:szCs w:val="32"/>
          <w:lang w:val="en-US"/>
        </w:rPr>
        <w:t>项目绩效</w:t>
      </w:r>
      <w:r>
        <w:rPr>
          <w:rFonts w:hint="eastAsia" w:ascii="仿宋_GB2312" w:hAnsi="仿宋_GB2312" w:eastAsia="仿宋_GB2312" w:cs="仿宋_GB2312"/>
          <w:color w:val="000000"/>
          <w:sz w:val="32"/>
          <w:szCs w:val="32"/>
          <w:lang w:val="en-US" w:eastAsia="zh-CN"/>
        </w:rPr>
        <w:t>自评情况向社会公开。</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自评质量。</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rPr>
        <w:t>2</w:t>
      </w:r>
      <w:r>
        <w:rPr>
          <w:rFonts w:hint="eastAsia" w:ascii="仿宋_GB2312" w:hAnsi="仿宋_GB2312" w:eastAsia="仿宋_GB2312" w:cs="仿宋_GB2312"/>
          <w:color w:val="000000"/>
          <w:sz w:val="32"/>
          <w:szCs w:val="32"/>
        </w:rPr>
        <w:t>年，我委</w:t>
      </w:r>
      <w:r>
        <w:rPr>
          <w:rFonts w:hint="eastAsia" w:ascii="仿宋_GB2312" w:hAnsi="仿宋_GB2312" w:eastAsia="仿宋_GB2312" w:cs="仿宋_GB2312"/>
          <w:i w:val="0"/>
          <w:caps w:val="0"/>
          <w:color w:val="000000"/>
          <w:spacing w:val="0"/>
          <w:sz w:val="32"/>
          <w:szCs w:val="32"/>
          <w:shd w:val="clear" w:color="auto" w:fill="FFFFFF"/>
        </w:rPr>
        <w:t>严格按照年初预算批复认真组织实施</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严格执行财经纪律相关管理规定，</w:t>
      </w:r>
      <w:r>
        <w:rPr>
          <w:rFonts w:hint="eastAsia" w:ascii="仿宋_GB2312" w:hAnsi="仿宋_GB2312" w:eastAsia="仿宋_GB2312" w:cs="仿宋_GB2312"/>
          <w:color w:val="000000"/>
          <w:kern w:val="0"/>
          <w:sz w:val="32"/>
          <w:szCs w:val="32"/>
        </w:rPr>
        <w:t>财务管理规范，内控制度健全，</w:t>
      </w:r>
      <w:r>
        <w:rPr>
          <w:rFonts w:hint="eastAsia" w:ascii="仿宋_GB2312" w:hAnsi="仿宋_GB2312" w:eastAsia="仿宋_GB2312" w:cs="仿宋_GB2312"/>
          <w:i w:val="0"/>
          <w:caps w:val="0"/>
          <w:color w:val="000000"/>
          <w:spacing w:val="0"/>
          <w:sz w:val="32"/>
          <w:szCs w:val="32"/>
          <w:shd w:val="clear" w:color="auto" w:fill="FFFFFF"/>
        </w:rPr>
        <w:t>各项收支安排使用符合绩效目标和财政政策要求，</w:t>
      </w:r>
      <w:r>
        <w:rPr>
          <w:rFonts w:hint="eastAsia" w:ascii="仿宋_GB2312" w:hAnsi="仿宋_GB2312" w:eastAsia="仿宋_GB2312" w:cs="仿宋_GB2312"/>
          <w:color w:val="000000"/>
          <w:kern w:val="0"/>
          <w:sz w:val="32"/>
          <w:szCs w:val="32"/>
        </w:rPr>
        <w:t>预算执行收支平衡，部门整体收支情况好，</w:t>
      </w:r>
      <w:r>
        <w:rPr>
          <w:rFonts w:hint="eastAsia" w:ascii="仿宋_GB2312" w:hAnsi="仿宋_GB2312" w:eastAsia="仿宋_GB2312" w:cs="仿宋_GB2312"/>
          <w:i w:val="0"/>
          <w:caps w:val="0"/>
          <w:color w:val="000000"/>
          <w:spacing w:val="0"/>
          <w:sz w:val="32"/>
          <w:szCs w:val="32"/>
          <w:shd w:val="clear" w:color="auto" w:fill="FFFFFF"/>
        </w:rPr>
        <w:t>确保了单位正常运行和专项项目实施，部门整体支出绩效评价为优。</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outlineLvl w:val="1"/>
        <w:rPr>
          <w:rFonts w:hint="eastAsia" w:ascii="黑体" w:hAnsi="黑体" w:eastAsia="黑体" w:cs="黑体"/>
          <w:b w:val="0"/>
          <w:bCs w:val="0"/>
          <w:color w:val="000000"/>
          <w:kern w:val="0"/>
          <w:sz w:val="32"/>
          <w:szCs w:val="32"/>
          <w:highlight w:val="none"/>
          <w:shd w:val="clear" w:color="auto" w:fill="FFFFFF"/>
        </w:rPr>
      </w:pPr>
      <w:bookmarkStart w:id="80" w:name="_Toc11956"/>
      <w:r>
        <w:rPr>
          <w:rFonts w:hint="eastAsia" w:ascii="黑体" w:hAnsi="黑体" w:eastAsia="黑体" w:cs="黑体"/>
          <w:b w:val="0"/>
          <w:bCs w:val="0"/>
          <w:color w:val="000000"/>
          <w:kern w:val="0"/>
          <w:sz w:val="32"/>
          <w:szCs w:val="32"/>
          <w:highlight w:val="none"/>
          <w:shd w:val="clear" w:color="auto" w:fill="FFFFFF"/>
        </w:rPr>
        <w:t>四、评价结论及建议</w:t>
      </w:r>
      <w:bookmarkEnd w:id="80"/>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楷体_GB2312" w:hAnsi="楷体_GB2312" w:eastAsia="楷体_GB2312" w:cs="楷体_GB2312"/>
          <w:i w:val="0"/>
          <w:caps w:val="0"/>
          <w:color w:val="000000"/>
          <w:spacing w:val="0"/>
          <w:sz w:val="32"/>
          <w:szCs w:val="32"/>
          <w:shd w:val="clear" w:color="auto" w:fill="FFFFFF"/>
          <w:lang w:val="zh-CN"/>
        </w:rPr>
      </w:pPr>
      <w:r>
        <w:rPr>
          <w:rFonts w:hint="eastAsia" w:ascii="楷体_GB2312" w:hAnsi="楷体_GB2312" w:eastAsia="楷体_GB2312" w:cs="楷体_GB2312"/>
          <w:i w:val="0"/>
          <w:caps w:val="0"/>
          <w:color w:val="000000"/>
          <w:spacing w:val="0"/>
          <w:sz w:val="32"/>
          <w:szCs w:val="32"/>
          <w:shd w:val="clear" w:color="auto" w:fill="FFFFFF"/>
          <w:lang w:val="zh-CN"/>
        </w:rPr>
        <w:t>（一）评价结论。</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i w:val="0"/>
          <w:caps w:val="0"/>
          <w:color w:val="000000"/>
          <w:spacing w:val="0"/>
          <w:sz w:val="32"/>
          <w:szCs w:val="32"/>
          <w:shd w:val="clear" w:color="auto" w:fill="FFFFFF"/>
          <w:lang w:val="en-US"/>
        </w:rPr>
        <w:t>2022年，我委部门整体支出绩效目标制定</w:t>
      </w:r>
      <w:r>
        <w:rPr>
          <w:rFonts w:hint="eastAsia" w:ascii="仿宋_GB2312" w:hAnsi="仿宋_GB2312" w:eastAsia="仿宋_GB2312" w:cs="仿宋_GB2312"/>
          <w:i w:val="0"/>
          <w:caps w:val="0"/>
          <w:color w:val="000000"/>
          <w:spacing w:val="0"/>
          <w:sz w:val="32"/>
          <w:szCs w:val="32"/>
          <w:shd w:val="clear" w:color="auto" w:fill="FFFFFF"/>
          <w:lang w:val="en-US" w:eastAsia="zh-CN"/>
        </w:rPr>
        <w:t>科学合理，项目管理规范，</w:t>
      </w:r>
      <w:r>
        <w:rPr>
          <w:rFonts w:hint="eastAsia" w:ascii="仿宋_GB2312" w:hAnsi="仿宋_GB2312" w:eastAsia="仿宋_GB2312" w:cs="仿宋_GB2312"/>
          <w:i w:val="0"/>
          <w:caps w:val="0"/>
          <w:color w:val="000000"/>
          <w:spacing w:val="0"/>
          <w:sz w:val="32"/>
          <w:szCs w:val="32"/>
          <w:shd w:val="clear" w:color="auto" w:fill="FFFFFF"/>
          <w:lang w:val="en-US"/>
        </w:rPr>
        <w:t>资金使用</w:t>
      </w:r>
      <w:r>
        <w:rPr>
          <w:rFonts w:hint="eastAsia" w:ascii="仿宋_GB2312" w:hAnsi="仿宋_GB2312" w:eastAsia="仿宋_GB2312" w:cs="仿宋_GB2312"/>
          <w:i w:val="0"/>
          <w:caps w:val="0"/>
          <w:color w:val="000000"/>
          <w:spacing w:val="0"/>
          <w:sz w:val="32"/>
          <w:szCs w:val="32"/>
          <w:shd w:val="clear" w:color="auto" w:fill="FFFFFF"/>
          <w:lang w:val="en-US" w:eastAsia="zh-CN"/>
        </w:rPr>
        <w:t>到位，</w:t>
      </w:r>
      <w:r>
        <w:rPr>
          <w:rFonts w:hint="eastAsia" w:ascii="仿宋_GB2312" w:hAnsi="仿宋_GB2312" w:eastAsia="仿宋_GB2312" w:cs="仿宋_GB2312"/>
          <w:i w:val="0"/>
          <w:caps w:val="0"/>
          <w:color w:val="000000"/>
          <w:spacing w:val="0"/>
          <w:sz w:val="32"/>
          <w:szCs w:val="32"/>
          <w:shd w:val="clear" w:color="auto" w:fill="FFFFFF"/>
          <w:lang w:val="en-US"/>
        </w:rPr>
        <w:t>各项工作目标</w:t>
      </w:r>
      <w:r>
        <w:rPr>
          <w:rFonts w:hint="eastAsia" w:ascii="仿宋_GB2312" w:hAnsi="仿宋_GB2312" w:eastAsia="仿宋_GB2312" w:cs="仿宋_GB2312"/>
          <w:i w:val="0"/>
          <w:caps w:val="0"/>
          <w:color w:val="000000"/>
          <w:spacing w:val="0"/>
          <w:sz w:val="32"/>
          <w:szCs w:val="32"/>
          <w:shd w:val="clear" w:color="auto" w:fill="FFFFFF"/>
          <w:lang w:val="en-US" w:eastAsia="zh-CN"/>
        </w:rPr>
        <w:t>完成质量较高，运行保障有力，</w:t>
      </w:r>
      <w:r>
        <w:rPr>
          <w:rFonts w:hint="eastAsia" w:ascii="仿宋_GB2312" w:hAnsi="仿宋_GB2312" w:eastAsia="仿宋_GB2312" w:cs="仿宋_GB2312"/>
          <w:i w:val="0"/>
          <w:caps w:val="0"/>
          <w:color w:val="000000"/>
          <w:spacing w:val="0"/>
          <w:sz w:val="32"/>
          <w:szCs w:val="32"/>
          <w:shd w:val="clear" w:color="auto" w:fill="FFFFFF"/>
          <w:lang w:val="zh-CN" w:eastAsia="zh-CN"/>
        </w:rPr>
        <w:t>全市政法工作取得明显成效</w:t>
      </w:r>
      <w:r>
        <w:rPr>
          <w:rFonts w:hint="eastAsia" w:ascii="仿宋_GB2312" w:hAnsi="仿宋_GB2312" w:eastAsia="仿宋_GB2312" w:cs="仿宋_GB2312"/>
          <w:i w:val="0"/>
          <w:caps w:val="0"/>
          <w:color w:val="000000"/>
          <w:spacing w:val="0"/>
          <w:sz w:val="32"/>
          <w:szCs w:val="32"/>
          <w:shd w:val="clear" w:color="auto" w:fill="FFFFFF"/>
          <w:lang w:val="en-US"/>
        </w:rPr>
        <w:t>。</w:t>
      </w:r>
      <w:r>
        <w:rPr>
          <w:rFonts w:hint="eastAsia" w:ascii="仿宋_GB2312" w:hAnsi="仿宋_GB2312" w:eastAsia="仿宋_GB2312" w:cs="仿宋_GB2312"/>
          <w:i w:val="0"/>
          <w:caps w:val="0"/>
          <w:color w:val="000000"/>
          <w:spacing w:val="0"/>
          <w:sz w:val="32"/>
          <w:szCs w:val="32"/>
          <w:shd w:val="clear" w:color="auto" w:fill="FFFFFF"/>
          <w:lang w:val="en-US" w:eastAsia="zh-CN"/>
        </w:rPr>
        <w:t>根据《2023年市级部门</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整体支出绩效评价指标体系》评分，绩效评价</w:t>
      </w:r>
      <w:r>
        <w:rPr>
          <w:rFonts w:hint="eastAsia" w:ascii="仿宋_GB2312" w:hAnsi="仿宋_GB2312" w:eastAsia="仿宋_GB2312" w:cs="仿宋_GB2312"/>
          <w:i w:val="0"/>
          <w:caps w:val="0"/>
          <w:color w:val="000000"/>
          <w:spacing w:val="0"/>
          <w:kern w:val="2"/>
          <w:sz w:val="32"/>
          <w:szCs w:val="32"/>
          <w:shd w:val="clear" w:color="auto" w:fill="FFFFFF"/>
          <w:lang w:val="en-US" w:bidi="ar-SA"/>
        </w:rPr>
        <w:t>自评得分</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为</w:t>
      </w:r>
      <w:r>
        <w:rPr>
          <w:rFonts w:hint="eastAsia" w:ascii="仿宋_GB2312" w:hAnsi="仿宋_GB2312" w:eastAsia="仿宋_GB2312" w:cs="仿宋_GB2312"/>
          <w:i w:val="0"/>
          <w:caps w:val="0"/>
          <w:color w:val="000000"/>
          <w:spacing w:val="0"/>
          <w:kern w:val="2"/>
          <w:sz w:val="32"/>
          <w:szCs w:val="32"/>
          <w:shd w:val="clear" w:color="auto" w:fill="FFFFFF"/>
          <w:lang w:val="en-US" w:bidi="ar-SA"/>
        </w:rPr>
        <w:t>97.3</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分</w:t>
      </w:r>
      <w:r>
        <w:rPr>
          <w:rFonts w:hint="eastAsia" w:ascii="仿宋_GB2312" w:hAnsi="仿宋_GB2312" w:eastAsia="仿宋_GB2312" w:cs="仿宋_GB2312"/>
          <w:i w:val="0"/>
          <w:caps w:val="0"/>
          <w:color w:val="000000"/>
          <w:spacing w:val="0"/>
          <w:kern w:val="2"/>
          <w:sz w:val="32"/>
          <w:szCs w:val="32"/>
          <w:shd w:val="clear" w:color="auto" w:fill="FFFFFF"/>
          <w:lang w:val="en-US"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（二）存在问题。</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一是预算绩效目标编制指标有待进一步细化。预算绩效目标编制还不够明确和细化，个别项目指标有些宏观、笼统。</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二是部分人员经费有结余。结余部分为</w:t>
      </w:r>
      <w:r>
        <w:rPr>
          <w:rFonts w:hint="eastAsia" w:ascii="仿宋_GB2312" w:hAnsi="仿宋_GB2312" w:eastAsia="仿宋_GB2312" w:cs="仿宋_GB2312"/>
          <w:color w:val="000000"/>
          <w:kern w:val="0"/>
          <w:sz w:val="32"/>
          <w:szCs w:val="32"/>
          <w:lang w:val="en-US"/>
        </w:rPr>
        <w:t>2022年基础绩效奖部分应交养老保险、公积金，因缴费基数未到申报时间</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rPr>
        <w:t>导致资金结余。</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sz w:val="32"/>
          <w:szCs w:val="32"/>
        </w:rPr>
        <w:t>三是在项目执行时效上，大部分专项支出执行情况较好，执行度较高，但个别专项经费执行慢，比如智慧政法</w:t>
      </w:r>
      <w:r>
        <w:rPr>
          <w:rFonts w:hint="eastAsia" w:ascii="仿宋_GB2312" w:hAnsi="仿宋_GB2312" w:eastAsia="仿宋_GB2312" w:cs="仿宋_GB2312"/>
          <w:color w:val="000000"/>
          <w:sz w:val="32"/>
          <w:szCs w:val="32"/>
          <w:lang w:val="en-US"/>
        </w:rPr>
        <w:t>-涉密视频会商系统项目是省发改委、省委政法委牵头组织实施，项目目前正在推进中，预计2023年6月项目完工才能付款，</w:t>
      </w:r>
      <w:r>
        <w:rPr>
          <w:rFonts w:hint="eastAsia" w:ascii="仿宋_GB2312" w:hAnsi="仿宋_GB2312" w:eastAsia="仿宋_GB2312" w:cs="仿宋_GB2312"/>
          <w:color w:val="000000"/>
          <w:sz w:val="32"/>
          <w:szCs w:val="32"/>
        </w:rPr>
        <w:t>资金支付进度为</w:t>
      </w:r>
      <w:r>
        <w:rPr>
          <w:rFonts w:hint="eastAsia" w:ascii="仿宋_GB2312" w:hAnsi="仿宋_GB2312" w:eastAsia="仿宋_GB2312" w:cs="仿宋_GB2312"/>
          <w:color w:val="000000"/>
          <w:sz w:val="32"/>
          <w:szCs w:val="32"/>
          <w:lang w:val="en-US"/>
        </w:rPr>
        <w:t>0，资金执行情况不好。</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（三）改进建议。</w:t>
      </w:r>
    </w:p>
    <w:p>
      <w:pPr>
        <w:keepNext w:val="0"/>
        <w:keepLines w:val="0"/>
        <w:pageBreakBefore w:val="0"/>
        <w:widowControl w:val="0"/>
        <w:kinsoku/>
        <w:wordWrap/>
        <w:overflowPunct/>
        <w:topLinePunct w:val="0"/>
        <w:bidi w:val="0"/>
        <w:snapToGrid w:val="0"/>
        <w:spacing w:line="360" w:lineRule="auto"/>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w:t>
      </w:r>
      <w:r>
        <w:rPr>
          <w:rFonts w:hint="eastAsia" w:ascii="仿宋_GB2312" w:hAnsi="仿宋_GB2312" w:eastAsia="仿宋_GB2312" w:cs="仿宋_GB2312"/>
          <w:i w:val="0"/>
          <w:caps w:val="0"/>
          <w:color w:val="000000"/>
          <w:spacing w:val="0"/>
          <w:sz w:val="32"/>
          <w:szCs w:val="32"/>
          <w:shd w:val="clear" w:color="auto" w:fill="FFFFFF"/>
        </w:rPr>
        <w:t>加强预算绩效管理，增强预算约束力，做好预算项目支出绩效目标及各项绩效指标细化、量化工作</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用好用活各类财政资金，提高财政资金使用效益。</w:t>
      </w:r>
    </w:p>
    <w:p>
      <w:pPr>
        <w:keepNext w:val="0"/>
        <w:keepLines w:val="0"/>
        <w:pageBreakBefore w:val="0"/>
        <w:widowControl w:val="0"/>
        <w:kinsoku/>
        <w:wordWrap/>
        <w:overflowPunct/>
        <w:topLinePunct w:val="0"/>
        <w:autoSpaceDE w:val="0"/>
        <w:autoSpaceDN w:val="0"/>
        <w:bidi w:val="0"/>
        <w:adjustRightInd/>
        <w:snapToGrid w:val="0"/>
        <w:spacing w:line="360" w:lineRule="auto"/>
        <w:ind w:leftChars="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二是严格按照《预算法》要求，加强预算编制的科学性、合理性</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让预算编制更贴合实际，使项目预算与工作结合更加紧密</w:t>
      </w:r>
      <w:r>
        <w:rPr>
          <w:rFonts w:hint="eastAsia" w:ascii="仿宋_GB2312" w:hAnsi="仿宋_GB2312" w:cs="仿宋_GB2312"/>
          <w:i w:val="0"/>
          <w:caps w:val="0"/>
          <w:color w:val="000000"/>
          <w:spacing w:val="0"/>
          <w:sz w:val="32"/>
          <w:szCs w:val="32"/>
          <w:shd w:val="clear" w:color="auto" w:fill="FFFFFF"/>
        </w:rPr>
        <w:t>，提高预算执行效率</w:t>
      </w:r>
      <w:r>
        <w:rPr>
          <w:rFonts w:hint="eastAsia" w:ascii="仿宋_GB2312" w:hAnsi="仿宋_GB2312" w:eastAsia="仿宋_GB2312" w:cs="仿宋_GB2312"/>
          <w:i w:val="0"/>
          <w:caps w:val="0"/>
          <w:color w:val="000000"/>
          <w:spacing w:val="0"/>
          <w:sz w:val="32"/>
          <w:szCs w:val="32"/>
          <w:shd w:val="clear" w:color="auto" w:fill="FFFFFF"/>
        </w:rPr>
        <w:t>。</w:t>
      </w:r>
    </w:p>
    <w:p>
      <w:pPr>
        <w:pStyle w:val="2"/>
        <w:keepNext w:val="0"/>
        <w:keepLines w:val="0"/>
        <w:pageBreakBefore w:val="0"/>
        <w:widowControl w:val="0"/>
        <w:numPr>
          <w:ilvl w:val="0"/>
          <w:numId w:val="0"/>
        </w:numPr>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p>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rPr>
          <w:rFonts w:hint="eastAsia" w:hAnsi="宋体" w:cs="宋体"/>
          <w:color w:val="auto"/>
          <w:kern w:val="0"/>
          <w:sz w:val="32"/>
          <w:szCs w:val="32"/>
          <w:highlight w:val="none"/>
          <w:shd w:val="clear" w:color="auto" w:fill="FFFFFF"/>
          <w:lang w:val="zh-CN"/>
        </w:rPr>
        <w:sectPr>
          <w:footerReference r:id="rId6" w:type="first"/>
          <w:footerReference r:id="rId5" w:type="default"/>
          <w:pgSz w:w="11906" w:h="16838"/>
          <w:pgMar w:top="1984" w:right="1474" w:bottom="1474" w:left="1587" w:header="851" w:footer="992" w:gutter="0"/>
          <w:pgNumType w:fmt="decimal" w:start="1"/>
          <w:cols w:space="425" w:num="1"/>
          <w:docGrid w:type="lines" w:linePitch="312" w:charSpace="0"/>
        </w:sectPr>
      </w:pPr>
      <w:r>
        <w:rPr>
          <w:rFonts w:hint="eastAsia" w:hAnsi="宋体" w:cs="宋体"/>
          <w:color w:val="auto"/>
          <w:kern w:val="0"/>
          <w:sz w:val="32"/>
          <w:szCs w:val="32"/>
          <w:highlight w:val="none"/>
          <w:shd w:val="clear" w:color="auto" w:fill="FFFFFF"/>
          <w:lang w:val="zh-CN"/>
        </w:rPr>
        <w:br w:type="page"/>
      </w:r>
    </w:p>
    <w:tbl>
      <w:tblPr>
        <w:tblStyle w:val="16"/>
        <w:tblW w:w="133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940"/>
        <w:gridCol w:w="745"/>
        <w:gridCol w:w="2236"/>
        <w:gridCol w:w="1026"/>
        <w:gridCol w:w="475"/>
        <w:gridCol w:w="1216"/>
        <w:gridCol w:w="1026"/>
        <w:gridCol w:w="918"/>
        <w:gridCol w:w="853"/>
        <w:gridCol w:w="1058"/>
        <w:gridCol w:w="583"/>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332" w:type="dxa"/>
            <w:gridSpan w:val="1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部门名称</w:t>
            </w:r>
          </w:p>
        </w:tc>
        <w:tc>
          <w:tcPr>
            <w:tcW w:w="10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主要</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任务</w:t>
            </w:r>
          </w:p>
        </w:tc>
        <w:tc>
          <w:tcPr>
            <w:tcW w:w="16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任务名称</w:t>
            </w:r>
          </w:p>
        </w:tc>
        <w:tc>
          <w:tcPr>
            <w:tcW w:w="2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主要内容</w:t>
            </w:r>
          </w:p>
        </w:tc>
        <w:tc>
          <w:tcPr>
            <w:tcW w:w="37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预算金额（万元）</w:t>
            </w:r>
          </w:p>
        </w:tc>
        <w:tc>
          <w:tcPr>
            <w:tcW w:w="46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财政拨款</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其他资金</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总额</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财政拨款</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1、人员经费</w:t>
            </w:r>
          </w:p>
        </w:tc>
        <w:tc>
          <w:tcPr>
            <w:tcW w:w="223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包括：基本工资、津贴补贴、奖金、绩效工资、机关事业单位基本养老保险缴费、职业年金缴费、其他社会保障缴费、其他工资福利支出、生活补助、医疗费补助、奖励金、住房公积金、其他对个人和家庭的补助支出等。</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1083.39</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1083.39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1063.62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1063.62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2、公用经费</w:t>
            </w:r>
          </w:p>
        </w:tc>
        <w:tc>
          <w:tcPr>
            <w:tcW w:w="2236"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包括：办公费、印刷费、手续费、水费、电费、邮电费、差旅费、维修（护）费、租赁费、会议费、培训费、公务接待费、劳务费、委托业务费、工会经费、福利费、公务用车运行维护费、其他交通费、其他商品和服务支出、办公设备购置、专用设备购置、信息网络及软件购置更新、其他资本性支出等。</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156.45</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156.45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156.45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156.45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3、“平安广元”建设</w:t>
            </w:r>
          </w:p>
        </w:tc>
        <w:tc>
          <w:tcPr>
            <w:tcW w:w="2236"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1.提高四种能力：即驾驭复杂治安局面、正确处理人民内部矛盾、打击各类犯罪、执法为民等四种能力，确保四个不发生；</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2.营造五个环境：即社会稳定、治安秩序良好、治安防控能力增强、经济社会发展环境优化、人民群众安全感增强的环境；</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3.2022年底70%以上的城镇小区、85%的乡镇（街道）、单位和80%以上的家庭达到平安建设标准，平安广元基础进一步夯实。</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15.49</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15.49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15.49</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15.49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4、涉法涉诉工作经费</w:t>
            </w:r>
          </w:p>
        </w:tc>
        <w:tc>
          <w:tcPr>
            <w:tcW w:w="2236"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强化党委政法委执法司法监督工作，常态化开展案件评查，进一步提高执法司法公信力和群众满意度；解决涉法涉诉上访人的实际困难，打击违法上访</w:t>
            </w:r>
            <w:r>
              <w:rPr>
                <w:rFonts w:hint="eastAsia" w:ascii="宋体" w:hAnsi="宋体" w:cs="宋体"/>
                <w:i w:val="0"/>
                <w:color w:val="000000"/>
                <w:kern w:val="0"/>
                <w:sz w:val="18"/>
                <w:szCs w:val="18"/>
                <w:u w:val="none"/>
                <w:lang w:val="en-US"/>
              </w:rPr>
              <w:t>行为，</w:t>
            </w:r>
            <w:r>
              <w:rPr>
                <w:rFonts w:hint="eastAsia" w:ascii="宋体" w:hAnsi="宋体" w:eastAsia="宋体" w:cs="宋体"/>
                <w:i w:val="0"/>
                <w:color w:val="000000"/>
                <w:kern w:val="0"/>
                <w:sz w:val="18"/>
                <w:szCs w:val="18"/>
                <w:u w:val="none"/>
                <w:lang w:val="en-US" w:eastAsia="zh-CN"/>
              </w:rPr>
              <w:t>维护正常的机关工作秩序</w:t>
            </w:r>
            <w:r>
              <w:rPr>
                <w:rFonts w:hint="eastAsia" w:ascii="宋体" w:hAnsi="宋体" w:cs="宋体"/>
                <w:i w:val="0"/>
                <w:color w:val="000000"/>
                <w:kern w:val="0"/>
                <w:sz w:val="18"/>
                <w:szCs w:val="18"/>
                <w:u w:val="none"/>
                <w:lang w:val="en-US"/>
              </w:rPr>
              <w:t>，</w:t>
            </w:r>
            <w:r>
              <w:rPr>
                <w:rFonts w:hint="eastAsia" w:ascii="宋体" w:hAnsi="宋体" w:eastAsia="宋体" w:cs="宋体"/>
                <w:i w:val="0"/>
                <w:color w:val="000000"/>
                <w:kern w:val="0"/>
                <w:sz w:val="18"/>
                <w:szCs w:val="18"/>
                <w:u w:val="none"/>
                <w:lang w:val="en-US" w:eastAsia="zh-CN"/>
              </w:rPr>
              <w:t>维护公民、法人、其它组织的合法权益，维护司法权威，维护社会稳定</w:t>
            </w:r>
            <w:r>
              <w:rPr>
                <w:rFonts w:hint="eastAsia" w:ascii="宋体" w:hAnsi="宋体" w:cs="宋体"/>
                <w:i w:val="0"/>
                <w:color w:val="000000"/>
                <w:kern w:val="0"/>
                <w:sz w:val="18"/>
                <w:szCs w:val="18"/>
                <w:u w:val="none"/>
                <w:lang w:val="en-US"/>
              </w:rPr>
              <w:t>。</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17.32</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17.32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17.32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17.32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5、乡村振兴工作经费</w:t>
            </w:r>
          </w:p>
        </w:tc>
        <w:tc>
          <w:tcPr>
            <w:tcW w:w="2236"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完成利州区三堆镇五郎村乡村振兴工作，确保全村基础设施建设完善，脱贫户增收不返贫，产业发展，村集体经济有所增加，老百姓安全感、获得感、满意度进一步提升。</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5.46</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5.46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5.46</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5.46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6、政法三级专网运维费</w:t>
            </w:r>
          </w:p>
        </w:tc>
        <w:tc>
          <w:tcPr>
            <w:tcW w:w="2236"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确保市级政法三级专网、高清视频会议等系统、依托该网络的省委政法委内网和市委政法委内网运行良好。</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99</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99</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1"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7、派驻纪检组工作经费</w:t>
            </w:r>
          </w:p>
        </w:tc>
        <w:tc>
          <w:tcPr>
            <w:tcW w:w="2236"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以发现问题线索和服务中心工作为目标导向，以线索处置和执纪审查为工作重点，精准有效实施监督，抓实综合监督单位政治生态涵养，构建风清气正政治生态。</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24.27</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24.27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19.89</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19.89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1"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8、政治安全与反邪教指导工作</w:t>
            </w:r>
          </w:p>
        </w:tc>
        <w:tc>
          <w:tcPr>
            <w:tcW w:w="2236"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贯彻落实中央、省、市维护政治安全和反邪教工作部署，掌握全市政治安全和反邪教情况，做好各敏感期、重要会议、重大事件等重大活动</w:t>
            </w:r>
            <w:r>
              <w:rPr>
                <w:rFonts w:hint="eastAsia" w:ascii="宋体" w:hAnsi="宋体" w:cs="宋体"/>
                <w:i w:val="0"/>
                <w:color w:val="000000"/>
                <w:kern w:val="0"/>
                <w:sz w:val="18"/>
                <w:szCs w:val="18"/>
                <w:u w:val="none"/>
                <w:lang w:val="en-US"/>
              </w:rPr>
              <w:t>期间</w:t>
            </w:r>
            <w:r>
              <w:rPr>
                <w:rFonts w:hint="eastAsia" w:ascii="宋体" w:hAnsi="宋体" w:eastAsia="宋体" w:cs="宋体"/>
                <w:i w:val="0"/>
                <w:color w:val="000000"/>
                <w:kern w:val="0"/>
                <w:sz w:val="18"/>
                <w:szCs w:val="18"/>
                <w:u w:val="none"/>
                <w:lang w:val="en-US" w:eastAsia="zh-CN"/>
              </w:rPr>
              <w:t>安全稳定工作，积极协调、依法妥善处置邪教和政治安全类事件，负责调查因工作失职而发生严重影响的案（事）件，维护社会政治大局稳定。</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6"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9、多元矛盾纠纷化解工作</w:t>
            </w:r>
          </w:p>
        </w:tc>
        <w:tc>
          <w:tcPr>
            <w:tcW w:w="2236"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6"/>
                <w:szCs w:val="16"/>
                <w:u w:val="none"/>
                <w:lang w:val="en-US"/>
              </w:rPr>
              <w:t>健全</w:t>
            </w:r>
            <w:r>
              <w:rPr>
                <w:rFonts w:hint="eastAsia" w:ascii="宋体" w:hAnsi="宋体" w:eastAsia="宋体" w:cs="宋体"/>
                <w:i w:val="0"/>
                <w:color w:val="000000"/>
                <w:kern w:val="0"/>
                <w:sz w:val="16"/>
                <w:szCs w:val="16"/>
                <w:u w:val="none"/>
                <w:lang w:val="en-US" w:eastAsia="zh-CN"/>
              </w:rPr>
              <w:t>调解组织网络，实现调解工作全面覆盖，</w:t>
            </w:r>
            <w:r>
              <w:rPr>
                <w:rFonts w:hint="eastAsia" w:ascii="宋体" w:hAnsi="宋体" w:cs="宋体"/>
                <w:i w:val="0"/>
                <w:color w:val="000000"/>
                <w:kern w:val="0"/>
                <w:sz w:val="16"/>
                <w:szCs w:val="16"/>
                <w:u w:val="none"/>
                <w:lang w:val="en-US"/>
              </w:rPr>
              <w:t>矛盾纠纷多元化解责任主体明确、措施落实，</w:t>
            </w:r>
            <w:r>
              <w:rPr>
                <w:rFonts w:hint="eastAsia" w:ascii="宋体" w:hAnsi="宋体" w:eastAsia="宋体" w:cs="宋体"/>
                <w:i w:val="0"/>
                <w:color w:val="000000"/>
                <w:kern w:val="0"/>
                <w:sz w:val="16"/>
                <w:szCs w:val="16"/>
                <w:u w:val="none"/>
                <w:lang w:val="en-US" w:eastAsia="zh-CN"/>
              </w:rPr>
              <w:t>多元化解工作整体效能</w:t>
            </w:r>
            <w:r>
              <w:rPr>
                <w:rFonts w:hint="eastAsia" w:ascii="宋体" w:hAnsi="宋体" w:cs="宋体"/>
                <w:i w:val="0"/>
                <w:color w:val="000000"/>
                <w:kern w:val="0"/>
                <w:sz w:val="16"/>
                <w:szCs w:val="16"/>
                <w:u w:val="none"/>
                <w:lang w:val="en-US"/>
              </w:rPr>
              <w:t>提升，</w:t>
            </w:r>
            <w:r>
              <w:rPr>
                <w:rFonts w:hint="eastAsia" w:ascii="宋体" w:hAnsi="宋体" w:eastAsia="宋体" w:cs="宋体"/>
                <w:i w:val="0"/>
                <w:color w:val="000000"/>
                <w:kern w:val="0"/>
                <w:sz w:val="16"/>
                <w:szCs w:val="16"/>
                <w:u w:val="none"/>
                <w:lang w:val="en-US" w:eastAsia="zh-CN"/>
              </w:rPr>
              <w:t>提高预测预警预防各类矛盾纠纷和风险隐患能力，矛盾纠纷调解成功率达85%，切实维护社会稳定。</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88.49</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88.49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50.89</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50.89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10、维护社会稳定工作</w:t>
            </w:r>
          </w:p>
        </w:tc>
        <w:tc>
          <w:tcPr>
            <w:tcW w:w="2236"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贯彻落实中央、省委、市委关于维护社会稳定工作部署，分析研判全市社会稳定形势，统筹协调处理影响全市社会稳定的重大事项，指导各地各部门开展社会稳定风险评估工作，做好疫情防控维稳工作</w:t>
            </w:r>
            <w:r>
              <w:rPr>
                <w:rFonts w:hint="eastAsia" w:ascii="宋体" w:hAnsi="宋体" w:cs="宋体"/>
                <w:i w:val="0"/>
                <w:color w:val="000000"/>
                <w:kern w:val="0"/>
                <w:sz w:val="18"/>
                <w:szCs w:val="18"/>
                <w:u w:val="none"/>
                <w:lang w:val="en-US"/>
              </w:rPr>
              <w:t>，组织开展</w:t>
            </w:r>
            <w:r>
              <w:rPr>
                <w:rFonts w:hint="eastAsia" w:ascii="宋体" w:hAnsi="宋体" w:eastAsia="宋体" w:cs="宋体"/>
                <w:i w:val="0"/>
                <w:color w:val="000000"/>
                <w:kern w:val="0"/>
                <w:sz w:val="18"/>
                <w:szCs w:val="18"/>
                <w:u w:val="none"/>
                <w:lang w:val="en-US" w:eastAsia="zh-CN"/>
              </w:rPr>
              <w:t>养老诈骗专项整治及重大风险挂牌督办攻坚行动，做好敏感节点、重要会议、重大活动期间维护社会稳定工作，为党的二十大</w:t>
            </w:r>
            <w:r>
              <w:rPr>
                <w:rFonts w:hint="eastAsia" w:ascii="宋体" w:hAnsi="宋体" w:cs="宋体"/>
                <w:i w:val="0"/>
                <w:color w:val="000000"/>
                <w:kern w:val="0"/>
                <w:sz w:val="18"/>
                <w:szCs w:val="18"/>
                <w:u w:val="none"/>
                <w:lang w:val="en-US" w:eastAsia="zh-CN"/>
              </w:rPr>
              <w:t>胜</w:t>
            </w:r>
            <w:r>
              <w:rPr>
                <w:rFonts w:hint="eastAsia" w:ascii="宋体" w:hAnsi="宋体" w:eastAsia="宋体" w:cs="宋体"/>
                <w:i w:val="0"/>
                <w:color w:val="000000"/>
                <w:kern w:val="0"/>
                <w:sz w:val="18"/>
                <w:szCs w:val="18"/>
                <w:u w:val="none"/>
                <w:lang w:val="en-US" w:eastAsia="zh-CN"/>
              </w:rPr>
              <w:t>利召开创造安全稳定的社会环境。</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27.52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27.52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11、扫黑除恶工作</w:t>
            </w:r>
          </w:p>
        </w:tc>
        <w:tc>
          <w:tcPr>
            <w:tcW w:w="2236"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按照中央和省委、市委决策部署，完善机制，</w:t>
            </w:r>
            <w:r>
              <w:rPr>
                <w:rFonts w:hint="eastAsia" w:ascii="宋体" w:hAnsi="宋体" w:cs="宋体"/>
                <w:i w:val="0"/>
                <w:color w:val="000000"/>
                <w:kern w:val="0"/>
                <w:sz w:val="18"/>
                <w:szCs w:val="18"/>
                <w:u w:val="none"/>
                <w:lang w:val="en-US"/>
              </w:rPr>
              <w:t>推动扫黑除恶专项斗争常态化开展。</w:t>
            </w:r>
            <w:r>
              <w:rPr>
                <w:rFonts w:hint="eastAsia" w:ascii="宋体" w:hAnsi="宋体" w:eastAsia="宋体" w:cs="宋体"/>
                <w:i w:val="0"/>
                <w:color w:val="000000"/>
                <w:kern w:val="0"/>
                <w:sz w:val="18"/>
                <w:szCs w:val="18"/>
                <w:u w:val="none"/>
                <w:lang w:val="en-US" w:eastAsia="zh-CN"/>
              </w:rPr>
              <w:t>依法严厉打击黑恶势力犯罪，开展重点行业领域整治，铲除黑恶势力滋生土壤，形成有效治理机制，巩固党的执政基础，维护社会安全稳定，不断增强人民获得感、幸福感、安全感。</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61</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42.2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42.2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13、智慧政法-涉密视频会商系统</w:t>
            </w:r>
          </w:p>
        </w:tc>
        <w:tc>
          <w:tcPr>
            <w:tcW w:w="2236"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委政法委2022年已全面启动项目建设，按照统筹规划、统一立项、分级负责的建设模式，此项目由省发改委牵头立项、审批和招投标，省委政法委统一协调组织实施，市州党委政法委分级建设，将于2023年6月底前全面完成省、市、县三级党委政法委涉密视频会商系统建设。</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164</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164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0</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13、代管资金</w:t>
            </w:r>
            <w:r>
              <w:rPr>
                <w:rFonts w:hint="eastAsia" w:ascii="宋体" w:hAnsi="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县区政法三级专网运维费</w:t>
            </w:r>
            <w:r>
              <w:rPr>
                <w:rFonts w:hint="eastAsia" w:ascii="宋体" w:hAnsi="宋体" w:cs="宋体"/>
                <w:i w:val="0"/>
                <w:color w:val="000000"/>
                <w:kern w:val="0"/>
                <w:sz w:val="18"/>
                <w:szCs w:val="18"/>
                <w:u w:val="none"/>
                <w:lang w:val="en-US" w:eastAsia="zh-CN"/>
              </w:rPr>
              <w:t>）</w:t>
            </w:r>
          </w:p>
        </w:tc>
        <w:tc>
          <w:tcPr>
            <w:tcW w:w="223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县区政法三级专网运维费</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119</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119</w:t>
            </w: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119</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14、代管资金</w:t>
            </w:r>
            <w:r>
              <w:rPr>
                <w:rFonts w:hint="eastAsia" w:ascii="宋体" w:hAnsi="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车辆运维费</w:t>
            </w:r>
            <w:r>
              <w:rPr>
                <w:rFonts w:hint="eastAsia" w:ascii="宋体" w:hAnsi="宋体" w:cs="宋体"/>
                <w:i w:val="0"/>
                <w:color w:val="000000"/>
                <w:kern w:val="0"/>
                <w:sz w:val="18"/>
                <w:szCs w:val="18"/>
                <w:u w:val="none"/>
                <w:lang w:val="en-US" w:eastAsia="zh-CN"/>
              </w:rPr>
              <w:t>）</w:t>
            </w:r>
          </w:p>
        </w:tc>
        <w:tc>
          <w:tcPr>
            <w:tcW w:w="223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代管市机关事务服务中心车辆运维费</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w:t>
            </w: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6.45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15、急需紧缺专业选调生安家补助</w:t>
            </w:r>
          </w:p>
        </w:tc>
        <w:tc>
          <w:tcPr>
            <w:tcW w:w="2236"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急需紧缺专业选调生安家补助</w:t>
            </w:r>
          </w:p>
        </w:tc>
        <w:tc>
          <w:tcPr>
            <w:tcW w:w="10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7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3921"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金额合计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1897.87</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1766.87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131</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1635.29</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1509.84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总体</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目标</w:t>
            </w:r>
          </w:p>
        </w:tc>
        <w:tc>
          <w:tcPr>
            <w:tcW w:w="494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预期目标</w:t>
            </w:r>
          </w:p>
        </w:tc>
        <w:tc>
          <w:tcPr>
            <w:tcW w:w="7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103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4947"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目标1：防范化解重大社会稳定风险，妥善处置群体性事件。</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目标2：开展重大风险化解攻坚行动，有效解决区域性、行业系统性重大稳定风险问题。</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目标3：深入开展“五反”斗争，有效防范化解涉邪教风险隐患，确保维护国家政治安全。</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目标4：完善社会治安防控体系，开展矛盾纠纷预防化解，加强社会治安综合治理，推进市域社会治理现代化，建设更高水平平安广元。</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目标5：做好涉法涉诉信访工作，开展“治重化积”专项行动。</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目标6：强化执法监督，进一步提升执法司法公信力。</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目标7：推动重大决策社会稳定风险评估“全覆盖”。</w:t>
            </w:r>
          </w:p>
        </w:tc>
        <w:tc>
          <w:tcPr>
            <w:tcW w:w="7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2022年，全市政法工作取得明显成效，党对政法工作的绝对领导持续加强，社会大局持续安全稳定，平安广元建设扎实推进，促进司法公正成效明显，服务保障发展坚决有力，政法队伍建设持续加强。我市连续11年被评为四川省维护稳定工作先进集体，群众安全感满意度测评连续9年名列全省前茅，连续7年入选“中国最安全城市”，成功创建为第二批“全国法治政府建设示范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度</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绩</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效</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指标值（包含数字及文字描述）</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实际完成指标值（包含数字及文字描述）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部门自评得分</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财政部门科室复评得分</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2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开展社会稳定风险评估及涉稳风险预测工作</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不少于500件次/年</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排查出的13个涉稳风险领域、170余个涉稳突出问题，建立重大风险问题清单、责任清单，摸排收集群体性事件苗头性信息1100余条，均及时防范化解和妥善处置。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开展扫黑除恶专项斗争宣传工作</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开展2次宣传活动</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开展扫黑除恶工作宣传2次</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平安广元建设工作</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2022年底70%以上的城镇小区、85%的乡镇（街道）、单位和80%以上的家庭达到平安建设标准</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全市创建省级“六无”平安村（居）65个、市级264个、县级1401余个</w:t>
            </w:r>
            <w:r>
              <w:rPr>
                <w:rFonts w:hint="eastAsia" w:ascii="宋体" w:hAnsi="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达到了预期目标。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政治安全和反邪教指导工作中开展重大活动、重要会议及突发事件处置</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不少于30次/年</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32次/年</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开展涉法涉诉案件评查工作</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不少于2次/年</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开展“五年百佳案例”评选1次和“百案督办”1次，4件入选全省网评案例、11件督办案件限期办结，办理“12337”举报平台线索37件。</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加强对92户脱贫户的返贫监测</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不少于4次/年</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每季度开展一次，共4次</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政法三级专网每年专网巡检调试</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不少于6次/年</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开展专网巡检8次</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防范化解重大社会稳定风险，妥善群体性事件，力争不发生群众性事件</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低于5%</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全市未发生有影响的群体性事件、重大刑事治安案件、公共安全事件（故）和网络舆情事件。</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依法规范处置涉法涉诉信访案件</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处置率达到98%</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中央、省第二批交办我市15件涉法涉诉信访积案全部化解，处置率100%。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力争不发生进京到省群体性上访事件</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低于5%</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未发生进京到省群体性上访事件</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纪检组复议申诉案件及办案安全事故</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低于3%</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未发生复议申诉案件及办案安全事故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村组道路按照国家标准改扩建完成率</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五郎村拓宽和硬化入户公路1.2公里，新修原渔洞和五郎连接公路4.6公里，完成116%。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92户脱贫户不返贫</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无返贫户。</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rPr>
              <w:t>多元</w:t>
            </w:r>
            <w:r>
              <w:rPr>
                <w:rFonts w:hint="eastAsia" w:ascii="宋体" w:hAnsi="宋体" w:eastAsia="宋体" w:cs="宋体"/>
                <w:i w:val="0"/>
                <w:color w:val="000000"/>
                <w:kern w:val="0"/>
                <w:sz w:val="18"/>
                <w:szCs w:val="18"/>
                <w:u w:val="none"/>
                <w:lang w:val="en-US" w:eastAsia="zh-CN"/>
              </w:rPr>
              <w:t>矛盾纠纷化解个案调处成功率</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达到85%以上</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2022年排查调处各类矛盾纠纷3.13万件，调处成功率98.2%。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确保政法三级专网网络畅通</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达到100%</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政法三级专网安全畅通达100%。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完成时间</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2022.12.31</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在期限内完成</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2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人员经费</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1083.39</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1063.62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公用经费</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156.45</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156.45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“平安广元”建设</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15.49</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15.49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涉法涉诉工作经费</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17.32</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17.32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乡村振兴工作经费</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5.46</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5.46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政法三级专网运维费</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派驻纪检组工作经费</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24.27</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19.89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政治安全与反邪教指导工作</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多元矛盾纠纷化解工作</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88.49</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50.89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维护社会稳定工作</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27.52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扫黑除恶工作</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61</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42.2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智慧政法-涉密视频会商系统</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164</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代管资金</w:t>
            </w:r>
            <w:r>
              <w:rPr>
                <w:rFonts w:hint="eastAsia" w:ascii="宋体" w:hAnsi="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县区政法三级专网运维费</w:t>
            </w:r>
            <w:r>
              <w:rPr>
                <w:rFonts w:hint="eastAsia" w:ascii="宋体" w:hAnsi="宋体" w:cs="宋体"/>
                <w:i w:val="0"/>
                <w:color w:val="000000"/>
                <w:kern w:val="0"/>
                <w:sz w:val="18"/>
                <w:szCs w:val="18"/>
                <w:u w:val="none"/>
                <w:lang w:val="en-US" w:eastAsia="zh-CN"/>
              </w:rPr>
              <w:t>）</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119</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代管资金</w:t>
            </w:r>
            <w:r>
              <w:rPr>
                <w:rFonts w:hint="eastAsia" w:ascii="宋体" w:hAnsi="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车辆运维费</w:t>
            </w:r>
            <w:r>
              <w:rPr>
                <w:rFonts w:hint="eastAsia" w:ascii="宋体" w:hAnsi="宋体" w:cs="宋体"/>
                <w:i w:val="0"/>
                <w:color w:val="000000"/>
                <w:kern w:val="0"/>
                <w:sz w:val="18"/>
                <w:szCs w:val="18"/>
                <w:u w:val="none"/>
                <w:lang w:val="en-US" w:eastAsia="zh-CN"/>
              </w:rPr>
              <w:t>）</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6.45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急需紧缺专业选调生安家补助</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194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维护社会谐稳定，护航经济发展，提升群众获得感幸福感和安全感。</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重点部位安防设施建设率达100%，未发生重特大安全责任事故。广元市连续7年入选“中国最安全城市”。</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进一步规范执法司法，提高执法司法公信力，促进社会和谐稳定。</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“治重化积”工作全省排名靠前，中央、省第二批交办我市15件涉法涉诉信访积案全部化解。</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确保社会大局平稳，人民安居乐业。</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广元市连续7年入选“中国最安全城市”，社会大局平安稳定，人民安居乐业。</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2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人民群众对全市政法工作满意度</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满意度≥85%</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2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人民群众对当地社会治安满意度</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满意度≥80%</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合计</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97.3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部门（单位）自评结论</w:t>
            </w:r>
          </w:p>
        </w:tc>
        <w:tc>
          <w:tcPr>
            <w:tcW w:w="122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2022年，我委部门整体支出绩效目标制定科学合理，项目管理规范，资金使用到位，各项工作目标完成质量较高，运行保障有力，全市政法工作取得新的明显成效。根据《2023年市级部门整体支出绩效评价指标体系》评分，绩效评价自评得分为97.3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部门（单位）自评存在问题</w:t>
            </w:r>
          </w:p>
        </w:tc>
        <w:tc>
          <w:tcPr>
            <w:tcW w:w="122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一是预算绩效目标编制指标有待进一步细化。预算绩效目标编制还不够明确和细化，个别项目指标有些宏观、笼统。</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二是部分人员经费有结余。结余部分为2022年基础绩效奖部分应交养老保险、公积金，因缴费基数未到申报时间，导致资金结余。</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三是在项目执行时效上，大部分专项支出执行情况较好，执行度较高，但个别专项经费</w:t>
            </w:r>
            <w:r>
              <w:rPr>
                <w:rFonts w:hint="eastAsia" w:ascii="宋体" w:hAnsi="宋体" w:cs="宋体"/>
                <w:i w:val="0"/>
                <w:color w:val="000000"/>
                <w:kern w:val="0"/>
                <w:sz w:val="20"/>
                <w:szCs w:val="20"/>
                <w:u w:val="none"/>
                <w:lang w:val="en-US"/>
              </w:rPr>
              <w:t>执行较慢，</w:t>
            </w:r>
            <w:r>
              <w:rPr>
                <w:rFonts w:hint="eastAsia" w:ascii="宋体" w:hAnsi="宋体" w:eastAsia="宋体" w:cs="宋体"/>
                <w:i w:val="0"/>
                <w:color w:val="000000"/>
                <w:kern w:val="0"/>
                <w:sz w:val="20"/>
                <w:szCs w:val="20"/>
                <w:u w:val="none"/>
                <w:lang w:val="en-US" w:eastAsia="zh-CN"/>
              </w:rPr>
              <w:t>智慧政法-涉密视频会商系统</w:t>
            </w:r>
            <w:r>
              <w:rPr>
                <w:rFonts w:hint="eastAsia" w:ascii="宋体" w:hAnsi="宋体" w:cs="宋体"/>
                <w:i w:val="0"/>
                <w:color w:val="000000"/>
                <w:kern w:val="0"/>
                <w:sz w:val="20"/>
                <w:szCs w:val="20"/>
                <w:u w:val="none"/>
                <w:lang w:val="en-US"/>
              </w:rPr>
              <w:t>由省上统筹规划</w:t>
            </w:r>
            <w:r>
              <w:rPr>
                <w:rFonts w:hint="eastAsia" w:ascii="宋体" w:hAnsi="宋体" w:eastAsia="宋体" w:cs="宋体"/>
                <w:i w:val="0"/>
                <w:color w:val="000000"/>
                <w:kern w:val="0"/>
                <w:sz w:val="20"/>
                <w:szCs w:val="20"/>
                <w:u w:val="none"/>
                <w:lang w:val="en-US" w:eastAsia="zh-CN"/>
              </w:rPr>
              <w:t>，项目处于建设阶段，2023年6月项目完工才能付款，资金支付进度为0，资金执行情况不好。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部门（单位）自评改进措施</w:t>
            </w:r>
          </w:p>
        </w:tc>
        <w:tc>
          <w:tcPr>
            <w:tcW w:w="122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一是加强预算绩效管理，增强预算约束力，做好预算项目支出绩效目标及各项绩效指标细化、量化工作</w:t>
            </w:r>
            <w:r>
              <w:rPr>
                <w:rFonts w:hint="eastAsia" w:ascii="宋体" w:hAnsi="宋体" w:cs="宋体"/>
                <w:i w:val="0"/>
                <w:color w:val="000000"/>
                <w:kern w:val="0"/>
                <w:sz w:val="20"/>
                <w:szCs w:val="20"/>
                <w:u w:val="none"/>
                <w:lang w:val="en-US" w:eastAsia="zh-CN"/>
              </w:rPr>
              <w:t>，</w:t>
            </w:r>
            <w:r>
              <w:rPr>
                <w:rFonts w:hint="eastAsia" w:ascii="宋体" w:hAnsi="宋体" w:eastAsia="宋体" w:cs="宋体"/>
                <w:i w:val="0"/>
                <w:color w:val="000000"/>
                <w:kern w:val="0"/>
                <w:sz w:val="20"/>
                <w:szCs w:val="20"/>
                <w:u w:val="none"/>
                <w:lang w:val="en-US" w:eastAsia="zh-CN"/>
              </w:rPr>
              <w:t>用好用活各类财政资金，提高财政资金使用效益。</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二是严格按照《预算法》要求，加强预算编制的科学性、合理性</w:t>
            </w:r>
            <w:r>
              <w:rPr>
                <w:rFonts w:hint="eastAsia" w:ascii="宋体" w:hAnsi="宋体" w:cs="宋体"/>
                <w:i w:val="0"/>
                <w:color w:val="000000"/>
                <w:kern w:val="0"/>
                <w:sz w:val="20"/>
                <w:szCs w:val="20"/>
                <w:u w:val="none"/>
                <w:lang w:val="en-US" w:eastAsia="zh-CN"/>
              </w:rPr>
              <w:t>，</w:t>
            </w:r>
            <w:r>
              <w:rPr>
                <w:rFonts w:hint="eastAsia" w:ascii="宋体" w:hAnsi="宋体" w:eastAsia="宋体" w:cs="宋体"/>
                <w:i w:val="0"/>
                <w:color w:val="000000"/>
                <w:kern w:val="0"/>
                <w:sz w:val="20"/>
                <w:szCs w:val="20"/>
                <w:u w:val="none"/>
                <w:lang w:val="en-US" w:eastAsia="zh-CN"/>
              </w:rPr>
              <w:t>让预算编制更贴合实际，使项目预算与工作结合更加紧密，提高预算执行效率。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财政部门对口科室复评结论及整改要求</w:t>
            </w:r>
          </w:p>
        </w:tc>
        <w:tc>
          <w:tcPr>
            <w:tcW w:w="122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单位项目负责人：</w:t>
            </w:r>
          </w:p>
        </w:tc>
        <w:tc>
          <w:tcPr>
            <w:tcW w:w="6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部门项目负责人：</w:t>
            </w:r>
          </w:p>
        </w:tc>
        <w:tc>
          <w:tcPr>
            <w:tcW w:w="6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33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财政部门科室负责人：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3332" w:type="dxa"/>
            <w:gridSpan w:val="13"/>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p>
        </w:tc>
      </w:tr>
    </w:tbl>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7"/>
        <w:rPr>
          <w:rFonts w:hint="eastAsia"/>
          <w:lang w:val="zh-CN"/>
        </w:rPr>
      </w:pPr>
    </w:p>
    <w:tbl>
      <w:tblPr>
        <w:tblStyle w:val="16"/>
        <w:tblW w:w="137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3"/>
        <w:gridCol w:w="1577"/>
        <w:gridCol w:w="1285"/>
        <w:gridCol w:w="1328"/>
        <w:gridCol w:w="464"/>
        <w:gridCol w:w="1123"/>
        <w:gridCol w:w="529"/>
        <w:gridCol w:w="983"/>
        <w:gridCol w:w="702"/>
        <w:gridCol w:w="864"/>
        <w:gridCol w:w="1058"/>
        <w:gridCol w:w="2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777" w:type="dxa"/>
            <w:gridSpan w:val="1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color w:val="auto"/>
                <w:sz w:val="44"/>
                <w:szCs w:val="44"/>
                <w:highlight w:val="none"/>
                <w:lang w:val="en-US" w:eastAsia="zh-CN"/>
              </w:rPr>
              <w:t>部门预算项目支出绩效自评表（</w:t>
            </w:r>
            <w:r>
              <w:rPr>
                <w:rFonts w:hint="eastAsia" w:ascii="方正小标宋简体" w:hAnsi="方正小标宋简体" w:eastAsia="方正小标宋简体" w:cs="方正小标宋简体"/>
                <w:color w:val="auto"/>
                <w:sz w:val="44"/>
                <w:szCs w:val="44"/>
                <w:highlight w:val="none"/>
                <w:lang w:val="en-US"/>
              </w:rPr>
              <w:t>“平安广元”建设工作</w:t>
            </w:r>
            <w:r>
              <w:rPr>
                <w:rFonts w:hint="eastAsia" w:ascii="方正小标宋简体" w:hAnsi="方正小标宋简体" w:eastAsia="方正小标宋简体" w:cs="方正小标宋简体"/>
                <w:color w:val="auto"/>
                <w:sz w:val="44"/>
                <w:szCs w:val="4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10677"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“平安广元”建设工作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主管部门（盖章）</w:t>
            </w: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实施单位（盖章）</w:t>
            </w:r>
          </w:p>
        </w:tc>
        <w:tc>
          <w:tcPr>
            <w:tcW w:w="496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项目基本情况</w:t>
            </w:r>
          </w:p>
        </w:tc>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1.项目年度目标完成情况</w:t>
            </w: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项目年度目标</w:t>
            </w:r>
          </w:p>
        </w:tc>
        <w:tc>
          <w:tcPr>
            <w:tcW w:w="594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4"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b/>
                <w:i w:val="0"/>
                <w:color w:val="000000"/>
                <w:sz w:val="18"/>
                <w:szCs w:val="18"/>
                <w:u w:val="none"/>
              </w:rPr>
            </w:pP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1.提高四种能力：即驾驭复杂治安局面、正确处理人民内部矛盾、打击各类犯罪、执法为民等四种能力，确保四个不发生；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2.营造五个环境：即社会稳定、治安秩序良好、治安防控能力增强、经济社会发展环境优化、人民群众的安全感增强的环境；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3.2022年底70%以上的城镇小区、85%的乡镇（街道）、单位和80%以上的家庭达到平安建设标准，平安广元基础进一步夯实。</w:t>
            </w:r>
          </w:p>
        </w:tc>
        <w:tc>
          <w:tcPr>
            <w:tcW w:w="594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市县乡村四级综治中心基本实现全覆盖，实体化运行取得新进展，“一站式”矛调中心建设稳步推进，网格化服务管理水平不断提升</w:t>
            </w:r>
            <w:r>
              <w:rPr>
                <w:rFonts w:hint="eastAsia" w:ascii="宋体" w:hAnsi="宋体" w:cs="宋体"/>
                <w:i w:val="0"/>
                <w:color w:val="000000"/>
                <w:kern w:val="0"/>
                <w:sz w:val="18"/>
                <w:szCs w:val="18"/>
                <w:u w:val="none"/>
                <w:lang w:val="en-US"/>
              </w:rPr>
              <w:t>，扫黑除恶斗争常态化开展，矛盾纠纷多元化解体系逐步健全，化解成功率明显提升，平安广元建设扎实推进，深入开展“六无”平安村创建。</w:t>
            </w:r>
            <w:r>
              <w:rPr>
                <w:rFonts w:hint="eastAsia" w:ascii="宋体" w:hAnsi="宋体" w:eastAsia="宋体" w:cs="宋体"/>
                <w:i w:val="0"/>
                <w:color w:val="000000"/>
                <w:kern w:val="0"/>
                <w:sz w:val="18"/>
                <w:szCs w:val="18"/>
                <w:u w:val="none"/>
                <w:lang w:val="en-US" w:eastAsia="zh-CN"/>
              </w:rPr>
              <w:t>全市创建省级“六无”平安村（居）65个、市级264个、县级1401余个。广元市连续7年入选“中国最安全城市”。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2.项目实施内容及过程概述</w:t>
            </w:r>
          </w:p>
        </w:tc>
        <w:tc>
          <w:tcPr>
            <w:tcW w:w="10677"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平安广元”建设项目是延续项目，由综治督导科根据工作需要提出资金使用计划，按照委机关财务流程审批支付资金。在专项项目资金使用过程中，严格执行财务管理制度，按照专项资金管理办法做好项目实施和监管，财务处理及时，会计核算规范，切实做到专款专用，最大可能发挥专项资金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预算执行情况</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（10分）</w:t>
            </w: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年度预算数</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（万元）</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预算执行数</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预算执行率</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总额</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15.49</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15.49</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1.预算执行率=预算执行数/调整后预算数，预算执行率未达到90%的需说明原因（100字以内）;2.年中发生预算调整的（追加或调减）</w:t>
            </w:r>
            <w:r>
              <w:rPr>
                <w:rFonts w:hint="eastAsia" w:ascii="宋体" w:hAnsi="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其中：财政资金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15.49</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15.49</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财政专户管理资金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单位资金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其他资金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绩效指标（90分）</w:t>
            </w: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指标性质</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度量单位</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完成值</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强力推进禁毒工作</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次/年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2次</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继续深化危爆物品清理整顿</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次/年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2次</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持续深化寄递物流安全管理</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次/年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5次</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开展“六无"平安村（社区）创建</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批次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4批次</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深入基层开展平安创建，加强宣传引导和平安广元建设</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次/年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2次</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平安建设工作宣传</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万元</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平安建设工作督导、指导</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5.49</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万元</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5.49</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工作协调会、工作推进会</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万元</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时效指标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每年持续开展</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效益指标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社会效益指标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维护社会谐稳定，护航经济发展，提升群众获得感幸福感和安全感</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满意度指标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服务对象满意度指标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群众对当地社会治安满意度</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满意度指标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服务对象满意度指标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平安建设群众满意度</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96.3</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1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c>
          <w:tcPr>
            <w:tcW w:w="2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部门（单位）自评存在问题</w:t>
            </w:r>
          </w:p>
        </w:tc>
        <w:tc>
          <w:tcPr>
            <w:tcW w:w="1225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纳入中央、省委政法委考核的平安建设项目多而广，且涉及市级多个部门，有待进一步发挥平安办的组织协调作用，加大督导力度。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部门（单位）自评改进措施</w:t>
            </w:r>
          </w:p>
        </w:tc>
        <w:tc>
          <w:tcPr>
            <w:tcW w:w="1225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一是进一步加强保障力度，配齐配强平安办工作力量。二是加大预算执行力度，发挥绩效评价结果的作用，提高资金的使用效率。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财政部门对口科室复评结论及整改要求</w:t>
            </w:r>
          </w:p>
        </w:tc>
        <w:tc>
          <w:tcPr>
            <w:tcW w:w="1225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单位项目负责人：</w:t>
            </w:r>
          </w:p>
        </w:tc>
        <w:tc>
          <w:tcPr>
            <w:tcW w:w="760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部门项目负责人：</w:t>
            </w:r>
          </w:p>
        </w:tc>
        <w:tc>
          <w:tcPr>
            <w:tcW w:w="760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777"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财政部门科室负责人：</w:t>
            </w:r>
          </w:p>
        </w:tc>
      </w:tr>
    </w:tbl>
    <w:p>
      <w:pPr>
        <w:keepNext w:val="0"/>
        <w:keepLines w:val="0"/>
        <w:pageBreakBefore w:val="0"/>
        <w:kinsoku/>
        <w:wordWrap/>
        <w:overflowPunct/>
        <w:topLinePunct w:val="0"/>
        <w:autoSpaceDE/>
        <w:autoSpaceDN/>
        <w:bidi w:val="0"/>
        <w:adjustRightInd/>
        <w:snapToGrid w:val="0"/>
      </w:pPr>
      <w:r>
        <w:br w:type="page"/>
      </w:r>
    </w:p>
    <w:tbl>
      <w:tblPr>
        <w:tblStyle w:val="16"/>
        <w:tblW w:w="137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3"/>
        <w:gridCol w:w="1577"/>
        <w:gridCol w:w="1285"/>
        <w:gridCol w:w="1328"/>
        <w:gridCol w:w="464"/>
        <w:gridCol w:w="1123"/>
        <w:gridCol w:w="529"/>
        <w:gridCol w:w="983"/>
        <w:gridCol w:w="702"/>
        <w:gridCol w:w="864"/>
        <w:gridCol w:w="1058"/>
        <w:gridCol w:w="2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745" w:type="dxa"/>
            <w:gridSpan w:val="1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color w:val="auto"/>
                <w:sz w:val="44"/>
                <w:szCs w:val="44"/>
                <w:highlight w:val="none"/>
                <w:lang w:val="en-US" w:eastAsia="zh-CN"/>
              </w:rPr>
              <w:t>部门预算项目支出绩效自评表（</w:t>
            </w:r>
            <w:r>
              <w:rPr>
                <w:rFonts w:hint="eastAsia" w:ascii="方正小标宋简体" w:hAnsi="方正小标宋简体" w:eastAsia="方正小标宋简体" w:cs="方正小标宋简体"/>
                <w:color w:val="auto"/>
                <w:sz w:val="44"/>
                <w:szCs w:val="44"/>
                <w:highlight w:val="none"/>
                <w:lang w:val="en-US"/>
              </w:rPr>
              <w:t>涉法涉诉信访工作</w:t>
            </w:r>
            <w:r>
              <w:rPr>
                <w:rFonts w:hint="eastAsia" w:ascii="方正小标宋简体" w:hAnsi="方正小标宋简体" w:eastAsia="方正小标宋简体" w:cs="方正小标宋简体"/>
                <w:color w:val="auto"/>
                <w:sz w:val="44"/>
                <w:szCs w:val="4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1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1064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涉法涉诉信访工作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1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主管部门（盖章）</w:t>
            </w: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实施单位（盖章）</w:t>
            </w:r>
          </w:p>
        </w:tc>
        <w:tc>
          <w:tcPr>
            <w:tcW w:w="493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项目基本情况</w:t>
            </w:r>
          </w:p>
        </w:tc>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1.项目年度目标完成情况</w:t>
            </w: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项目年度目标</w:t>
            </w:r>
          </w:p>
        </w:tc>
        <w:tc>
          <w:tcPr>
            <w:tcW w:w="591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b/>
                <w:i w:val="0"/>
                <w:color w:val="000000"/>
                <w:sz w:val="18"/>
                <w:szCs w:val="18"/>
                <w:u w:val="none"/>
              </w:rPr>
            </w:pP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强化党委政法委执法司法监督工作，常态化开展案件评查，进一步提高执法司法公信力和群众满意度；维护公民、法人、其它组织的合法权益，维护司法权威，维护社会稳定，解决涉法涉诉上访人的实际困难，打击违法上访的情况，维护正常的机关工作秩序。</w:t>
            </w:r>
          </w:p>
        </w:tc>
        <w:tc>
          <w:tcPr>
            <w:tcW w:w="591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面抓好涉法涉诉信访工作。开展“五年百佳案例”评选和“百案督办”，4件入选全省网评案例、11件督办案件限期办结，办理“12337”举报平台线索37件。“治重化积”工作全省排名靠前，中央、省第二批交办我市15件涉法涉诉信访积案全部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2.项目实施内容及过程概述</w:t>
            </w:r>
          </w:p>
        </w:tc>
        <w:tc>
          <w:tcPr>
            <w:tcW w:w="1064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涉法涉诉信访工作是延续项目，由执法监督科根据工作需要提出资金使用计划，按照委机关财务流程审批支付资金。在专项项目资金使用过程中，严格执行财务管理制度，按照专项资金管理办法做好项目实施和监管，财务处理及时，会计核算规范，切实做到专款专用，最大可能发挥专项资金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预算执行情况</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（10分）</w:t>
            </w: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年度预算数</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（万元）</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预算执行数</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预算执行率</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总额</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17.32</w:t>
            </w: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17.32</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1.预算执行率=预算执行数/调整后预算数，预算执行率未达到90%的需说明原因（100字以内）;2.年中发生预算调整的（追加或调减）</w:t>
            </w:r>
            <w:r>
              <w:rPr>
                <w:rFonts w:hint="eastAsia" w:ascii="宋体" w:hAnsi="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其中：财政资金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17.32</w:t>
            </w: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17.32</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财政专户管理资金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单位资金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其他资金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绩效指标（90分）</w:t>
            </w: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指标性质</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度量单位</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完成值</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敏感和重要时期接访</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次/年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工作推进会、协调督办会议</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次/年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开展案件评查</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次/年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力争不发生进京到省上访案件</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力争不发生因处置不当而引发的恶性案件</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规范依法处置涉法涉诉信访案件</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到京到省接访处访</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万元</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17.32</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工作推进会议、工作协议会</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0.3</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万元</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案件评查工作费用</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万元/个</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时效指标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持续开展</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效益指标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社会效益指标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提高党和政府在人民群众心目中的形象，进一步规范执法司法，提高执法司法公信力，促进社会和谐稳定。</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90</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满意度指标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服务对象满意度指标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不断提高人民群众对执法司法的满意度</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1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部门（单位）自评存在问题</w:t>
            </w:r>
          </w:p>
        </w:tc>
        <w:tc>
          <w:tcPr>
            <w:tcW w:w="12222"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执法监督工作专业性较强，法律专业人才缺乏，在法律专业人才的招录和培养上还存有差距，需要财政经费给予保障。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部门（单位）自评改进措施</w:t>
            </w:r>
          </w:p>
        </w:tc>
        <w:tc>
          <w:tcPr>
            <w:tcW w:w="12222"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加强涉法涉诉信访工作和党委政法委执法监督力量建设，加大经费保障和工作培训力度，切实提升党委政法委执法监督水平，进一步增强涉法涉诉信访工作实效性。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财政部门对口科室复评结论及整改要求</w:t>
            </w:r>
          </w:p>
        </w:tc>
        <w:tc>
          <w:tcPr>
            <w:tcW w:w="12222"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单位项目负责人：</w:t>
            </w:r>
          </w:p>
        </w:tc>
        <w:tc>
          <w:tcPr>
            <w:tcW w:w="7568"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部门项目负责人：</w:t>
            </w:r>
          </w:p>
        </w:tc>
        <w:tc>
          <w:tcPr>
            <w:tcW w:w="7568"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745"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财政部门科室负责人：</w:t>
            </w:r>
          </w:p>
        </w:tc>
      </w:tr>
    </w:tbl>
    <w:p>
      <w:pPr>
        <w:keepNext w:val="0"/>
        <w:keepLines w:val="0"/>
        <w:pageBreakBefore w:val="0"/>
        <w:kinsoku/>
        <w:wordWrap/>
        <w:overflowPunct/>
        <w:topLinePunct w:val="0"/>
        <w:autoSpaceDE/>
        <w:autoSpaceDN/>
        <w:bidi w:val="0"/>
        <w:adjustRightInd/>
        <w:snapToGrid w:val="0"/>
      </w:pPr>
    </w:p>
    <w:p>
      <w:pPr>
        <w:keepNext w:val="0"/>
        <w:keepLines w:val="0"/>
        <w:pageBreakBefore w:val="0"/>
        <w:kinsoku/>
        <w:wordWrap/>
        <w:overflowPunct/>
        <w:topLinePunct w:val="0"/>
        <w:autoSpaceDE/>
        <w:autoSpaceDN/>
        <w:bidi w:val="0"/>
        <w:adjustRightInd/>
        <w:snapToGrid w:val="0"/>
      </w:pPr>
      <w:r>
        <w:br w:type="page"/>
      </w:r>
    </w:p>
    <w:tbl>
      <w:tblPr>
        <w:tblStyle w:val="16"/>
        <w:tblW w:w="13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0"/>
        <w:gridCol w:w="1438"/>
        <w:gridCol w:w="1186"/>
        <w:gridCol w:w="1223"/>
        <w:gridCol w:w="455"/>
        <w:gridCol w:w="1059"/>
        <w:gridCol w:w="511"/>
        <w:gridCol w:w="983"/>
        <w:gridCol w:w="672"/>
        <w:gridCol w:w="811"/>
        <w:gridCol w:w="966"/>
        <w:gridCol w:w="3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4881" w:type="dxa"/>
            <w:gridSpan w:val="1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color w:val="auto"/>
                <w:sz w:val="44"/>
                <w:szCs w:val="44"/>
                <w:highlight w:val="none"/>
                <w:lang w:val="en-US" w:eastAsia="zh-CN"/>
              </w:rPr>
              <w:t>部门预算项目支出绩效自评表（</w:t>
            </w:r>
            <w:r>
              <w:rPr>
                <w:rFonts w:hint="eastAsia" w:ascii="方正小标宋简体" w:hAnsi="方正小标宋简体" w:eastAsia="方正小标宋简体" w:cs="方正小标宋简体"/>
                <w:color w:val="auto"/>
                <w:sz w:val="44"/>
                <w:szCs w:val="44"/>
                <w:highlight w:val="none"/>
                <w:lang w:val="en-US"/>
              </w:rPr>
              <w:t>乡村振兴工作</w:t>
            </w:r>
            <w:r>
              <w:rPr>
                <w:rFonts w:hint="eastAsia" w:ascii="方正小标宋简体" w:hAnsi="方正小标宋简体" w:eastAsia="方正小标宋简体" w:cs="方正小标宋简体"/>
                <w:color w:val="auto"/>
                <w:sz w:val="44"/>
                <w:szCs w:val="4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11781"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主管部门（盖章）</w:t>
            </w: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实施单位（盖章）</w:t>
            </w:r>
          </w:p>
        </w:tc>
        <w:tc>
          <w:tcPr>
            <w:tcW w:w="606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项目基本情况</w:t>
            </w:r>
          </w:p>
        </w:tc>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1.项目年度目标完成情况</w:t>
            </w: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项目年度目标</w:t>
            </w:r>
          </w:p>
        </w:tc>
        <w:tc>
          <w:tcPr>
            <w:tcW w:w="705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b/>
                <w:i w:val="0"/>
                <w:color w:val="000000"/>
                <w:sz w:val="18"/>
                <w:szCs w:val="18"/>
                <w:u w:val="none"/>
              </w:rPr>
            </w:pP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完成利州区三堆镇五郎村乡村振兴工作，确保全村基础设施建设完善，脱贫户增收不返贫，产业兴旺发展，村集体经济有所增加，老百姓安全感、获得感、满意度进一步提升。</w:t>
            </w:r>
          </w:p>
        </w:tc>
        <w:tc>
          <w:tcPr>
            <w:tcW w:w="705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一是强化党建引领。从抓学习、抓党建入手，在“带”上多用心，在“帮”上下功夫</w:t>
            </w:r>
            <w:r>
              <w:rPr>
                <w:rFonts w:hint="eastAsia" w:ascii="宋体" w:hAnsi="宋体" w:cs="宋体"/>
                <w:i w:val="0"/>
                <w:color w:val="000000"/>
                <w:kern w:val="0"/>
                <w:sz w:val="18"/>
                <w:szCs w:val="18"/>
                <w:u w:val="none"/>
                <w:lang w:val="en-US"/>
              </w:rPr>
              <w:t>，</w:t>
            </w:r>
            <w:r>
              <w:rPr>
                <w:rFonts w:hint="eastAsia" w:ascii="宋体" w:hAnsi="宋体" w:eastAsia="宋体" w:cs="宋体"/>
                <w:i w:val="0"/>
                <w:color w:val="000000"/>
                <w:kern w:val="0"/>
                <w:sz w:val="18"/>
                <w:szCs w:val="18"/>
                <w:u w:val="none"/>
                <w:lang w:val="en-US" w:eastAsia="zh-CN"/>
              </w:rPr>
              <w:t>持续提高村级党组织战斗力。二是完善基础设施。完成五郎村全村96户村民改厨改厕，拓宽和硬化入户公路1.2公里，新开挖联村公路4.6公里，改善住房条件22户，加固山坪塘3口。三是发展特色产业。</w:t>
            </w:r>
            <w:r>
              <w:rPr>
                <w:rFonts w:hint="eastAsia" w:ascii="宋体" w:hAnsi="宋体" w:cs="宋体"/>
                <w:i w:val="0"/>
                <w:color w:val="000000"/>
                <w:kern w:val="0"/>
                <w:sz w:val="18"/>
                <w:szCs w:val="18"/>
                <w:u w:val="none"/>
                <w:lang w:val="en-US"/>
              </w:rPr>
              <w:t>邀请专家加强种养殖技术培训3次，</w:t>
            </w:r>
            <w:r>
              <w:rPr>
                <w:rFonts w:hint="eastAsia" w:ascii="宋体" w:hAnsi="宋体" w:eastAsia="宋体" w:cs="宋体"/>
                <w:i w:val="0"/>
                <w:color w:val="000000"/>
                <w:kern w:val="0"/>
                <w:sz w:val="18"/>
                <w:szCs w:val="18"/>
                <w:u w:val="none"/>
                <w:lang w:val="en-US" w:eastAsia="zh-CN"/>
              </w:rPr>
              <w:t>培育肉牛养殖大户3户、黄羊养殖大户5户、生猪养殖大户4户，发展有机核桃2000亩，香椿种植500亩。四是巩固脱贫成果。排查梳理59户脱贫户生产生活现状，建立台账、制定措施、一对一落实帮扶责任人。21户脱贫户实现了长效稳定增收，</w:t>
            </w:r>
            <w:r>
              <w:rPr>
                <w:rFonts w:hint="eastAsia" w:ascii="宋体" w:hAnsi="宋体" w:cs="宋体"/>
                <w:i w:val="0"/>
                <w:color w:val="000000"/>
                <w:kern w:val="0"/>
                <w:sz w:val="18"/>
                <w:szCs w:val="18"/>
                <w:u w:val="none"/>
                <w:lang w:val="en-US"/>
              </w:rPr>
              <w:t>通过</w:t>
            </w:r>
            <w:r>
              <w:rPr>
                <w:rFonts w:hint="eastAsia" w:ascii="宋体" w:hAnsi="宋体" w:eastAsia="宋体" w:cs="宋体"/>
                <w:i w:val="0"/>
                <w:color w:val="000000"/>
                <w:kern w:val="0"/>
                <w:sz w:val="18"/>
                <w:szCs w:val="18"/>
                <w:u w:val="none"/>
                <w:lang w:val="en-US" w:eastAsia="zh-CN"/>
              </w:rPr>
              <w:t>“以购代扶”</w:t>
            </w:r>
            <w:r>
              <w:rPr>
                <w:rFonts w:hint="eastAsia" w:ascii="宋体" w:hAnsi="宋体" w:cs="宋体"/>
                <w:i w:val="0"/>
                <w:color w:val="000000"/>
                <w:kern w:val="0"/>
                <w:sz w:val="18"/>
                <w:szCs w:val="18"/>
                <w:u w:val="none"/>
                <w:lang w:val="en-US"/>
              </w:rPr>
              <w:t>助力村民增收</w:t>
            </w:r>
            <w:r>
              <w:rPr>
                <w:rFonts w:hint="eastAsia" w:ascii="宋体" w:hAnsi="宋体" w:eastAsia="宋体" w:cs="宋体"/>
                <w:i w:val="0"/>
                <w:color w:val="000000"/>
                <w:kern w:val="0"/>
                <w:sz w:val="18"/>
                <w:szCs w:val="18"/>
                <w:u w:val="none"/>
                <w:lang w:val="en-US" w:eastAsia="zh-CN"/>
              </w:rPr>
              <w:t>。五是提振乡风文明。强化感恩教育、道德教育、新风教育，倡导“革除生活陋习、创造美好人居环境”，提速乡风文明建设。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2.项目实施内容及过程概述</w:t>
            </w:r>
          </w:p>
        </w:tc>
        <w:tc>
          <w:tcPr>
            <w:tcW w:w="11781"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全年支出乡村振兴工作经费5.46万元，预算执行率100%，资金支付与预算持平。主要用于乡村振兴驻村工作队工作经费及驻村生活补贴。资金支付标准、支付依据合法合规，无截留、挪用等现象。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预算执行情况</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（10分）</w:t>
            </w: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年度预算数</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（万元）</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预算执行数</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预算执行率</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总额</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5.46</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5.46</w:t>
            </w: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5.46</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1.预算执行率=预算执行数/调整后预算数，预算执行率未达到90%的需说明原因（100字以内）;2.年中发生预算调整的（追加或调减）</w:t>
            </w:r>
            <w:r>
              <w:rPr>
                <w:rFonts w:hint="eastAsia" w:ascii="宋体" w:hAnsi="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其中：财政资金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5.46</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5.46</w:t>
            </w: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5.46</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财政专户管理资金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单位资金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其他资金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绩效指标（90分）</w:t>
            </w: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指标性质</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度量单位</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完成值</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改扩建村组道路</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5.8公里</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两个集体经济园提升改造工作完成率</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加强对92户脱贫户的返贫监测</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次/年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4次/年</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村组道路按照国家标准改扩建完成率</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92户脱贫户不返贫</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集体增收</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8000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元/户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集体增收8200元/户</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时效指标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每年持续开展</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1年</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驻村队员工作经费</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元/人年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1.5万元</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驻村队员生活补助</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13200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元/人年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3.96万元</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效益指标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社会效益指标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村组道路通畅，人民生活水平提高，集体经济提高</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满意度指标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服务对象满意度指标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群众满意率</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98%</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1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部门（单位）自评存在问题</w:t>
            </w:r>
          </w:p>
        </w:tc>
        <w:tc>
          <w:tcPr>
            <w:tcW w:w="13358"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乡村振兴工作经费经费保障较少，不利于工作开展。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部门（单位）自评改进措施</w:t>
            </w:r>
          </w:p>
        </w:tc>
        <w:tc>
          <w:tcPr>
            <w:tcW w:w="13358"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乡村振兴工作任务重，建议加大经费保障力度。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财政部门对口科室复评结论及整改要求</w:t>
            </w:r>
          </w:p>
        </w:tc>
        <w:tc>
          <w:tcPr>
            <w:tcW w:w="13358"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单位项目负责人：</w:t>
            </w:r>
          </w:p>
        </w:tc>
        <w:tc>
          <w:tcPr>
            <w:tcW w:w="870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部门项目负责人：</w:t>
            </w:r>
          </w:p>
        </w:tc>
        <w:tc>
          <w:tcPr>
            <w:tcW w:w="870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81"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财政部门科室负责人：</w:t>
            </w:r>
          </w:p>
        </w:tc>
      </w:tr>
    </w:tbl>
    <w:p>
      <w:pPr>
        <w:keepNext w:val="0"/>
        <w:keepLines w:val="0"/>
        <w:pageBreakBefore w:val="0"/>
        <w:kinsoku/>
        <w:wordWrap/>
        <w:overflowPunct/>
        <w:topLinePunct w:val="0"/>
        <w:autoSpaceDE/>
        <w:autoSpaceDN/>
        <w:bidi w:val="0"/>
        <w:adjustRightInd/>
        <w:snapToGrid w:val="0"/>
      </w:pPr>
      <w:r>
        <w:br w:type="page"/>
      </w:r>
    </w:p>
    <w:tbl>
      <w:tblPr>
        <w:tblStyle w:val="16"/>
        <w:tblW w:w="13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0"/>
        <w:gridCol w:w="1447"/>
        <w:gridCol w:w="1204"/>
        <w:gridCol w:w="1242"/>
        <w:gridCol w:w="455"/>
        <w:gridCol w:w="1040"/>
        <w:gridCol w:w="455"/>
        <w:gridCol w:w="965"/>
        <w:gridCol w:w="674"/>
        <w:gridCol w:w="815"/>
        <w:gridCol w:w="972"/>
        <w:gridCol w:w="3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4816" w:type="dxa"/>
            <w:gridSpan w:val="1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color w:val="auto"/>
                <w:sz w:val="44"/>
                <w:szCs w:val="44"/>
                <w:highlight w:val="none"/>
                <w:lang w:val="en-US" w:eastAsia="zh-CN"/>
              </w:rPr>
              <w:t>部门预算项目支出绩效自评表（</w:t>
            </w:r>
            <w:r>
              <w:rPr>
                <w:rFonts w:hint="eastAsia" w:ascii="方正小标宋简体" w:hAnsi="方正小标宋简体" w:eastAsia="方正小标宋简体" w:cs="方正小标宋简体"/>
                <w:color w:val="auto"/>
                <w:sz w:val="44"/>
                <w:szCs w:val="44"/>
                <w:highlight w:val="none"/>
                <w:lang w:val="en-US"/>
              </w:rPr>
              <w:t>政法三级专网运维费</w:t>
            </w:r>
            <w:r>
              <w:rPr>
                <w:rFonts w:hint="eastAsia" w:ascii="方正小标宋简体" w:hAnsi="方正小标宋简体" w:eastAsia="方正小标宋简体" w:cs="方正小标宋简体"/>
                <w:color w:val="auto"/>
                <w:sz w:val="44"/>
                <w:szCs w:val="4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11716"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政法三级专网运维费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主管部门（盖章）</w:t>
            </w:r>
          </w:p>
        </w:tc>
        <w:tc>
          <w:tcPr>
            <w:tcW w:w="466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实施单位（盖章）</w:t>
            </w:r>
          </w:p>
        </w:tc>
        <w:tc>
          <w:tcPr>
            <w:tcW w:w="606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项目基本情况</w:t>
            </w:r>
          </w:p>
        </w:tc>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1.项目年度目标完成情况</w:t>
            </w:r>
          </w:p>
        </w:tc>
        <w:tc>
          <w:tcPr>
            <w:tcW w:w="466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项目年度目标</w:t>
            </w:r>
          </w:p>
        </w:tc>
        <w:tc>
          <w:tcPr>
            <w:tcW w:w="705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b/>
                <w:i w:val="0"/>
                <w:color w:val="000000"/>
                <w:sz w:val="18"/>
                <w:szCs w:val="18"/>
                <w:u w:val="none"/>
              </w:rPr>
            </w:pPr>
          </w:p>
        </w:tc>
        <w:tc>
          <w:tcPr>
            <w:tcW w:w="466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确保市级政法三级专网、高清视频会议等系统、依托该网络的省委政法委内网和市委政法委内网运行良好。</w:t>
            </w:r>
          </w:p>
        </w:tc>
        <w:tc>
          <w:tcPr>
            <w:tcW w:w="705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通过项目实施，确保了政法三级专网运行畅通，安全稳定，保障了工作顺利开展，得到各级领导和相关单位及用户认可，提高了工作效率。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2.项目实施内容及过程概述</w:t>
            </w:r>
          </w:p>
        </w:tc>
        <w:tc>
          <w:tcPr>
            <w:tcW w:w="11716"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该项目资金主要用于政法三级专网运行维护。按照《《广元市政法部门网络设施共建信息资源共享项目合作运维服务协议》》有关规定每季度支付合同金额，于2022年1月1日开始实施，2022年12月31日实施完毕。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预算执行情况</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（10分）</w:t>
            </w: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年度预算数</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（万元）</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调整后预算数</w:t>
            </w:r>
          </w:p>
        </w:tc>
        <w:tc>
          <w:tcPr>
            <w:tcW w:w="20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预算执行数</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预算执行率</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总额</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99.00</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99.00</w:t>
            </w:r>
          </w:p>
        </w:tc>
        <w:tc>
          <w:tcPr>
            <w:tcW w:w="20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99.00</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1.预算执行率=预算执行数/调整后预算数，预算执行率未达到90%的需说明原因（100字以内）;2.年中发生预算调整的（追加或调减）</w:t>
            </w:r>
            <w:r>
              <w:rPr>
                <w:rFonts w:hint="eastAsia" w:ascii="宋体" w:hAnsi="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其中：财政资金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99.00</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99.00</w:t>
            </w:r>
          </w:p>
        </w:tc>
        <w:tc>
          <w:tcPr>
            <w:tcW w:w="20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99.00</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100.00%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财政专户管理资金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0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单位资金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0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其他资金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20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绩效指标（90分）</w:t>
            </w: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指标性质</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度量单位</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完成值</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设备运行维护率</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464"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设备运行维护率100%</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政法三级专网网络整体租赁</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464"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政法三级专网网络整体租赁1年</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每年专网现场巡检、调试</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464"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次</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开展专网现场巡检、调试8次</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确保政法三级专网网络畅通</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w:t>
            </w:r>
          </w:p>
        </w:tc>
        <w:tc>
          <w:tcPr>
            <w:tcW w:w="464"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政法三级专网运行畅通，无故障发生。</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时效指标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每年持续开展</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464"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按时完成</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每年政法三级专网运维费</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w:t>
            </w:r>
          </w:p>
        </w:tc>
        <w:tc>
          <w:tcPr>
            <w:tcW w:w="464"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万元</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按照合同，支付政法三级专网运维费99万元</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效益指标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社会效益指标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提升政法工作效率，节约政法工作成本</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定性</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好坏</w:t>
            </w:r>
          </w:p>
        </w:tc>
        <w:tc>
          <w:tcPr>
            <w:tcW w:w="464"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提升了工作效率，节约了工作成本。</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满意度指标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服务对象满意度指标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政法三级专网用户满意度</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98</w:t>
            </w:r>
          </w:p>
        </w:tc>
        <w:tc>
          <w:tcPr>
            <w:tcW w:w="464"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市委政法委和县区政法委对政法三级专网用户满意度达99%。</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747"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部门（单位）自评存在问题</w:t>
            </w:r>
          </w:p>
        </w:tc>
        <w:tc>
          <w:tcPr>
            <w:tcW w:w="13293"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绩效目标编制精确度有待改进。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部门（单位）自评改进措施</w:t>
            </w:r>
          </w:p>
        </w:tc>
        <w:tc>
          <w:tcPr>
            <w:tcW w:w="13293"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严格按照预算编制的相关制度和要求进行预算编制，进一步提高预算编制的科学性、合理性和准确性。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财政部门对口科室复评结论及整改要求</w:t>
            </w:r>
          </w:p>
        </w:tc>
        <w:tc>
          <w:tcPr>
            <w:tcW w:w="13293"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单位项目负责人：</w:t>
            </w:r>
          </w:p>
        </w:tc>
        <w:tc>
          <w:tcPr>
            <w:tcW w:w="863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部门项目负责人：</w:t>
            </w:r>
          </w:p>
        </w:tc>
        <w:tc>
          <w:tcPr>
            <w:tcW w:w="863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6"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财政部门科室负责人：</w:t>
            </w:r>
          </w:p>
        </w:tc>
      </w:tr>
    </w:tbl>
    <w:p>
      <w:pPr>
        <w:keepNext w:val="0"/>
        <w:keepLines w:val="0"/>
        <w:pageBreakBefore w:val="0"/>
        <w:kinsoku/>
        <w:wordWrap/>
        <w:overflowPunct/>
        <w:topLinePunct w:val="0"/>
        <w:autoSpaceDE/>
        <w:autoSpaceDN/>
        <w:bidi w:val="0"/>
        <w:adjustRightInd/>
        <w:snapToGrid w:val="0"/>
      </w:pPr>
      <w:r>
        <w:br w:type="page"/>
      </w:r>
    </w:p>
    <w:tbl>
      <w:tblPr>
        <w:tblStyle w:val="16"/>
        <w:tblW w:w="13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2"/>
        <w:gridCol w:w="1438"/>
        <w:gridCol w:w="1199"/>
        <w:gridCol w:w="1236"/>
        <w:gridCol w:w="455"/>
        <w:gridCol w:w="1060"/>
        <w:gridCol w:w="511"/>
        <w:gridCol w:w="951"/>
        <w:gridCol w:w="672"/>
        <w:gridCol w:w="812"/>
        <w:gridCol w:w="966"/>
        <w:gridCol w:w="3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4881" w:type="dxa"/>
            <w:gridSpan w:val="1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color w:val="auto"/>
                <w:sz w:val="44"/>
                <w:szCs w:val="44"/>
                <w:highlight w:val="none"/>
                <w:lang w:val="en-US" w:eastAsia="zh-CN"/>
              </w:rPr>
              <w:t>部门预算项目支出绩效自评表（</w:t>
            </w:r>
            <w:r>
              <w:rPr>
                <w:rFonts w:hint="eastAsia" w:ascii="方正小标宋简体" w:hAnsi="方正小标宋简体" w:eastAsia="方正小标宋简体" w:cs="方正小标宋简体"/>
                <w:color w:val="auto"/>
                <w:sz w:val="44"/>
                <w:szCs w:val="44"/>
                <w:highlight w:val="none"/>
                <w:lang w:val="en-US"/>
              </w:rPr>
              <w:t>派驻纪检组工作</w:t>
            </w:r>
            <w:r>
              <w:rPr>
                <w:rFonts w:hint="eastAsia" w:ascii="方正小标宋简体" w:hAnsi="方正小标宋简体" w:eastAsia="方正小标宋简体" w:cs="方正小标宋简体"/>
                <w:color w:val="auto"/>
                <w:sz w:val="44"/>
                <w:szCs w:val="4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11781"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派驻纪检组工作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主管部门（盖章）</w:t>
            </w: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实施单位（盖章）</w:t>
            </w:r>
          </w:p>
        </w:tc>
        <w:tc>
          <w:tcPr>
            <w:tcW w:w="606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项目基本情况</w:t>
            </w:r>
          </w:p>
        </w:tc>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1.项目年度目标完成情况</w:t>
            </w: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项目年度目标</w:t>
            </w:r>
          </w:p>
        </w:tc>
        <w:tc>
          <w:tcPr>
            <w:tcW w:w="705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b/>
                <w:i w:val="0"/>
                <w:color w:val="000000"/>
                <w:sz w:val="18"/>
                <w:szCs w:val="18"/>
                <w:u w:val="none"/>
              </w:rPr>
            </w:pPr>
          </w:p>
        </w:tc>
        <w:tc>
          <w:tcPr>
            <w:tcW w:w="472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以发现问题线索和服务中心工作为目标导向，以线索处置和执纪审查为工作重点，精准有效实施监督，抓实综合监督单位政治生态涵养，构建风清气正政治生态。</w:t>
            </w:r>
          </w:p>
        </w:tc>
        <w:tc>
          <w:tcPr>
            <w:tcW w:w="705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严查处强化办案引领。共处置各类问题线索30件，限时办结率100%，发现并上报市管干部问题线索5件。开展案件质量自查7件，检查处分执行6件，回访座谈有关人员16人。起草的“双审双理”工作制度得到市纪委陈宗德书记肯定性批示。严格办案程序和手续，严控“走读式”谈话，确保办案安全。全年共实施“走读式”谈话10人，开展初核、审查调查、审理谈话30次，问责谈话16次，赴县区开展外调2次。为委机关、其他纪检监察组及县区纪委提供使用谈话室11次，做好防疫消杀、笔录打印、录音录像刻录等后勤保障服务工作，做到了办案安全零事故、零违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2.项目实施内容及过程概述</w:t>
            </w:r>
          </w:p>
        </w:tc>
        <w:tc>
          <w:tcPr>
            <w:tcW w:w="11781"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派驻纪检监察组项目由纪检组由提出经费支出计划，严格按照市委政法委报账程序执行，做到专款专用。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预算执行情况</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（10分）</w:t>
            </w: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年度预算数</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（万元）</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预算执行数</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预算执行率</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总额</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24.27</w:t>
            </w: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19.89</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82.00%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1.预算执行率=预算执行数/调整后预算数，预算执行率未达到90%的需说明原因（100字以内）;2.年中发生预算调整的（追加或调减）</w:t>
            </w:r>
            <w:r>
              <w:rPr>
                <w:rFonts w:hint="eastAsia" w:ascii="宋体" w:hAnsi="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应单独说明理由；3.其他资金包括、社会投入资金、银行贷款</w:t>
            </w:r>
            <w:r>
              <w:rPr>
                <w:rFonts w:hint="eastAsia" w:ascii="宋体" w:hAnsi="宋体" w:cs="宋体"/>
                <w:i w:val="0"/>
                <w:color w:val="000000"/>
                <w:kern w:val="0"/>
                <w:sz w:val="18"/>
                <w:szCs w:val="18"/>
                <w:u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其中：财政资金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24.27</w:t>
            </w: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19.89</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82.00%</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财政专户管理资金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单位资金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其他资金</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21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绩效指标（90分）</w:t>
            </w: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指标性质</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度量单位</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完成值</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日常驻点监督</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批次</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完成上级交办专项监督检查</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90</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问题线索处置</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精准监督</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定性</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好坏</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好</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复议申诉案件</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办案安全事故</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时效指标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当年度考核</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立案案件</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20000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元/个</w:t>
            </w:r>
          </w:p>
        </w:tc>
        <w:tc>
          <w:tcPr>
            <w:tcW w:w="9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19.89万元</w:t>
            </w: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日常监督、专项检查</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元/个</w:t>
            </w:r>
          </w:p>
        </w:tc>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函询、初核问题线索</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6000</w:t>
            </w:r>
          </w:p>
        </w:tc>
        <w:tc>
          <w:tcPr>
            <w:tcW w:w="529"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元/个</w:t>
            </w:r>
          </w:p>
        </w:tc>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6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1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c>
          <w:tcPr>
            <w:tcW w:w="34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部门（单位）自评存在问题</w:t>
            </w:r>
          </w:p>
        </w:tc>
        <w:tc>
          <w:tcPr>
            <w:tcW w:w="13358"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驻市委政法委纪检监察组综合监督单位为市委政法委、市法院、市检察院、市司法局，信访量增大，问题线索增多，且核实难度较大，但办案设备采购滞后。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部门（单位）自评改进措施</w:t>
            </w:r>
          </w:p>
        </w:tc>
        <w:tc>
          <w:tcPr>
            <w:tcW w:w="13358"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加大对派驻纪检资金的保障力度，配齐配全纪检组办公设备，全面提高办案水平。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财政部门对口科室复评结论及整改要求</w:t>
            </w:r>
          </w:p>
        </w:tc>
        <w:tc>
          <w:tcPr>
            <w:tcW w:w="13358"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单位项目负责人：</w:t>
            </w:r>
          </w:p>
        </w:tc>
        <w:tc>
          <w:tcPr>
            <w:tcW w:w="870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部门项目负责人：</w:t>
            </w:r>
          </w:p>
        </w:tc>
        <w:tc>
          <w:tcPr>
            <w:tcW w:w="870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81"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财政部门科室负责人：</w:t>
            </w:r>
          </w:p>
        </w:tc>
      </w:tr>
    </w:tbl>
    <w:p>
      <w:pPr>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sectPr>
          <w:pgSz w:w="16838" w:h="11906" w:orient="landscape"/>
          <w:pgMar w:top="1587" w:right="1587" w:bottom="1587" w:left="1587" w:header="851" w:footer="1417" w:gutter="0"/>
          <w:pgNumType w:fmt="decimal"/>
          <w:cols w:space="0" w:num="1"/>
          <w:rtlGutter w:val="0"/>
          <w:docGrid w:type="lines" w:linePitch="315" w:charSpace="0"/>
        </w:sectPr>
      </w:pPr>
      <w:r>
        <w:rPr>
          <w:rFonts w:hint="eastAsia" w:hAnsi="宋体" w:cs="宋体"/>
          <w:color w:val="auto"/>
          <w:kern w:val="0"/>
          <w:sz w:val="32"/>
          <w:szCs w:val="32"/>
          <w:highlight w:val="none"/>
          <w:shd w:val="clear" w:color="auto" w:fill="FFFFFF"/>
          <w:lang w:val="zh-CN"/>
        </w:rPr>
        <w:br w:type="page"/>
      </w:r>
    </w:p>
    <w:p>
      <w:pPr>
        <w:pStyle w:val="8"/>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hAnsi="宋体" w:cs="宋体"/>
          <w:color w:val="auto"/>
          <w:kern w:val="0"/>
          <w:sz w:val="32"/>
          <w:szCs w:val="32"/>
          <w:highlight w:val="none"/>
          <w:shd w:val="clear" w:color="auto" w:fill="FFFFFF"/>
          <w:lang w:val="en-US" w:eastAsia="zh-CN"/>
        </w:rPr>
      </w:pPr>
      <w:bookmarkStart w:id="81" w:name="_Toc6888"/>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81"/>
    </w:p>
    <w:p>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2023年市级专项资金预算项目支出绩效</w:t>
      </w:r>
    </w:p>
    <w:p>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自评报告</w:t>
      </w:r>
    </w:p>
    <w:p>
      <w:pPr>
        <w:pStyle w:val="35"/>
        <w:keepNext w:val="0"/>
        <w:keepLines w:val="0"/>
        <w:pageBreakBefore w:val="0"/>
        <w:widowControl w:val="0"/>
        <w:kinsoku/>
        <w:wordWrap/>
        <w:overflowPunct/>
        <w:topLinePunct w:val="0"/>
        <w:autoSpaceDE/>
        <w:autoSpaceDN/>
        <w:bidi w:val="0"/>
        <w:adjustRightInd/>
        <w:snapToGrid w:val="0"/>
        <w:spacing w:before="313" w:beforeLines="100" w:line="240" w:lineRule="auto"/>
        <w:jc w:val="center"/>
        <w:textAlignment w:val="auto"/>
        <w:rPr>
          <w:rFonts w:hint="default" w:ascii="方正小标宋简体" w:hAnsi="方正小标宋简体" w:eastAsia="方正小标宋简体" w:cs="方正小标宋简体"/>
          <w:b w:val="0"/>
          <w:bCs w:val="0"/>
          <w:color w:val="auto"/>
          <w:kern w:val="2"/>
          <w:sz w:val="44"/>
          <w:szCs w:val="44"/>
          <w:highlight w:val="none"/>
          <w:lang w:val="en-US"/>
        </w:rPr>
      </w:pPr>
      <w:r>
        <w:rPr>
          <w:rFonts w:hint="eastAsia" w:ascii="楷体_GB2312" w:hAnsi="楷体_GB2312" w:eastAsia="楷体_GB2312" w:cs="楷体_GB2312"/>
          <w:b w:val="0"/>
          <w:bCs w:val="0"/>
          <w:color w:val="auto"/>
          <w:kern w:val="2"/>
          <w:sz w:val="30"/>
          <w:szCs w:val="30"/>
          <w:highlight w:val="none"/>
          <w:lang w:val="en-US" w:eastAsia="zh-CN"/>
        </w:rPr>
        <w:t>（</w:t>
      </w:r>
      <w:r>
        <w:rPr>
          <w:rFonts w:hint="eastAsia" w:ascii="楷体_GB2312" w:hAnsi="楷体_GB2312" w:eastAsia="楷体_GB2312" w:cs="楷体_GB2312"/>
          <w:b w:val="0"/>
          <w:bCs w:val="0"/>
          <w:color w:val="auto"/>
          <w:kern w:val="2"/>
          <w:sz w:val="30"/>
          <w:szCs w:val="30"/>
          <w:highlight w:val="none"/>
          <w:lang w:val="en-US"/>
        </w:rPr>
        <w:t>多元矛盾纠纷化解工作经费</w:t>
      </w:r>
      <w:r>
        <w:rPr>
          <w:rFonts w:hint="eastAsia" w:ascii="楷体_GB2312" w:hAnsi="楷体_GB2312" w:eastAsia="楷体_GB2312" w:cs="楷体_GB2312"/>
          <w:b w:val="0"/>
          <w:bCs w:val="0"/>
          <w:color w:val="auto"/>
          <w:kern w:val="2"/>
          <w:sz w:val="30"/>
          <w:szCs w:val="30"/>
          <w:highlight w:val="none"/>
          <w:lang w:val="en-US" w:eastAsia="zh-CN"/>
        </w:rPr>
        <w:t>）</w:t>
      </w:r>
    </w:p>
    <w:p>
      <w:pPr>
        <w:pStyle w:val="35"/>
        <w:keepNext w:val="0"/>
        <w:keepLines w:val="0"/>
        <w:pageBreakBefore w:val="0"/>
        <w:widowControl w:val="0"/>
        <w:kinsoku/>
        <w:wordWrap/>
        <w:overflowPunct/>
        <w:topLinePunct w:val="0"/>
        <w:autoSpaceDE/>
        <w:autoSpaceDN/>
        <w:bidi w:val="0"/>
        <w:snapToGrid w:val="0"/>
        <w:spacing w:line="348" w:lineRule="auto"/>
        <w:ind w:firstLine="640" w:firstLineChars="200"/>
        <w:jc w:val="both"/>
        <w:textAlignment w:val="auto"/>
        <w:rPr>
          <w:rFonts w:hint="eastAsia" w:ascii="仿宋_GB2312" w:hAnsi="仿宋_GB2312" w:eastAsia="仿宋_GB2312" w:cs="仿宋_GB2312"/>
          <w:b w:val="0"/>
          <w:bCs w:val="0"/>
          <w:color w:val="000000"/>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1"/>
        <w:rPr>
          <w:rFonts w:hint="eastAsia" w:ascii="黑体" w:hAnsi="黑体" w:eastAsia="黑体" w:cs="黑体"/>
          <w:b w:val="0"/>
          <w:bCs w:val="0"/>
          <w:color w:val="000000"/>
          <w:sz w:val="32"/>
          <w:szCs w:val="32"/>
          <w:highlight w:val="none"/>
          <w:lang w:val="zh-CN"/>
        </w:rPr>
      </w:pPr>
      <w:bookmarkStart w:id="82" w:name="_Toc26192"/>
      <w:r>
        <w:rPr>
          <w:rFonts w:hint="eastAsia" w:ascii="黑体" w:hAnsi="黑体" w:eastAsia="黑体" w:cs="黑体"/>
          <w:b w:val="0"/>
          <w:bCs w:val="0"/>
          <w:color w:val="000000"/>
          <w:sz w:val="32"/>
          <w:szCs w:val="32"/>
          <w:highlight w:val="none"/>
        </w:rPr>
        <w:t>一、</w:t>
      </w:r>
      <w:r>
        <w:rPr>
          <w:rFonts w:hint="eastAsia" w:ascii="黑体" w:hAnsi="黑体" w:eastAsia="黑体" w:cs="黑体"/>
          <w:b w:val="0"/>
          <w:bCs w:val="0"/>
          <w:color w:val="000000"/>
          <w:sz w:val="32"/>
          <w:szCs w:val="32"/>
          <w:highlight w:val="none"/>
          <w:lang w:val="zh-CN"/>
        </w:rPr>
        <w:t>项目概况</w:t>
      </w:r>
      <w:bookmarkEnd w:id="82"/>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zh-CN"/>
        </w:rPr>
      </w:pPr>
      <w:r>
        <w:rPr>
          <w:rFonts w:hint="eastAsia" w:ascii="仿宋_GB2312" w:hAnsi="仿宋_GB2312" w:eastAsia="仿宋_GB2312" w:cs="仿宋_GB2312"/>
          <w:b w:val="0"/>
          <w:bCs w:val="0"/>
          <w:color w:val="000000"/>
          <w:kern w:val="0"/>
          <w:sz w:val="32"/>
          <w:szCs w:val="32"/>
          <w:highlight w:val="none"/>
          <w:u w:val="none"/>
          <w:shd w:val="clear" w:color="auto" w:fill="FFFFFF"/>
          <w:lang w:val="zh-CN"/>
        </w:rPr>
        <w:t>1．说明项目主管部门（单位）在该项目管理中的职能。</w:t>
      </w:r>
    </w:p>
    <w:p>
      <w:pPr>
        <w:pStyle w:val="2"/>
        <w:keepNext w:val="0"/>
        <w:keepLines w:val="0"/>
        <w:pageBreakBefore w:val="0"/>
        <w:widowControl w:val="0"/>
        <w:kinsoku/>
        <w:wordWrap/>
        <w:overflowPunct/>
        <w:topLinePunct w:val="0"/>
        <w:autoSpaceDE/>
        <w:autoSpaceDN/>
        <w:bidi w:val="0"/>
        <w:snapToGrid w:val="0"/>
        <w:spacing w:after="0" w:line="348" w:lineRule="auto"/>
        <w:ind w:left="0" w:lef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按照市委“三定”方案，纠纷多元化解工作是市委政法委主要工作之一。其主要工作职能是建成覆盖市、县区、乡镇（街道）、村（社区）和各级各部门、各行业的调解组织网络，实现调解工作全覆盖，多元化解工作整体效能充分发挥，确保全市完善矛盾纠纷多元化解机制建设责任主体明确、工作措施落实、建设成效明显，提高预测预警预防各类矛盾纠纷和风险隐患的能力</w:t>
      </w:r>
      <w:r>
        <w:rPr>
          <w:rFonts w:hint="eastAsia" w:ascii="仿宋_GB2312" w:hAnsi="仿宋_GB2312" w:eastAsia="仿宋_GB2312" w:cs="仿宋_GB2312"/>
          <w:bCs/>
          <w:color w:val="000000"/>
          <w:sz w:val="32"/>
          <w:szCs w:val="32"/>
        </w:rPr>
        <w:t>，切实维护社会稳定。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zh-CN"/>
        </w:rPr>
      </w:pPr>
      <w:r>
        <w:rPr>
          <w:rFonts w:hint="eastAsia" w:ascii="仿宋_GB2312" w:hAnsi="仿宋_GB2312" w:eastAsia="仿宋_GB2312" w:cs="仿宋_GB2312"/>
          <w:b w:val="0"/>
          <w:bCs w:val="0"/>
          <w:color w:val="000000"/>
          <w:kern w:val="0"/>
          <w:sz w:val="32"/>
          <w:szCs w:val="32"/>
          <w:highlight w:val="none"/>
          <w:u w:val="none"/>
          <w:shd w:val="clear" w:color="auto" w:fill="FFFFFF"/>
          <w:lang w:val="zh-CN"/>
        </w:rPr>
        <w:t>2．项目立项、资金申报的依据，</w:t>
      </w:r>
      <w:r>
        <w:rPr>
          <w:rFonts w:hint="eastAsia" w:ascii="仿宋_GB2312" w:hAnsi="仿宋_GB2312" w:eastAsia="仿宋_GB2312" w:cs="仿宋_GB2312"/>
          <w:b w:val="0"/>
          <w:bCs w:val="0"/>
          <w:color w:val="000000"/>
          <w:kern w:val="0"/>
          <w:sz w:val="32"/>
          <w:szCs w:val="32"/>
          <w:highlight w:val="none"/>
          <w:u w:val="none"/>
          <w:shd w:val="clear" w:color="auto" w:fill="FFFFFF"/>
          <w:lang w:val="en-US" w:eastAsia="zh-CN"/>
        </w:rPr>
        <w:t>包括但不限于：项目涉及的中省市相关政策文件和规划、项目设立论证资料、资金安排相关文件等。附相关文件资料</w:t>
      </w:r>
      <w:r>
        <w:rPr>
          <w:rFonts w:hint="eastAsia" w:ascii="仿宋_GB2312" w:hAnsi="仿宋_GB2312" w:eastAsia="仿宋_GB2312" w:cs="仿宋_GB2312"/>
          <w:b w:val="0"/>
          <w:bCs w:val="0"/>
          <w:color w:val="000000"/>
          <w:kern w:val="0"/>
          <w:sz w:val="32"/>
          <w:szCs w:val="32"/>
          <w:highlight w:val="none"/>
          <w:u w:val="none"/>
          <w:shd w:val="clear" w:color="auto" w:fill="FFFFFF"/>
          <w:lang w:val="zh-CN"/>
        </w:rPr>
        <w:t>。</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中共四川省委办公厅四川省人民政府办公厅关于完善矛盾纠纷多元化解机制的实施意见》（川委办[2016]45号），要求各地要对矛盾纠纷多元化解工作所需经费给予必要保障，将有关工作经费、工作人员补贴、司法救助资金、各类调解个案奖励等纳入同级财政预算，建立常态保障机制。</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是四川省人大常委会2019年11月28日颁布2020年1月起施行的《四川省矛盾纠纷多元化解条例》第八条“县级以上地方人民政府应当为纠纷多元化解工作提供经费保障，将人民调解、劳动争议和农村土地承包经营纠纷调解仲裁工作经费依法纳入预算，对人民调解组织及其调解人员给予适当经费补助或者补贴。”</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是市委办《关于印发〈广元市完善矛盾纠纷多元化解机制工作责任分工方案〉的通知》（广委办〔2017〕39号），要求市、县区、乡镇（街道）对矛盾纠纷多元化解工作所需经费给予必要保障，建立常态保障机制。将有关工作经费、工作人员补贴、司法救助资金、各类调解个案奖励等纳入同级财政预算，并根据经济社会发展和财政收入增加予以相应提高。市本级以全市人口总数为基数，按不低于0.20元／人的标准解决工作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u w:val="none"/>
          <w:shd w:val="clear" w:color="auto" w:fill="FFFFFF"/>
          <w:lang w:val="zh-CN"/>
        </w:rPr>
        <w:t>3．资金</w:t>
      </w:r>
      <w:r>
        <w:rPr>
          <w:rFonts w:hint="eastAsia" w:ascii="仿宋_GB2312" w:hAnsi="仿宋_GB2312" w:eastAsia="仿宋_GB2312" w:cs="仿宋_GB2312"/>
          <w:b w:val="0"/>
          <w:bCs w:val="0"/>
          <w:color w:val="000000"/>
          <w:kern w:val="0"/>
          <w:sz w:val="32"/>
          <w:szCs w:val="32"/>
          <w:highlight w:val="none"/>
          <w:u w:val="none"/>
          <w:shd w:val="clear" w:color="auto" w:fill="FFFFFF"/>
          <w:lang w:val="en-US" w:eastAsia="zh-CN"/>
        </w:rPr>
        <w:t>或项目</w:t>
      </w:r>
      <w:r>
        <w:rPr>
          <w:rFonts w:hint="eastAsia" w:ascii="仿宋_GB2312" w:hAnsi="仿宋_GB2312" w:eastAsia="仿宋_GB2312" w:cs="仿宋_GB2312"/>
          <w:b w:val="0"/>
          <w:bCs w:val="0"/>
          <w:color w:val="000000"/>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b w:val="0"/>
          <w:bCs w:val="0"/>
          <w:color w:val="000000"/>
          <w:kern w:val="0"/>
          <w:sz w:val="32"/>
          <w:szCs w:val="32"/>
          <w:highlight w:val="none"/>
          <w:u w:val="none"/>
          <w:shd w:val="clear" w:color="auto" w:fill="FFFFFF"/>
          <w:lang w:val="en-US" w:eastAsia="zh-CN"/>
        </w:rPr>
        <w:t>附资金或项目管理办法。</w:t>
      </w:r>
    </w:p>
    <w:p>
      <w:pPr>
        <w:pStyle w:val="14"/>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多元化解工作经费严格按照广元市矛盾纠纷大调解工作领导小组《关于印发〈广元市市本级大调解工作经费管理使用办法〉的通知》（广矛调组〔2013〕3号）要求，对专项资金的使用加强监督管理，提高资金使用绩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zh-CN"/>
        </w:rPr>
      </w:pPr>
      <w:r>
        <w:rPr>
          <w:rFonts w:hint="eastAsia" w:ascii="仿宋_GB2312" w:hAnsi="仿宋_GB2312" w:eastAsia="仿宋_GB2312" w:cs="仿宋_GB2312"/>
          <w:b w:val="0"/>
          <w:bCs w:val="0"/>
          <w:color w:val="000000"/>
          <w:kern w:val="0"/>
          <w:sz w:val="32"/>
          <w:szCs w:val="32"/>
          <w:highlight w:val="none"/>
          <w:u w:val="none"/>
          <w:shd w:val="clear" w:color="auto" w:fill="FFFFFF"/>
          <w:lang w:val="zh-CN"/>
        </w:rPr>
        <w:t>4．资金分配的原则及考虑因素。</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按照广元市矛盾纠纷大调解工作领导小组《关于印发〈广元市市本级大调解工作经费管理使用办法〉的通知》（广矛调组〔2013〕3号）第二章“经费分配和使用”，结合实际工作情况支出。</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zh-CN"/>
        </w:rPr>
      </w:pPr>
      <w:r>
        <w:rPr>
          <w:rFonts w:hint="eastAsia" w:ascii="仿宋_GB2312" w:hAnsi="仿宋_GB2312" w:eastAsia="仿宋_GB2312" w:cs="仿宋_GB2312"/>
          <w:b w:val="0"/>
          <w:bCs w:val="0"/>
          <w:color w:val="000000"/>
          <w:kern w:val="0"/>
          <w:sz w:val="32"/>
          <w:szCs w:val="32"/>
          <w:highlight w:val="none"/>
          <w:u w:val="none"/>
          <w:shd w:val="clear" w:color="auto" w:fill="FFFFFF"/>
          <w:lang w:val="zh-CN"/>
        </w:rPr>
        <w:t>1．项目主要内容。</w:t>
      </w:r>
    </w:p>
    <w:p>
      <w:pPr>
        <w:pStyle w:val="14"/>
        <w:keepNext w:val="0"/>
        <w:keepLines w:val="0"/>
        <w:pageBreakBefore w:val="0"/>
        <w:widowControl w:val="0"/>
        <w:kinsoku/>
        <w:wordWrap/>
        <w:overflowPunct/>
        <w:topLinePunct w:val="0"/>
        <w:autoSpaceDE/>
        <w:autoSpaceDN/>
        <w:bidi w:val="0"/>
        <w:adjustRightInd/>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建成覆盖市、县区、乡镇（街道）、村（社区）和各级各部门、各行业的调解组织网络，实现调解工作全面覆盖，多元化解工作整体效能充分发挥，确保全市完善矛盾纠纷多元化解机制建设责任主体明确、工作措施落实、建设成效明显，提高预测预警预防各类矛盾纠纷和风险隐患的能力，矛盾纠纷调解成功率达85%，切实维护社会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zh-CN"/>
        </w:rPr>
      </w:pPr>
      <w:r>
        <w:rPr>
          <w:rFonts w:hint="eastAsia" w:ascii="仿宋_GB2312" w:hAnsi="仿宋_GB2312" w:eastAsia="仿宋_GB2312" w:cs="仿宋_GB2312"/>
          <w:b w:val="0"/>
          <w:bCs w:val="0"/>
          <w:color w:val="000000"/>
          <w:kern w:val="0"/>
          <w:sz w:val="32"/>
          <w:szCs w:val="32"/>
          <w:highlight w:val="none"/>
          <w:u w:val="none"/>
          <w:shd w:val="clear" w:color="auto" w:fill="FFFFFF"/>
          <w:lang w:val="zh-CN"/>
        </w:rPr>
        <w:t>2．项目应实现的具体绩效目标，</w:t>
      </w:r>
      <w:r>
        <w:rPr>
          <w:rFonts w:hint="eastAsia" w:ascii="仿宋_GB2312" w:hAnsi="仿宋_GB2312" w:eastAsia="仿宋_GB2312" w:cs="仿宋_GB2312"/>
          <w:b w:val="0"/>
          <w:bCs w:val="0"/>
          <w:color w:val="000000"/>
          <w:kern w:val="0"/>
          <w:sz w:val="32"/>
          <w:szCs w:val="32"/>
          <w:highlight w:val="none"/>
          <w:u w:val="none"/>
          <w:shd w:val="clear" w:color="auto" w:fill="FFFFFF"/>
          <w:lang w:val="en-US" w:eastAsia="zh-CN"/>
        </w:rPr>
        <w:t>包括但不限于：绩效</w:t>
      </w:r>
      <w:r>
        <w:rPr>
          <w:rFonts w:hint="eastAsia" w:ascii="仿宋_GB2312" w:hAnsi="仿宋_GB2312" w:eastAsia="仿宋_GB2312" w:cs="仿宋_GB2312"/>
          <w:b w:val="0"/>
          <w:bCs w:val="0"/>
          <w:color w:val="000000"/>
          <w:kern w:val="0"/>
          <w:sz w:val="32"/>
          <w:szCs w:val="32"/>
          <w:highlight w:val="none"/>
          <w:u w:val="none"/>
          <w:shd w:val="clear" w:color="auto" w:fill="FFFFFF"/>
          <w:lang w:val="zh-CN"/>
        </w:rPr>
        <w:t>目标的量化细化情况、项目实施进度计划等。</w:t>
      </w:r>
    </w:p>
    <w:p>
      <w:pPr>
        <w:keepNext w:val="0"/>
        <w:keepLines w:val="0"/>
        <w:pageBreakBefore w:val="0"/>
        <w:widowControl w:val="0"/>
        <w:kinsoku/>
        <w:wordWrap/>
        <w:overflowPunct/>
        <w:topLinePunct w:val="0"/>
        <w:autoSpaceDE/>
        <w:autoSpaceDN/>
        <w:bidi w:val="0"/>
        <w:snapToGrid w:val="0"/>
        <w:spacing w:line="348"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多元矛盾纠纷化解项目绩效目标量化细化，绩效目标为排查调处各类矛盾纠纷</w:t>
      </w:r>
      <w:r>
        <w:rPr>
          <w:rFonts w:hint="eastAsia" w:ascii="仿宋_GB2312" w:hAnsi="仿宋_GB2312" w:eastAsia="仿宋_GB2312" w:cs="仿宋_GB2312"/>
          <w:color w:val="000000"/>
          <w:sz w:val="32"/>
          <w:szCs w:val="32"/>
          <w:lang w:val="en-US"/>
        </w:rPr>
        <w:t>5000件</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zh-CN"/>
        </w:rPr>
        <w:t>矛盾纠纷调解成功率达85%以上。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zh-CN"/>
        </w:rPr>
      </w:pPr>
      <w:r>
        <w:rPr>
          <w:rFonts w:hint="eastAsia" w:ascii="仿宋_GB2312" w:hAnsi="仿宋_GB2312" w:eastAsia="仿宋_GB2312" w:cs="仿宋_GB2312"/>
          <w:b w:val="0"/>
          <w:bCs w:val="0"/>
          <w:color w:val="000000"/>
          <w:kern w:val="0"/>
          <w:sz w:val="32"/>
          <w:szCs w:val="32"/>
          <w:highlight w:val="none"/>
          <w:u w:val="none"/>
          <w:shd w:val="clear" w:color="auto" w:fill="FFFFFF"/>
          <w:lang w:val="zh-CN"/>
        </w:rPr>
        <w:t>3．分析评价申报内容是否与实际相符，申报目标是否合理可行。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多元矛盾纠纷化解工作经费申报内容与实际相符，申报目标合理可行。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i w:val="0"/>
          <w:caps w:val="0"/>
          <w:color w:val="000000"/>
          <w:spacing w:val="0"/>
          <w:sz w:val="32"/>
          <w:szCs w:val="32"/>
          <w:shd w:val="clear" w:color="auto" w:fill="FFFFFF"/>
        </w:rPr>
        <w:t>为进一步强化财政支出绩效理念，规范财政资金管理，提高资金使用绩效，根据市财政局项目支出绩效评价要求，我委成立了项目绩效评价工作领导小组，按照《202</w:t>
      </w:r>
      <w:r>
        <w:rPr>
          <w:rFonts w:hint="eastAsia" w:ascii="仿宋_GB2312" w:hAnsi="仿宋_GB2312" w:eastAsia="仿宋_GB2312" w:cs="仿宋_GB2312"/>
          <w:i w:val="0"/>
          <w:caps w:val="0"/>
          <w:color w:val="000000"/>
          <w:spacing w:val="0"/>
          <w:sz w:val="32"/>
          <w:szCs w:val="32"/>
          <w:shd w:val="clear" w:color="auto" w:fill="FFFFFF"/>
          <w:lang w:val="en-US"/>
        </w:rPr>
        <w:t>2</w:t>
      </w:r>
      <w:r>
        <w:rPr>
          <w:rFonts w:hint="eastAsia" w:ascii="仿宋_GB2312" w:hAnsi="仿宋_GB2312" w:eastAsia="仿宋_GB2312" w:cs="仿宋_GB2312"/>
          <w:i w:val="0"/>
          <w:caps w:val="0"/>
          <w:color w:val="000000"/>
          <w:spacing w:val="0"/>
          <w:sz w:val="32"/>
          <w:szCs w:val="32"/>
          <w:shd w:val="clear" w:color="auto" w:fill="FFFFFF"/>
        </w:rPr>
        <w:t>年市级专项预算项目支出绩效评价指标体系》，针对项目决策、项目实施、完成结果、社会效益等指标作出自我评价。</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outlineLvl w:val="1"/>
        <w:rPr>
          <w:rFonts w:hint="eastAsia" w:ascii="黑体" w:hAnsi="黑体" w:eastAsia="黑体" w:cs="黑体"/>
          <w:b w:val="0"/>
          <w:bCs w:val="0"/>
          <w:color w:val="000000"/>
          <w:sz w:val="32"/>
          <w:szCs w:val="32"/>
          <w:highlight w:val="none"/>
          <w:u w:val="none"/>
        </w:rPr>
      </w:pPr>
      <w:bookmarkStart w:id="83" w:name="_Toc18939"/>
      <w:r>
        <w:rPr>
          <w:rFonts w:hint="eastAsia" w:ascii="黑体" w:hAnsi="黑体" w:eastAsia="黑体" w:cs="黑体"/>
          <w:b w:val="0"/>
          <w:bCs w:val="0"/>
          <w:color w:val="000000"/>
          <w:sz w:val="32"/>
          <w:szCs w:val="32"/>
          <w:highlight w:val="none"/>
          <w:u w:val="none"/>
        </w:rPr>
        <w:t>二、项目资金申报及使用情况</w:t>
      </w:r>
      <w:bookmarkEnd w:id="83"/>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（一）项目资金申报及批复情况。</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我委向市财政局报《关于</w:t>
      </w:r>
      <w:r>
        <w:rPr>
          <w:rFonts w:hint="eastAsia" w:ascii="仿宋_GB2312" w:hAnsi="仿宋_GB2312" w:eastAsia="仿宋_GB2312" w:cs="仿宋_GB2312"/>
          <w:color w:val="000000"/>
          <w:sz w:val="32"/>
          <w:szCs w:val="32"/>
          <w:lang w:eastAsia="zh-CN"/>
        </w:rPr>
        <w:t>解决矛盾纠纷</w:t>
      </w:r>
      <w:r>
        <w:rPr>
          <w:rFonts w:hint="eastAsia" w:ascii="仿宋_GB2312" w:hAnsi="仿宋_GB2312" w:eastAsia="仿宋_GB2312" w:cs="仿宋_GB2312"/>
          <w:color w:val="000000"/>
          <w:sz w:val="32"/>
          <w:szCs w:val="32"/>
        </w:rPr>
        <w:t>多元化解工作专项经费的</w:t>
      </w:r>
      <w:r>
        <w:rPr>
          <w:rFonts w:hint="eastAsia" w:ascii="仿宋_GB2312" w:hAnsi="仿宋_GB2312" w:eastAsia="仿宋_GB2312" w:cs="仿宋_GB2312"/>
          <w:color w:val="000000"/>
          <w:sz w:val="32"/>
          <w:szCs w:val="32"/>
          <w:lang w:eastAsia="zh-CN"/>
        </w:rPr>
        <w:t>函</w:t>
      </w:r>
      <w:r>
        <w:rPr>
          <w:rFonts w:hint="eastAsia" w:ascii="仿宋_GB2312" w:hAnsi="仿宋_GB2312" w:eastAsia="仿宋_GB2312" w:cs="仿宋_GB2312"/>
          <w:color w:val="000000"/>
          <w:sz w:val="32"/>
          <w:szCs w:val="32"/>
        </w:rPr>
        <w:t>》（广政法函〔</w:t>
      </w:r>
      <w:r>
        <w:rPr>
          <w:rFonts w:hint="eastAsia" w:ascii="仿宋_GB2312" w:hAnsi="仿宋_GB2312" w:eastAsia="仿宋_GB2312" w:cs="仿宋_GB2312"/>
          <w:color w:val="000000"/>
          <w:sz w:val="32"/>
          <w:szCs w:val="32"/>
          <w:lang w:val="en-US"/>
        </w:rPr>
        <w:t>2022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rPr>
        <w:t>22号</w:t>
      </w:r>
      <w:r>
        <w:rPr>
          <w:rFonts w:hint="eastAsia" w:ascii="仿宋_GB2312" w:hAnsi="仿宋_GB2312" w:eastAsia="仿宋_GB2312" w:cs="仿宋_GB2312"/>
          <w:color w:val="000000"/>
          <w:sz w:val="32"/>
          <w:szCs w:val="32"/>
        </w:rPr>
        <w:t>），市财政局批准下达多元化解工作专项经费</w:t>
      </w:r>
      <w:r>
        <w:rPr>
          <w:rFonts w:hint="eastAsia" w:ascii="仿宋_GB2312" w:hAnsi="仿宋_GB2312" w:eastAsia="仿宋_GB2312" w:cs="仿宋_GB2312"/>
          <w:color w:val="000000"/>
          <w:sz w:val="32"/>
          <w:szCs w:val="32"/>
          <w:lang w:val="en-US"/>
        </w:rPr>
        <w:t>46</w:t>
      </w:r>
      <w:r>
        <w:rPr>
          <w:rFonts w:hint="eastAsia" w:ascii="仿宋_GB2312" w:hAnsi="仿宋_GB2312" w:eastAsia="仿宋_GB2312" w:cs="仿宋_GB2312"/>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（二）资金计划、到位及使用情况（可用表格形式反映）。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zh-CN"/>
        </w:rPr>
      </w:pPr>
      <w:r>
        <w:rPr>
          <w:rFonts w:hint="eastAsia" w:ascii="仿宋_GB2312" w:hAnsi="仿宋_GB2312" w:eastAsia="仿宋_GB2312" w:cs="仿宋_GB2312"/>
          <w:b w:val="0"/>
          <w:bCs w:val="0"/>
          <w:color w:val="000000"/>
          <w:kern w:val="0"/>
          <w:sz w:val="32"/>
          <w:szCs w:val="32"/>
          <w:highlight w:val="none"/>
          <w:u w:val="none"/>
          <w:shd w:val="clear" w:color="auto" w:fill="FFFFFF"/>
          <w:lang w:val="zh-CN"/>
        </w:rPr>
        <w:t>1．资金计划。</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rPr>
        <w:t>2022年</w:t>
      </w:r>
      <w:r>
        <w:rPr>
          <w:rFonts w:hint="eastAsia" w:ascii="仿宋_GB2312" w:hAnsi="仿宋_GB2312" w:eastAsia="仿宋_GB2312" w:cs="仿宋_GB2312"/>
          <w:color w:val="000000"/>
          <w:sz w:val="32"/>
          <w:szCs w:val="32"/>
        </w:rPr>
        <w:t>市财政计划安排多元化解工作经费</w:t>
      </w:r>
      <w:r>
        <w:rPr>
          <w:rFonts w:hint="eastAsia" w:ascii="仿宋_GB2312" w:hAnsi="仿宋_GB2312" w:eastAsia="仿宋_GB2312" w:cs="仿宋_GB2312"/>
          <w:color w:val="000000"/>
          <w:sz w:val="32"/>
          <w:szCs w:val="32"/>
          <w:lang w:val="en-US"/>
        </w:rPr>
        <w:t>46</w:t>
      </w:r>
      <w:r>
        <w:rPr>
          <w:rFonts w:hint="eastAsia" w:ascii="仿宋_GB2312" w:hAnsi="仿宋_GB2312" w:eastAsia="仿宋_GB2312" w:cs="仿宋_GB2312"/>
          <w:color w:val="00000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zh-CN"/>
        </w:rPr>
      </w:pPr>
      <w:r>
        <w:rPr>
          <w:rFonts w:hint="eastAsia" w:ascii="仿宋_GB2312" w:hAnsi="仿宋_GB2312" w:eastAsia="仿宋_GB2312" w:cs="仿宋_GB2312"/>
          <w:b w:val="0"/>
          <w:bCs w:val="0"/>
          <w:color w:val="000000"/>
          <w:kern w:val="0"/>
          <w:sz w:val="32"/>
          <w:szCs w:val="32"/>
          <w:highlight w:val="none"/>
          <w:u w:val="none"/>
          <w:shd w:val="clear" w:color="auto" w:fill="FFFFFF"/>
          <w:lang w:val="zh-CN"/>
        </w:rPr>
        <w:t>2．资金到位。</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市财政安排多元化解工作经费</w:t>
      </w:r>
      <w:r>
        <w:rPr>
          <w:rFonts w:hint="eastAsia" w:ascii="仿宋_GB2312" w:hAnsi="仿宋_GB2312" w:eastAsia="仿宋_GB2312" w:cs="仿宋_GB2312"/>
          <w:color w:val="000000"/>
          <w:sz w:val="32"/>
          <w:szCs w:val="32"/>
          <w:lang w:val="en-US"/>
        </w:rPr>
        <w:t>46</w:t>
      </w:r>
      <w:r>
        <w:rPr>
          <w:rFonts w:hint="eastAsia" w:ascii="仿宋_GB2312" w:hAnsi="仿宋_GB2312" w:eastAsia="仿宋_GB2312" w:cs="仿宋_GB2312"/>
          <w:color w:val="000000"/>
          <w:sz w:val="32"/>
          <w:szCs w:val="32"/>
        </w:rPr>
        <w:t>万元，上年结转经费</w:t>
      </w:r>
      <w:r>
        <w:rPr>
          <w:rFonts w:hint="eastAsia" w:ascii="仿宋_GB2312" w:hAnsi="仿宋_GB2312" w:eastAsia="仿宋_GB2312" w:cs="仿宋_GB2312"/>
          <w:color w:val="000000"/>
          <w:sz w:val="32"/>
          <w:szCs w:val="32"/>
          <w:lang w:val="en-US"/>
        </w:rPr>
        <w:t>42.49万元，共计88.49万元</w:t>
      </w:r>
      <w:r>
        <w:rPr>
          <w:rFonts w:hint="eastAsia" w:ascii="仿宋_GB2312" w:hAnsi="仿宋_GB2312" w:eastAsia="仿宋_GB2312" w:cs="仿宋_GB2312"/>
          <w:color w:val="000000"/>
          <w:sz w:val="32"/>
          <w:szCs w:val="32"/>
        </w:rPr>
        <w:t>已全部拨款到位。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zh-CN"/>
        </w:rPr>
      </w:pPr>
      <w:r>
        <w:rPr>
          <w:rFonts w:hint="eastAsia" w:ascii="仿宋_GB2312" w:hAnsi="仿宋_GB2312" w:eastAsia="仿宋_GB2312" w:cs="仿宋_GB2312"/>
          <w:b w:val="0"/>
          <w:bCs w:val="0"/>
          <w:color w:val="000000"/>
          <w:kern w:val="0"/>
          <w:sz w:val="32"/>
          <w:szCs w:val="32"/>
          <w:highlight w:val="none"/>
          <w:u w:val="none"/>
          <w:shd w:val="clear" w:color="auto" w:fill="FFFFFF"/>
          <w:lang w:val="zh-CN"/>
        </w:rPr>
        <w:t>3．资金使用。</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rPr>
        <w:t>22</w:t>
      </w:r>
      <w:r>
        <w:rPr>
          <w:rFonts w:hint="eastAsia" w:ascii="仿宋_GB2312" w:hAnsi="仿宋_GB2312" w:eastAsia="仿宋_GB2312" w:cs="仿宋_GB2312"/>
          <w:color w:val="000000"/>
          <w:sz w:val="32"/>
          <w:szCs w:val="32"/>
        </w:rPr>
        <w:t>年共支出</w:t>
      </w:r>
      <w:r>
        <w:rPr>
          <w:rFonts w:hint="eastAsia" w:ascii="仿宋_GB2312" w:hAnsi="仿宋_GB2312" w:cs="仿宋_GB2312"/>
          <w:color w:val="000000"/>
          <w:sz w:val="32"/>
          <w:szCs w:val="32"/>
          <w:lang w:val="en-US"/>
        </w:rPr>
        <w:t>50.89</w:t>
      </w:r>
      <w:r>
        <w:rPr>
          <w:rFonts w:hint="eastAsia" w:ascii="仿宋_GB2312" w:hAnsi="仿宋_GB2312" w:eastAsia="仿宋_GB2312" w:cs="仿宋_GB2312"/>
          <w:color w:val="000000"/>
          <w:sz w:val="32"/>
          <w:szCs w:val="32"/>
        </w:rPr>
        <w:t>万元。资金支付范围、支付标准、支付进度、支付依据合规合法，与预算相符。</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我委严格按照《专项资金管理使用制度》和广元市矛盾纠纷大调解工作领导小组《关于印发〈广元市市本级大调解工作经费管理使用办法〉的通知》（广矛调组〔2013〕3号）要求，加强对多元化解工作专项经费的使用管理。专项资金使用由市法院、市公安局、市司法局、市妇联等向多元化解协调领导小组提出申请，报委务会审查批准后予以拨付。在专项项目资金使用过程中，严格执行财务管理制度，按照专项资金管理办法做好项目实施和监管，财务处理及时，会计核算规范，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outlineLvl w:val="1"/>
        <w:rPr>
          <w:rFonts w:hint="eastAsia" w:ascii="黑体" w:hAnsi="黑体" w:eastAsia="黑体" w:cs="黑体"/>
          <w:b w:val="0"/>
          <w:bCs w:val="0"/>
          <w:color w:val="000000"/>
          <w:sz w:val="32"/>
          <w:szCs w:val="32"/>
          <w:highlight w:val="none"/>
          <w:u w:val="none"/>
        </w:rPr>
      </w:pPr>
      <w:bookmarkStart w:id="84" w:name="_Toc11141"/>
      <w:r>
        <w:rPr>
          <w:rFonts w:hint="eastAsia" w:ascii="黑体" w:hAnsi="黑体" w:eastAsia="黑体" w:cs="黑体"/>
          <w:b w:val="0"/>
          <w:bCs w:val="0"/>
          <w:color w:val="000000"/>
          <w:sz w:val="32"/>
          <w:szCs w:val="32"/>
          <w:highlight w:val="none"/>
          <w:u w:val="none"/>
        </w:rPr>
        <w:t>三、项目实施及管理情况</w:t>
      </w:r>
      <w:bookmarkEnd w:id="84"/>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0" w:leftChars="0"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zh-CN"/>
        </w:rPr>
      </w:pPr>
      <w:r>
        <w:rPr>
          <w:rFonts w:hint="eastAsia" w:ascii="仿宋_GB2312" w:hAnsi="仿宋_GB2312" w:eastAsia="仿宋_GB2312" w:cs="仿宋_GB2312"/>
          <w:b w:val="0"/>
          <w:bCs w:val="0"/>
          <w:color w:val="000000"/>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widowControl w:val="0"/>
        <w:numPr>
          <w:ilvl w:val="0"/>
          <w:numId w:val="8"/>
        </w:numPr>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项目组织架构及实施流程。</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委机关高度重视多元化解工作，成立多元化解工作领导小组。</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组长：徐显荣市委政法委副书记</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副组长：张菊华市委政法委综治督导科科长</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成员：李玉萍市委政法委一级主任科员</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车大章市综治中心副主任</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办公室设在综治督导科，对申请领取个案补贴的个案进行领取资格审查、卷宗质量审定、补贴金额审核等工作。</w:t>
      </w:r>
    </w:p>
    <w:p>
      <w:pPr>
        <w:keepNext w:val="0"/>
        <w:keepLines w:val="0"/>
        <w:pageBreakBefore w:val="0"/>
        <w:widowControl w:val="0"/>
        <w:numPr>
          <w:ilvl w:val="0"/>
          <w:numId w:val="8"/>
        </w:numPr>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项目管理情况。</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本项目采取项目工作领导小组负责制，全体成员积极配合，通力合作。项目工作领导小组办公室负责协调相关工作，项目实施及资金管理。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项目监管情况。</w:t>
      </w:r>
    </w:p>
    <w:p>
      <w:pPr>
        <w:pStyle w:val="14"/>
        <w:keepNext w:val="0"/>
        <w:keepLines w:val="0"/>
        <w:pageBreakBefore w:val="0"/>
        <w:widowControl w:val="0"/>
        <w:numPr>
          <w:ilvl w:val="0"/>
          <w:numId w:val="0"/>
        </w:numPr>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我委按照财政要求对专项经费进行例行公示，根据经费支出情况，定期对经费支出作出财务统计和分析，对经费支出管理状况提出建设性意见，及时向分管领导及委务会汇报，并在委机关予以公开，使专项经费管理和监督发挥了较好作用。经费管理主动接受驻委纪检监察组、市委巡察组以及上级主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outlineLvl w:val="1"/>
        <w:rPr>
          <w:rFonts w:hint="eastAsia" w:ascii="黑体" w:hAnsi="黑体" w:eastAsia="黑体" w:cs="黑体"/>
          <w:b w:val="0"/>
          <w:bCs w:val="0"/>
          <w:color w:val="000000"/>
          <w:sz w:val="32"/>
          <w:szCs w:val="32"/>
          <w:highlight w:val="none"/>
          <w:u w:val="none"/>
          <w:lang w:val="zh-CN"/>
        </w:rPr>
      </w:pPr>
      <w:bookmarkStart w:id="85" w:name="_Toc1720"/>
      <w:r>
        <w:rPr>
          <w:rFonts w:hint="eastAsia" w:ascii="黑体" w:hAnsi="黑体" w:eastAsia="黑体" w:cs="黑体"/>
          <w:b w:val="0"/>
          <w:bCs w:val="0"/>
          <w:color w:val="000000"/>
          <w:sz w:val="32"/>
          <w:szCs w:val="32"/>
          <w:highlight w:val="none"/>
          <w:u w:val="none"/>
        </w:rPr>
        <w:t>四、项目绩效情况</w:t>
      </w:r>
      <w:bookmarkEnd w:id="85"/>
      <w:r>
        <w:rPr>
          <w:rFonts w:hint="eastAsia" w:ascii="黑体" w:hAnsi="黑体" w:eastAsia="黑体" w:cs="黑体"/>
          <w:b w:val="0"/>
          <w:bCs w:val="0"/>
          <w:color w:val="000000"/>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（一）项目完成情况。</w:t>
      </w:r>
    </w:p>
    <w:p>
      <w:pPr>
        <w:pStyle w:val="14"/>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u w:val="none"/>
          <w:shd w:val="clear" w:color="auto" w:fill="FFFFFF"/>
          <w:lang w:val="zh-CN"/>
        </w:rPr>
      </w:pPr>
      <w:r>
        <w:rPr>
          <w:rFonts w:hint="eastAsia" w:ascii="仿宋_GB2312" w:hAnsi="仿宋_GB2312" w:eastAsia="仿宋_GB2312" w:cs="仿宋_GB2312"/>
          <w:color w:val="000000"/>
          <w:spacing w:val="0"/>
          <w:kern w:val="0"/>
          <w:sz w:val="32"/>
          <w:szCs w:val="32"/>
          <w:lang w:val="en-US"/>
        </w:rPr>
        <w:t>2022年，我委</w:t>
      </w:r>
      <w:r>
        <w:rPr>
          <w:rFonts w:hint="eastAsia" w:ascii="仿宋_GB2312" w:hAnsi="仿宋_GB2312" w:eastAsia="仿宋_GB2312" w:cs="仿宋_GB2312"/>
          <w:color w:val="000000"/>
          <w:spacing w:val="0"/>
          <w:kern w:val="0"/>
          <w:sz w:val="32"/>
          <w:szCs w:val="32"/>
        </w:rPr>
        <w:t>健全矛盾纠纷多元化解体系，调解各类矛盾纠纷3.1万余件。开展命案防控百日攻坚行动，命案发案率、污水毒品监测指数继续保持全省最低，未发生“民转刑”命案。市县乡村四级综治中心基本实现全覆盖，实体化运行取得新进展，“一站式”矛调中心建设稳步推进，网格化服务管理水平不断提升。创建省级“六无”平安村（社区）18个，组建“平安义警”2200余人，发展红袖套、平安志愿者1.2万人，街面现行案件同比下降11.8%。重点部位安防设施建设率达100%，未发生重特大安全责任事故。广元市连续7年入选“中国最安全城市”。</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（二）项目效益情况。</w:t>
      </w:r>
    </w:p>
    <w:p>
      <w:pPr>
        <w:pStyle w:val="14"/>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通过项目实施，</w:t>
      </w:r>
      <w:r>
        <w:rPr>
          <w:rFonts w:hint="eastAsia" w:ascii="仿宋_GB2312" w:hAnsi="仿宋_GB2312" w:eastAsia="仿宋_GB2312" w:cs="仿宋_GB2312"/>
          <w:color w:val="000000"/>
          <w:sz w:val="32"/>
          <w:szCs w:val="32"/>
          <w:lang w:val="en-US" w:eastAsia="zh-CN"/>
        </w:rPr>
        <w:t>以降低信访总量、化解疑难矛盾纠纷和积案为重点，深入开展矛盾纠纷多元排查调处活动，力推矛盾纠纷在源头得到解决。</w:t>
      </w:r>
      <w:r>
        <w:rPr>
          <w:rFonts w:hint="eastAsia" w:ascii="仿宋_GB2312" w:hAnsi="仿宋_GB2312" w:eastAsia="仿宋_GB2312" w:cs="仿宋_GB2312"/>
          <w:b w:val="0"/>
          <w:bCs w:val="0"/>
          <w:color w:val="000000"/>
          <w:kern w:val="2"/>
          <w:sz w:val="32"/>
          <w:szCs w:val="32"/>
          <w:lang w:eastAsia="zh-CN" w:bidi="ar-SA"/>
        </w:rPr>
        <w:t>今年以来，调解各类矛盾纠纷</w:t>
      </w:r>
      <w:r>
        <w:rPr>
          <w:rFonts w:hint="eastAsia" w:ascii="仿宋_GB2312" w:hAnsi="仿宋_GB2312" w:eastAsia="仿宋_GB2312" w:cs="仿宋_GB2312"/>
          <w:b w:val="0"/>
          <w:bCs w:val="0"/>
          <w:color w:val="000000"/>
          <w:kern w:val="2"/>
          <w:sz w:val="32"/>
          <w:szCs w:val="32"/>
          <w:lang w:val="en-US" w:eastAsia="zh-CN" w:bidi="ar-SA"/>
        </w:rPr>
        <w:t>31035</w:t>
      </w:r>
      <w:r>
        <w:rPr>
          <w:rFonts w:hint="eastAsia" w:ascii="仿宋_GB2312" w:hAnsi="仿宋_GB2312" w:eastAsia="仿宋_GB2312" w:cs="仿宋_GB2312"/>
          <w:b w:val="0"/>
          <w:bCs w:val="0"/>
          <w:color w:val="000000"/>
          <w:kern w:val="2"/>
          <w:sz w:val="32"/>
          <w:szCs w:val="32"/>
          <w:lang w:eastAsia="zh-CN" w:bidi="ar-SA"/>
        </w:rPr>
        <w:t>件，调解成功</w:t>
      </w:r>
      <w:r>
        <w:rPr>
          <w:rFonts w:hint="eastAsia" w:ascii="仿宋_GB2312" w:hAnsi="仿宋_GB2312" w:eastAsia="仿宋_GB2312" w:cs="仿宋_GB2312"/>
          <w:b w:val="0"/>
          <w:bCs w:val="0"/>
          <w:color w:val="000000"/>
          <w:kern w:val="2"/>
          <w:sz w:val="32"/>
          <w:szCs w:val="32"/>
          <w:lang w:val="en-US" w:eastAsia="zh-CN" w:bidi="ar-SA"/>
        </w:rPr>
        <w:t>30284件，</w:t>
      </w:r>
      <w:r>
        <w:rPr>
          <w:rFonts w:hint="eastAsia" w:ascii="仿宋_GB2312" w:hAnsi="仿宋_GB2312" w:eastAsia="仿宋_GB2312" w:cs="仿宋_GB2312"/>
          <w:b w:val="0"/>
          <w:bCs w:val="0"/>
          <w:color w:val="000000"/>
          <w:kern w:val="2"/>
          <w:sz w:val="32"/>
          <w:szCs w:val="32"/>
          <w:lang w:eastAsia="zh-CN" w:bidi="ar-SA"/>
        </w:rPr>
        <w:t>成功率达</w:t>
      </w:r>
      <w:r>
        <w:rPr>
          <w:rFonts w:hint="eastAsia" w:ascii="仿宋_GB2312" w:hAnsi="仿宋_GB2312" w:eastAsia="仿宋_GB2312" w:cs="仿宋_GB2312"/>
          <w:b w:val="0"/>
          <w:bCs w:val="0"/>
          <w:color w:val="000000"/>
          <w:kern w:val="2"/>
          <w:sz w:val="32"/>
          <w:szCs w:val="32"/>
          <w:lang w:val="en-US" w:eastAsia="zh-CN" w:bidi="ar-SA"/>
        </w:rPr>
        <w:t>97.6%</w:t>
      </w:r>
      <w:r>
        <w:rPr>
          <w:rFonts w:hint="eastAsia" w:ascii="仿宋_GB2312" w:hAnsi="仿宋_GB2312" w:eastAsia="仿宋_GB2312" w:cs="仿宋_GB2312"/>
          <w:b w:val="0"/>
          <w:bCs w:val="0"/>
          <w:color w:val="000000"/>
          <w:sz w:val="32"/>
          <w:szCs w:val="32"/>
        </w:rPr>
        <w:t>，有效</w:t>
      </w:r>
      <w:r>
        <w:rPr>
          <w:rFonts w:hint="eastAsia" w:ascii="仿宋_GB2312" w:hAnsi="仿宋_GB2312" w:eastAsia="仿宋_GB2312" w:cs="仿宋_GB2312"/>
          <w:b w:val="0"/>
          <w:bCs w:val="0"/>
          <w:color w:val="000000"/>
          <w:sz w:val="32"/>
          <w:szCs w:val="32"/>
          <w:lang w:eastAsia="zh-CN"/>
        </w:rPr>
        <w:t>化解</w:t>
      </w:r>
      <w:r>
        <w:rPr>
          <w:rFonts w:hint="eastAsia" w:ascii="仿宋_GB2312" w:hAnsi="仿宋_GB2312" w:eastAsia="仿宋_GB2312" w:cs="仿宋_GB2312"/>
          <w:b w:val="0"/>
          <w:bCs w:val="0"/>
          <w:color w:val="000000"/>
          <w:sz w:val="32"/>
          <w:szCs w:val="32"/>
        </w:rPr>
        <w:t>了社会矛盾，维护了社会和谐稳定。</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outlineLvl w:val="1"/>
        <w:rPr>
          <w:rFonts w:hint="eastAsia" w:ascii="黑体" w:hAnsi="黑体" w:eastAsia="黑体" w:cs="黑体"/>
          <w:b w:val="0"/>
          <w:bCs w:val="0"/>
          <w:color w:val="000000"/>
          <w:sz w:val="32"/>
          <w:szCs w:val="32"/>
          <w:highlight w:val="none"/>
          <w:u w:val="none"/>
        </w:rPr>
      </w:pPr>
      <w:bookmarkStart w:id="86" w:name="_Toc17757"/>
      <w:r>
        <w:rPr>
          <w:rFonts w:hint="eastAsia" w:ascii="黑体" w:hAnsi="黑体" w:eastAsia="黑体" w:cs="黑体"/>
          <w:b w:val="0"/>
          <w:bCs w:val="0"/>
          <w:color w:val="000000"/>
          <w:sz w:val="32"/>
          <w:szCs w:val="32"/>
          <w:highlight w:val="none"/>
          <w:u w:val="none"/>
        </w:rPr>
        <w:t>五、评价结论及建议</w:t>
      </w:r>
      <w:bookmarkEnd w:id="86"/>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（一）评价结论。</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多元化解工作项目绩效目标编制明确量化，</w:t>
      </w:r>
      <w:r>
        <w:rPr>
          <w:rFonts w:hint="eastAsia" w:ascii="仿宋_GB2312" w:hAnsi="仿宋_GB2312" w:eastAsia="仿宋_GB2312" w:cs="仿宋_GB2312"/>
          <w:color w:val="000000"/>
          <w:sz w:val="32"/>
          <w:szCs w:val="32"/>
          <w:shd w:val="clear" w:color="auto" w:fill="FFFFFF"/>
        </w:rPr>
        <w:t>财务管理规范，内控制度健全，财政资金使用符合要求，预算执行基本收支平衡，专项经费收支情况良好，财政支出绩效评价较好，自评得分</w:t>
      </w:r>
      <w:r>
        <w:rPr>
          <w:rFonts w:hint="eastAsia" w:ascii="仿宋_GB2312" w:hAnsi="仿宋_GB2312" w:eastAsia="仿宋_GB2312" w:cs="仿宋_GB2312"/>
          <w:color w:val="000000"/>
          <w:sz w:val="32"/>
          <w:szCs w:val="32"/>
          <w:shd w:val="clear" w:color="auto" w:fill="FFFFFF"/>
          <w:lang w:val="en-US"/>
        </w:rPr>
        <w:t>96.5分</w:t>
      </w:r>
      <w:r>
        <w:rPr>
          <w:rFonts w:hint="eastAsia" w:ascii="仿宋_GB2312" w:hAnsi="仿宋_GB2312" w:eastAsia="仿宋_GB2312" w:cs="仿宋_GB2312"/>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（二）存在的问题。</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一是机构改革后，矛盾纠纷多元化解工作力量有所弱化，基层工作力度有所减弱，工作的针对性、精细化还不够。</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二是因矛盾纠纷个案补贴统计时间截止每年</w:t>
      </w:r>
      <w:r>
        <w:rPr>
          <w:rFonts w:hint="eastAsia" w:ascii="仿宋_GB2312" w:hAnsi="仿宋_GB2312" w:eastAsia="仿宋_GB2312" w:cs="仿宋_GB2312"/>
          <w:color w:val="000000"/>
          <w:sz w:val="32"/>
          <w:szCs w:val="32"/>
          <w:lang w:val="en-US"/>
        </w:rPr>
        <w:t>10月底，故部分</w:t>
      </w:r>
      <w:r>
        <w:rPr>
          <w:rFonts w:hint="eastAsia" w:ascii="仿宋_GB2312" w:hAnsi="仿宋_GB2312" w:eastAsia="仿宋_GB2312" w:cs="仿宋_GB2312"/>
          <w:color w:val="000000"/>
          <w:sz w:val="32"/>
          <w:szCs w:val="32"/>
        </w:rPr>
        <w:t>专项经费将结转下年支付，导致年底资金有结余。</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zh-CN"/>
        </w:rPr>
      </w:pPr>
      <w:r>
        <w:rPr>
          <w:rFonts w:hint="eastAsia" w:ascii="楷体_GB2312" w:hAnsi="楷体_GB2312" w:eastAsia="楷体_GB2312" w:cs="楷体_GB2312"/>
          <w:b w:val="0"/>
          <w:bCs w:val="0"/>
          <w:color w:val="000000"/>
          <w:sz w:val="32"/>
          <w:szCs w:val="32"/>
          <w:highlight w:val="none"/>
          <w:u w:val="none"/>
          <w:lang w:val="zh-CN"/>
        </w:rPr>
        <w:t>（三）相关建议。</w:t>
      </w:r>
    </w:p>
    <w:p>
      <w:pPr>
        <w:keepNext w:val="0"/>
        <w:keepLines w:val="0"/>
        <w:pageBreakBefore w:val="0"/>
        <w:widowControl w:val="0"/>
        <w:kinsoku/>
        <w:wordWrap/>
        <w:overflowPunct/>
        <w:topLinePunct w:val="0"/>
        <w:autoSpaceDE/>
        <w:autoSpaceDN/>
        <w:bidi w:val="0"/>
        <w:snapToGrid w:val="0"/>
        <w:spacing w:line="348" w:lineRule="auto"/>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一是加强矛盾纠纷多元化解协调中心建设，加强人民调解、行政调解、司法调解和行业专业调解队伍建设，进一步增强矛盾纠纷多元化解工作实效性。</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640" w:firstLineChars="200"/>
        <w:jc w:val="both"/>
        <w:textAlignment w:val="auto"/>
        <w:rPr>
          <w:rFonts w:ascii="仿宋" w:hAnsi="仿宋" w:eastAsia="仿宋"/>
          <w:b/>
          <w:bCs w:val="0"/>
          <w:color w:val="auto"/>
          <w:sz w:val="32"/>
          <w:szCs w:val="32"/>
          <w:highlight w:val="none"/>
        </w:rPr>
      </w:pPr>
      <w:r>
        <w:rPr>
          <w:rFonts w:hint="eastAsia" w:ascii="仿宋_GB2312" w:hAnsi="仿宋_GB2312" w:eastAsia="仿宋_GB2312" w:cs="仿宋_GB2312"/>
          <w:color w:val="000000"/>
          <w:sz w:val="32"/>
          <w:szCs w:val="32"/>
        </w:rPr>
        <w:t>二是加大预算执行力度，发挥绩效评价结果的作用，提高资金的使用效率。</w:t>
      </w:r>
    </w:p>
    <w:p>
      <w:pPr>
        <w:pStyle w:val="7"/>
      </w:pPr>
    </w:p>
    <w:p>
      <w:pPr>
        <w:keepNext w:val="0"/>
        <w:keepLines w:val="0"/>
        <w:pageBreakBefore w:val="0"/>
        <w:kinsoku/>
        <w:wordWrap/>
        <w:overflowPunct/>
        <w:topLinePunct w:val="0"/>
        <w:autoSpaceDE/>
        <w:autoSpaceDN/>
        <w:bidi w:val="0"/>
        <w:adjustRightInd/>
        <w:snapToGrid w:val="0"/>
        <w:sectPr>
          <w:pgSz w:w="11906" w:h="16838"/>
          <w:pgMar w:top="1984" w:right="1474" w:bottom="1474" w:left="1587" w:header="851" w:footer="992" w:gutter="0"/>
          <w:pgNumType w:fmt="decimal"/>
          <w:cols w:space="0" w:num="1"/>
          <w:titlePg/>
          <w:rtlGutter w:val="0"/>
          <w:docGrid w:type="lines" w:linePitch="315" w:charSpace="0"/>
        </w:sectPr>
      </w:pPr>
    </w:p>
    <w:p>
      <w:pPr>
        <w:pStyle w:val="7"/>
      </w:pPr>
    </w:p>
    <w:tbl>
      <w:tblPr>
        <w:tblStyle w:val="16"/>
        <w:tblW w:w="137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0"/>
        <w:gridCol w:w="1424"/>
        <w:gridCol w:w="1836"/>
        <w:gridCol w:w="1109"/>
        <w:gridCol w:w="576"/>
        <w:gridCol w:w="942"/>
        <w:gridCol w:w="846"/>
        <w:gridCol w:w="1071"/>
        <w:gridCol w:w="631"/>
        <w:gridCol w:w="709"/>
        <w:gridCol w:w="839"/>
        <w:gridCol w:w="2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712" w:type="dxa"/>
            <w:gridSpan w:val="1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color w:val="auto"/>
                <w:sz w:val="44"/>
                <w:szCs w:val="44"/>
                <w:highlight w:val="none"/>
                <w:lang w:val="en-US" w:eastAsia="zh-CN"/>
              </w:rPr>
              <w:t>部门预算项目支出绩效自评表（</w:t>
            </w:r>
            <w:r>
              <w:rPr>
                <w:rFonts w:hint="eastAsia" w:ascii="方正小标宋简体" w:hAnsi="方正小标宋简体" w:eastAsia="方正小标宋简体" w:cs="方正小标宋简体"/>
                <w:color w:val="auto"/>
                <w:sz w:val="44"/>
                <w:szCs w:val="44"/>
                <w:highlight w:val="none"/>
                <w:lang w:val="en-US"/>
              </w:rPr>
              <w:t>多元矛盾纠纷化解工作</w:t>
            </w:r>
            <w:r>
              <w:rPr>
                <w:rFonts w:hint="eastAsia" w:ascii="方正小标宋简体" w:hAnsi="方正小标宋简体" w:eastAsia="方正小标宋简体" w:cs="方正小标宋简体"/>
                <w:color w:val="auto"/>
                <w:sz w:val="44"/>
                <w:szCs w:val="4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26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11078"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多元矛盾纠纷化解工作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主管部门（盖章）</w:t>
            </w:r>
          </w:p>
        </w:tc>
        <w:tc>
          <w:tcPr>
            <w:tcW w:w="530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实施单位（盖章）</w:t>
            </w:r>
          </w:p>
        </w:tc>
        <w:tc>
          <w:tcPr>
            <w:tcW w:w="46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中共广元市委政法委员会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12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项目基本情况</w:t>
            </w:r>
          </w:p>
        </w:tc>
        <w:tc>
          <w:tcPr>
            <w:tcW w:w="14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1.项目年度目标完成情况</w:t>
            </w:r>
          </w:p>
        </w:tc>
        <w:tc>
          <w:tcPr>
            <w:tcW w:w="530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项目年度目标</w:t>
            </w:r>
          </w:p>
        </w:tc>
        <w:tc>
          <w:tcPr>
            <w:tcW w:w="576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8"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4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b/>
                <w:i w:val="0"/>
                <w:color w:val="000000"/>
                <w:sz w:val="18"/>
                <w:szCs w:val="18"/>
                <w:u w:val="none"/>
              </w:rPr>
            </w:pPr>
          </w:p>
        </w:tc>
        <w:tc>
          <w:tcPr>
            <w:tcW w:w="530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建成覆盖市、县区、乡镇（街道）、村（社区）和各级各部门、各行业的调解组织网络，实现调解工作全面覆盖，多元化解工作整体效能充分发挥，确保全市完善矛盾纠纷多元化解机制建设责任主体明确、工作措施落实、建设成效明显，提高预测预警预防各类矛盾纠纷和风险隐患的能力，矛盾纠纷调解成功率达85%，切实维护社会稳定。</w:t>
            </w:r>
          </w:p>
        </w:tc>
        <w:tc>
          <w:tcPr>
            <w:tcW w:w="576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深入开展矛盾纠纷预防化解，2022年排查调处各类矛盾纠纷3.13万件，调处成功率98.2%。开展命案防控百日攻坚行动，命案发案率全省最低，未发生民转刑命案。大力推进“一站式”矛调中心规范化建设，创建省级“六无”平安村（社区）18个，组建“平安义警”2200人，发展红袖套、平安志愿者1.2万人。大力推进全科网格、全要素网格服务管理，强化“雪亮”、天网、慧眼工程融通应用，平安广元基层基础不断夯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8"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2.项目实施内容及过程概述</w:t>
            </w:r>
          </w:p>
        </w:tc>
        <w:tc>
          <w:tcPr>
            <w:tcW w:w="11078"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项目采取项目工作领导小组负责制，全体成员积极配合，通力合作。项目工作领导小组办公室负责协调相关工作，项目实施及资金管理。在专项项目资金使用过程中，严格执行财务管理制度，按照专项资金管理办法做好项目实施和监管，财务处理及时，会计核算规范，切实做到专款专用，最大可能发挥专项资金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预算执行情况</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（10分）</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年度预算数</w:t>
            </w:r>
            <w:r>
              <w:rPr>
                <w:rFonts w:hint="eastAsia" w:ascii="宋体" w:hAnsi="宋体" w:eastAsia="宋体" w:cs="宋体"/>
                <w:b/>
                <w:i w:val="0"/>
                <w:color w:val="000000"/>
                <w:kern w:val="0"/>
                <w:sz w:val="18"/>
                <w:szCs w:val="18"/>
                <w:u w:val="none"/>
                <w:lang w:val="en-US" w:eastAsia="zh-CN"/>
              </w:rPr>
              <w:br w:type="textWrapping"/>
            </w:r>
            <w:r>
              <w:rPr>
                <w:rFonts w:hint="eastAsia" w:ascii="宋体" w:hAnsi="宋体" w:eastAsia="宋体" w:cs="宋体"/>
                <w:b/>
                <w:i w:val="0"/>
                <w:color w:val="000000"/>
                <w:kern w:val="0"/>
                <w:sz w:val="18"/>
                <w:szCs w:val="18"/>
                <w:u w:val="none"/>
                <w:lang w:val="en-US" w:eastAsia="zh-CN"/>
              </w:rPr>
              <w:t>（万元）</w:t>
            </w:r>
          </w:p>
        </w:tc>
        <w:tc>
          <w:tcPr>
            <w:tcW w:w="1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调整后预算数</w:t>
            </w: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预算执行数</w:t>
            </w: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预算执行率</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2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88.49</w:t>
            </w: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50.89</w:t>
            </w: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57.50%</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1.预算执行率=预算执行数/调整后预算数，预算执行率未达到90%的需说明原因（100字以内）;2.年中发生预算调整的（追加或调减）</w:t>
            </w:r>
            <w:r>
              <w:rPr>
                <w:rFonts w:hint="eastAsia" w:ascii="宋体" w:hAnsi="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88.49</w:t>
            </w: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50.89</w:t>
            </w: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57.50%</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绩效指标（90分）</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指标性质</w:t>
            </w:r>
          </w:p>
        </w:tc>
        <w:tc>
          <w:tcPr>
            <w:tcW w:w="9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度量单位</w:t>
            </w: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完成值</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权重</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部门自评得分</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财政部门科室复评得分</w:t>
            </w:r>
          </w:p>
        </w:tc>
        <w:tc>
          <w:tcPr>
            <w:tcW w:w="2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市矛盾纠纷多元化解信息平台运行维护</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工作推进会及协调督办会</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次/年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排查调处各类矛盾纠纷</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件/年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3.1万余件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矛盾纠纷调解成功率</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97.60%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持续开展</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矛盾纠纷多元化解工作经费</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万元/年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4"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着力矛盾纠纷预测预警预防，织密“民转刑”案件的过滤网，创造和谐稳定的社会环境</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定性</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好坏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重点部位安防设施建设率达100%，未发生重特大安全责任事故，未发生民转刑案件。广元市连续7年入选“中国最安全城市”。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服务对象满意度指标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群众对调解工作满意度</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4" w:hRule="atLeast"/>
        </w:trPr>
        <w:tc>
          <w:tcPr>
            <w:tcW w:w="901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000000"/>
                <w:sz w:val="18"/>
                <w:szCs w:val="18"/>
                <w:u w:val="none"/>
              </w:rPr>
            </w:pPr>
            <w:r>
              <w:rPr>
                <w:rFonts w:hint="default" w:ascii="宋体" w:hAnsi="宋体" w:cs="宋体"/>
                <w:i w:val="0"/>
                <w:color w:val="000000"/>
                <w:sz w:val="18"/>
                <w:szCs w:val="18"/>
                <w:u w:val="none"/>
              </w:rPr>
              <w:t>100</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部门（单位）自评存在问题</w:t>
            </w:r>
          </w:p>
        </w:tc>
        <w:tc>
          <w:tcPr>
            <w:tcW w:w="12502"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一是机构改革后，矛盾纠纷多元化解工作力量有所弱化，基层工作力度有所减弱，工作的针对性、精细化还不够。</w:t>
            </w:r>
            <w:r>
              <w:rPr>
                <w:rFonts w:hint="eastAsia" w:ascii="宋体" w:hAnsi="宋体" w:eastAsia="宋体" w:cs="宋体"/>
                <w:i w:val="0"/>
                <w:color w:val="000000"/>
                <w:kern w:val="0"/>
                <w:sz w:val="16"/>
                <w:szCs w:val="16"/>
                <w:u w:val="none"/>
                <w:lang w:val="en-US" w:eastAsia="zh-CN"/>
              </w:rPr>
              <w:br w:type="textWrapping"/>
            </w:r>
            <w:r>
              <w:rPr>
                <w:rFonts w:hint="eastAsia" w:ascii="宋体" w:hAnsi="宋体" w:eastAsia="宋体" w:cs="宋体"/>
                <w:i w:val="0"/>
                <w:color w:val="000000"/>
                <w:kern w:val="0"/>
                <w:sz w:val="16"/>
                <w:szCs w:val="16"/>
                <w:u w:val="none"/>
                <w:lang w:val="en-US" w:eastAsia="zh-CN"/>
              </w:rPr>
              <w:t>二是因矛盾纠纷个案补贴统计时间截止每年10月底，故部分专项经费将结转下年支付，导致年底资金有结余。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部门（单位）自评改进措施</w:t>
            </w:r>
          </w:p>
        </w:tc>
        <w:tc>
          <w:tcPr>
            <w:tcW w:w="12502"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一是加强矛盾纠纷多元化解协调中心建设，加强人民调解、行政调解、司法调解和行业专业调解队伍建设，进一步增强矛盾纠纷多元化解工作实效性。</w:t>
            </w:r>
            <w:r>
              <w:rPr>
                <w:rFonts w:hint="eastAsia" w:ascii="宋体" w:hAnsi="宋体" w:eastAsia="宋体" w:cs="宋体"/>
                <w:i w:val="0"/>
                <w:color w:val="000000"/>
                <w:kern w:val="0"/>
                <w:sz w:val="16"/>
                <w:szCs w:val="16"/>
                <w:u w:val="none"/>
                <w:lang w:val="en-US" w:eastAsia="zh-CN"/>
              </w:rPr>
              <w:br w:type="textWrapping"/>
            </w:r>
            <w:r>
              <w:rPr>
                <w:rFonts w:hint="eastAsia" w:ascii="宋体" w:hAnsi="宋体" w:eastAsia="宋体" w:cs="宋体"/>
                <w:i w:val="0"/>
                <w:color w:val="000000"/>
                <w:kern w:val="0"/>
                <w:sz w:val="16"/>
                <w:szCs w:val="16"/>
                <w:u w:val="none"/>
                <w:lang w:val="en-US" w:eastAsia="zh-CN"/>
              </w:rPr>
              <w:t>二是加大预算执行力度，发挥绩效评价结果的作用，提高资金的使用效率。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财政部门对口科室复评结论及整改要求</w:t>
            </w:r>
          </w:p>
        </w:tc>
        <w:tc>
          <w:tcPr>
            <w:tcW w:w="12502"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15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单位项目负责人：</w:t>
            </w:r>
          </w:p>
        </w:tc>
        <w:tc>
          <w:tcPr>
            <w:tcW w:w="7557"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部门项目负责人：</w:t>
            </w:r>
          </w:p>
        </w:tc>
        <w:tc>
          <w:tcPr>
            <w:tcW w:w="7557"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371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财政部门科室负责人：</w:t>
            </w:r>
          </w:p>
        </w:tc>
      </w:tr>
    </w:tbl>
    <w:p>
      <w:pPr>
        <w:spacing w:line="600" w:lineRule="exact"/>
        <w:jc w:val="both"/>
        <w:outlineLvl w:val="9"/>
        <w:rPr>
          <w:rFonts w:hint="eastAsia" w:ascii="黑体" w:hAnsi="黑体" w:eastAsia="黑体"/>
          <w:color w:val="auto"/>
          <w:sz w:val="44"/>
          <w:szCs w:val="44"/>
          <w:highlight w:val="none"/>
        </w:rPr>
        <w:sectPr>
          <w:pgSz w:w="16838" w:h="11906" w:orient="landscape"/>
          <w:pgMar w:top="1587" w:right="1587" w:bottom="1474" w:left="1587" w:header="851" w:footer="992" w:gutter="0"/>
          <w:pgNumType w:fmt="decimal"/>
          <w:cols w:space="0" w:num="1"/>
          <w:titlePg/>
          <w:rtlGutter w:val="0"/>
          <w:docGrid w:type="lines" w:linePitch="315" w:charSpace="0"/>
        </w:sectPr>
      </w:pPr>
      <w:bookmarkStart w:id="87" w:name="_Toc15396618"/>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Style w:val="20"/>
          <w:rFonts w:hint="eastAsia" w:ascii="黑体" w:hAnsi="黑体" w:eastAsia="黑体"/>
          <w:b w:val="0"/>
          <w:color w:val="auto"/>
          <w:highlight w:val="none"/>
        </w:rPr>
      </w:pPr>
      <w:bookmarkStart w:id="88" w:name="_Toc27041"/>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五部分附表</w:t>
      </w:r>
      <w:bookmarkEnd w:id="75"/>
      <w:bookmarkEnd w:id="87"/>
      <w:bookmarkEnd w:id="88"/>
      <w:bookmarkStart w:id="89" w:name="_Toc15396619"/>
    </w:p>
    <w:p>
      <w:pPr>
        <w:pStyle w:val="14"/>
        <w:rPr>
          <w:rFonts w:hint="eastAsia"/>
        </w:rPr>
      </w:pPr>
    </w:p>
    <w:p>
      <w:pPr>
        <w:pStyle w:val="5"/>
        <w:rPr>
          <w:rFonts w:hint="eastAsia" w:ascii="仿宋_GB2312" w:hAnsi="仿宋_GB2312" w:eastAsia="仿宋_GB2312" w:cs="仿宋_GB2312"/>
          <w:color w:val="auto"/>
          <w:highlight w:val="none"/>
        </w:rPr>
      </w:pPr>
      <w:bookmarkStart w:id="90" w:name="_Toc10607"/>
      <w:r>
        <w:rPr>
          <w:rFonts w:hint="eastAsia" w:ascii="仿宋_GB2312" w:hAnsi="仿宋_GB2312" w:eastAsia="仿宋_GB2312" w:cs="仿宋_GB2312"/>
          <w:b w:val="0"/>
          <w:color w:val="auto"/>
          <w:highlight w:val="none"/>
        </w:rPr>
        <w:t>一、收</w:t>
      </w:r>
      <w:r>
        <w:rPr>
          <w:rStyle w:val="21"/>
          <w:rFonts w:hint="eastAsia" w:ascii="仿宋_GB2312" w:hAnsi="仿宋_GB2312" w:eastAsia="仿宋_GB2312" w:cs="仿宋_GB2312"/>
          <w:b w:val="0"/>
          <w:bCs w:val="0"/>
          <w:color w:val="auto"/>
          <w:highlight w:val="none"/>
        </w:rPr>
        <w:t>入支出决算总表</w:t>
      </w:r>
      <w:bookmarkEnd w:id="89"/>
      <w:bookmarkEnd w:id="90"/>
    </w:p>
    <w:p>
      <w:pPr>
        <w:pStyle w:val="5"/>
        <w:rPr>
          <w:rFonts w:hint="eastAsia" w:ascii="仿宋_GB2312" w:hAnsi="仿宋_GB2312" w:eastAsia="仿宋_GB2312" w:cs="仿宋_GB2312"/>
          <w:color w:val="auto"/>
          <w:highlight w:val="none"/>
        </w:rPr>
      </w:pPr>
      <w:bookmarkStart w:id="91" w:name="_Toc15522"/>
      <w:bookmarkStart w:id="92" w:name="_Toc15396620"/>
      <w:r>
        <w:rPr>
          <w:rFonts w:hint="eastAsia" w:ascii="仿宋_GB2312" w:hAnsi="仿宋_GB2312" w:eastAsia="仿宋_GB2312" w:cs="仿宋_GB2312"/>
          <w:b w:val="0"/>
          <w:color w:val="auto"/>
          <w:highlight w:val="none"/>
        </w:rPr>
        <w:t>二、收</w:t>
      </w:r>
      <w:r>
        <w:rPr>
          <w:rStyle w:val="21"/>
          <w:rFonts w:hint="eastAsia" w:ascii="仿宋_GB2312" w:hAnsi="仿宋_GB2312" w:eastAsia="仿宋_GB2312" w:cs="仿宋_GB2312"/>
          <w:b w:val="0"/>
          <w:bCs w:val="0"/>
          <w:color w:val="auto"/>
          <w:highlight w:val="none"/>
        </w:rPr>
        <w:t>入决算表</w:t>
      </w:r>
      <w:bookmarkEnd w:id="91"/>
      <w:bookmarkEnd w:id="92"/>
    </w:p>
    <w:p>
      <w:pPr>
        <w:pStyle w:val="5"/>
        <w:rPr>
          <w:rFonts w:hint="eastAsia" w:ascii="仿宋_GB2312" w:hAnsi="仿宋_GB2312" w:eastAsia="仿宋_GB2312" w:cs="仿宋_GB2312"/>
          <w:color w:val="auto"/>
          <w:highlight w:val="none"/>
        </w:rPr>
      </w:pPr>
      <w:bookmarkStart w:id="93" w:name="_Toc15396621"/>
      <w:bookmarkStart w:id="94" w:name="_Toc16864"/>
      <w:r>
        <w:rPr>
          <w:rStyle w:val="21"/>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21"/>
          <w:rFonts w:hint="eastAsia" w:ascii="仿宋_GB2312" w:hAnsi="仿宋_GB2312" w:eastAsia="仿宋_GB2312" w:cs="仿宋_GB2312"/>
          <w:b w:val="0"/>
          <w:bCs w:val="0"/>
          <w:color w:val="auto"/>
          <w:highlight w:val="none"/>
        </w:rPr>
        <w:t>出决算表</w:t>
      </w:r>
      <w:bookmarkEnd w:id="93"/>
      <w:bookmarkEnd w:id="94"/>
    </w:p>
    <w:p>
      <w:pPr>
        <w:pStyle w:val="5"/>
        <w:rPr>
          <w:rFonts w:hint="eastAsia" w:ascii="仿宋_GB2312" w:hAnsi="仿宋_GB2312" w:eastAsia="仿宋_GB2312" w:cs="仿宋_GB2312"/>
          <w:b w:val="0"/>
          <w:color w:val="auto"/>
          <w:highlight w:val="none"/>
        </w:rPr>
      </w:pPr>
      <w:bookmarkStart w:id="95" w:name="_Toc4501"/>
      <w:bookmarkStart w:id="96" w:name="_Toc15396622"/>
      <w:r>
        <w:rPr>
          <w:rStyle w:val="21"/>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21"/>
          <w:rFonts w:hint="eastAsia" w:ascii="仿宋_GB2312" w:hAnsi="仿宋_GB2312" w:eastAsia="仿宋_GB2312" w:cs="仿宋_GB2312"/>
          <w:b w:val="0"/>
          <w:bCs w:val="0"/>
          <w:color w:val="auto"/>
          <w:highlight w:val="none"/>
        </w:rPr>
        <w:t>政拨款收入支出决算总表</w:t>
      </w:r>
      <w:bookmarkEnd w:id="95"/>
      <w:bookmarkEnd w:id="96"/>
    </w:p>
    <w:p>
      <w:pPr>
        <w:pStyle w:val="5"/>
        <w:rPr>
          <w:rStyle w:val="21"/>
          <w:rFonts w:hint="eastAsia" w:ascii="仿宋_GB2312" w:hAnsi="仿宋_GB2312" w:eastAsia="仿宋_GB2312" w:cs="仿宋_GB2312"/>
          <w:b w:val="0"/>
          <w:bCs w:val="0"/>
          <w:color w:val="auto"/>
          <w:highlight w:val="none"/>
        </w:rPr>
      </w:pPr>
      <w:bookmarkStart w:id="97" w:name="_Toc28766"/>
      <w:bookmarkStart w:id="98" w:name="_Toc15396623"/>
      <w:r>
        <w:rPr>
          <w:rStyle w:val="21"/>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21"/>
          <w:rFonts w:hint="eastAsia" w:ascii="仿宋_GB2312" w:hAnsi="仿宋_GB2312" w:eastAsia="仿宋_GB2312" w:cs="仿宋_GB2312"/>
          <w:b w:val="0"/>
          <w:bCs w:val="0"/>
          <w:color w:val="auto"/>
          <w:highlight w:val="none"/>
        </w:rPr>
        <w:t>政拨款支出决算明细表</w:t>
      </w:r>
      <w:bookmarkEnd w:id="97"/>
      <w:bookmarkEnd w:id="98"/>
      <w:bookmarkStart w:id="99" w:name="_Toc15396624"/>
    </w:p>
    <w:p>
      <w:pPr>
        <w:pStyle w:val="5"/>
        <w:rPr>
          <w:rFonts w:hint="eastAsia" w:ascii="仿宋_GB2312" w:hAnsi="仿宋_GB2312" w:eastAsia="仿宋_GB2312" w:cs="仿宋_GB2312"/>
          <w:color w:val="auto"/>
          <w:highlight w:val="none"/>
        </w:rPr>
      </w:pPr>
      <w:bookmarkStart w:id="100" w:name="_Toc26041"/>
      <w:r>
        <w:rPr>
          <w:rStyle w:val="21"/>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21"/>
          <w:rFonts w:hint="eastAsia" w:ascii="仿宋_GB2312" w:hAnsi="仿宋_GB2312" w:eastAsia="仿宋_GB2312" w:cs="仿宋_GB2312"/>
          <w:b w:val="0"/>
          <w:bCs w:val="0"/>
          <w:color w:val="auto"/>
          <w:highlight w:val="none"/>
        </w:rPr>
        <w:t>般公共预算财政拨款支出决算表</w:t>
      </w:r>
      <w:bookmarkEnd w:id="99"/>
      <w:bookmarkEnd w:id="100"/>
    </w:p>
    <w:p>
      <w:pPr>
        <w:pStyle w:val="5"/>
        <w:rPr>
          <w:rFonts w:hint="eastAsia" w:ascii="仿宋_GB2312" w:hAnsi="仿宋_GB2312" w:eastAsia="仿宋_GB2312" w:cs="仿宋_GB2312"/>
          <w:color w:val="auto"/>
          <w:highlight w:val="none"/>
        </w:rPr>
      </w:pPr>
      <w:bookmarkStart w:id="101" w:name="_Toc15396625"/>
      <w:bookmarkStart w:id="102" w:name="_Toc7731"/>
      <w:r>
        <w:rPr>
          <w:rStyle w:val="21"/>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21"/>
          <w:rFonts w:hint="eastAsia" w:ascii="仿宋_GB2312" w:hAnsi="仿宋_GB2312" w:eastAsia="仿宋_GB2312" w:cs="仿宋_GB2312"/>
          <w:b w:val="0"/>
          <w:bCs w:val="0"/>
          <w:color w:val="auto"/>
          <w:highlight w:val="none"/>
        </w:rPr>
        <w:t>般公共预算财政拨款支出决算明细表</w:t>
      </w:r>
      <w:bookmarkEnd w:id="101"/>
      <w:bookmarkEnd w:id="102"/>
    </w:p>
    <w:p>
      <w:pPr>
        <w:pStyle w:val="5"/>
        <w:rPr>
          <w:rFonts w:hint="eastAsia" w:ascii="仿宋_GB2312" w:hAnsi="仿宋_GB2312" w:eastAsia="仿宋_GB2312" w:cs="仿宋_GB2312"/>
          <w:color w:val="auto"/>
          <w:highlight w:val="none"/>
        </w:rPr>
      </w:pPr>
      <w:bookmarkStart w:id="103" w:name="_Toc537"/>
      <w:bookmarkStart w:id="104" w:name="_Toc15396626"/>
      <w:r>
        <w:rPr>
          <w:rStyle w:val="21"/>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21"/>
          <w:rFonts w:hint="eastAsia" w:ascii="仿宋_GB2312" w:hAnsi="仿宋_GB2312" w:eastAsia="仿宋_GB2312" w:cs="仿宋_GB2312"/>
          <w:b w:val="0"/>
          <w:bCs w:val="0"/>
          <w:color w:val="auto"/>
          <w:highlight w:val="none"/>
        </w:rPr>
        <w:t>般公共预算财政拨款基本支出决算表</w:t>
      </w:r>
      <w:bookmarkEnd w:id="103"/>
      <w:bookmarkEnd w:id="104"/>
    </w:p>
    <w:p>
      <w:pPr>
        <w:pStyle w:val="5"/>
        <w:rPr>
          <w:rFonts w:hint="eastAsia" w:ascii="仿宋_GB2312" w:hAnsi="仿宋_GB2312" w:eastAsia="仿宋_GB2312" w:cs="仿宋_GB2312"/>
          <w:color w:val="auto"/>
          <w:highlight w:val="none"/>
        </w:rPr>
      </w:pPr>
      <w:bookmarkStart w:id="105" w:name="_Toc15396627"/>
      <w:bookmarkStart w:id="106" w:name="_Toc27032"/>
      <w:r>
        <w:rPr>
          <w:rStyle w:val="21"/>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21"/>
          <w:rFonts w:hint="eastAsia" w:ascii="仿宋_GB2312" w:hAnsi="仿宋_GB2312" w:eastAsia="仿宋_GB2312" w:cs="仿宋_GB2312"/>
          <w:b w:val="0"/>
          <w:bCs w:val="0"/>
          <w:color w:val="auto"/>
          <w:highlight w:val="none"/>
        </w:rPr>
        <w:t>般公共预算财政拨款项目支出决算表</w:t>
      </w:r>
      <w:bookmarkEnd w:id="105"/>
      <w:bookmarkEnd w:id="106"/>
    </w:p>
    <w:p>
      <w:pPr>
        <w:pStyle w:val="5"/>
        <w:rPr>
          <w:rFonts w:hint="eastAsia" w:ascii="仿宋_GB2312" w:hAnsi="仿宋_GB2312" w:eastAsia="仿宋_GB2312" w:cs="仿宋_GB2312"/>
          <w:color w:val="auto"/>
          <w:highlight w:val="none"/>
        </w:rPr>
      </w:pPr>
      <w:bookmarkStart w:id="107" w:name="_Toc15396628"/>
      <w:bookmarkStart w:id="108" w:name="_Toc2041"/>
      <w:r>
        <w:rPr>
          <w:rStyle w:val="21"/>
          <w:rFonts w:hint="eastAsia" w:ascii="仿宋_GB2312" w:hAnsi="仿宋_GB2312" w:eastAsia="仿宋_GB2312" w:cs="仿宋_GB2312"/>
          <w:b w:val="0"/>
          <w:bCs w:val="0"/>
          <w:color w:val="auto"/>
          <w:highlight w:val="none"/>
        </w:rPr>
        <w:t>十、</w:t>
      </w:r>
      <w:bookmarkEnd w:id="107"/>
      <w:r>
        <w:rPr>
          <w:rFonts w:hint="eastAsia" w:ascii="仿宋_GB2312" w:hAnsi="仿宋_GB2312" w:eastAsia="仿宋_GB2312" w:cs="仿宋_GB2312"/>
          <w:b w:val="0"/>
          <w:color w:val="auto"/>
          <w:highlight w:val="none"/>
        </w:rPr>
        <w:t>政</w:t>
      </w:r>
      <w:r>
        <w:rPr>
          <w:rStyle w:val="21"/>
          <w:rFonts w:hint="eastAsia" w:ascii="仿宋_GB2312" w:hAnsi="仿宋_GB2312" w:eastAsia="仿宋_GB2312" w:cs="仿宋_GB2312"/>
          <w:b w:val="0"/>
          <w:bCs w:val="0"/>
          <w:color w:val="auto"/>
          <w:highlight w:val="none"/>
        </w:rPr>
        <w:t>府性基金预算财政拨款收入支出决算表</w:t>
      </w:r>
      <w:bookmarkEnd w:id="108"/>
    </w:p>
    <w:p>
      <w:pPr>
        <w:pStyle w:val="5"/>
        <w:rPr>
          <w:rFonts w:hint="eastAsia" w:ascii="仿宋_GB2312" w:hAnsi="仿宋_GB2312" w:eastAsia="仿宋_GB2312" w:cs="仿宋_GB2312"/>
          <w:color w:val="auto"/>
          <w:highlight w:val="none"/>
        </w:rPr>
      </w:pPr>
      <w:bookmarkStart w:id="109" w:name="_Toc15396629"/>
      <w:bookmarkStart w:id="110" w:name="_Toc17134"/>
      <w:r>
        <w:rPr>
          <w:rStyle w:val="21"/>
          <w:rFonts w:hint="eastAsia" w:ascii="仿宋_GB2312" w:hAnsi="仿宋_GB2312" w:eastAsia="仿宋_GB2312" w:cs="仿宋_GB2312"/>
          <w:b w:val="0"/>
          <w:bCs w:val="0"/>
          <w:color w:val="auto"/>
          <w:highlight w:val="none"/>
        </w:rPr>
        <w:t>十一、</w:t>
      </w:r>
      <w:bookmarkEnd w:id="109"/>
      <w:r>
        <w:rPr>
          <w:rFonts w:hint="eastAsia" w:ascii="仿宋_GB2312" w:hAnsi="仿宋_GB2312" w:eastAsia="仿宋_GB2312" w:cs="仿宋_GB2312"/>
          <w:b w:val="0"/>
          <w:color w:val="auto"/>
          <w:highlight w:val="none"/>
        </w:rPr>
        <w:t>国</w:t>
      </w:r>
      <w:r>
        <w:rPr>
          <w:rStyle w:val="21"/>
          <w:rFonts w:hint="eastAsia" w:ascii="仿宋_GB2312" w:hAnsi="仿宋_GB2312" w:eastAsia="仿宋_GB2312" w:cs="仿宋_GB2312"/>
          <w:b w:val="0"/>
          <w:bCs w:val="0"/>
          <w:color w:val="auto"/>
          <w:highlight w:val="none"/>
        </w:rPr>
        <w:t>有资本经营预算</w:t>
      </w:r>
      <w:r>
        <w:rPr>
          <w:rStyle w:val="21"/>
          <w:rFonts w:hint="eastAsia" w:ascii="仿宋_GB2312" w:hAnsi="仿宋_GB2312" w:eastAsia="仿宋_GB2312" w:cs="仿宋_GB2312"/>
          <w:b w:val="0"/>
          <w:bCs w:val="0"/>
          <w:color w:val="auto"/>
          <w:highlight w:val="none"/>
          <w:lang w:eastAsia="zh-CN"/>
        </w:rPr>
        <w:t>财政拨款收入</w:t>
      </w:r>
      <w:r>
        <w:rPr>
          <w:rStyle w:val="21"/>
          <w:rFonts w:hint="eastAsia" w:ascii="仿宋_GB2312" w:hAnsi="仿宋_GB2312" w:eastAsia="仿宋_GB2312" w:cs="仿宋_GB2312"/>
          <w:b w:val="0"/>
          <w:bCs w:val="0"/>
          <w:color w:val="auto"/>
          <w:highlight w:val="none"/>
        </w:rPr>
        <w:t>支出决算表</w:t>
      </w:r>
      <w:bookmarkEnd w:id="110"/>
    </w:p>
    <w:p>
      <w:pPr>
        <w:pStyle w:val="5"/>
        <w:rPr>
          <w:rFonts w:hint="eastAsia" w:ascii="仿宋_GB2312" w:hAnsi="仿宋_GB2312" w:eastAsia="仿宋_GB2312" w:cs="仿宋_GB2312"/>
          <w:color w:val="auto"/>
          <w:highlight w:val="none"/>
        </w:rPr>
      </w:pPr>
      <w:bookmarkStart w:id="111" w:name="_Toc15396630"/>
      <w:bookmarkStart w:id="112" w:name="_Toc20919"/>
      <w:r>
        <w:rPr>
          <w:rStyle w:val="21"/>
          <w:rFonts w:hint="eastAsia" w:ascii="仿宋_GB2312" w:hAnsi="仿宋_GB2312" w:eastAsia="仿宋_GB2312" w:cs="仿宋_GB2312"/>
          <w:b w:val="0"/>
          <w:bCs w:val="0"/>
          <w:color w:val="auto"/>
          <w:highlight w:val="none"/>
        </w:rPr>
        <w:t>十二、</w:t>
      </w:r>
      <w:bookmarkEnd w:id="111"/>
      <w:r>
        <w:rPr>
          <w:rStyle w:val="21"/>
          <w:rFonts w:hint="eastAsia" w:ascii="仿宋_GB2312" w:hAnsi="仿宋_GB2312" w:eastAsia="仿宋_GB2312" w:cs="仿宋_GB2312"/>
          <w:b w:val="0"/>
          <w:bCs w:val="0"/>
          <w:color w:val="auto"/>
          <w:highlight w:val="none"/>
          <w:lang w:eastAsia="zh-CN"/>
        </w:rPr>
        <w:t>国有资本经营预算财政拨款支出决算表</w:t>
      </w:r>
      <w:bookmarkEnd w:id="112"/>
    </w:p>
    <w:p>
      <w:pPr>
        <w:pStyle w:val="5"/>
        <w:rPr>
          <w:rFonts w:hint="eastAsia" w:ascii="仿宋_GB2312" w:hAnsi="仿宋_GB2312" w:eastAsia="仿宋_GB2312" w:cs="仿宋_GB2312"/>
          <w:color w:val="auto"/>
          <w:highlight w:val="none"/>
          <w:lang w:eastAsia="zh-CN"/>
        </w:rPr>
      </w:pPr>
      <w:bookmarkStart w:id="113" w:name="_Toc15396631"/>
      <w:bookmarkStart w:id="114" w:name="_Toc8338"/>
      <w:r>
        <w:rPr>
          <w:rStyle w:val="21"/>
          <w:rFonts w:hint="eastAsia" w:ascii="仿宋_GB2312" w:hAnsi="仿宋_GB2312" w:eastAsia="仿宋_GB2312" w:cs="仿宋_GB2312"/>
          <w:b w:val="0"/>
          <w:bCs w:val="0"/>
          <w:color w:val="auto"/>
          <w:highlight w:val="none"/>
        </w:rPr>
        <w:t>十三、</w:t>
      </w:r>
      <w:bookmarkEnd w:id="113"/>
      <w:r>
        <w:rPr>
          <w:rStyle w:val="21"/>
          <w:rFonts w:hint="eastAsia" w:ascii="仿宋_GB2312" w:hAnsi="仿宋_GB2312" w:eastAsia="仿宋_GB2312" w:cs="仿宋_GB2312"/>
          <w:b w:val="0"/>
          <w:bCs w:val="0"/>
          <w:color w:val="auto"/>
          <w:highlight w:val="none"/>
          <w:lang w:eastAsia="zh-CN"/>
        </w:rPr>
        <w:t>财政拨款“三公”经费支出决算表</w:t>
      </w:r>
      <w:bookmarkEnd w:id="114"/>
    </w:p>
    <w:sectPr>
      <w:pgSz w:w="11906" w:h="16838"/>
      <w:pgMar w:top="1984" w:right="1474" w:bottom="1474" w:left="1587" w:header="851" w:footer="992" w:gutter="0"/>
      <w:pgNumType w:fmt="decimal"/>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Ari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w:pict>
        <v:rect id="4097" o:spid="_x0000_s4097"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rect>
      </w:pic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upright="false">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5dblS0AAAAAUBAAAPAAAAAAAAAAEAIAAAADgAAABkcnMv&#10;ZG93bnJldi54bWxQSwECFAAUAAAACACHTuJA/0NzHLwBAABVAwAADgAAAAAAAAABACAAAAA1AQAA&#10;ZHJzL2Uyb0RvYy54bWxQSwUGAAAAAAYABgBZAQAAY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9"/>
      <w:numFmt w:val="chineseCounting"/>
      <w:suff w:val="nothing"/>
      <w:lvlText w:val="%1、"/>
      <w:lvlJc w:val="left"/>
      <w:rPr>
        <w:rFonts w:hint="eastAsia"/>
      </w:rPr>
    </w:lvl>
  </w:abstractNum>
  <w:abstractNum w:abstractNumId="1">
    <w:nsid w:val="00000001"/>
    <w:multiLevelType w:val="singleLevel"/>
    <w:tmpl w:val="00000001"/>
    <w:lvl w:ilvl="0" w:tentative="0">
      <w:start w:val="4"/>
      <w:numFmt w:val="chineseCounting"/>
      <w:suff w:val="nothing"/>
      <w:lvlText w:val="（%1）"/>
      <w:lvlJc w:val="left"/>
      <w:rPr>
        <w:rFonts w:hint="eastAsia"/>
      </w:rPr>
    </w:lvl>
  </w:abstractNum>
  <w:abstractNum w:abstractNumId="2">
    <w:nsid w:val="00000002"/>
    <w:multiLevelType w:val="singleLevel"/>
    <w:tmpl w:val="00000002"/>
    <w:lvl w:ilvl="0" w:tentative="0">
      <w:start w:val="3"/>
      <w:numFmt w:val="chineseCounting"/>
      <w:suff w:val="space"/>
      <w:lvlText w:val="第%1部分"/>
      <w:lvlJc w:val="left"/>
      <w:rPr>
        <w:rFonts w:hint="eastAsia"/>
      </w:rPr>
    </w:lvl>
  </w:abstractNum>
  <w:abstractNum w:abstractNumId="3">
    <w:nsid w:val="00000003"/>
    <w:multiLevelType w:val="singleLevel"/>
    <w:tmpl w:val="00000003"/>
    <w:lvl w:ilvl="0" w:tentative="0">
      <w:start w:val="1"/>
      <w:numFmt w:val="chineseCounting"/>
      <w:suff w:val="nothing"/>
      <w:lvlText w:val="%1、"/>
      <w:lvlJc w:val="left"/>
      <w:rPr>
        <w:rFonts w:hint="eastAsia"/>
      </w:rPr>
    </w:lvl>
  </w:abstractNum>
  <w:abstractNum w:abstractNumId="4">
    <w:nsid w:val="00000004"/>
    <w:multiLevelType w:val="singleLevel"/>
    <w:tmpl w:val="00000004"/>
    <w:lvl w:ilvl="0" w:tentative="0">
      <w:start w:val="1"/>
      <w:numFmt w:val="chineseCounting"/>
      <w:suff w:val="nothing"/>
      <w:lvlText w:val="（%1）"/>
      <w:lvlJc w:val="left"/>
      <w:rPr>
        <w:rFonts w:hint="eastAsia"/>
      </w:rPr>
    </w:lvl>
  </w:abstractNum>
  <w:abstractNum w:abstractNumId="5">
    <w:nsid w:val="00000005"/>
    <w:multiLevelType w:val="singleLevel"/>
    <w:tmpl w:val="00000005"/>
    <w:lvl w:ilvl="0" w:tentative="0">
      <w:start w:val="1"/>
      <w:numFmt w:val="chineseCounting"/>
      <w:suff w:val="nothing"/>
      <w:lvlText w:val="%1、"/>
      <w:lvlJc w:val="left"/>
      <w:rPr>
        <w:rFonts w:hint="eastAsia"/>
      </w:rPr>
    </w:lvl>
  </w:abstractNum>
  <w:abstractNum w:abstractNumId="6">
    <w:nsid w:val="00000006"/>
    <w:multiLevelType w:val="multilevel"/>
    <w:tmpl w:val="00000006"/>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751C5BF"/>
    <w:multiLevelType w:val="singleLevel"/>
    <w:tmpl w:val="2751C5BF"/>
    <w:lvl w:ilvl="0" w:tentative="0">
      <w:start w:val="1"/>
      <w:numFmt w:val="decimal"/>
      <w:suff w:val="nothing"/>
      <w:lvlText w:val="%1．"/>
      <w:lvlJc w:val="left"/>
      <w:pPr>
        <w:ind w:left="0" w:firstLine="400"/>
      </w:pPr>
      <w:rPr>
        <w:rFonts w:hint="default"/>
      </w:rPr>
    </w:lvl>
  </w:abstractNum>
  <w:num w:numId="1">
    <w:abstractNumId w:val="3"/>
  </w:num>
  <w:num w:numId="2">
    <w:abstractNumId w:val="6"/>
  </w:num>
  <w:num w:numId="3">
    <w:abstractNumId w:val="0"/>
  </w:num>
  <w:num w:numId="4">
    <w:abstractNumId w:val="2"/>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HorizontalSpacing w:val="105"/>
  <w:drawingGridVerticalSpacing w:val="158"/>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2F5D432B"/>
    <w:rsid w:val="37F50D5C"/>
    <w:rsid w:val="39E14020"/>
    <w:rsid w:val="3FFBDBC8"/>
    <w:rsid w:val="4D1B6E7E"/>
    <w:rsid w:val="76BFD77F"/>
    <w:rsid w:val="7B75D2EE"/>
    <w:rsid w:val="F37EBA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qFormat/>
    <w:uiPriority w:val="9"/>
    <w:pPr>
      <w:keepNext/>
      <w:keepLines/>
      <w:spacing w:before="260" w:after="260" w:line="416" w:lineRule="auto"/>
      <w:outlineLvl w:val="1"/>
    </w:pPr>
    <w:rPr>
      <w:rFonts w:ascii="Cambria" w:hAnsi="Cambria" w:eastAsia="宋体" w:cs="宋体"/>
      <w:b/>
      <w:bCs/>
      <w:sz w:val="32"/>
      <w:szCs w:val="32"/>
    </w:rPr>
  </w:style>
  <w:style w:type="paragraph" w:styleId="6">
    <w:name w:val="heading 3"/>
    <w:basedOn w:val="1"/>
    <w:next w:val="1"/>
    <w:link w:val="22"/>
    <w:qFormat/>
    <w:uiPriority w:val="9"/>
    <w:pPr>
      <w:keepNext/>
      <w:keepLines/>
      <w:spacing w:before="260" w:after="260" w:line="416" w:lineRule="auto"/>
      <w:outlineLvl w:val="2"/>
    </w:pPr>
    <w:rPr>
      <w:b/>
      <w:bCs/>
      <w:sz w:val="32"/>
      <w:szCs w:val="32"/>
    </w:rPr>
  </w:style>
  <w:style w:type="character" w:default="1" w:styleId="17">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Salutation"/>
    <w:basedOn w:val="1"/>
    <w:next w:val="1"/>
    <w:qFormat/>
    <w:uiPriority w:val="0"/>
  </w:style>
  <w:style w:type="paragraph" w:styleId="8">
    <w:name w:val="Body Text"/>
    <w:basedOn w:val="1"/>
    <w:link w:val="29"/>
    <w:qFormat/>
    <w:uiPriority w:val="99"/>
    <w:pPr>
      <w:spacing w:beforeLines="30"/>
    </w:pPr>
    <w:rPr>
      <w:rFonts w:ascii="仿宋_GB2312" w:eastAsia="仿宋_GB2312"/>
      <w:kern w:val="0"/>
      <w:sz w:val="30"/>
    </w:rPr>
  </w:style>
  <w:style w:type="paragraph" w:styleId="9">
    <w:name w:val="toc 3"/>
    <w:basedOn w:val="1"/>
    <w:next w:val="1"/>
    <w:qFormat/>
    <w:uiPriority w:val="39"/>
    <w:pPr>
      <w:tabs>
        <w:tab w:val="right" w:leader="dot" w:pos="8296"/>
      </w:tabs>
      <w:ind w:left="840" w:leftChars="400"/>
    </w:pPr>
  </w:style>
  <w:style w:type="paragraph" w:styleId="10">
    <w:name w:val="Balloon Text"/>
    <w:basedOn w:val="1"/>
    <w:link w:val="33"/>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qFormat/>
    <w:uiPriority w:val="99"/>
    <w:rPr>
      <w:color w:val="0000FF"/>
      <w:u w:val="single"/>
    </w:rPr>
  </w:style>
  <w:style w:type="character" w:customStyle="1" w:styleId="20">
    <w:name w:val="标题 1 Char"/>
    <w:basedOn w:val="17"/>
    <w:link w:val="4"/>
    <w:qFormat/>
    <w:uiPriority w:val="9"/>
    <w:rPr>
      <w:rFonts w:ascii="Times New Roman" w:hAnsi="Times New Roman"/>
      <w:b/>
      <w:bCs/>
      <w:kern w:val="44"/>
      <w:sz w:val="44"/>
      <w:szCs w:val="44"/>
    </w:rPr>
  </w:style>
  <w:style w:type="character" w:customStyle="1" w:styleId="21">
    <w:name w:val="标题 2 Char"/>
    <w:basedOn w:val="17"/>
    <w:link w:val="5"/>
    <w:qFormat/>
    <w:uiPriority w:val="9"/>
    <w:rPr>
      <w:rFonts w:ascii="Cambria" w:hAnsi="Cambria" w:eastAsia="宋体" w:cs="宋体"/>
      <w:b/>
      <w:bCs/>
      <w:kern w:val="2"/>
      <w:sz w:val="32"/>
      <w:szCs w:val="32"/>
    </w:rPr>
  </w:style>
  <w:style w:type="character" w:customStyle="1" w:styleId="22">
    <w:name w:val="标题 3 Char"/>
    <w:basedOn w:val="17"/>
    <w:link w:val="6"/>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_2c84f8d5-4400-4def-a53d-e5c1a5b0e161"/>
    <w:basedOn w:val="17"/>
    <w:qFormat/>
    <w:uiPriority w:val="99"/>
    <w:rPr>
      <w:rFonts w:ascii="Times New Roman" w:hAnsi="Times New Roman"/>
      <w:sz w:val="18"/>
      <w:szCs w:val="18"/>
    </w:rPr>
  </w:style>
  <w:style w:type="character" w:customStyle="1" w:styleId="25">
    <w:name w:val="页眉 Char"/>
    <w:link w:val="12"/>
    <w:qFormat/>
    <w:uiPriority w:val="99"/>
    <w:rPr>
      <w:sz w:val="18"/>
    </w:rPr>
  </w:style>
  <w:style w:type="character" w:customStyle="1" w:styleId="26">
    <w:name w:val="Footer Char_93a4e844-dc83-49d4-9821-d38c15fb91cd"/>
    <w:basedOn w:val="17"/>
    <w:qFormat/>
    <w:uiPriority w:val="99"/>
    <w:rPr>
      <w:rFonts w:ascii="Times New Roman" w:hAnsi="Times New Roman"/>
      <w:sz w:val="18"/>
      <w:szCs w:val="18"/>
    </w:rPr>
  </w:style>
  <w:style w:type="character" w:customStyle="1" w:styleId="27">
    <w:name w:val="页脚 Char"/>
    <w:link w:val="11"/>
    <w:qFormat/>
    <w:uiPriority w:val="99"/>
    <w:rPr>
      <w:sz w:val="18"/>
    </w:rPr>
  </w:style>
  <w:style w:type="character" w:customStyle="1" w:styleId="28">
    <w:name w:val="Body Text Char"/>
    <w:basedOn w:val="17"/>
    <w:qFormat/>
    <w:uiPriority w:val="99"/>
    <w:rPr>
      <w:rFonts w:ascii="Times New Roman" w:hAnsi="Times New Roman"/>
      <w:szCs w:val="24"/>
    </w:rPr>
  </w:style>
  <w:style w:type="character" w:customStyle="1" w:styleId="29">
    <w:name w:val="正文文本 Char"/>
    <w:link w:val="8"/>
    <w:qFormat/>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4"/>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33">
    <w:name w:val="批注框文本 Char"/>
    <w:basedOn w:val="17"/>
    <w:link w:val="10"/>
    <w:qFormat/>
    <w:uiPriority w:val="99"/>
    <w:rPr>
      <w:rFonts w:ascii="Times New Roman" w:hAnsi="Times New Roman"/>
      <w:kern w:val="2"/>
      <w:sz w:val="18"/>
      <w:szCs w:val="18"/>
    </w:rPr>
  </w:style>
  <w:style w:type="paragraph" w:customStyle="1" w:styleId="34">
    <w:name w:val="TOC Heading_9d44621c-d7c2-4858-90ba-7fa91a614c02"/>
    <w:basedOn w:val="4"/>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Calibri" w:hAnsi="Calibri" w:eastAsia="宋体" w:cs="宋体"/>
      <w:sz w:val="20"/>
      <w:szCs w:val="20"/>
    </w:rPr>
  </w:style>
  <w:style w:type="paragraph" w:customStyle="1" w:styleId="37">
    <w:name w:val="WPSOffice手动目录 2"/>
    <w:qFormat/>
    <w:uiPriority w:val="0"/>
    <w:pPr>
      <w:ind w:leftChars="200"/>
    </w:pPr>
    <w:rPr>
      <w:rFonts w:ascii="Calibri" w:hAnsi="Calibri" w:eastAsia="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user/&#26366;&#26195;&#33395;/1&#26366;&#26195;&#33395;-&#36130;&#21153;&#24037;&#20316;/7&#12289;&#36130;&#21153;&#24037;&#20316;2023&#24180;/2022&#24180;&#20915;&#31639;/2022&#24180;&#20915;&#31639;&#20844;&#24320;/&#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edia/user/&#26366;&#26195;&#33395;/1&#26366;&#26195;&#33395;-&#36130;&#21153;&#24037;&#20316;/7&#12289;&#36130;&#21153;&#24037;&#20316;2023&#24180;/2022&#24180;&#20915;&#31639;/2022&#24180;&#20915;&#31639;&#20844;&#24320;/&#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edia/user/&#26366;&#26195;&#33395;/1&#26366;&#26195;&#33395;-&#36130;&#21153;&#24037;&#20316;/7&#12289;&#36130;&#21153;&#24037;&#20316;2023&#24180;/2022&#24180;&#20915;&#31639;/2022&#24180;&#20915;&#31639;&#20844;&#24320;/&#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edia/user/&#26366;&#26195;&#33395;/1&#26366;&#26195;&#33395;-&#36130;&#21153;&#24037;&#20316;/7&#12289;&#36130;&#21153;&#24037;&#20316;2023&#24180;/2022&#24180;&#20915;&#31639;/2022&#24180;&#20915;&#31639;&#20844;&#24320;/&#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edia/user/&#26366;&#26195;&#33395;/1&#26366;&#26195;&#33395;-&#36130;&#21153;&#24037;&#20316;/7&#12289;&#36130;&#21153;&#24037;&#20316;2023&#24180;/2022&#24180;&#20915;&#31639;/2022&#24180;&#20915;&#31639;&#20844;&#24320;/&#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edia/user/&#26366;&#26195;&#33395;/1&#26366;&#26195;&#33395;-&#36130;&#21153;&#24037;&#20316;/7&#12289;&#36130;&#21153;&#24037;&#20316;2023&#24180;/2022&#24180;&#20915;&#31639;/2022&#24180;&#20915;&#31639;&#20844;&#24320;/&#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edia/user/&#26366;&#26195;&#33395;/1&#26366;&#26195;&#33395;-&#36130;&#21153;&#24037;&#20316;/7&#12289;&#36130;&#21153;&#24037;&#20316;2023&#24180;/2022&#24180;&#20915;&#31639;/2022&#24180;&#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p>
        </c:rich>
      </c:tx>
      <c:layout/>
      <c:overlay val="false"/>
      <c:spPr>
        <a:noFill/>
        <a:ln>
          <a:noFill/>
        </a:ln>
        <a:effectLst/>
      </c:spPr>
    </c:title>
    <c:autoTitleDeleted val="false"/>
    <c:plotArea>
      <c:layout/>
      <c:barChart>
        <c:barDir val="col"/>
        <c:grouping val="stack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shade val="95000"/>
                          <a:satMod val="105000"/>
                        </a:schemeClr>
                      </a:solidFill>
                      <a:prstDash val="solid"/>
                      <a:round/>
                    </a:ln>
                    <a:effectLst/>
                  </c:spPr>
                </c15:leaderLines>
              </c:ext>
            </c:extLst>
          </c:dLbls>
          <c:cat>
            <c:strRef>
              <c:f>[图表.xlsx]Sheet1!$B$4:$C$4</c:f>
              <c:strCache>
                <c:ptCount val="2"/>
                <c:pt idx="0">
                  <c:v>2021年</c:v>
                </c:pt>
                <c:pt idx="1">
                  <c:v>2022年</c:v>
                </c:pt>
              </c:strCache>
            </c:strRef>
          </c:cat>
          <c:val>
            <c:numRef>
              <c:f>[图表.xlsx]Sheet1!$B$5:$C$5</c:f>
              <c:numCache>
                <c:formatCode>General</c:formatCode>
                <c:ptCount val="2"/>
                <c:pt idx="0">
                  <c:v>1794.36</c:v>
                </c:pt>
                <c:pt idx="1">
                  <c:v>1509.84</c:v>
                </c:pt>
              </c:numCache>
            </c:numRef>
          </c:val>
        </c:ser>
        <c:dLbls>
          <c:showLegendKey val="false"/>
          <c:showVal val="true"/>
          <c:showCatName val="false"/>
          <c:showSerName val="false"/>
          <c:showPercent val="false"/>
          <c:showBubbleSize val="false"/>
        </c:dLbls>
        <c:gapWidth val="75"/>
        <c:overlap val="100"/>
        <c:axId val="67160704"/>
        <c:axId val="67326336"/>
      </c:barChart>
      <c:catAx>
        <c:axId val="67160704"/>
        <c:scaling>
          <c:orientation val="minMax"/>
        </c:scaling>
        <c:delete val="false"/>
        <c:axPos val="b"/>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7326336"/>
        <c:crosses val="autoZero"/>
        <c:auto val="true"/>
        <c:lblAlgn val="ctr"/>
        <c:lblOffset val="100"/>
        <c:noMultiLvlLbl val="false"/>
      </c:catAx>
      <c:valAx>
        <c:axId val="67326336"/>
        <c:scaling>
          <c:orientation val="minMax"/>
        </c:scaling>
        <c:delete val="false"/>
        <c:axPos val="l"/>
        <c:majorGridlines>
          <c:spPr>
            <a:ln w="9525" cap="flat" cmpd="sng" algn="ctr">
              <a:solidFill>
                <a:schemeClr val="tx1">
                  <a:tint val="75000"/>
                  <a:shade val="95000"/>
                  <a:satMod val="105000"/>
                </a:schemeClr>
              </a:solidFill>
              <a:prstDash val="solid"/>
              <a:round/>
            </a:ln>
            <a:effectLst/>
          </c:spPr>
        </c:majorGridlines>
        <c:numFmt formatCode="General" sourceLinked="true"/>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7160704"/>
        <c:crosses val="autoZero"/>
        <c:crossBetween val="between"/>
      </c:valAx>
      <c:spPr>
        <a:solidFill>
          <a:schemeClr val="bg1"/>
        </a:solidFill>
        <a:ln>
          <a:noFill/>
        </a:ln>
        <a:effectLst/>
      </c:spPr>
    </c:plotArea>
    <c:plotVisOnly val="true"/>
    <c:dispBlanksAs val="gap"/>
    <c:showDLblsOverMax val="false"/>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false"/>
    </c:title>
    <c:autoTitleDeleted val="false"/>
    <c:plotArea>
      <c:layout/>
      <c:pieChart>
        <c:varyColors val="true"/>
        <c:ser>
          <c:idx val="0"/>
          <c:order val="0"/>
          <c:explosion val="0"/>
          <c:dPt>
            <c:idx val="0"/>
            <c:bubble3D val="false"/>
          </c:dPt>
          <c:dPt>
            <c:idx val="1"/>
            <c:bubble3D val="false"/>
          </c:dPt>
          <c:dLbls>
            <c:dLbl>
              <c:idx val="0"/>
              <c:layout>
                <c:manualLayout>
                  <c:x val="0.0468532838793506"/>
                  <c:y val="-0.331296309325649"/>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[图表.xlsx]Sheet2!$C$8:$D$8</c:f>
              <c:strCache>
                <c:ptCount val="2"/>
                <c:pt idx="0">
                  <c:v>一般公共预算财政拨款收入</c:v>
                </c:pt>
              </c:strCache>
            </c:strRef>
          </c:cat>
          <c:val>
            <c:numRef>
              <c:f>[图表.xlsx]Sheet2!$C$9:$D$9</c:f>
              <c:numCache>
                <c:formatCode>General</c:formatCode>
                <c:ptCount val="2"/>
                <c:pt idx="0">
                  <c:v>1509.84</c:v>
                </c:pt>
              </c:numCache>
            </c:numRef>
          </c:val>
        </c:ser>
        <c:dLbls>
          <c:showLegendKey val="false"/>
          <c:showVal val="false"/>
          <c:showCatName val="false"/>
          <c:showSerName val="false"/>
          <c:showPercent val="true"/>
          <c:showBubbleSize val="false"/>
          <c:showLeaderLines val="true"/>
        </c:dLbls>
        <c:firstSliceAng val="15"/>
      </c:pieChart>
      <c:spPr>
        <a:noFill/>
        <a:ln>
          <a:noFill/>
        </a:ln>
        <a:effectLst/>
      </c:spPr>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支出决算结构图</a:t>
            </a:r>
            <a:endParaRPr lang="zh-CN" altLang="en-US"/>
          </a:p>
        </c:rich>
      </c:tx>
      <c:layout/>
      <c:overlay val="false"/>
    </c:title>
    <c:autoTitleDeleted val="false"/>
    <c:plotArea>
      <c:layout/>
      <c:pieChart>
        <c:varyColors val="true"/>
        <c:ser>
          <c:idx val="0"/>
          <c:order val="0"/>
          <c:explosion val="25"/>
          <c:dPt>
            <c:idx val="0"/>
            <c:bubble3D val="false"/>
          </c:dPt>
          <c:dPt>
            <c:idx val="1"/>
            <c:bubble3D val="false"/>
          </c:dPt>
          <c:dLbls>
            <c:dLbl>
              <c:idx val="0"/>
              <c:layout>
                <c:manualLayout>
                  <c:x val="-0.0528086827482503"/>
                  <c:y val="-0.210230442925497"/>
                </c:manualLayout>
              </c:layout>
              <c:dLblPos val="bestFit"/>
              <c:showLegendKey val="false"/>
              <c:showVal val="false"/>
              <c:showCatName val="false"/>
              <c:showSerName val="false"/>
              <c:showPercent val="true"/>
              <c:showBubbleSize val="false"/>
              <c:separator>
</c:separator>
              <c:extLst>
                <c:ext xmlns:c15="http://schemas.microsoft.com/office/drawing/2012/chart" uri="{CE6537A1-D6FC-4f65-9D91-7224C49458BB}">
                  <c15:layout/>
                </c:ext>
              </c:extLst>
            </c:dLbl>
            <c:dLbl>
              <c:idx val="1"/>
              <c:layout>
                <c:manualLayout>
                  <c:x val="0.0385617325773401"/>
                  <c:y val="0.124976929818873"/>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[图表.xlsx]Sheet3!$B$5:$C$5</c:f>
              <c:strCache>
                <c:ptCount val="2"/>
                <c:pt idx="0">
                  <c:v>基本支出</c:v>
                </c:pt>
                <c:pt idx="1">
                  <c:v>项目支出</c:v>
                </c:pt>
              </c:strCache>
            </c:strRef>
          </c:cat>
          <c:val>
            <c:numRef>
              <c:f>[图表.xlsx]Sheet3!$B$6:$C$6</c:f>
              <c:numCache>
                <c:formatCode>General</c:formatCode>
                <c:ptCount val="2"/>
                <c:pt idx="0">
                  <c:v>1224.07</c:v>
                </c:pt>
                <c:pt idx="1">
                  <c:v>285.77</c:v>
                </c:pt>
              </c:numCache>
            </c:numRef>
          </c:val>
        </c:ser>
        <c:dLbls>
          <c:showLegendKey val="false"/>
          <c:showVal val="false"/>
          <c:showCatName val="false"/>
          <c:showSerName val="false"/>
          <c:showPercent val="true"/>
          <c:showBubbleSize val="false"/>
          <c:showLeaderLines val="true"/>
        </c:dLbls>
        <c:firstSliceAng val="15"/>
      </c:pieChart>
      <c:spPr>
        <a:noFill/>
        <a:ln>
          <a:noFill/>
        </a:ln>
        <a:effectLst/>
      </c:spPr>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财政拨款收、支决算总计变动情况</a:t>
            </a:r>
            <a:endParaRPr lang="zh-CN"/>
          </a:p>
        </c:rich>
      </c:tx>
      <c:layout/>
      <c:overlay val="false"/>
    </c:title>
    <c:autoTitleDeleted val="false"/>
    <c:plotArea>
      <c:layout/>
      <c:barChart>
        <c:barDir val="col"/>
        <c:grouping val="stacked"/>
        <c:varyColors val="false"/>
        <c:ser>
          <c:idx val="0"/>
          <c:order val="0"/>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[图表.xlsx]Sheet4!$B$4:$C$4</c:f>
              <c:strCache>
                <c:ptCount val="2"/>
                <c:pt idx="0">
                  <c:v>2021年</c:v>
                </c:pt>
                <c:pt idx="1">
                  <c:v>2022年</c:v>
                </c:pt>
              </c:strCache>
            </c:strRef>
          </c:cat>
          <c:val>
            <c:numRef>
              <c:f>[图表.xlsx]Sheet4!$B$5:$C$5</c:f>
              <c:numCache>
                <c:formatCode>General</c:formatCode>
                <c:ptCount val="2"/>
                <c:pt idx="0">
                  <c:v>1794.36</c:v>
                </c:pt>
                <c:pt idx="1">
                  <c:v>1509.84</c:v>
                </c:pt>
              </c:numCache>
            </c:numRef>
          </c:val>
        </c:ser>
        <c:dLbls>
          <c:showLegendKey val="false"/>
          <c:showVal val="true"/>
          <c:showCatName val="false"/>
          <c:showSerName val="false"/>
          <c:showPercent val="false"/>
          <c:showBubbleSize val="false"/>
        </c:dLbls>
        <c:gapWidth val="75"/>
        <c:overlap val="100"/>
        <c:axId val="78554624"/>
        <c:axId val="78556160"/>
      </c:barChart>
      <c:catAx>
        <c:axId val="78554624"/>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78556160"/>
        <c:crosses val="autoZero"/>
        <c:auto val="true"/>
        <c:lblAlgn val="ctr"/>
        <c:lblOffset val="100"/>
        <c:noMultiLvlLbl val="false"/>
      </c:catAx>
      <c:valAx>
        <c:axId val="78556160"/>
        <c:scaling>
          <c:orientation val="minMax"/>
        </c:scaling>
        <c:delete val="false"/>
        <c:axPos val="l"/>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78554624"/>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true"/>
          <a:lstStyle/>
          <a:p>
            <a:pPr>
              <a:defRPr lang="zh-CN" sz="1600" b="1" i="0" u="none" strike="noStrike" kern="1200" cap="none" spc="-49" normalizeH="0" baseline="0">
                <a:solidFill>
                  <a:schemeClr val="tx1"/>
                </a:solidFill>
                <a:uFill>
                  <a:solidFill>
                    <a:schemeClr val="tx1"/>
                  </a:solidFill>
                </a:uFill>
                <a:latin typeface="+mn-lt"/>
                <a:ea typeface="+mn-ea"/>
                <a:cs typeface="+mn-cs"/>
              </a:defRPr>
            </a:pPr>
            <a:r>
              <a:rPr lang="zh-CN" altLang="en-US" b="1" i="0" u="none" strike="noStrike" cap="none" normalizeH="0" baseline="0">
                <a:solidFill>
                  <a:schemeClr val="tx1"/>
                </a:solidFill>
                <a:uFill>
                  <a:solidFill>
                    <a:schemeClr val="tx1"/>
                  </a:solidFill>
                </a:uFill>
              </a:rPr>
              <a:t>一般公共预算财政拨款支出决算变动情况</a:t>
            </a:r>
            <a:endParaRPr lang="zh-CN" altLang="en-US" b="1" i="0" u="none" strike="noStrike" cap="none" normalizeH="0" baseline="0">
              <a:solidFill>
                <a:schemeClr val="tx1"/>
              </a:solidFill>
              <a:uFill>
                <a:solidFill>
                  <a:schemeClr val="tx1"/>
                </a:solidFill>
              </a:uFill>
            </a:endParaRPr>
          </a:p>
        </c:rich>
      </c:tx>
      <c:layout>
        <c:manualLayout>
          <c:xMode val="edge"/>
          <c:yMode val="edge"/>
          <c:x val="0.122930800542741"/>
          <c:y val="0.0619625137816979"/>
        </c:manualLayout>
      </c:layout>
      <c:overlay val="false"/>
    </c:title>
    <c:autoTitleDeleted val="false"/>
    <c:plotArea>
      <c:layout>
        <c:manualLayout>
          <c:layoutTarget val="inner"/>
          <c:xMode val="edge"/>
          <c:yMode val="edge"/>
          <c:x val="0.106919945725916"/>
          <c:y val="0.269239250275634"/>
          <c:w val="0.863229308005427"/>
          <c:h val="0.621168687982359"/>
        </c:manualLayout>
      </c:layout>
      <c:barChart>
        <c:barDir val="col"/>
        <c:grouping val="clustered"/>
        <c:varyColors val="false"/>
        <c:ser>
          <c:idx val="0"/>
          <c:order val="0"/>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[图表.xlsx]Sheet5!$B$3:$C$3</c:f>
              <c:strCache>
                <c:ptCount val="2"/>
                <c:pt idx="0">
                  <c:v>2021年</c:v>
                </c:pt>
                <c:pt idx="1">
                  <c:v>2022年</c:v>
                </c:pt>
              </c:strCache>
            </c:strRef>
          </c:cat>
          <c:val>
            <c:numRef>
              <c:f>[图表.xlsx]Sheet5!$B$4:$C$4</c:f>
              <c:numCache>
                <c:formatCode>General</c:formatCode>
                <c:ptCount val="2"/>
                <c:pt idx="0">
                  <c:v>1710.27</c:v>
                </c:pt>
                <c:pt idx="1">
                  <c:v>1425.76</c:v>
                </c:pt>
              </c:numCache>
            </c:numRef>
          </c:val>
        </c:ser>
        <c:dLbls>
          <c:showLegendKey val="false"/>
          <c:showVal val="true"/>
          <c:showCatName val="false"/>
          <c:showSerName val="false"/>
          <c:showPercent val="false"/>
          <c:showBubbleSize val="false"/>
        </c:dLbls>
        <c:gapWidth val="150"/>
        <c:axId val="79834112"/>
        <c:axId val="79864576"/>
      </c:barChart>
      <c:catAx>
        <c:axId val="79834112"/>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79864576"/>
        <c:crosses val="autoZero"/>
        <c:auto val="true"/>
        <c:lblAlgn val="ctr"/>
        <c:lblOffset val="100"/>
        <c:noMultiLvlLbl val="false"/>
      </c:catAx>
      <c:valAx>
        <c:axId val="79864576"/>
        <c:scaling>
          <c:orientation val="minMax"/>
        </c:scaling>
        <c:delete val="false"/>
        <c:axPos val="l"/>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79834112"/>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600" b="1" i="0" u="none" strike="noStrike" baseline="0"/>
              <a:t>一般公共预算财政拨款支出决算结构</a:t>
            </a:r>
            <a:endParaRPr lang="zh-CN" altLang="en-US" sz="1600"/>
          </a:p>
        </c:rich>
      </c:tx>
      <c:layout/>
      <c:overlay val="false"/>
    </c:title>
    <c:autoTitleDeleted val="false"/>
    <c:plotArea>
      <c:layout/>
      <c:pieChart>
        <c:varyColors val="true"/>
        <c:ser>
          <c:idx val="0"/>
          <c:order val="0"/>
          <c:explosion val="0"/>
          <c:dPt>
            <c:idx val="0"/>
            <c:bubble3D val="false"/>
          </c:dPt>
          <c:dPt>
            <c:idx val="1"/>
            <c:bubble3D val="false"/>
          </c:dPt>
          <c:dPt>
            <c:idx val="2"/>
            <c:bubble3D val="false"/>
          </c:dPt>
          <c:dPt>
            <c:idx val="3"/>
            <c:bubble3D val="false"/>
          </c:dPt>
          <c:dLbls>
            <c:dLbl>
              <c:idx val="0"/>
              <c:layout>
                <c:manualLayout>
                  <c:x val="-0.0276181646521349"/>
                  <c:y val="-0.259868669930173"/>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[图表.xlsx]Sheet6!$B$5:$E$5</c:f>
              <c:strCache>
                <c:ptCount val="4"/>
                <c:pt idx="0">
                  <c:v>一般公共服务（类）支出</c:v>
                </c:pt>
                <c:pt idx="1">
                  <c:v>社会保障和就业（类）支出</c:v>
                </c:pt>
                <c:pt idx="2">
                  <c:v>卫生健康支出</c:v>
                </c:pt>
                <c:pt idx="3">
                  <c:v>住房保障支出</c:v>
                </c:pt>
              </c:strCache>
            </c:strRef>
          </c:cat>
          <c:val>
            <c:numRef>
              <c:f>[图表.xlsx]Sheet6!$B$6:$E$6</c:f>
              <c:numCache>
                <c:formatCode>General</c:formatCode>
                <c:ptCount val="4"/>
                <c:pt idx="0">
                  <c:v>1288.5</c:v>
                </c:pt>
                <c:pt idx="1">
                  <c:v>100.73</c:v>
                </c:pt>
                <c:pt idx="2">
                  <c:v>34.97</c:v>
                </c:pt>
                <c:pt idx="3">
                  <c:v>85.64</c:v>
                </c:pt>
              </c:numCache>
            </c:numRef>
          </c:val>
        </c:ser>
        <c:dLbls>
          <c:showLegendKey val="false"/>
          <c:showVal val="false"/>
          <c:showCatName val="false"/>
          <c:showSerName val="false"/>
          <c:showPercent val="tru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sz="1800" b="1" i="0" u="none" strike="noStrike" baseline="0"/>
              <a:t>“三公”经费财政拨款支出结构</a:t>
            </a:r>
            <a:endParaRPr lang="zh-CN" altLang="en-US"/>
          </a:p>
        </c:rich>
      </c:tx>
      <c:layout/>
      <c:overlay val="false"/>
    </c:title>
    <c:autoTitleDeleted val="false"/>
    <c:plotArea>
      <c:layout/>
      <c:pieChart>
        <c:varyColors val="true"/>
        <c:ser>
          <c:idx val="0"/>
          <c:order val="0"/>
          <c:explosion val="25"/>
          <c:dPt>
            <c:idx val="0"/>
            <c:bubble3D val="false"/>
          </c:dPt>
          <c:dPt>
            <c:idx val="1"/>
            <c:bubble3D val="false"/>
          </c:dPt>
          <c:dPt>
            <c:idx val="2"/>
            <c:bubble3D val="false"/>
          </c:dPt>
          <c:dLbls>
            <c:dLbl>
              <c:idx val="1"/>
              <c:layout>
                <c:manualLayout>
                  <c:x val="-0.105639733459463"/>
                  <c:y val="-0.116048652118278"/>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101569175703631"/>
                  <c:y val="0.0995106169079536"/>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[图表.xlsx]Sheet7!$B$5:$D$5</c:f>
              <c:strCache>
                <c:ptCount val="3"/>
                <c:pt idx="0">
                  <c:v>因公出国（境）费支出</c:v>
                </c:pt>
                <c:pt idx="1">
                  <c:v>公务用车购置及运行维护费支出</c:v>
                </c:pt>
                <c:pt idx="2">
                  <c:v>公务接待费支出</c:v>
                </c:pt>
              </c:strCache>
            </c:strRef>
          </c:cat>
          <c:val>
            <c:numRef>
              <c:f>[图表.xlsx]Sheet7!$B$6:$D$6</c:f>
              <c:numCache>
                <c:formatCode>General</c:formatCode>
                <c:ptCount val="3"/>
                <c:pt idx="0">
                  <c:v>0</c:v>
                </c:pt>
                <c:pt idx="1">
                  <c:v>3.85</c:v>
                </c:pt>
                <c:pt idx="2">
                  <c:v>2.5</c:v>
                </c:pt>
              </c:numCache>
            </c:numRef>
          </c:val>
        </c:ser>
        <c:dLbls>
          <c:showLegendKey val="false"/>
          <c:showVal val="false"/>
          <c:showCatName val="false"/>
          <c:showSerName val="false"/>
          <c:showPercent val="true"/>
          <c:showBubbleSize val="false"/>
          <c:showLeaderLines val="true"/>
        </c:dLbls>
        <c:firstSliceAng val="15"/>
      </c:pieChart>
      <c:spPr>
        <a:noFill/>
        <a:ln>
          <a:noFill/>
        </a:ln>
        <a:effectLst/>
      </c:spPr>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0</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25008</Words>
  <Characters>27013</Characters>
  <Paragraphs>2482</Paragraphs>
  <TotalTime>10</TotalTime>
  <ScaleCrop>false</ScaleCrop>
  <LinksUpToDate>false</LinksUpToDate>
  <CharactersWithSpaces>27183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 </cp:lastModifiedBy>
  <cp:lastPrinted>2023-09-19T10:49:00Z</cp:lastPrinted>
  <dcterms:modified xsi:type="dcterms:W3CDTF">2023-10-08T17:00:21Z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