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193"/>
      <w:bookmarkStart w:id="2" w:name="_Toc15377425"/>
      <w:bookmarkStart w:id="3" w:name="_Toc15396597"/>
      <w:bookmarkStart w:id="4" w:name="_Toc15306267"/>
      <w:bookmarkStart w:id="5" w:name="_Toc15378441"/>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shd w:val="clear"/>
        <w:adjustRightInd w:val="0"/>
        <w:snapToGrid w:val="0"/>
        <w:spacing w:line="360" w:lineRule="auto"/>
        <w:ind w:left="-17" w:leftChars="-8" w:right="-218" w:rightChars="-104" w:firstLine="17" w:firstLineChars="0"/>
        <w:jc w:val="center"/>
        <w:outlineLvl w:val="0"/>
        <w:rPr>
          <w:rFonts w:ascii="方正小标宋简体" w:hAnsi="宋体" w:eastAsia="方正小标宋简体"/>
          <w:color w:val="auto"/>
          <w:sz w:val="72"/>
          <w:szCs w:val="72"/>
          <w:highlight w:val="none"/>
        </w:rPr>
      </w:pPr>
      <w:bookmarkStart w:id="6" w:name="_Toc3067"/>
      <w:bookmarkStart w:id="7" w:name="_Toc16048"/>
      <w:bookmarkStart w:id="8" w:name="_Toc26866"/>
      <w:r>
        <w:rPr>
          <w:rFonts w:ascii="黑体" w:hAnsi="黑体" w:eastAsia="黑体"/>
          <w:color w:val="auto"/>
          <w:sz w:val="72"/>
          <w:szCs w:val="72"/>
          <w:highlight w:val="none"/>
        </w:rPr>
        <w:t>20</w:t>
      </w:r>
      <w:r>
        <w:rPr>
          <w:rFonts w:hint="eastAsia" w:ascii="黑体" w:hAnsi="黑体" w:eastAsia="黑体"/>
          <w:color w:val="auto"/>
          <w:sz w:val="72"/>
          <w:szCs w:val="72"/>
          <w:highlight w:val="none"/>
          <w:lang w:val="en-US" w:eastAsia="zh-CN"/>
        </w:rPr>
        <w:t>22</w:t>
      </w:r>
      <w:r>
        <w:rPr>
          <w:rFonts w:hint="eastAsia" w:ascii="方正小标宋简体" w:hAnsi="宋体" w:eastAsia="方正小标宋简体"/>
          <w:color w:val="auto"/>
          <w:sz w:val="72"/>
          <w:szCs w:val="72"/>
          <w:highlight w:val="none"/>
        </w:rPr>
        <w:t>年度</w:t>
      </w:r>
      <w:bookmarkEnd w:id="6"/>
      <w:bookmarkEnd w:id="7"/>
      <w:bookmarkEnd w:id="8"/>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方正小标宋简体" w:hAnsi="宋体" w:eastAsia="方正小标宋简体"/>
          <w:color w:val="auto"/>
          <w:spacing w:val="-34"/>
          <w:w w:val="100"/>
          <w:sz w:val="72"/>
          <w:szCs w:val="72"/>
          <w:highlight w:val="none"/>
          <w:lang w:eastAsia="zh-CN"/>
        </w:rPr>
      </w:pPr>
      <w:bookmarkStart w:id="9" w:name="_Toc8931"/>
      <w:bookmarkStart w:id="10" w:name="_Toc20462"/>
      <w:bookmarkStart w:id="11" w:name="_Toc1153"/>
      <w:bookmarkStart w:id="12" w:name="_Toc15377194"/>
      <w:bookmarkStart w:id="13" w:name="_Toc15378442"/>
      <w:bookmarkStart w:id="14" w:name="_Toc15396476"/>
      <w:bookmarkStart w:id="15" w:name="_Toc15377426"/>
      <w:bookmarkStart w:id="16" w:name="_Toc15396598"/>
      <w:bookmarkStart w:id="17" w:name="_Toc15306268"/>
      <w:r>
        <w:rPr>
          <w:rFonts w:hint="eastAsia" w:ascii="方正小标宋简体" w:hAnsi="宋体" w:eastAsia="方正小标宋简体"/>
          <w:color w:val="auto"/>
          <w:spacing w:val="-34"/>
          <w:w w:val="100"/>
          <w:sz w:val="72"/>
          <w:szCs w:val="72"/>
          <w:highlight w:val="none"/>
          <w:lang w:eastAsia="zh-CN"/>
        </w:rPr>
        <w:t>川北幼儿师范高等专科学校</w:t>
      </w:r>
      <w:bookmarkEnd w:id="9"/>
      <w:bookmarkEnd w:id="10"/>
      <w:bookmarkEnd w:id="11"/>
    </w:p>
    <w:p>
      <w:pPr>
        <w:shd w:val="clear"/>
        <w:adjustRightInd w:val="0"/>
        <w:snapToGrid w:val="0"/>
        <w:spacing w:line="360" w:lineRule="auto"/>
        <w:ind w:left="-17" w:leftChars="-8" w:right="-218" w:rightChars="-104" w:firstLine="17" w:firstLineChars="0"/>
        <w:jc w:val="center"/>
        <w:outlineLvl w:val="0"/>
        <w:rPr>
          <w:rFonts w:ascii="方正小标宋简体" w:hAnsi="宋体" w:eastAsia="方正小标宋简体"/>
          <w:color w:val="auto"/>
          <w:sz w:val="72"/>
          <w:szCs w:val="72"/>
          <w:highlight w:val="none"/>
        </w:rPr>
      </w:pPr>
      <w:bookmarkStart w:id="18" w:name="_Toc3478"/>
      <w:bookmarkStart w:id="19" w:name="_Toc32670"/>
      <w:bookmarkStart w:id="20" w:name="_Toc15084"/>
      <w:r>
        <w:rPr>
          <w:rFonts w:hint="eastAsia" w:ascii="方正小标宋简体" w:hAnsi="宋体" w:eastAsia="方正小标宋简体"/>
          <w:color w:val="auto"/>
          <w:sz w:val="72"/>
          <w:szCs w:val="72"/>
          <w:highlight w:val="none"/>
        </w:rPr>
        <w:t>部门决算</w:t>
      </w:r>
      <w:bookmarkEnd w:id="12"/>
      <w:bookmarkEnd w:id="13"/>
      <w:bookmarkEnd w:id="14"/>
      <w:bookmarkEnd w:id="15"/>
      <w:bookmarkEnd w:id="16"/>
      <w:bookmarkEnd w:id="17"/>
      <w:bookmarkEnd w:id="18"/>
      <w:bookmarkEnd w:id="19"/>
      <w:bookmarkEnd w:id="20"/>
    </w:p>
    <w:p>
      <w:pPr>
        <w:widowControl/>
        <w:shd w:val="clear"/>
        <w:jc w:val="center"/>
        <w:rPr>
          <w:rFonts w:hint="eastAsia" w:ascii="黑体" w:hAnsi="黑体" w:eastAsia="黑体"/>
          <w:color w:val="auto"/>
          <w:sz w:val="48"/>
          <w:szCs w:val="48"/>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widowControl/>
        <w:shd w:val="clear"/>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2"/>
        <w:shd w:val="clear"/>
        <w:rPr>
          <w:rFonts w:ascii="宋体" w:hAnsi="宋体" w:eastAsia="宋体" w:cs="Times New Roman"/>
          <w:color w:val="auto"/>
          <w:kern w:val="2"/>
          <w:sz w:val="28"/>
          <w:szCs w:val="28"/>
          <w:highlight w:val="none"/>
          <w:lang w:val="en-US" w:eastAsia="zh-CN" w:bidi="ar-SA"/>
        </w:rPr>
      </w:pPr>
      <w:r>
        <w:rPr>
          <w:rFonts w:hint="eastAsia"/>
          <w:color w:val="auto"/>
          <w:sz w:val="28"/>
          <w:szCs w:val="28"/>
          <w:highlight w:val="none"/>
        </w:rPr>
        <w:t>公开时间：20</w:t>
      </w:r>
      <w:r>
        <w:rPr>
          <w:rFonts w:hint="eastAsia"/>
          <w:color w:val="auto"/>
          <w:sz w:val="28"/>
          <w:szCs w:val="28"/>
          <w:highlight w:val="none"/>
          <w:lang w:val="en-US" w:eastAsia="zh-CN"/>
        </w:rPr>
        <w:t>23</w:t>
      </w:r>
      <w:r>
        <w:rPr>
          <w:rFonts w:hint="eastAsia"/>
          <w:color w:val="auto"/>
          <w:sz w:val="28"/>
          <w:szCs w:val="28"/>
          <w:highlight w:val="none"/>
        </w:rPr>
        <w:t>年</w:t>
      </w:r>
      <w:r>
        <w:rPr>
          <w:rFonts w:hint="eastAsia"/>
          <w:color w:val="auto"/>
          <w:sz w:val="28"/>
          <w:szCs w:val="28"/>
          <w:highlight w:val="none"/>
          <w:lang w:val="en-US" w:eastAsia="zh-CN"/>
        </w:rPr>
        <w:t>10</w:t>
      </w:r>
      <w:r>
        <w:rPr>
          <w:rFonts w:hint="eastAsia"/>
          <w:color w:val="auto"/>
          <w:sz w:val="28"/>
          <w:szCs w:val="28"/>
          <w:highlight w:val="none"/>
        </w:rPr>
        <w:t>月</w:t>
      </w:r>
      <w:r>
        <w:rPr>
          <w:rFonts w:hint="eastAsia"/>
          <w:color w:val="auto"/>
          <w:sz w:val="28"/>
          <w:szCs w:val="28"/>
          <w:highlight w:val="none"/>
          <w:lang w:val="en-US" w:eastAsia="zh-CN"/>
        </w:rPr>
        <w:t>7</w:t>
      </w:r>
      <w:r>
        <w:rPr>
          <w:rFonts w:hint="eastAsia"/>
          <w:color w:val="auto"/>
          <w:sz w:val="28"/>
          <w:szCs w:val="28"/>
          <w:highlight w:val="none"/>
        </w:rPr>
        <w:t>日</w:t>
      </w:r>
      <w:bookmarkStart w:id="21" w:name="_Toc2260"/>
      <w:bookmarkStart w:id="22" w:name="_Toc15377196"/>
      <w:bookmarkStart w:id="23" w:name="_Toc15396599"/>
    </w:p>
    <w:sdt>
      <w:sdtPr>
        <w:rPr>
          <w:rFonts w:ascii="宋体" w:hAnsi="宋体" w:eastAsia="宋体" w:cs="Times New Roman"/>
          <w:color w:val="auto"/>
          <w:kern w:val="2"/>
          <w:sz w:val="21"/>
          <w:szCs w:val="24"/>
          <w:highlight w:val="none"/>
          <w:lang w:val="en-US" w:eastAsia="zh-CN" w:bidi="ar-SA"/>
        </w:rPr>
        <w:id w:val="147465058"/>
        <w15:color w:val="DBDBDB"/>
        <w:docPartObj>
          <w:docPartGallery w:val="Table of Contents"/>
          <w:docPartUnique/>
        </w:docPartObj>
      </w:sdtPr>
      <w:sdtEndPr>
        <w:rPr>
          <w:rFonts w:hint="eastAsia" w:ascii="宋体" w:hAnsi="宋体" w:eastAsia="宋体" w:cs="Times New Roman"/>
          <w:b/>
          <w:color w:val="auto"/>
          <w:kern w:val="2"/>
          <w:sz w:val="20"/>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7"/>
            <w:shd w:val="clear"/>
            <w:tabs>
              <w:tab w:val="right" w:leader="dot" w:pos="8306"/>
            </w:tabs>
            <w:rPr>
              <w:b/>
              <w:color w:val="auto"/>
              <w:highlight w:val="none"/>
            </w:rPr>
          </w:pPr>
          <w:r>
            <w:rPr>
              <w:rFonts w:hint="eastAsia" w:ascii="宋体" w:hAnsi="宋体" w:eastAsia="宋体" w:cs="Times New Roman"/>
              <w:color w:val="auto"/>
              <w:kern w:val="2"/>
              <w:sz w:val="21"/>
              <w:szCs w:val="24"/>
              <w:highlight w:val="none"/>
              <w:lang w:val="en-US" w:eastAsia="zh-CN" w:bidi="ar-SA"/>
            </w:rPr>
            <w:fldChar w:fldCharType="begin"/>
          </w:r>
          <w:r>
            <w:rPr>
              <w:rFonts w:hint="eastAsia" w:ascii="宋体" w:hAnsi="宋体" w:eastAsia="宋体" w:cs="Times New Roman"/>
              <w:color w:val="auto"/>
              <w:kern w:val="2"/>
              <w:sz w:val="21"/>
              <w:szCs w:val="24"/>
              <w:highlight w:val="none"/>
              <w:lang w:val="en-US" w:eastAsia="zh-CN" w:bidi="ar-SA"/>
            </w:rPr>
            <w:instrText xml:space="preserve">TOC \o "1-2" \h \u </w:instrText>
          </w:r>
          <w:r>
            <w:rPr>
              <w:rFonts w:hint="eastAsia" w:ascii="宋体" w:hAnsi="宋体" w:eastAsia="宋体" w:cs="Times New Roman"/>
              <w:color w:val="auto"/>
              <w:kern w:val="2"/>
              <w:sz w:val="21"/>
              <w:szCs w:val="24"/>
              <w:highlight w:val="none"/>
              <w:lang w:val="en-US" w:eastAsia="zh-CN" w:bidi="ar-SA"/>
            </w:rPr>
            <w:fldChar w:fldCharType="separate"/>
          </w:r>
          <w:r>
            <w:rPr>
              <w:rFonts w:hint="eastAsia" w:ascii="宋体" w:hAnsi="宋体" w:eastAsia="宋体" w:cs="Times New Roman"/>
              <w:b/>
              <w:color w:val="auto"/>
              <w:kern w:val="2"/>
              <w:szCs w:val="24"/>
              <w:highlight w:val="none"/>
              <w:lang w:val="en-US" w:eastAsia="zh-CN" w:bidi="ar-SA"/>
            </w:rPr>
            <w:fldChar w:fldCharType="begin"/>
          </w:r>
          <w:r>
            <w:rPr>
              <w:rFonts w:hint="eastAsia" w:ascii="宋体" w:hAnsi="宋体" w:eastAsia="宋体" w:cs="Times New Roman"/>
              <w:b/>
              <w:color w:val="auto"/>
              <w:kern w:val="2"/>
              <w:szCs w:val="24"/>
              <w:highlight w:val="none"/>
              <w:lang w:val="en-US" w:eastAsia="zh-CN" w:bidi="ar-SA"/>
            </w:rPr>
            <w:instrText xml:space="preserve"> HYPERLINK \l _Toc24964 </w:instrText>
          </w:r>
          <w:r>
            <w:rPr>
              <w:rFonts w:hint="eastAsia" w:ascii="宋体" w:hAnsi="宋体" w:eastAsia="宋体" w:cs="Times New Roman"/>
              <w:b/>
              <w:color w:val="auto"/>
              <w:kern w:val="2"/>
              <w:szCs w:val="24"/>
              <w:highlight w:val="none"/>
              <w:lang w:val="en-US" w:eastAsia="zh-CN" w:bidi="ar-SA"/>
            </w:rPr>
            <w:fldChar w:fldCharType="separate"/>
          </w:r>
          <w:r>
            <w:rPr>
              <w:rFonts w:hint="eastAsia" w:ascii="黑体" w:hAnsi="黑体" w:eastAsia="黑体"/>
              <w:b/>
              <w:color w:val="auto"/>
              <w:highlight w:val="none"/>
            </w:rPr>
            <w:t xml:space="preserve">第一部分 </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_Toc24964 \h </w:instrText>
          </w:r>
          <w:r>
            <w:rPr>
              <w:b/>
              <w:color w:val="auto"/>
              <w:highlight w:val="none"/>
            </w:rPr>
            <w:fldChar w:fldCharType="separate"/>
          </w:r>
          <w:r>
            <w:rPr>
              <w:b/>
              <w:color w:val="auto"/>
              <w:highlight w:val="none"/>
            </w:rPr>
            <w:t>1</w:t>
          </w:r>
          <w:r>
            <w:rPr>
              <w:b/>
              <w:color w:val="auto"/>
              <w:highlight w:val="none"/>
            </w:rPr>
            <w:fldChar w:fldCharType="end"/>
          </w:r>
          <w:r>
            <w:rPr>
              <w:rFonts w:hint="eastAsia" w:ascii="宋体" w:hAnsi="宋体" w:eastAsia="宋体" w:cs="Times New Roman"/>
              <w:b/>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_Toc23509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hAnsi="黑体" w:eastAsia="黑体"/>
              <w:color w:val="auto"/>
              <w:highlight w:val="none"/>
              <w:lang w:eastAsia="zh-CN"/>
            </w:rPr>
            <w:t>一、 部门职责</w:t>
          </w:r>
          <w:r>
            <w:rPr>
              <w:color w:val="auto"/>
              <w:highlight w:val="none"/>
            </w:rPr>
            <w:tab/>
          </w:r>
          <w:r>
            <w:rPr>
              <w:color w:val="auto"/>
              <w:highlight w:val="none"/>
            </w:rPr>
            <w:fldChar w:fldCharType="begin"/>
          </w:r>
          <w:r>
            <w:rPr>
              <w:color w:val="auto"/>
              <w:highlight w:val="none"/>
            </w:rPr>
            <w:instrText xml:space="preserve"> PAGEREF _Toc23509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_Toc13312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_Toc13312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7"/>
            <w:shd w:val="clear"/>
            <w:tabs>
              <w:tab w:val="right" w:leader="dot" w:pos="8306"/>
            </w:tabs>
            <w:rPr>
              <w:b/>
              <w:color w:val="auto"/>
              <w:highlight w:val="none"/>
            </w:rPr>
          </w:pPr>
          <w:r>
            <w:rPr>
              <w:rFonts w:hint="eastAsia" w:ascii="宋体" w:hAnsi="宋体" w:eastAsia="宋体" w:cs="Times New Roman"/>
              <w:b/>
              <w:color w:val="auto"/>
              <w:kern w:val="2"/>
              <w:szCs w:val="24"/>
              <w:highlight w:val="none"/>
              <w:lang w:val="en-US" w:eastAsia="zh-CN" w:bidi="ar-SA"/>
            </w:rPr>
            <w:fldChar w:fldCharType="begin"/>
          </w:r>
          <w:r>
            <w:rPr>
              <w:rFonts w:hint="eastAsia" w:ascii="宋体" w:hAnsi="宋体" w:eastAsia="宋体" w:cs="Times New Roman"/>
              <w:b/>
              <w:color w:val="auto"/>
              <w:kern w:val="2"/>
              <w:szCs w:val="24"/>
              <w:highlight w:val="none"/>
              <w:lang w:val="en-US" w:eastAsia="zh-CN" w:bidi="ar-SA"/>
            </w:rPr>
            <w:instrText xml:space="preserve"> HYPERLINK \l _Toc6617 </w:instrText>
          </w:r>
          <w:r>
            <w:rPr>
              <w:rFonts w:hint="eastAsia" w:ascii="宋体" w:hAnsi="宋体" w:eastAsia="宋体" w:cs="Times New Roman"/>
              <w:b/>
              <w:color w:val="auto"/>
              <w:kern w:val="2"/>
              <w:szCs w:val="24"/>
              <w:highlight w:val="none"/>
              <w:lang w:val="en-US" w:eastAsia="zh-CN" w:bidi="ar-SA"/>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_Toc6617 \h </w:instrText>
          </w:r>
          <w:r>
            <w:rPr>
              <w:b/>
              <w:color w:val="auto"/>
              <w:highlight w:val="none"/>
            </w:rPr>
            <w:fldChar w:fldCharType="separate"/>
          </w:r>
          <w:r>
            <w:rPr>
              <w:b/>
              <w:color w:val="auto"/>
              <w:highlight w:val="none"/>
            </w:rPr>
            <w:t>2</w:t>
          </w:r>
          <w:r>
            <w:rPr>
              <w:b/>
              <w:color w:val="auto"/>
              <w:highlight w:val="none"/>
            </w:rPr>
            <w:fldChar w:fldCharType="end"/>
          </w:r>
          <w:r>
            <w:rPr>
              <w:rFonts w:hint="eastAsia" w:ascii="宋体" w:hAnsi="宋体" w:eastAsia="宋体" w:cs="Times New Roman"/>
              <w:b/>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_Toc4660 </w:instrText>
          </w:r>
          <w:r>
            <w:rPr>
              <w:rFonts w:hint="eastAsia" w:ascii="宋体" w:hAnsi="宋体" w:eastAsia="宋体" w:cs="Times New Roman"/>
              <w:color w:val="auto"/>
              <w:kern w:val="2"/>
              <w:szCs w:val="24"/>
              <w:highlight w:val="none"/>
              <w:lang w:val="en-US" w:eastAsia="zh-CN" w:bidi="ar-SA"/>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_Toc4660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_Toc3232 </w:instrText>
          </w:r>
          <w:r>
            <w:rPr>
              <w:rFonts w:hint="eastAsia" w:ascii="宋体" w:hAnsi="宋体" w:eastAsia="宋体" w:cs="Times New Roman"/>
              <w:color w:val="auto"/>
              <w:kern w:val="2"/>
              <w:szCs w:val="24"/>
              <w:highlight w:val="none"/>
              <w:lang w:val="en-US" w:eastAsia="zh-CN" w:bidi="ar-SA"/>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_Toc3232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_Toc7157 </w:instrText>
          </w:r>
          <w:r>
            <w:rPr>
              <w:rFonts w:hint="eastAsia" w:ascii="宋体" w:hAnsi="宋体" w:eastAsia="宋体" w:cs="Times New Roman"/>
              <w:color w:val="auto"/>
              <w:kern w:val="2"/>
              <w:szCs w:val="24"/>
              <w:highlight w:val="none"/>
              <w:lang w:val="en-US" w:eastAsia="zh-CN" w:bidi="ar-SA"/>
            </w:rPr>
            <w:fldChar w:fldCharType="separate"/>
          </w:r>
          <w:r>
            <w:rPr>
              <w:rFonts w:hint="default" w:ascii="黑体" w:hAnsi="黑体" w:eastAsia="黑体"/>
              <w:color w:val="auto"/>
              <w:szCs w:val="32"/>
              <w:highlight w:val="none"/>
            </w:rPr>
            <w:t xml:space="preserve">三、 </w:t>
          </w:r>
          <w:r>
            <w:rPr>
              <w:rFonts w:hint="eastAsia" w:ascii="黑体" w:hAnsi="黑体" w:eastAsia="黑体"/>
              <w:color w:val="auto"/>
              <w:szCs w:val="32"/>
              <w:highlight w:val="none"/>
            </w:rPr>
            <w:t>支出决算情况说明</w:t>
          </w:r>
          <w:r>
            <w:rPr>
              <w:color w:val="auto"/>
              <w:highlight w:val="none"/>
            </w:rPr>
            <w:tab/>
          </w:r>
          <w:r>
            <w:rPr>
              <w:color w:val="auto"/>
              <w:highlight w:val="none"/>
            </w:rPr>
            <w:fldChar w:fldCharType="begin"/>
          </w:r>
          <w:r>
            <w:rPr>
              <w:color w:val="auto"/>
              <w:highlight w:val="none"/>
            </w:rPr>
            <w:instrText xml:space="preserve"> PAGEREF _Toc7157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_Toc24421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_Toc24421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_Toc30390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_Toc30390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_Toc18438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_Toc18438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_Toc2367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_Toc2367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_Toc30022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_Toc30022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_Toc29837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_Toc29837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_Toc30040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_Toc30040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7"/>
            <w:shd w:val="clear"/>
            <w:tabs>
              <w:tab w:val="right" w:leader="dot" w:pos="8306"/>
            </w:tabs>
            <w:rPr>
              <w:b/>
              <w:color w:val="auto"/>
              <w:highlight w:val="none"/>
            </w:rPr>
          </w:pPr>
          <w:r>
            <w:rPr>
              <w:rFonts w:hint="eastAsia" w:ascii="宋体" w:hAnsi="宋体" w:eastAsia="宋体" w:cs="Times New Roman"/>
              <w:b/>
              <w:color w:val="auto"/>
              <w:kern w:val="2"/>
              <w:szCs w:val="24"/>
              <w:highlight w:val="none"/>
              <w:lang w:val="en-US" w:eastAsia="zh-CN" w:bidi="ar-SA"/>
            </w:rPr>
            <w:fldChar w:fldCharType="begin"/>
          </w:r>
          <w:r>
            <w:rPr>
              <w:rFonts w:hint="eastAsia" w:ascii="宋体" w:hAnsi="宋体" w:eastAsia="宋体" w:cs="Times New Roman"/>
              <w:b/>
              <w:color w:val="auto"/>
              <w:kern w:val="2"/>
              <w:szCs w:val="24"/>
              <w:highlight w:val="none"/>
              <w:lang w:val="en-US" w:eastAsia="zh-CN" w:bidi="ar-SA"/>
            </w:rPr>
            <w:instrText xml:space="preserve"> HYPERLINK \l _Toc23813 </w:instrText>
          </w:r>
          <w:r>
            <w:rPr>
              <w:rFonts w:hint="eastAsia" w:ascii="宋体" w:hAnsi="宋体" w:eastAsia="宋体" w:cs="Times New Roman"/>
              <w:b/>
              <w:color w:val="auto"/>
              <w:kern w:val="2"/>
              <w:szCs w:val="24"/>
              <w:highlight w:val="none"/>
              <w:lang w:val="en-US" w:eastAsia="zh-CN" w:bidi="ar-SA"/>
            </w:rPr>
            <w:fldChar w:fldCharType="separate"/>
          </w:r>
          <w:r>
            <w:rPr>
              <w:rFonts w:hint="eastAsia" w:ascii="黑体" w:hAnsi="黑体" w:eastAsia="黑体"/>
              <w:b/>
              <w:color w:val="auto"/>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_Toc23813 \h </w:instrText>
          </w:r>
          <w:r>
            <w:rPr>
              <w:b/>
              <w:color w:val="auto"/>
              <w:highlight w:val="none"/>
            </w:rPr>
            <w:fldChar w:fldCharType="separate"/>
          </w:r>
          <w:r>
            <w:rPr>
              <w:b/>
              <w:color w:val="auto"/>
              <w:highlight w:val="none"/>
            </w:rPr>
            <w:t>12</w:t>
          </w:r>
          <w:r>
            <w:rPr>
              <w:b/>
              <w:color w:val="auto"/>
              <w:highlight w:val="none"/>
            </w:rPr>
            <w:fldChar w:fldCharType="end"/>
          </w:r>
          <w:r>
            <w:rPr>
              <w:rFonts w:hint="eastAsia" w:ascii="宋体" w:hAnsi="宋体" w:eastAsia="宋体" w:cs="Times New Roman"/>
              <w:b/>
              <w:color w:val="auto"/>
              <w:kern w:val="2"/>
              <w:szCs w:val="24"/>
              <w:highlight w:val="none"/>
              <w:lang w:val="en-US" w:eastAsia="zh-CN" w:bidi="ar-SA"/>
            </w:rPr>
            <w:fldChar w:fldCharType="end"/>
          </w:r>
        </w:p>
        <w:p>
          <w:pPr>
            <w:pStyle w:val="37"/>
            <w:shd w:val="clear"/>
            <w:tabs>
              <w:tab w:val="right" w:leader="dot" w:pos="8306"/>
            </w:tabs>
            <w:rPr>
              <w:color w:val="auto"/>
              <w:highlight w:val="none"/>
            </w:rPr>
          </w:pPr>
          <w:r>
            <w:rPr>
              <w:rFonts w:hint="eastAsia" w:ascii="宋体" w:hAnsi="宋体" w:eastAsia="宋体" w:cs="Times New Roman"/>
              <w:b/>
              <w:color w:val="auto"/>
              <w:kern w:val="2"/>
              <w:szCs w:val="24"/>
              <w:highlight w:val="none"/>
              <w:lang w:val="en-US" w:eastAsia="zh-CN" w:bidi="ar-SA"/>
            </w:rPr>
            <w:fldChar w:fldCharType="begin"/>
          </w:r>
          <w:r>
            <w:rPr>
              <w:rFonts w:hint="eastAsia" w:ascii="宋体" w:hAnsi="宋体" w:eastAsia="宋体" w:cs="Times New Roman"/>
              <w:b/>
              <w:color w:val="auto"/>
              <w:kern w:val="2"/>
              <w:szCs w:val="24"/>
              <w:highlight w:val="none"/>
              <w:lang w:val="en-US" w:eastAsia="zh-CN" w:bidi="ar-SA"/>
            </w:rPr>
            <w:instrText xml:space="preserve"> HYPERLINK \l _Toc20583 </w:instrText>
          </w:r>
          <w:r>
            <w:rPr>
              <w:rFonts w:hint="eastAsia" w:ascii="宋体" w:hAnsi="宋体" w:eastAsia="宋体" w:cs="Times New Roman"/>
              <w:b/>
              <w:color w:val="auto"/>
              <w:kern w:val="2"/>
              <w:szCs w:val="24"/>
              <w:highlight w:val="none"/>
              <w:lang w:val="en-US" w:eastAsia="zh-CN" w:bidi="ar-SA"/>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_Toc20583 \h </w:instrText>
          </w:r>
          <w:r>
            <w:rPr>
              <w:b/>
              <w:color w:val="auto"/>
              <w:highlight w:val="none"/>
            </w:rPr>
            <w:fldChar w:fldCharType="separate"/>
          </w:r>
          <w:r>
            <w:rPr>
              <w:b/>
              <w:color w:val="auto"/>
              <w:highlight w:val="none"/>
            </w:rPr>
            <w:t>15</w:t>
          </w:r>
          <w:r>
            <w:rPr>
              <w:b/>
              <w:color w:val="auto"/>
              <w:highlight w:val="none"/>
            </w:rPr>
            <w:fldChar w:fldCharType="end"/>
          </w:r>
          <w:r>
            <w:rPr>
              <w:rFonts w:hint="eastAsia" w:ascii="宋体" w:hAnsi="宋体" w:eastAsia="宋体" w:cs="Times New Roman"/>
              <w:b/>
              <w:color w:val="auto"/>
              <w:kern w:val="2"/>
              <w:szCs w:val="24"/>
              <w:highlight w:val="none"/>
              <w:lang w:val="en-US" w:eastAsia="zh-CN" w:bidi="ar-SA"/>
            </w:rPr>
            <w:fldChar w:fldCharType="end"/>
          </w:r>
        </w:p>
        <w:p>
          <w:pPr>
            <w:pStyle w:val="37"/>
            <w:shd w:val="clear"/>
            <w:tabs>
              <w:tab w:val="right" w:leader="dot" w:pos="8306"/>
            </w:tabs>
            <w:rPr>
              <w:b/>
              <w:color w:val="auto"/>
              <w:highlight w:val="none"/>
            </w:rPr>
          </w:pPr>
          <w:r>
            <w:rPr>
              <w:rFonts w:hint="eastAsia" w:ascii="宋体" w:hAnsi="宋体" w:eastAsia="宋体" w:cs="Times New Roman"/>
              <w:b/>
              <w:color w:val="auto"/>
              <w:kern w:val="2"/>
              <w:szCs w:val="24"/>
              <w:highlight w:val="none"/>
              <w:lang w:val="en-US" w:eastAsia="zh-CN" w:bidi="ar-SA"/>
            </w:rPr>
            <w:fldChar w:fldCharType="begin"/>
          </w:r>
          <w:r>
            <w:rPr>
              <w:rFonts w:hint="eastAsia" w:ascii="宋体" w:hAnsi="宋体" w:eastAsia="宋体" w:cs="Times New Roman"/>
              <w:b/>
              <w:color w:val="auto"/>
              <w:kern w:val="2"/>
              <w:szCs w:val="24"/>
              <w:highlight w:val="none"/>
              <w:lang w:val="en-US" w:eastAsia="zh-CN" w:bidi="ar-SA"/>
            </w:rPr>
            <w:instrText xml:space="preserve"> HYPERLINK \l _Toc6290 </w:instrText>
          </w:r>
          <w:r>
            <w:rPr>
              <w:rFonts w:hint="eastAsia" w:ascii="宋体" w:hAnsi="宋体" w:eastAsia="宋体" w:cs="Times New Roman"/>
              <w:b/>
              <w:color w:val="auto"/>
              <w:kern w:val="2"/>
              <w:szCs w:val="24"/>
              <w:highlight w:val="none"/>
              <w:lang w:val="en-US" w:eastAsia="zh-CN" w:bidi="ar-SA"/>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_Toc6290 \h </w:instrText>
          </w:r>
          <w:r>
            <w:rPr>
              <w:b/>
              <w:color w:val="auto"/>
              <w:highlight w:val="none"/>
            </w:rPr>
            <w:fldChar w:fldCharType="separate"/>
          </w:r>
          <w:r>
            <w:rPr>
              <w:b/>
              <w:color w:val="auto"/>
              <w:highlight w:val="none"/>
            </w:rPr>
            <w:t>40</w:t>
          </w:r>
          <w:r>
            <w:rPr>
              <w:b/>
              <w:color w:val="auto"/>
              <w:highlight w:val="none"/>
            </w:rPr>
            <w:fldChar w:fldCharType="end"/>
          </w:r>
          <w:r>
            <w:rPr>
              <w:rFonts w:hint="eastAsia" w:ascii="宋体" w:hAnsi="宋体" w:eastAsia="宋体" w:cs="Times New Roman"/>
              <w:b/>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_Toc25418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_Toc25418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_Toc4027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_Toc4027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_Toc2189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_Toc2189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_Toc30674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_Toc30674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_Toc24644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_Toc24644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_Toc31195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_Toc31195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_Toc4933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_Toc4933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_Toc14248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_Toc14248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_Toc20231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_Toc20231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_Toc14340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_Toc14340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_Toc31153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_Toc31153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_Toc24815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8"/>
            <w:shd w:val="clear"/>
            <w:tabs>
              <w:tab w:val="right" w:leader="dot" w:pos="8306"/>
            </w:tabs>
            <w:rPr>
              <w:color w:val="auto"/>
              <w:highlight w:val="none"/>
            </w:rPr>
          </w:pPr>
          <w:r>
            <w:rPr>
              <w:rFonts w:hint="eastAsia" w:ascii="宋体" w:hAnsi="宋体" w:eastAsia="宋体" w:cs="Times New Roman"/>
              <w:color w:val="auto"/>
              <w:kern w:val="2"/>
              <w:szCs w:val="24"/>
              <w:highlight w:val="none"/>
              <w:lang w:val="en-US" w:eastAsia="zh-CN" w:bidi="ar-SA"/>
            </w:rPr>
            <w:fldChar w:fldCharType="begin"/>
          </w:r>
          <w:r>
            <w:rPr>
              <w:rFonts w:hint="eastAsia" w:ascii="宋体" w:hAnsi="宋体" w:eastAsia="宋体" w:cs="Times New Roman"/>
              <w:color w:val="auto"/>
              <w:kern w:val="2"/>
              <w:szCs w:val="24"/>
              <w:highlight w:val="none"/>
              <w:lang w:val="en-US" w:eastAsia="zh-CN" w:bidi="ar-SA"/>
            </w:rPr>
            <w:instrText xml:space="preserve"> HYPERLINK \l _Toc32718 </w:instrText>
          </w:r>
          <w:r>
            <w:rPr>
              <w:rFonts w:hint="eastAsia" w:ascii="宋体" w:hAnsi="宋体" w:eastAsia="宋体" w:cs="Times New Roman"/>
              <w:color w:val="auto"/>
              <w:kern w:val="2"/>
              <w:szCs w:val="24"/>
              <w:highlight w:val="none"/>
              <w:lang w:val="en-US" w:eastAsia="zh-CN" w:bidi="ar-SA"/>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_Toc32718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Times New Roman"/>
              <w:color w:val="auto"/>
              <w:kern w:val="2"/>
              <w:szCs w:val="24"/>
              <w:highlight w:val="none"/>
              <w:lang w:val="en-US" w:eastAsia="zh-CN" w:bidi="ar-SA"/>
            </w:rPr>
            <w:fldChar w:fldCharType="end"/>
          </w:r>
        </w:p>
        <w:p>
          <w:pPr>
            <w:pStyle w:val="37"/>
            <w:shd w:val="clear"/>
            <w:tabs>
              <w:tab w:val="right" w:leader="dot" w:pos="8306"/>
            </w:tabs>
            <w:ind w:left="0" w:leftChars="0"/>
            <w:rPr>
              <w:rFonts w:hint="eastAsia" w:ascii="黑体" w:hAnsi="黑体" w:eastAsia="黑体"/>
              <w:b w:val="0"/>
              <w:color w:val="auto"/>
              <w:highlight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Times New Roman"/>
              <w:b/>
              <w:color w:val="auto"/>
              <w:kern w:val="2"/>
              <w:szCs w:val="24"/>
              <w:highlight w:val="none"/>
              <w:lang w:val="en-US" w:eastAsia="zh-CN" w:bidi="ar-SA"/>
            </w:rPr>
            <w:fldChar w:fldCharType="end"/>
          </w:r>
        </w:p>
      </w:sdtContent>
    </w:sdt>
    <w:p>
      <w:pPr>
        <w:pStyle w:val="4"/>
        <w:shd w:val="clear"/>
        <w:jc w:val="center"/>
        <w:rPr>
          <w:rFonts w:ascii="黑体" w:eastAsia="黑体"/>
          <w:color w:val="auto"/>
          <w:sz w:val="32"/>
          <w:szCs w:val="32"/>
          <w:highlight w:val="none"/>
        </w:rPr>
      </w:pPr>
      <w:bookmarkStart w:id="24" w:name="_Toc24964"/>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21"/>
      <w:bookmarkEnd w:id="22"/>
      <w:bookmarkEnd w:id="23"/>
      <w:bookmarkEnd w:id="24"/>
    </w:p>
    <w:p>
      <w:pPr>
        <w:pStyle w:val="5"/>
        <w:numPr>
          <w:ilvl w:val="0"/>
          <w:numId w:val="1"/>
        </w:numPr>
        <w:shd w:val="clear"/>
        <w:rPr>
          <w:rFonts w:hint="eastAsia" w:ascii="黑体" w:hAnsi="黑体" w:eastAsia="黑体"/>
          <w:b w:val="0"/>
          <w:color w:val="auto"/>
          <w:highlight w:val="none"/>
          <w:lang w:eastAsia="zh-CN"/>
        </w:rPr>
      </w:pPr>
      <w:bookmarkStart w:id="25" w:name="_Toc26200"/>
      <w:bookmarkStart w:id="26" w:name="_Toc23509"/>
      <w:r>
        <w:rPr>
          <w:rFonts w:hint="eastAsia" w:ascii="黑体" w:hAnsi="黑体" w:eastAsia="黑体"/>
          <w:b w:val="0"/>
          <w:color w:val="auto"/>
          <w:highlight w:val="none"/>
          <w:lang w:eastAsia="zh-CN"/>
        </w:rPr>
        <w:t>部门职责</w:t>
      </w:r>
      <w:bookmarkEnd w:id="25"/>
      <w:bookmarkEnd w:id="26"/>
    </w:p>
    <w:p>
      <w:pPr>
        <w:pStyle w:val="7"/>
        <w:shd w:val="clear"/>
        <w:adjustRightInd w:val="0"/>
        <w:snapToGrid w:val="0"/>
        <w:spacing w:beforeLines="0" w:line="560" w:lineRule="exact"/>
        <w:ind w:firstLine="640" w:firstLineChars="200"/>
        <w:rPr>
          <w:rFonts w:hint="eastAsia" w:eastAsia="仿宋_GB2312"/>
          <w:bCs/>
          <w:color w:val="auto"/>
          <w:sz w:val="32"/>
          <w:szCs w:val="32"/>
          <w:highlight w:val="none"/>
          <w:lang w:eastAsia="zh-CN"/>
        </w:rPr>
      </w:pPr>
      <w:r>
        <w:rPr>
          <w:rFonts w:hint="eastAsia"/>
          <w:bCs/>
          <w:color w:val="auto"/>
          <w:sz w:val="32"/>
          <w:szCs w:val="32"/>
          <w:highlight w:val="none"/>
        </w:rPr>
        <w:t>川北幼儿师范高等专科学校是经四川省人民政府批准成立的公办全日制普通高等专科学校</w:t>
      </w:r>
      <w:r>
        <w:rPr>
          <w:rFonts w:hint="eastAsia"/>
          <w:bCs/>
          <w:color w:val="auto"/>
          <w:sz w:val="32"/>
          <w:szCs w:val="32"/>
          <w:highlight w:val="none"/>
          <w:lang w:eastAsia="zh-CN"/>
        </w:rPr>
        <w:t>，</w:t>
      </w:r>
      <w:r>
        <w:rPr>
          <w:rFonts w:hint="eastAsia"/>
          <w:bCs/>
          <w:color w:val="auto"/>
          <w:sz w:val="32"/>
          <w:szCs w:val="32"/>
          <w:highlight w:val="none"/>
        </w:rPr>
        <w:t>负责</w:t>
      </w:r>
      <w:r>
        <w:rPr>
          <w:bCs/>
          <w:color w:val="auto"/>
          <w:sz w:val="32"/>
          <w:szCs w:val="32"/>
          <w:highlight w:val="none"/>
        </w:rPr>
        <w:t>培养</w:t>
      </w:r>
      <w:r>
        <w:rPr>
          <w:rFonts w:hint="eastAsia"/>
          <w:bCs/>
          <w:color w:val="auto"/>
          <w:sz w:val="32"/>
          <w:szCs w:val="32"/>
          <w:highlight w:val="none"/>
        </w:rPr>
        <w:t>具有普通高等</w:t>
      </w:r>
      <w:r>
        <w:rPr>
          <w:bCs/>
          <w:color w:val="auto"/>
          <w:sz w:val="32"/>
          <w:szCs w:val="32"/>
          <w:highlight w:val="none"/>
        </w:rPr>
        <w:t>专科</w:t>
      </w:r>
      <w:r>
        <w:rPr>
          <w:rFonts w:hint="eastAsia"/>
          <w:bCs/>
          <w:color w:val="auto"/>
          <w:sz w:val="32"/>
          <w:szCs w:val="32"/>
          <w:highlight w:val="none"/>
        </w:rPr>
        <w:t>学历</w:t>
      </w:r>
      <w:r>
        <w:rPr>
          <w:bCs/>
          <w:color w:val="auto"/>
          <w:sz w:val="32"/>
          <w:szCs w:val="32"/>
          <w:highlight w:val="none"/>
        </w:rPr>
        <w:t>的</w:t>
      </w:r>
      <w:r>
        <w:rPr>
          <w:rFonts w:hint="eastAsia"/>
          <w:bCs/>
          <w:color w:val="auto"/>
          <w:sz w:val="32"/>
          <w:szCs w:val="32"/>
          <w:highlight w:val="none"/>
        </w:rPr>
        <w:t>师资</w:t>
      </w:r>
      <w:r>
        <w:rPr>
          <w:bCs/>
          <w:color w:val="auto"/>
          <w:sz w:val="32"/>
          <w:szCs w:val="32"/>
          <w:highlight w:val="none"/>
        </w:rPr>
        <w:t>人才</w:t>
      </w:r>
      <w:r>
        <w:rPr>
          <w:rFonts w:hint="eastAsia"/>
          <w:bCs/>
          <w:color w:val="auto"/>
          <w:sz w:val="32"/>
          <w:szCs w:val="32"/>
          <w:highlight w:val="none"/>
        </w:rPr>
        <w:t>、</w:t>
      </w:r>
      <w:r>
        <w:rPr>
          <w:bCs/>
          <w:color w:val="auto"/>
          <w:sz w:val="32"/>
          <w:szCs w:val="32"/>
          <w:highlight w:val="none"/>
        </w:rPr>
        <w:t>医药卫生人才</w:t>
      </w:r>
      <w:r>
        <w:rPr>
          <w:rFonts w:hint="eastAsia"/>
          <w:bCs/>
          <w:color w:val="auto"/>
          <w:sz w:val="32"/>
          <w:szCs w:val="32"/>
          <w:highlight w:val="none"/>
        </w:rPr>
        <w:t>及</w:t>
      </w:r>
      <w:r>
        <w:rPr>
          <w:bCs/>
          <w:color w:val="auto"/>
          <w:sz w:val="32"/>
          <w:szCs w:val="32"/>
          <w:highlight w:val="none"/>
        </w:rPr>
        <w:t>其他</w:t>
      </w:r>
      <w:r>
        <w:rPr>
          <w:rFonts w:hint="eastAsia"/>
          <w:bCs/>
          <w:color w:val="auto"/>
          <w:sz w:val="32"/>
          <w:szCs w:val="32"/>
          <w:highlight w:val="none"/>
        </w:rPr>
        <w:t>职业</w:t>
      </w:r>
      <w:r>
        <w:rPr>
          <w:bCs/>
          <w:color w:val="auto"/>
          <w:sz w:val="32"/>
          <w:szCs w:val="32"/>
          <w:highlight w:val="none"/>
        </w:rPr>
        <w:t>技术人才</w:t>
      </w:r>
      <w:r>
        <w:rPr>
          <w:rFonts w:hint="eastAsia"/>
          <w:bCs/>
          <w:color w:val="auto"/>
          <w:sz w:val="32"/>
          <w:szCs w:val="32"/>
          <w:highlight w:val="none"/>
        </w:rPr>
        <w:t>，</w:t>
      </w:r>
      <w:r>
        <w:rPr>
          <w:bCs/>
          <w:color w:val="auto"/>
          <w:sz w:val="32"/>
          <w:szCs w:val="32"/>
          <w:highlight w:val="none"/>
        </w:rPr>
        <w:t>负责</w:t>
      </w:r>
      <w:r>
        <w:rPr>
          <w:rFonts w:hint="eastAsia"/>
          <w:bCs/>
          <w:color w:val="auto"/>
          <w:sz w:val="32"/>
          <w:szCs w:val="32"/>
          <w:highlight w:val="none"/>
        </w:rPr>
        <w:t>幼儿园</w:t>
      </w:r>
      <w:r>
        <w:rPr>
          <w:bCs/>
          <w:color w:val="auto"/>
          <w:sz w:val="32"/>
          <w:szCs w:val="32"/>
          <w:highlight w:val="none"/>
        </w:rPr>
        <w:t>教师、</w:t>
      </w:r>
      <w:r>
        <w:rPr>
          <w:rFonts w:hint="eastAsia"/>
          <w:bCs/>
          <w:color w:val="auto"/>
          <w:sz w:val="32"/>
          <w:szCs w:val="32"/>
          <w:highlight w:val="none"/>
        </w:rPr>
        <w:t>中小学</w:t>
      </w:r>
      <w:r>
        <w:rPr>
          <w:bCs/>
          <w:color w:val="auto"/>
          <w:sz w:val="32"/>
          <w:szCs w:val="32"/>
          <w:highlight w:val="none"/>
        </w:rPr>
        <w:t>教师</w:t>
      </w:r>
      <w:r>
        <w:rPr>
          <w:rFonts w:hint="eastAsia"/>
          <w:bCs/>
          <w:color w:val="auto"/>
          <w:sz w:val="32"/>
          <w:szCs w:val="32"/>
          <w:highlight w:val="none"/>
        </w:rPr>
        <w:t>、</w:t>
      </w:r>
      <w:r>
        <w:rPr>
          <w:bCs/>
          <w:color w:val="auto"/>
          <w:sz w:val="32"/>
          <w:szCs w:val="32"/>
          <w:highlight w:val="none"/>
        </w:rPr>
        <w:t>基层</w:t>
      </w:r>
      <w:r>
        <w:rPr>
          <w:rFonts w:hint="eastAsia"/>
          <w:bCs/>
          <w:color w:val="auto"/>
          <w:sz w:val="32"/>
          <w:szCs w:val="32"/>
          <w:highlight w:val="none"/>
        </w:rPr>
        <w:t>医护人员的</w:t>
      </w:r>
      <w:r>
        <w:rPr>
          <w:bCs/>
          <w:color w:val="auto"/>
          <w:sz w:val="32"/>
          <w:szCs w:val="32"/>
          <w:highlight w:val="none"/>
        </w:rPr>
        <w:t>培训工作</w:t>
      </w:r>
      <w:r>
        <w:rPr>
          <w:rFonts w:hint="eastAsia"/>
          <w:bCs/>
          <w:color w:val="auto"/>
          <w:sz w:val="32"/>
          <w:szCs w:val="32"/>
          <w:highlight w:val="none"/>
        </w:rPr>
        <w:t>，负责</w:t>
      </w:r>
      <w:r>
        <w:rPr>
          <w:bCs/>
          <w:color w:val="auto"/>
          <w:sz w:val="32"/>
          <w:szCs w:val="32"/>
          <w:highlight w:val="none"/>
        </w:rPr>
        <w:t>开展</w:t>
      </w:r>
      <w:r>
        <w:rPr>
          <w:rFonts w:hint="eastAsia"/>
          <w:bCs/>
          <w:color w:val="auto"/>
          <w:sz w:val="32"/>
          <w:szCs w:val="32"/>
          <w:highlight w:val="none"/>
          <w:lang w:eastAsia="zh-CN"/>
        </w:rPr>
        <w:t>人才培养、</w:t>
      </w:r>
      <w:r>
        <w:rPr>
          <w:rFonts w:hint="eastAsia"/>
          <w:bCs/>
          <w:color w:val="auto"/>
          <w:sz w:val="32"/>
          <w:szCs w:val="32"/>
          <w:highlight w:val="none"/>
        </w:rPr>
        <w:t>科学</w:t>
      </w:r>
      <w:r>
        <w:rPr>
          <w:bCs/>
          <w:color w:val="auto"/>
          <w:sz w:val="32"/>
          <w:szCs w:val="32"/>
          <w:highlight w:val="none"/>
        </w:rPr>
        <w:t>研究</w:t>
      </w:r>
      <w:r>
        <w:rPr>
          <w:rFonts w:hint="eastAsia"/>
          <w:bCs/>
          <w:color w:val="auto"/>
          <w:sz w:val="32"/>
          <w:szCs w:val="32"/>
          <w:highlight w:val="none"/>
        </w:rPr>
        <w:t>、</w:t>
      </w:r>
      <w:r>
        <w:rPr>
          <w:rFonts w:hint="eastAsia"/>
          <w:bCs/>
          <w:color w:val="auto"/>
          <w:sz w:val="32"/>
          <w:szCs w:val="32"/>
          <w:highlight w:val="none"/>
          <w:lang w:eastAsia="zh-CN"/>
        </w:rPr>
        <w:t>社会服务、文化传承与创新、国际交流与合作等工作。</w:t>
      </w:r>
    </w:p>
    <w:p>
      <w:pPr>
        <w:numPr>
          <w:ilvl w:val="0"/>
          <w:numId w:val="0"/>
        </w:numPr>
        <w:shd w:val="clear"/>
        <w:rPr>
          <w:rFonts w:hint="eastAsia"/>
          <w:color w:val="auto"/>
          <w:highlight w:val="none"/>
          <w:lang w:eastAsia="zh-CN"/>
        </w:rPr>
      </w:pPr>
    </w:p>
    <w:p>
      <w:pPr>
        <w:pStyle w:val="5"/>
        <w:shd w:val="clear"/>
        <w:rPr>
          <w:rStyle w:val="20"/>
          <w:b w:val="0"/>
          <w:bCs w:val="0"/>
          <w:color w:val="auto"/>
          <w:highlight w:val="none"/>
        </w:rPr>
      </w:pPr>
      <w:bookmarkStart w:id="27" w:name="_Toc15377200"/>
      <w:bookmarkStart w:id="28" w:name="_Toc26634"/>
      <w:bookmarkStart w:id="29" w:name="_Toc15396601"/>
      <w:bookmarkStart w:id="30" w:name="_Toc13312"/>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27"/>
      <w:bookmarkEnd w:id="28"/>
      <w:bookmarkEnd w:id="29"/>
      <w:bookmarkEnd w:id="30"/>
    </w:p>
    <w:p>
      <w:pPr>
        <w:shd w:val="clear"/>
        <w:ind w:firstLine="640" w:firstLineChars="200"/>
        <w:rPr>
          <w:rFonts w:hint="eastAsia" w:ascii="仿宋" w:hAnsi="仿宋" w:eastAsia="仿宋"/>
          <w:color w:val="auto"/>
          <w:sz w:val="32"/>
          <w:szCs w:val="32"/>
          <w:highlight w:val="none"/>
          <w:lang w:eastAsia="zh-CN"/>
        </w:rPr>
      </w:pPr>
      <w:bookmarkStart w:id="31" w:name="_Toc15306275"/>
      <w:bookmarkStart w:id="32" w:name="_Toc15377432"/>
      <w:bookmarkStart w:id="33" w:name="_Toc15377201"/>
      <w:bookmarkStart w:id="34" w:name="_Toc15378448"/>
      <w:r>
        <w:rPr>
          <w:rFonts w:hint="eastAsia" w:ascii="仿宋" w:hAnsi="仿宋" w:eastAsia="仿宋"/>
          <w:color w:val="auto"/>
          <w:sz w:val="32"/>
          <w:szCs w:val="32"/>
          <w:highlight w:val="none"/>
        </w:rPr>
        <w:t>川北幼儿师范高等专科学校</w:t>
      </w:r>
      <w:r>
        <w:rPr>
          <w:rFonts w:hint="eastAsia" w:ascii="仿宋" w:hAnsi="仿宋" w:eastAsia="仿宋"/>
          <w:color w:val="auto"/>
          <w:sz w:val="32"/>
          <w:szCs w:val="32"/>
          <w:highlight w:val="none"/>
          <w:lang w:eastAsia="zh-CN"/>
        </w:rPr>
        <w:t>为市级一级预算单位，</w:t>
      </w:r>
      <w:r>
        <w:rPr>
          <w:rFonts w:hint="eastAsia" w:ascii="仿宋" w:hAnsi="仿宋" w:eastAsia="仿宋"/>
          <w:color w:val="auto"/>
          <w:sz w:val="32"/>
          <w:szCs w:val="32"/>
          <w:highlight w:val="none"/>
        </w:rPr>
        <w:t>无下属二级单位</w:t>
      </w:r>
      <w:bookmarkEnd w:id="31"/>
      <w:bookmarkEnd w:id="32"/>
      <w:bookmarkEnd w:id="33"/>
      <w:bookmarkEnd w:id="34"/>
      <w:r>
        <w:rPr>
          <w:rFonts w:hint="eastAsia" w:ascii="仿宋" w:hAnsi="仿宋" w:eastAsia="仿宋"/>
          <w:color w:val="auto"/>
          <w:sz w:val="32"/>
          <w:szCs w:val="32"/>
          <w:highlight w:val="none"/>
          <w:lang w:eastAsia="zh-CN"/>
        </w:rPr>
        <w:t>。</w:t>
      </w:r>
    </w:p>
    <w:p>
      <w:pPr>
        <w:shd w:val="clear"/>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shd w:val="clear"/>
        <w:ind w:right="440"/>
        <w:jc w:val="center"/>
        <w:rPr>
          <w:rStyle w:val="19"/>
          <w:rFonts w:ascii="黑体" w:hAnsi="黑体" w:eastAsia="黑体"/>
          <w:b w:val="0"/>
          <w:bCs/>
          <w:color w:val="auto"/>
          <w:highlight w:val="none"/>
        </w:rPr>
      </w:pPr>
      <w:bookmarkStart w:id="35" w:name="_Toc15396602"/>
      <w:bookmarkStart w:id="36" w:name="_Toc6617"/>
      <w:bookmarkStart w:id="37" w:name="_Toc15377204"/>
      <w:bookmarkStart w:id="38" w:name="_Toc112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35"/>
      <w:bookmarkEnd w:id="36"/>
      <w:bookmarkEnd w:id="37"/>
      <w:bookmarkEnd w:id="38"/>
    </w:p>
    <w:p>
      <w:pPr>
        <w:shd w:val="clear"/>
        <w:rPr>
          <w:color w:val="auto"/>
          <w:highlight w:val="none"/>
        </w:rPr>
      </w:pPr>
    </w:p>
    <w:p>
      <w:pPr>
        <w:pStyle w:val="30"/>
        <w:numPr>
          <w:ilvl w:val="0"/>
          <w:numId w:val="2"/>
        </w:numPr>
        <w:shd w:val="clear"/>
        <w:spacing w:line="600" w:lineRule="exact"/>
        <w:ind w:firstLineChars="0"/>
        <w:outlineLvl w:val="1"/>
        <w:rPr>
          <w:rStyle w:val="20"/>
          <w:rFonts w:ascii="黑体" w:hAnsi="黑体" w:eastAsia="黑体"/>
          <w:b w:val="0"/>
          <w:color w:val="auto"/>
          <w:highlight w:val="none"/>
        </w:rPr>
      </w:pPr>
      <w:bookmarkStart w:id="39" w:name="_Toc15377205"/>
      <w:bookmarkStart w:id="40" w:name="_Toc15396603"/>
      <w:bookmarkStart w:id="41" w:name="_Toc4660"/>
      <w:bookmarkStart w:id="42" w:name="_Toc14942"/>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9"/>
      <w:bookmarkEnd w:id="40"/>
      <w:bookmarkEnd w:id="41"/>
      <w:bookmarkEnd w:id="42"/>
    </w:p>
    <w:p>
      <w:pPr>
        <w:shd w:val="clea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_GB2312" w:hAnsi="仿宋_GB2312" w:eastAsia="仿宋_GB2312"/>
          <w:color w:val="auto"/>
          <w:sz w:val="32"/>
          <w:szCs w:val="24"/>
          <w:highlight w:val="none"/>
          <w:lang w:val="zh-CN"/>
        </w:rPr>
        <w:t>20,119.26万元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_GB2312" w:hAnsi="仿宋_GB2312" w:eastAsia="仿宋_GB2312"/>
          <w:color w:val="auto"/>
          <w:sz w:val="32"/>
          <w:szCs w:val="24"/>
          <w:highlight w:val="none"/>
          <w:lang w:val="zh-CN"/>
        </w:rPr>
        <w:t>1,404.74万元</w:t>
      </w:r>
      <w:r>
        <w:rPr>
          <w:rFonts w:hint="eastAsia" w:ascii="仿宋" w:hAnsi="仿宋" w:eastAsia="仿宋"/>
          <w:color w:val="auto"/>
          <w:sz w:val="32"/>
          <w:szCs w:val="32"/>
          <w:highlight w:val="none"/>
        </w:rPr>
        <w:t>，下降</w:t>
      </w:r>
      <w:r>
        <w:rPr>
          <w:rFonts w:hint="eastAsia" w:ascii="仿宋_GB2312" w:hAnsi="仿宋_GB2312" w:eastAsia="仿宋_GB2312"/>
          <w:color w:val="auto"/>
          <w:sz w:val="32"/>
          <w:szCs w:val="24"/>
          <w:highlight w:val="none"/>
          <w:lang w:val="zh-CN"/>
        </w:rPr>
        <w:t>6.5%</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2022年初结转和结余减少。</w:t>
      </w:r>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w:t>
      </w:r>
    </w:p>
    <w:p>
      <w:pPr>
        <w:shd w:val="clear"/>
        <w:spacing w:line="600" w:lineRule="exact"/>
        <w:ind w:firstLine="420" w:firstLineChars="200"/>
        <w:jc w:val="left"/>
        <w:rPr>
          <w:rFonts w:ascii="仿宋_GB2312" w:eastAsia="仿宋_GB2312"/>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461010</wp:posOffset>
            </wp:positionH>
            <wp:positionV relativeFrom="paragraph">
              <wp:posOffset>248285</wp:posOffset>
            </wp:positionV>
            <wp:extent cx="4307205" cy="2083435"/>
            <wp:effectExtent l="4445" t="5080" r="12700" b="698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hd w:val="clear"/>
        <w:spacing w:line="600" w:lineRule="exact"/>
        <w:ind w:firstLine="640" w:firstLineChars="200"/>
        <w:jc w:val="left"/>
        <w:rPr>
          <w:rFonts w:ascii="仿宋_GB2312" w:eastAsia="仿宋_GB2312"/>
          <w:color w:val="auto"/>
          <w:sz w:val="32"/>
          <w:szCs w:val="32"/>
          <w:highlight w:val="none"/>
        </w:rPr>
      </w:pPr>
    </w:p>
    <w:p>
      <w:pPr>
        <w:shd w:val="clear"/>
        <w:spacing w:line="600" w:lineRule="exact"/>
        <w:ind w:firstLine="640" w:firstLineChars="200"/>
        <w:jc w:val="left"/>
        <w:rPr>
          <w:rFonts w:ascii="仿宋_GB2312" w:eastAsia="仿宋_GB2312"/>
          <w:color w:val="auto"/>
          <w:sz w:val="32"/>
          <w:szCs w:val="32"/>
          <w:highlight w:val="none"/>
        </w:rPr>
      </w:pPr>
    </w:p>
    <w:p>
      <w:pPr>
        <w:shd w:val="clear"/>
        <w:spacing w:line="600" w:lineRule="exact"/>
        <w:ind w:firstLine="640" w:firstLineChars="200"/>
        <w:jc w:val="left"/>
        <w:rPr>
          <w:rFonts w:ascii="仿宋_GB2312" w:eastAsia="仿宋_GB2312"/>
          <w:color w:val="auto"/>
          <w:sz w:val="32"/>
          <w:szCs w:val="32"/>
          <w:highlight w:val="none"/>
        </w:rPr>
      </w:pPr>
    </w:p>
    <w:p>
      <w:pPr>
        <w:shd w:val="clear"/>
        <w:spacing w:line="600" w:lineRule="exact"/>
        <w:ind w:firstLine="640" w:firstLineChars="200"/>
        <w:jc w:val="left"/>
        <w:rPr>
          <w:rFonts w:ascii="仿宋_GB2312" w:eastAsia="仿宋_GB2312"/>
          <w:color w:val="auto"/>
          <w:sz w:val="32"/>
          <w:szCs w:val="32"/>
          <w:highlight w:val="none"/>
        </w:rPr>
      </w:pPr>
    </w:p>
    <w:p>
      <w:pPr>
        <w:shd w:val="clear"/>
        <w:spacing w:line="600" w:lineRule="exact"/>
        <w:jc w:val="left"/>
        <w:rPr>
          <w:rFonts w:ascii="仿宋_GB2312" w:eastAsia="仿宋_GB2312"/>
          <w:color w:val="auto"/>
          <w:sz w:val="32"/>
          <w:szCs w:val="32"/>
          <w:highlight w:val="none"/>
        </w:rPr>
      </w:pPr>
    </w:p>
    <w:p>
      <w:pPr>
        <w:shd w:val="clear"/>
        <w:spacing w:line="600" w:lineRule="exact"/>
        <w:jc w:val="left"/>
        <w:rPr>
          <w:rFonts w:ascii="仿宋_GB2312" w:eastAsia="仿宋_GB2312"/>
          <w:color w:val="auto"/>
          <w:sz w:val="32"/>
          <w:szCs w:val="32"/>
          <w:highlight w:val="none"/>
        </w:rPr>
      </w:pPr>
    </w:p>
    <w:p>
      <w:pPr>
        <w:pStyle w:val="30"/>
        <w:numPr>
          <w:ilvl w:val="0"/>
          <w:numId w:val="2"/>
        </w:numPr>
        <w:shd w:val="clear"/>
        <w:spacing w:line="600" w:lineRule="exact"/>
        <w:ind w:firstLineChars="0"/>
        <w:outlineLvl w:val="1"/>
        <w:rPr>
          <w:rStyle w:val="20"/>
          <w:rFonts w:ascii="黑体" w:hAnsi="黑体" w:eastAsia="黑体"/>
          <w:b w:val="0"/>
          <w:color w:val="auto"/>
          <w:highlight w:val="none"/>
        </w:rPr>
      </w:pPr>
      <w:bookmarkStart w:id="43" w:name="_Toc26875"/>
      <w:bookmarkStart w:id="44" w:name="_Toc3232"/>
      <w:bookmarkStart w:id="45" w:name="_Toc15377206"/>
      <w:bookmarkStart w:id="46" w:name="_Toc15396604"/>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43"/>
      <w:bookmarkEnd w:id="44"/>
      <w:bookmarkEnd w:id="45"/>
      <w:bookmarkEnd w:id="46"/>
    </w:p>
    <w:p>
      <w:pPr>
        <w:shd w:val="clear"/>
        <w:spacing w:line="600" w:lineRule="exact"/>
        <w:ind w:firstLine="640" w:firstLineChars="200"/>
        <w:outlineLvl w:val="1"/>
        <w:rPr>
          <w:rFonts w:ascii="仿宋" w:hAnsi="仿宋" w:eastAsia="仿宋"/>
          <w:color w:val="auto"/>
          <w:sz w:val="32"/>
          <w:szCs w:val="32"/>
          <w:highlight w:val="none"/>
        </w:rPr>
      </w:pPr>
      <w:bookmarkStart w:id="47" w:name="_Toc3925"/>
      <w:bookmarkStart w:id="48" w:name="_Toc2217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_GB2312" w:hAnsi="仿宋_GB2312" w:eastAsia="仿宋_GB2312"/>
          <w:color w:val="auto"/>
          <w:sz w:val="32"/>
          <w:szCs w:val="24"/>
          <w:highlight w:val="none"/>
          <w:lang w:val="zh-CN"/>
        </w:rPr>
        <w:t>18,236.1</w:t>
      </w:r>
      <w:r>
        <w:rPr>
          <w:rFonts w:hint="eastAsia" w:ascii="仿宋" w:hAnsi="仿宋" w:eastAsia="仿宋"/>
          <w:color w:val="auto"/>
          <w:sz w:val="32"/>
          <w:szCs w:val="32"/>
          <w:highlight w:val="none"/>
        </w:rPr>
        <w:t>万元，其中：一般公共预算财政拨款收入</w:t>
      </w:r>
      <w:r>
        <w:rPr>
          <w:rFonts w:hint="eastAsia" w:ascii="仿宋_GB2312" w:hAnsi="仿宋_GB2312" w:eastAsia="仿宋_GB2312"/>
          <w:color w:val="auto"/>
          <w:sz w:val="32"/>
          <w:szCs w:val="24"/>
          <w:highlight w:val="none"/>
          <w:lang w:val="zh-CN"/>
        </w:rPr>
        <w:t>12,561.11</w:t>
      </w:r>
      <w:r>
        <w:rPr>
          <w:rFonts w:hint="eastAsia" w:ascii="仿宋" w:hAnsi="仿宋" w:eastAsia="仿宋"/>
          <w:color w:val="auto"/>
          <w:sz w:val="32"/>
          <w:szCs w:val="32"/>
          <w:highlight w:val="none"/>
        </w:rPr>
        <w:t>万元，占</w:t>
      </w:r>
      <w:r>
        <w:rPr>
          <w:rFonts w:hint="eastAsia" w:ascii="仿宋_GB2312" w:hAnsi="仿宋_GB2312" w:eastAsia="仿宋_GB2312"/>
          <w:color w:val="auto"/>
          <w:sz w:val="32"/>
          <w:szCs w:val="24"/>
          <w:highlight w:val="none"/>
          <w:lang w:val="zh-CN"/>
        </w:rPr>
        <w:t>68.9%；</w:t>
      </w:r>
      <w:r>
        <w:rPr>
          <w:rFonts w:hint="eastAsia" w:ascii="仿宋" w:hAnsi="仿宋" w:eastAsia="仿宋"/>
          <w:color w:val="auto"/>
          <w:sz w:val="32"/>
          <w:szCs w:val="32"/>
          <w:highlight w:val="none"/>
        </w:rPr>
        <w:t>政府性基金预算财政拨款收入</w:t>
      </w:r>
      <w:r>
        <w:rPr>
          <w:rFonts w:hint="eastAsia" w:ascii="仿宋_GB2312" w:hAnsi="仿宋_GB2312" w:eastAsia="仿宋_GB2312"/>
          <w:color w:val="auto"/>
          <w:sz w:val="32"/>
          <w:szCs w:val="24"/>
          <w:highlight w:val="none"/>
          <w:lang w:val="zh-CN"/>
        </w:rPr>
        <w:t>743.35</w:t>
      </w:r>
      <w:r>
        <w:rPr>
          <w:rFonts w:hint="eastAsia" w:ascii="仿宋" w:hAnsi="仿宋" w:eastAsia="仿宋"/>
          <w:color w:val="auto"/>
          <w:sz w:val="32"/>
          <w:szCs w:val="32"/>
          <w:highlight w:val="none"/>
        </w:rPr>
        <w:t>万元，占</w:t>
      </w:r>
      <w:r>
        <w:rPr>
          <w:rFonts w:hint="eastAsia" w:ascii="仿宋_GB2312" w:hAnsi="仿宋_GB2312" w:eastAsia="仿宋_GB2312"/>
          <w:color w:val="auto"/>
          <w:sz w:val="32"/>
          <w:szCs w:val="24"/>
          <w:highlight w:val="none"/>
          <w:lang w:val="zh-CN"/>
        </w:rPr>
        <w:t>4.1%</w:t>
      </w:r>
      <w:r>
        <w:rPr>
          <w:rFonts w:hint="eastAsia" w:ascii="仿宋" w:hAnsi="仿宋" w:eastAsia="仿宋"/>
          <w:color w:val="auto"/>
          <w:sz w:val="32"/>
          <w:szCs w:val="32"/>
          <w:highlight w:val="none"/>
        </w:rPr>
        <w:t>；事业收入</w:t>
      </w:r>
      <w:r>
        <w:rPr>
          <w:rFonts w:hint="eastAsia" w:ascii="仿宋_GB2312" w:hAnsi="仿宋_GB2312" w:eastAsia="仿宋_GB2312"/>
          <w:color w:val="auto"/>
          <w:sz w:val="32"/>
          <w:szCs w:val="24"/>
          <w:highlight w:val="none"/>
          <w:lang w:val="zh-CN"/>
        </w:rPr>
        <w:t>4,926.66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_GB2312" w:hAnsi="仿宋_GB2312" w:eastAsia="仿宋_GB2312"/>
          <w:color w:val="auto"/>
          <w:sz w:val="32"/>
          <w:szCs w:val="24"/>
          <w:highlight w:val="none"/>
          <w:lang w:val="zh-CN"/>
        </w:rPr>
        <w:t>4.9</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olor w:val="auto"/>
          <w:sz w:val="32"/>
          <w:szCs w:val="24"/>
          <w:highlight w:val="none"/>
          <w:lang w:val="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7"/>
      <w:bookmarkEnd w:id="48"/>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t>）</w:t>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420" w:firstLineChars="200"/>
        <w:rPr>
          <w:rFonts w:hint="eastAsia" w:ascii="仿宋" w:hAnsi="仿宋" w:eastAsia="仿宋"/>
          <w:color w:val="auto"/>
          <w:sz w:val="32"/>
          <w:szCs w:val="32"/>
          <w:highlight w:val="none"/>
        </w:rPr>
      </w:pPr>
      <w:r>
        <w:rPr>
          <w:color w:val="auto"/>
          <w:highlight w:val="none"/>
        </w:rPr>
        <w:drawing>
          <wp:anchor distT="0" distB="0" distL="114300" distR="114300" simplePos="0" relativeHeight="251660288" behindDoc="1" locked="0" layoutInCell="1" allowOverlap="1">
            <wp:simplePos x="0" y="0"/>
            <wp:positionH relativeFrom="column">
              <wp:posOffset>374015</wp:posOffset>
            </wp:positionH>
            <wp:positionV relativeFrom="paragraph">
              <wp:posOffset>90170</wp:posOffset>
            </wp:positionV>
            <wp:extent cx="4454525" cy="2216150"/>
            <wp:effectExtent l="4445" t="4445" r="55880" b="65405"/>
            <wp:wrapTight wrapText="bothSides">
              <wp:wrapPolygon>
                <wp:start x="-22" y="-43"/>
                <wp:lineTo x="-22" y="21495"/>
                <wp:lineTo x="21501" y="21495"/>
                <wp:lineTo x="21501" y="-43"/>
                <wp:lineTo x="-22" y="-43"/>
              </wp:wrapPolygon>
            </wp:wrapTight>
            <wp:docPr id="10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rPr>
          <w:rFonts w:hint="eastAsia" w:ascii="仿宋" w:hAnsi="仿宋" w:eastAsia="仿宋"/>
          <w:color w:val="auto"/>
          <w:sz w:val="32"/>
          <w:szCs w:val="32"/>
          <w:highlight w:val="none"/>
        </w:rPr>
      </w:pPr>
    </w:p>
    <w:p>
      <w:pPr>
        <w:shd w:val="clear"/>
        <w:spacing w:line="600" w:lineRule="exact"/>
        <w:ind w:firstLine="640" w:firstLineChars="200"/>
        <w:outlineLvl w:val="9"/>
        <w:rPr>
          <w:rFonts w:ascii="仿宋" w:hAnsi="仿宋" w:eastAsia="仿宋"/>
          <w:color w:val="auto"/>
          <w:sz w:val="32"/>
          <w:szCs w:val="32"/>
          <w:highlight w:val="none"/>
        </w:rPr>
      </w:pPr>
    </w:p>
    <w:p>
      <w:pPr>
        <w:shd w:val="clear"/>
        <w:spacing w:line="600" w:lineRule="exact"/>
        <w:ind w:firstLine="640" w:firstLineChars="200"/>
        <w:outlineLvl w:val="9"/>
        <w:rPr>
          <w:rFonts w:ascii="仿宋" w:hAnsi="仿宋" w:eastAsia="仿宋"/>
          <w:color w:val="auto"/>
          <w:sz w:val="32"/>
          <w:szCs w:val="32"/>
          <w:highlight w:val="none"/>
        </w:rPr>
      </w:pPr>
    </w:p>
    <w:p>
      <w:pPr>
        <w:shd w:val="clear"/>
        <w:spacing w:line="600" w:lineRule="exact"/>
        <w:ind w:firstLine="640" w:firstLineChars="200"/>
        <w:outlineLvl w:val="9"/>
        <w:rPr>
          <w:rFonts w:ascii="仿宋" w:hAnsi="仿宋" w:eastAsia="仿宋"/>
          <w:color w:val="auto"/>
          <w:sz w:val="32"/>
          <w:szCs w:val="32"/>
          <w:highlight w:val="none"/>
        </w:rPr>
      </w:pPr>
    </w:p>
    <w:p>
      <w:pPr>
        <w:shd w:val="clear"/>
        <w:spacing w:line="600" w:lineRule="exact"/>
        <w:outlineLvl w:val="9"/>
        <w:rPr>
          <w:rFonts w:ascii="仿宋" w:hAnsi="仿宋" w:eastAsia="仿宋"/>
          <w:color w:val="auto"/>
          <w:sz w:val="32"/>
          <w:szCs w:val="32"/>
          <w:highlight w:val="none"/>
        </w:rPr>
      </w:pPr>
    </w:p>
    <w:p>
      <w:pPr>
        <w:pStyle w:val="30"/>
        <w:numPr>
          <w:ilvl w:val="0"/>
          <w:numId w:val="2"/>
        </w:numPr>
        <w:shd w:val="clear"/>
        <w:spacing w:line="600" w:lineRule="exact"/>
        <w:ind w:firstLineChars="0"/>
        <w:outlineLvl w:val="1"/>
        <w:rPr>
          <w:rFonts w:hint="eastAsia" w:ascii="黑体" w:hAnsi="黑体" w:eastAsia="黑体"/>
          <w:color w:val="auto"/>
          <w:sz w:val="32"/>
          <w:szCs w:val="32"/>
          <w:highlight w:val="none"/>
        </w:rPr>
      </w:pPr>
      <w:bookmarkStart w:id="49" w:name="_Toc7157"/>
      <w:bookmarkStart w:id="50" w:name="_Toc15396605"/>
      <w:bookmarkStart w:id="51" w:name="_Toc15377207"/>
      <w:bookmarkStart w:id="52" w:name="_Toc8330"/>
      <w:r>
        <w:rPr>
          <w:rFonts w:hint="eastAsia" w:ascii="黑体" w:hAnsi="黑体" w:eastAsia="黑体"/>
          <w:color w:val="auto"/>
          <w:sz w:val="32"/>
          <w:szCs w:val="32"/>
          <w:highlight w:val="none"/>
        </w:rPr>
        <w:t>支出决算情况说明</w:t>
      </w:r>
      <w:bookmarkEnd w:id="49"/>
      <w:bookmarkEnd w:id="50"/>
      <w:bookmarkEnd w:id="51"/>
      <w:bookmarkEnd w:id="52"/>
    </w:p>
    <w:p>
      <w:pPr>
        <w:shd w:val="clear"/>
        <w:spacing w:line="600" w:lineRule="exact"/>
        <w:ind w:firstLine="640" w:firstLineChars="200"/>
        <w:outlineLvl w:val="1"/>
        <w:rPr>
          <w:rFonts w:ascii="仿宋" w:hAnsi="仿宋" w:eastAsia="仿宋"/>
          <w:color w:val="auto"/>
          <w:sz w:val="32"/>
          <w:szCs w:val="32"/>
          <w:highlight w:val="none"/>
          <w:shd w:val="pct10" w:color="auto" w:fill="FFFFFF"/>
        </w:rPr>
      </w:pPr>
      <w:bookmarkStart w:id="53" w:name="_Toc19648"/>
      <w:bookmarkStart w:id="54" w:name="_Toc1428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_GB2312" w:hAnsi="仿宋_GB2312" w:eastAsia="仿宋_GB2312"/>
          <w:color w:val="auto"/>
          <w:sz w:val="32"/>
          <w:szCs w:val="24"/>
          <w:highlight w:val="none"/>
          <w:lang w:val="zh-CN"/>
        </w:rPr>
        <w:t>19,342.59</w:t>
      </w:r>
      <w:r>
        <w:rPr>
          <w:rFonts w:hint="eastAsia" w:ascii="仿宋" w:hAnsi="仿宋" w:eastAsia="仿宋"/>
          <w:color w:val="auto"/>
          <w:sz w:val="32"/>
          <w:szCs w:val="32"/>
          <w:highlight w:val="none"/>
        </w:rPr>
        <w:t>万元，其中：基本支出</w:t>
      </w:r>
      <w:r>
        <w:rPr>
          <w:rFonts w:hint="eastAsia" w:ascii="仿宋_GB2312" w:hAnsi="仿宋_GB2312" w:eastAsia="仿宋_GB2312"/>
          <w:color w:val="auto"/>
          <w:sz w:val="32"/>
          <w:szCs w:val="24"/>
          <w:highlight w:val="none"/>
          <w:lang w:val="zh-CN"/>
        </w:rPr>
        <w:t>10,939.31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_GB2312" w:hAnsi="仿宋_GB2312" w:eastAsia="仿宋_GB2312"/>
          <w:color w:val="auto"/>
          <w:sz w:val="32"/>
          <w:szCs w:val="24"/>
          <w:highlight w:val="none"/>
          <w:lang w:val="zh-CN"/>
        </w:rPr>
        <w:t>8,403.28</w:t>
      </w:r>
      <w:r>
        <w:rPr>
          <w:rFonts w:hint="eastAsia" w:ascii="仿宋" w:hAnsi="仿宋" w:eastAsia="仿宋"/>
          <w:color w:val="auto"/>
          <w:sz w:val="32"/>
          <w:szCs w:val="32"/>
          <w:highlight w:val="none"/>
        </w:rPr>
        <w:t>万元，占</w:t>
      </w:r>
      <w:r>
        <w:rPr>
          <w:rFonts w:hint="eastAsia" w:ascii="仿宋_GB2312" w:hAnsi="仿宋_GB2312" w:eastAsia="仿宋_GB2312"/>
          <w:color w:val="auto"/>
          <w:sz w:val="32"/>
          <w:szCs w:val="24"/>
          <w:highlight w:val="none"/>
          <w:lang w:val="zh-CN"/>
        </w:rPr>
        <w:t>43.4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53"/>
      <w:bookmarkEnd w:id="54"/>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图3：支出决算结构图</w:t>
      </w:r>
      <w:r>
        <w:rPr>
          <w:rFonts w:hint="eastAsia" w:ascii="仿宋" w:hAnsi="仿宋" w:eastAsia="仿宋"/>
          <w:color w:val="auto"/>
          <w:sz w:val="32"/>
          <w:szCs w:val="32"/>
          <w:highlight w:val="none"/>
          <w:lang w:eastAsia="zh-CN"/>
        </w:rPr>
        <w:t>）</w:t>
      </w:r>
    </w:p>
    <w:p>
      <w:pPr>
        <w:shd w:val="clear"/>
        <w:spacing w:line="600" w:lineRule="exact"/>
        <w:ind w:firstLine="420" w:firstLineChars="200"/>
        <w:rPr>
          <w:rFonts w:ascii="仿宋_GB2312" w:eastAsia="仿宋_GB2312"/>
          <w:color w:val="auto"/>
          <w:sz w:val="32"/>
          <w:szCs w:val="32"/>
          <w:highlight w:val="none"/>
        </w:rPr>
      </w:pPr>
      <w:r>
        <w:rPr>
          <w:color w:val="auto"/>
          <w:highlight w:val="none"/>
        </w:rPr>
        <w:drawing>
          <wp:anchor distT="0" distB="0" distL="114300" distR="114300" simplePos="0" relativeHeight="251661312" behindDoc="1" locked="0" layoutInCell="1" allowOverlap="1">
            <wp:simplePos x="0" y="0"/>
            <wp:positionH relativeFrom="column">
              <wp:posOffset>446405</wp:posOffset>
            </wp:positionH>
            <wp:positionV relativeFrom="paragraph">
              <wp:posOffset>169545</wp:posOffset>
            </wp:positionV>
            <wp:extent cx="4470400" cy="2223770"/>
            <wp:effectExtent l="4445" t="4445" r="59055" b="57785"/>
            <wp:wrapTight wrapText="bothSides">
              <wp:wrapPolygon>
                <wp:start x="-21" y="-43"/>
                <wp:lineTo x="-21" y="21421"/>
                <wp:lineTo x="21517" y="21421"/>
                <wp:lineTo x="21517" y="-43"/>
                <wp:lineTo x="-21" y="-43"/>
              </wp:wrapPolygon>
            </wp:wrapTight>
            <wp:docPr id="10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hd w:val="clear"/>
        <w:spacing w:line="600" w:lineRule="exact"/>
        <w:ind w:firstLine="640" w:firstLineChars="200"/>
        <w:outlineLvl w:val="9"/>
        <w:rPr>
          <w:rFonts w:hint="eastAsia" w:ascii="黑体" w:hAnsi="黑体" w:eastAsia="黑体"/>
          <w:color w:val="auto"/>
          <w:sz w:val="32"/>
          <w:szCs w:val="32"/>
          <w:highlight w:val="none"/>
        </w:rPr>
      </w:pPr>
      <w:bookmarkStart w:id="55" w:name="_Toc15396606"/>
      <w:bookmarkStart w:id="56" w:name="_Toc15377208"/>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1"/>
        <w:rPr>
          <w:rStyle w:val="20"/>
          <w:rFonts w:ascii="黑体" w:hAnsi="黑体" w:eastAsia="黑体"/>
          <w:b w:val="0"/>
          <w:color w:val="auto"/>
          <w:highlight w:val="none"/>
        </w:rPr>
      </w:pPr>
      <w:bookmarkStart w:id="57" w:name="_Toc8891"/>
      <w:bookmarkStart w:id="58" w:name="_Toc24421"/>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55"/>
      <w:bookmarkEnd w:id="56"/>
      <w:bookmarkEnd w:id="57"/>
      <w:bookmarkEnd w:id="58"/>
    </w:p>
    <w:p>
      <w:pPr>
        <w:shd w:val="clea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_GB2312" w:hAnsi="仿宋_GB2312" w:eastAsia="仿宋_GB2312"/>
          <w:color w:val="auto"/>
          <w:sz w:val="32"/>
          <w:szCs w:val="24"/>
          <w:highlight w:val="none"/>
          <w:lang w:val="zh-CN"/>
        </w:rPr>
        <w:t>14,301.5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_GB2312" w:hAnsi="仿宋_GB2312" w:eastAsia="仿宋_GB2312"/>
          <w:color w:val="auto"/>
          <w:sz w:val="32"/>
          <w:szCs w:val="24"/>
          <w:highlight w:val="none"/>
          <w:lang w:val="zh-CN"/>
        </w:rPr>
        <w:t>2,800.4</w:t>
      </w:r>
      <w:r>
        <w:rPr>
          <w:rFonts w:hint="eastAsia" w:ascii="仿宋" w:hAnsi="仿宋" w:eastAsia="仿宋"/>
          <w:color w:val="auto"/>
          <w:sz w:val="32"/>
          <w:szCs w:val="32"/>
          <w:highlight w:val="none"/>
        </w:rPr>
        <w:t>万元，下降</w:t>
      </w:r>
      <w:r>
        <w:rPr>
          <w:rFonts w:hint="eastAsia" w:ascii="仿宋_GB2312" w:hAnsi="仿宋_GB2312" w:eastAsia="仿宋_GB2312"/>
          <w:color w:val="auto"/>
          <w:sz w:val="32"/>
          <w:szCs w:val="24"/>
          <w:highlight w:val="none"/>
          <w:lang w:val="zh-CN"/>
        </w:rPr>
        <w:t>16.4%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2022年初财政拨款结转减少。</w:t>
      </w:r>
    </w:p>
    <w:p>
      <w:pPr>
        <w:shd w:val="clear"/>
        <w:spacing w:line="600" w:lineRule="exact"/>
        <w:ind w:firstLine="640" w:firstLineChars="200"/>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w:t>
      </w:r>
    </w:p>
    <w:p>
      <w:pPr>
        <w:shd w:val="clear"/>
        <w:spacing w:line="600" w:lineRule="exact"/>
        <w:ind w:firstLine="420" w:firstLineChars="200"/>
        <w:outlineLvl w:val="9"/>
        <w:rPr>
          <w:rFonts w:hint="eastAsia" w:ascii="黑体" w:hAnsi="黑体" w:eastAsia="黑体"/>
          <w:color w:val="auto"/>
          <w:sz w:val="32"/>
          <w:szCs w:val="32"/>
          <w:highlight w:val="none"/>
        </w:rPr>
      </w:pPr>
      <w:bookmarkStart w:id="59" w:name="_Toc15377209"/>
      <w:bookmarkStart w:id="60" w:name="_Toc15396607"/>
      <w:r>
        <w:rPr>
          <w:color w:val="auto"/>
          <w:highlight w:val="none"/>
        </w:rPr>
        <w:drawing>
          <wp:anchor distT="0" distB="0" distL="114300" distR="114300" simplePos="0" relativeHeight="251662336" behindDoc="1" locked="0" layoutInCell="1" allowOverlap="1">
            <wp:simplePos x="0" y="0"/>
            <wp:positionH relativeFrom="column">
              <wp:posOffset>438150</wp:posOffset>
            </wp:positionH>
            <wp:positionV relativeFrom="paragraph">
              <wp:posOffset>135255</wp:posOffset>
            </wp:positionV>
            <wp:extent cx="4414520" cy="1987550"/>
            <wp:effectExtent l="4445" t="4445" r="19685" b="8255"/>
            <wp:wrapTight wrapText="bothSides">
              <wp:wrapPolygon>
                <wp:start x="-22" y="-48"/>
                <wp:lineTo x="-22" y="21483"/>
                <wp:lineTo x="21510" y="21483"/>
                <wp:lineTo x="21510" y="-48"/>
                <wp:lineTo x="-22" y="-48"/>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ind w:firstLine="640" w:firstLineChars="200"/>
        <w:outlineLvl w:val="9"/>
        <w:rPr>
          <w:rFonts w:hint="eastAsia" w:ascii="黑体" w:hAnsi="黑体" w:eastAsia="黑体"/>
          <w:color w:val="auto"/>
          <w:sz w:val="32"/>
          <w:szCs w:val="32"/>
          <w:highlight w:val="none"/>
        </w:rPr>
      </w:pPr>
    </w:p>
    <w:p>
      <w:pPr>
        <w:shd w:val="clear"/>
        <w:spacing w:line="600" w:lineRule="exact"/>
        <w:outlineLvl w:val="9"/>
        <w:rPr>
          <w:rFonts w:hint="eastAsia" w:ascii="黑体" w:hAnsi="黑体" w:eastAsia="黑体"/>
          <w:color w:val="auto"/>
          <w:sz w:val="32"/>
          <w:szCs w:val="32"/>
          <w:highlight w:val="none"/>
        </w:rPr>
      </w:pPr>
    </w:p>
    <w:p>
      <w:pPr>
        <w:shd w:val="clear"/>
        <w:spacing w:line="600" w:lineRule="exact"/>
        <w:ind w:firstLine="640" w:firstLineChars="200"/>
        <w:outlineLvl w:val="1"/>
        <w:rPr>
          <w:rStyle w:val="20"/>
          <w:rFonts w:ascii="黑体" w:hAnsi="黑体" w:eastAsia="黑体"/>
          <w:b w:val="0"/>
          <w:color w:val="auto"/>
          <w:highlight w:val="none"/>
        </w:rPr>
      </w:pPr>
      <w:bookmarkStart w:id="61" w:name="_Toc26342"/>
      <w:bookmarkStart w:id="62" w:name="_Toc3039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59"/>
      <w:bookmarkEnd w:id="60"/>
      <w:bookmarkEnd w:id="61"/>
      <w:bookmarkEnd w:id="62"/>
    </w:p>
    <w:p>
      <w:pPr>
        <w:shd w:val="clear"/>
        <w:spacing w:line="600" w:lineRule="exact"/>
        <w:ind w:firstLine="640" w:firstLineChars="200"/>
        <w:outlineLvl w:val="2"/>
        <w:rPr>
          <w:rFonts w:ascii="仿宋" w:hAnsi="仿宋" w:eastAsia="仿宋"/>
          <w:b/>
          <w:color w:val="auto"/>
          <w:sz w:val="32"/>
          <w:szCs w:val="32"/>
          <w:highlight w:val="none"/>
        </w:rPr>
      </w:pPr>
      <w:bookmarkStart w:id="63" w:name="_Toc15377210"/>
      <w:r>
        <w:rPr>
          <w:rFonts w:hint="eastAsia" w:ascii="仿宋" w:hAnsi="仿宋" w:eastAsia="仿宋"/>
          <w:b/>
          <w:color w:val="auto"/>
          <w:sz w:val="32"/>
          <w:szCs w:val="32"/>
          <w:highlight w:val="none"/>
        </w:rPr>
        <w:t>（一）一般公共预算财政拨款支出决算总体情况</w:t>
      </w:r>
      <w:bookmarkEnd w:id="63"/>
    </w:p>
    <w:p>
      <w:pPr>
        <w:shd w:val="clea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hAnsi="仿宋_GB2312" w:eastAsia="仿宋_GB2312"/>
          <w:color w:val="auto"/>
          <w:sz w:val="32"/>
          <w:szCs w:val="24"/>
          <w:highlight w:val="none"/>
          <w:lang w:val="zh-CN"/>
        </w:rPr>
        <w:t>13,426.94</w:t>
      </w:r>
      <w:r>
        <w:rPr>
          <w:rFonts w:hint="eastAsia" w:ascii="仿宋" w:hAnsi="仿宋" w:eastAsia="仿宋"/>
          <w:color w:val="auto"/>
          <w:sz w:val="32"/>
          <w:szCs w:val="32"/>
          <w:highlight w:val="none"/>
        </w:rPr>
        <w:t>万元，占本年支出合计的</w:t>
      </w:r>
      <w:r>
        <w:rPr>
          <w:rFonts w:hint="eastAsia" w:ascii="仿宋_GB2312" w:hAnsi="仿宋_GB2312" w:eastAsia="仿宋_GB2312"/>
          <w:color w:val="auto"/>
          <w:sz w:val="32"/>
          <w:szCs w:val="24"/>
          <w:highlight w:val="none"/>
          <w:lang w:val="zh-CN"/>
        </w:rPr>
        <w:t>69.4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_GB2312" w:hAnsi="仿宋_GB2312" w:eastAsia="仿宋_GB2312"/>
          <w:color w:val="auto"/>
          <w:sz w:val="32"/>
          <w:szCs w:val="24"/>
          <w:highlight w:val="none"/>
          <w:lang w:val="zh-CN"/>
        </w:rPr>
        <w:t>减少2,663.8</w:t>
      </w:r>
      <w:r>
        <w:rPr>
          <w:rFonts w:hint="eastAsia" w:ascii="仿宋" w:hAnsi="仿宋" w:eastAsia="仿宋"/>
          <w:color w:val="auto"/>
          <w:sz w:val="32"/>
          <w:szCs w:val="32"/>
          <w:highlight w:val="none"/>
        </w:rPr>
        <w:t>万元，下降</w:t>
      </w:r>
      <w:r>
        <w:rPr>
          <w:rFonts w:hint="eastAsia" w:ascii="仿宋_GB2312" w:hAnsi="仿宋_GB2312" w:eastAsia="仿宋_GB2312"/>
          <w:color w:val="auto"/>
          <w:sz w:val="32"/>
          <w:szCs w:val="24"/>
          <w:highlight w:val="none"/>
          <w:lang w:val="zh-CN"/>
        </w:rPr>
        <w:t>16.6%。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2022年公用经费、设备购置等资本性支出主要使用教育事业收入安排，财政拨款支出减少。</w:t>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hd w:val="clear"/>
        <w:spacing w:line="600" w:lineRule="exact"/>
        <w:ind w:firstLine="420" w:firstLineChars="200"/>
        <w:outlineLvl w:val="9"/>
        <w:rPr>
          <w:rFonts w:hint="eastAsia" w:ascii="仿宋" w:hAnsi="仿宋" w:eastAsia="仿宋"/>
          <w:b/>
          <w:color w:val="auto"/>
          <w:sz w:val="32"/>
          <w:szCs w:val="32"/>
          <w:highlight w:val="none"/>
        </w:rPr>
      </w:pPr>
      <w:bookmarkStart w:id="64" w:name="_Toc15377211"/>
      <w:r>
        <w:rPr>
          <w:color w:val="auto"/>
          <w:highlight w:val="none"/>
        </w:rPr>
        <w:drawing>
          <wp:anchor distT="0" distB="0" distL="114300" distR="114300" simplePos="0" relativeHeight="251663360" behindDoc="1" locked="0" layoutInCell="1" allowOverlap="1">
            <wp:simplePos x="0" y="0"/>
            <wp:positionH relativeFrom="column">
              <wp:posOffset>533400</wp:posOffset>
            </wp:positionH>
            <wp:positionV relativeFrom="paragraph">
              <wp:posOffset>156845</wp:posOffset>
            </wp:positionV>
            <wp:extent cx="4420235" cy="2040890"/>
            <wp:effectExtent l="4445" t="4445" r="13970" b="12065"/>
            <wp:wrapTight wrapText="bothSides">
              <wp:wrapPolygon>
                <wp:start x="-22" y="-47"/>
                <wp:lineTo x="-22" y="21526"/>
                <wp:lineTo x="21575" y="21526"/>
                <wp:lineTo x="21575" y="-47"/>
                <wp:lineTo x="-22" y="-4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hd w:val="clear"/>
        <w:spacing w:line="600" w:lineRule="exact"/>
        <w:ind w:firstLine="640" w:firstLineChars="200"/>
        <w:outlineLvl w:val="9"/>
        <w:rPr>
          <w:rFonts w:hint="eastAsia" w:ascii="仿宋" w:hAnsi="仿宋" w:eastAsia="仿宋"/>
          <w:b/>
          <w:color w:val="auto"/>
          <w:sz w:val="32"/>
          <w:szCs w:val="32"/>
          <w:highlight w:val="none"/>
        </w:rPr>
      </w:pPr>
    </w:p>
    <w:p>
      <w:pPr>
        <w:shd w:val="clear"/>
        <w:spacing w:line="600" w:lineRule="exact"/>
        <w:ind w:firstLine="640" w:firstLineChars="200"/>
        <w:outlineLvl w:val="9"/>
        <w:rPr>
          <w:rFonts w:hint="eastAsia" w:ascii="仿宋" w:hAnsi="仿宋" w:eastAsia="仿宋"/>
          <w:b/>
          <w:color w:val="auto"/>
          <w:sz w:val="32"/>
          <w:szCs w:val="32"/>
          <w:highlight w:val="none"/>
        </w:rPr>
      </w:pPr>
    </w:p>
    <w:p>
      <w:pPr>
        <w:shd w:val="clear"/>
        <w:spacing w:line="600" w:lineRule="exact"/>
        <w:ind w:firstLine="640" w:firstLineChars="200"/>
        <w:outlineLvl w:val="9"/>
        <w:rPr>
          <w:rFonts w:hint="eastAsia" w:ascii="仿宋" w:hAnsi="仿宋" w:eastAsia="仿宋"/>
          <w:b/>
          <w:color w:val="auto"/>
          <w:sz w:val="32"/>
          <w:szCs w:val="32"/>
          <w:highlight w:val="none"/>
        </w:rPr>
      </w:pPr>
    </w:p>
    <w:p>
      <w:pPr>
        <w:shd w:val="clear"/>
        <w:spacing w:line="600" w:lineRule="exact"/>
        <w:ind w:firstLine="640" w:firstLineChars="200"/>
        <w:outlineLvl w:val="9"/>
        <w:rPr>
          <w:rFonts w:hint="eastAsia" w:ascii="仿宋" w:hAnsi="仿宋" w:eastAsia="仿宋"/>
          <w:b/>
          <w:color w:val="auto"/>
          <w:sz w:val="32"/>
          <w:szCs w:val="32"/>
          <w:highlight w:val="none"/>
        </w:rPr>
      </w:pPr>
    </w:p>
    <w:p>
      <w:pPr>
        <w:shd w:val="clear"/>
        <w:spacing w:line="600" w:lineRule="exact"/>
        <w:ind w:firstLine="640" w:firstLineChars="200"/>
        <w:outlineLvl w:val="9"/>
        <w:rPr>
          <w:rFonts w:hint="eastAsia" w:ascii="仿宋" w:hAnsi="仿宋" w:eastAsia="仿宋"/>
          <w:b/>
          <w:color w:val="auto"/>
          <w:sz w:val="32"/>
          <w:szCs w:val="32"/>
          <w:highlight w:val="none"/>
        </w:rPr>
      </w:pPr>
    </w:p>
    <w:p>
      <w:pPr>
        <w:shd w:val="clear"/>
        <w:spacing w:line="600" w:lineRule="exact"/>
        <w:ind w:firstLine="640"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64"/>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hAnsi="仿宋_GB2312" w:eastAsia="仿宋_GB2312"/>
          <w:color w:val="auto"/>
          <w:sz w:val="32"/>
          <w:szCs w:val="24"/>
          <w:highlight w:val="none"/>
          <w:lang w:val="zh-CN"/>
        </w:rPr>
        <w:t>13,426.94</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教育支出</w:t>
      </w:r>
      <w:r>
        <w:rPr>
          <w:rFonts w:hint="eastAsia" w:ascii="仿宋_GB2312" w:hAnsi="仿宋_GB2312" w:eastAsia="仿宋_GB2312"/>
          <w:color w:val="auto"/>
          <w:sz w:val="32"/>
          <w:szCs w:val="24"/>
          <w:highlight w:val="none"/>
          <w:lang w:val="zh-CN"/>
        </w:rPr>
        <w:t>11,734.62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_GB2312" w:hAnsi="仿宋_GB2312" w:eastAsia="仿宋_GB2312"/>
          <w:color w:val="auto"/>
          <w:sz w:val="32"/>
          <w:szCs w:val="24"/>
          <w:highlight w:val="none"/>
          <w:lang w:val="zh-CN"/>
        </w:rPr>
        <w:t>587.49</w:t>
      </w:r>
      <w:r>
        <w:rPr>
          <w:rFonts w:hint="eastAsia" w:ascii="仿宋" w:hAnsi="仿宋" w:eastAsia="仿宋"/>
          <w:color w:val="auto"/>
          <w:sz w:val="32"/>
          <w:szCs w:val="32"/>
          <w:highlight w:val="none"/>
        </w:rPr>
        <w:t>万元，占</w:t>
      </w:r>
      <w:r>
        <w:rPr>
          <w:rFonts w:hint="eastAsia" w:ascii="仿宋_GB2312" w:hAnsi="仿宋_GB2312" w:eastAsia="仿宋_GB2312"/>
          <w:color w:val="auto"/>
          <w:sz w:val="32"/>
          <w:szCs w:val="24"/>
          <w:highlight w:val="none"/>
          <w:lang w:val="zh-CN"/>
        </w:rPr>
        <w:t>4.4%；</w:t>
      </w:r>
      <w:r>
        <w:rPr>
          <w:rFonts w:hint="eastAsia" w:ascii="仿宋" w:hAnsi="仿宋" w:eastAsia="仿宋"/>
          <w:b/>
          <w:bCs/>
          <w:color w:val="auto"/>
          <w:sz w:val="32"/>
          <w:szCs w:val="32"/>
          <w:highlight w:val="none"/>
        </w:rPr>
        <w:t>卫生健康支出</w:t>
      </w:r>
      <w:r>
        <w:rPr>
          <w:rFonts w:hint="eastAsia" w:ascii="仿宋_GB2312" w:hAnsi="仿宋_GB2312" w:eastAsia="仿宋_GB2312"/>
          <w:color w:val="auto"/>
          <w:sz w:val="32"/>
          <w:szCs w:val="24"/>
          <w:highlight w:val="none"/>
          <w:lang w:val="zh-CN"/>
        </w:rPr>
        <w:t>236.1</w:t>
      </w:r>
      <w:r>
        <w:rPr>
          <w:rFonts w:hint="eastAsia" w:ascii="仿宋_GB2312" w:hAnsi="仿宋_GB2312" w:eastAsia="仿宋_GB2312"/>
          <w:color w:val="auto"/>
          <w:sz w:val="32"/>
          <w:szCs w:val="24"/>
          <w:highlight w:val="none"/>
          <w:lang w:val="en-US" w:eastAsia="zh-CN"/>
        </w:rPr>
        <w:t>9</w:t>
      </w:r>
      <w:r>
        <w:rPr>
          <w:rFonts w:hint="eastAsia" w:ascii="仿宋" w:hAnsi="仿宋" w:eastAsia="仿宋"/>
          <w:color w:val="auto"/>
          <w:sz w:val="32"/>
          <w:szCs w:val="32"/>
          <w:highlight w:val="none"/>
        </w:rPr>
        <w:t>万元，占</w:t>
      </w:r>
      <w:r>
        <w:rPr>
          <w:rFonts w:hint="eastAsia" w:ascii="仿宋_GB2312" w:hAnsi="仿宋_GB2312" w:eastAsia="仿宋_GB2312"/>
          <w:color w:val="auto"/>
          <w:sz w:val="32"/>
          <w:szCs w:val="24"/>
          <w:highlight w:val="none"/>
          <w:lang w:val="zh-CN"/>
        </w:rPr>
        <w:t>1.</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zh-CN"/>
        </w:rPr>
        <w:t>%；</w:t>
      </w:r>
      <w:r>
        <w:rPr>
          <w:rFonts w:hint="eastAsia" w:ascii="仿宋" w:hAnsi="仿宋" w:eastAsia="仿宋"/>
          <w:b/>
          <w:bCs/>
          <w:color w:val="auto"/>
          <w:sz w:val="32"/>
          <w:szCs w:val="32"/>
          <w:highlight w:val="none"/>
        </w:rPr>
        <w:t>住房保障支出</w:t>
      </w:r>
      <w:r>
        <w:rPr>
          <w:rFonts w:hint="eastAsia" w:ascii="仿宋_GB2312" w:hAnsi="仿宋_GB2312" w:eastAsia="仿宋_GB2312"/>
          <w:color w:val="auto"/>
          <w:sz w:val="32"/>
          <w:szCs w:val="24"/>
          <w:highlight w:val="none"/>
          <w:lang w:val="zh-CN"/>
        </w:rPr>
        <w:t>831.34万元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b/>
          <w:bCs/>
          <w:color w:val="auto"/>
          <w:sz w:val="32"/>
          <w:szCs w:val="24"/>
          <w:highlight w:val="none"/>
          <w:lang w:val="zh-CN"/>
        </w:rPr>
        <w:t>其他支出</w:t>
      </w:r>
      <w:r>
        <w:rPr>
          <w:rFonts w:hint="eastAsia" w:ascii="仿宋_GB2312" w:hAnsi="仿宋_GB2312" w:eastAsia="仿宋_GB2312"/>
          <w:color w:val="auto"/>
          <w:sz w:val="32"/>
          <w:szCs w:val="24"/>
          <w:highlight w:val="none"/>
          <w:lang w:val="zh-CN"/>
        </w:rPr>
        <w:t>37.</w:t>
      </w:r>
      <w:r>
        <w:rPr>
          <w:rFonts w:hint="eastAsia" w:ascii="仿宋_GB2312" w:hAnsi="仿宋_GB2312" w:eastAsia="仿宋_GB2312"/>
          <w:color w:val="auto"/>
          <w:sz w:val="32"/>
          <w:szCs w:val="24"/>
          <w:highlight w:val="none"/>
          <w:lang w:val="en-US" w:eastAsia="zh-CN"/>
        </w:rPr>
        <w:t>30</w:t>
      </w:r>
      <w:r>
        <w:rPr>
          <w:rFonts w:hint="eastAsia" w:ascii="仿宋_GB2312" w:hAnsi="仿宋_GB2312" w:eastAsia="仿宋_GB2312"/>
          <w:color w:val="auto"/>
          <w:sz w:val="32"/>
          <w:szCs w:val="24"/>
          <w:highlight w:val="none"/>
          <w:lang w:val="zh-CN"/>
        </w:rPr>
        <w:t>万元，占0.3%。</w:t>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hd w:val="clear"/>
        <w:spacing w:line="600" w:lineRule="exact"/>
        <w:ind w:firstLine="420" w:firstLineChars="200"/>
        <w:rPr>
          <w:rFonts w:ascii="仿宋" w:hAnsi="仿宋" w:eastAsia="仿宋"/>
          <w:color w:val="auto"/>
          <w:sz w:val="32"/>
          <w:szCs w:val="32"/>
          <w:highlight w:val="none"/>
        </w:rPr>
      </w:pPr>
      <w:r>
        <w:rPr>
          <w:color w:val="auto"/>
          <w:highlight w:val="none"/>
        </w:rPr>
        <w:drawing>
          <wp:anchor distT="0" distB="0" distL="114300" distR="114300" simplePos="0" relativeHeight="251664384" behindDoc="1" locked="0" layoutInCell="1" allowOverlap="1">
            <wp:simplePos x="0" y="0"/>
            <wp:positionH relativeFrom="column">
              <wp:posOffset>525145</wp:posOffset>
            </wp:positionH>
            <wp:positionV relativeFrom="paragraph">
              <wp:posOffset>269240</wp:posOffset>
            </wp:positionV>
            <wp:extent cx="4583430" cy="2172335"/>
            <wp:effectExtent l="5080" t="4445" r="59690" b="71120"/>
            <wp:wrapTight wrapText="bothSides">
              <wp:wrapPolygon>
                <wp:start x="-24" y="-44"/>
                <wp:lineTo x="-24" y="21549"/>
                <wp:lineTo x="21522" y="21549"/>
                <wp:lineTo x="21522" y="-44"/>
                <wp:lineTo x="-24" y="-44"/>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hd w:val="clear"/>
        <w:spacing w:line="600" w:lineRule="exact"/>
        <w:rPr>
          <w:rFonts w:ascii="仿宋" w:hAnsi="仿宋" w:eastAsia="仿宋"/>
          <w:color w:val="auto"/>
          <w:sz w:val="32"/>
          <w:szCs w:val="32"/>
          <w:highlight w:val="none"/>
        </w:rPr>
      </w:pPr>
    </w:p>
    <w:p>
      <w:pPr>
        <w:shd w:val="clear"/>
        <w:spacing w:line="600" w:lineRule="exact"/>
        <w:rPr>
          <w:rFonts w:ascii="仿宋" w:hAnsi="仿宋" w:eastAsia="仿宋"/>
          <w:color w:val="auto"/>
          <w:sz w:val="32"/>
          <w:szCs w:val="32"/>
          <w:highlight w:val="none"/>
        </w:rPr>
      </w:pPr>
    </w:p>
    <w:p>
      <w:pPr>
        <w:shd w:val="clear"/>
        <w:spacing w:line="600" w:lineRule="exact"/>
        <w:ind w:firstLine="640" w:firstLineChars="200"/>
        <w:outlineLvl w:val="2"/>
        <w:rPr>
          <w:rFonts w:ascii="仿宋" w:hAnsi="仿宋" w:eastAsia="仿宋"/>
          <w:b/>
          <w:color w:val="auto"/>
          <w:sz w:val="32"/>
          <w:szCs w:val="32"/>
          <w:highlight w:val="none"/>
        </w:rPr>
      </w:pPr>
      <w:bookmarkStart w:id="65" w:name="_Toc15377212"/>
      <w:r>
        <w:rPr>
          <w:rFonts w:hint="eastAsia" w:ascii="仿宋" w:hAnsi="仿宋" w:eastAsia="仿宋"/>
          <w:b/>
          <w:color w:val="auto"/>
          <w:sz w:val="32"/>
          <w:szCs w:val="32"/>
          <w:highlight w:val="none"/>
        </w:rPr>
        <w:t>（三）一般公共预算财政拨款支出决算具体情况</w:t>
      </w:r>
      <w:bookmarkEnd w:id="65"/>
    </w:p>
    <w:p>
      <w:pPr>
        <w:shd w:val="clear"/>
        <w:spacing w:line="600" w:lineRule="exact"/>
        <w:ind w:firstLine="640" w:firstLineChars="200"/>
        <w:outlineLvl w:val="2"/>
        <w:rPr>
          <w:rFonts w:ascii="仿宋" w:hAnsi="仿宋" w:eastAsia="仿宋"/>
          <w:color w:val="auto"/>
          <w:sz w:val="32"/>
          <w:szCs w:val="32"/>
          <w:highlight w:val="none"/>
        </w:rPr>
      </w:pPr>
      <w:bookmarkStart w:id="66" w:name="_Toc15378460"/>
      <w:bookmarkStart w:id="67" w:name="_Toc15377213"/>
      <w:bookmarkStart w:id="6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b/>
          <w:bCs/>
          <w:color w:val="auto"/>
          <w:sz w:val="32"/>
          <w:szCs w:val="24"/>
          <w:highlight w:val="none"/>
          <w:lang w:val="zh-CN"/>
        </w:rPr>
        <w:t>13,426.94</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99.8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66"/>
      <w:bookmarkEnd w:id="67"/>
      <w:bookmarkEnd w:id="68"/>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hint="eastAsia" w:ascii="仿宋" w:hAnsi="仿宋" w:eastAsia="仿宋"/>
          <w:b/>
          <w:color w:val="auto"/>
          <w:sz w:val="32"/>
          <w:szCs w:val="32"/>
          <w:highlight w:val="none"/>
          <w:lang w:eastAsia="zh-CN"/>
        </w:rPr>
      </w:pPr>
      <w:r>
        <w:rPr>
          <w:rStyle w:val="17"/>
          <w:rFonts w:hint="eastAsia" w:ascii="仿宋" w:hAnsi="仿宋" w:eastAsia="仿宋"/>
          <w:bCs/>
          <w:color w:val="auto"/>
          <w:sz w:val="32"/>
          <w:szCs w:val="32"/>
          <w:highlight w:val="none"/>
        </w:rPr>
        <w:t>教育（类）职业教育（款）</w:t>
      </w:r>
      <w:r>
        <w:rPr>
          <w:rStyle w:val="17"/>
          <w:rFonts w:hint="eastAsia" w:ascii="仿宋" w:hAnsi="仿宋" w:eastAsia="仿宋"/>
          <w:bCs/>
          <w:color w:val="auto"/>
          <w:sz w:val="32"/>
          <w:szCs w:val="32"/>
          <w:highlight w:val="none"/>
          <w:lang w:eastAsia="zh-CN"/>
        </w:rPr>
        <w:t>中等</w:t>
      </w:r>
      <w:r>
        <w:rPr>
          <w:rStyle w:val="17"/>
          <w:rFonts w:hint="eastAsia" w:ascii="仿宋" w:hAnsi="仿宋" w:eastAsia="仿宋"/>
          <w:bCs/>
          <w:color w:val="auto"/>
          <w:sz w:val="32"/>
          <w:szCs w:val="32"/>
          <w:highlight w:val="none"/>
        </w:rPr>
        <w:t>职业教育（项）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97.77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Style w:val="17"/>
          <w:rFonts w:hint="eastAsia" w:ascii="仿宋" w:hAnsi="仿宋" w:eastAsia="仿宋"/>
          <w:b w:val="0"/>
          <w:bCs/>
          <w:color w:val="auto"/>
          <w:sz w:val="32"/>
          <w:szCs w:val="32"/>
          <w:highlight w:val="none"/>
          <w:lang w:val="en-US" w:eastAsia="zh-CN"/>
        </w:rPr>
      </w:pPr>
      <w:r>
        <w:rPr>
          <w:rStyle w:val="17"/>
          <w:rFonts w:hint="eastAsia" w:ascii="仿宋" w:hAnsi="仿宋" w:eastAsia="仿宋"/>
          <w:bCs/>
          <w:color w:val="auto"/>
          <w:sz w:val="32"/>
          <w:szCs w:val="32"/>
          <w:highlight w:val="none"/>
        </w:rPr>
        <w:t>教育（类）职业教育（款）高等职业教育（项）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11636.85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决算数小于预算数的主要原因少数国家助学金打卡失败、市属公费师范生补助</w:t>
      </w:r>
      <w:r>
        <w:rPr>
          <w:rStyle w:val="17"/>
          <w:rFonts w:hint="eastAsia" w:ascii="仿宋" w:hAnsi="仿宋" w:eastAsia="仿宋"/>
          <w:b w:val="0"/>
          <w:bCs/>
          <w:color w:val="auto"/>
          <w:sz w:val="32"/>
          <w:szCs w:val="32"/>
          <w:highlight w:val="none"/>
          <w:lang w:val="en-US" w:eastAsia="zh-CN"/>
        </w:rPr>
        <w:t>结转2023年1月发放。</w:t>
      </w:r>
    </w:p>
    <w:p>
      <w:pPr>
        <w:numPr>
          <w:ilvl w:val="0"/>
          <w:numId w:val="3"/>
        </w:numPr>
        <w:shd w:val="clear"/>
        <w:spacing w:line="600" w:lineRule="exact"/>
        <w:ind w:left="0" w:leftChars="0" w:firstLine="400" w:firstLineChars="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rPr>
        <w:t>社会保障和就业（类）人力资源和社会保障管理事务（款）其他人力资源和社会保障管理事务支出（项）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numPr>
          <w:ilvl w:val="0"/>
          <w:numId w:val="3"/>
        </w:numPr>
        <w:shd w:val="clear"/>
        <w:spacing w:line="600" w:lineRule="exact"/>
        <w:ind w:left="0" w:leftChars="0" w:firstLine="400" w:firstLineChars="0"/>
        <w:rPr>
          <w:rStyle w:val="17"/>
          <w:rFonts w:hint="eastAsia"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rPr>
        <w:t>社会保障和就业（类）行政事业单位养老支出（款）</w:t>
      </w:r>
      <w:r>
        <w:rPr>
          <w:rStyle w:val="17"/>
          <w:rFonts w:hint="eastAsia" w:ascii="仿宋" w:hAnsi="仿宋" w:eastAsia="仿宋"/>
          <w:bCs/>
          <w:color w:val="auto"/>
          <w:sz w:val="32"/>
          <w:szCs w:val="32"/>
          <w:highlight w:val="none"/>
          <w:lang w:eastAsia="zh-CN"/>
        </w:rPr>
        <w:t>行政单位离退休</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6.78</w:t>
      </w:r>
      <w:r>
        <w:rPr>
          <w:rStyle w:val="17"/>
          <w:rFonts w:hint="eastAsia" w:ascii="仿宋" w:hAnsi="仿宋" w:eastAsia="仿宋"/>
          <w:b w:val="0"/>
          <w:bCs/>
          <w:color w:val="auto"/>
          <w:sz w:val="32"/>
          <w:szCs w:val="32"/>
          <w:highlight w:val="none"/>
        </w:rPr>
        <w:t>万元，完成预算100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 机关事业单位基本养老保险缴费支出（项）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437.23</w:t>
      </w:r>
      <w:r>
        <w:rPr>
          <w:rStyle w:val="17"/>
          <w:rFonts w:hint="eastAsia" w:ascii="仿宋" w:hAnsi="仿宋" w:eastAsia="仿宋"/>
          <w:b w:val="0"/>
          <w:bCs/>
          <w:color w:val="auto"/>
          <w:sz w:val="32"/>
          <w:szCs w:val="32"/>
          <w:highlight w:val="none"/>
        </w:rPr>
        <w:t>万元，完成预算100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社会保障和就业（类）行政事业单位养老支出（款）机关事业单位职业年金缴费支出（项）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49.83</w:t>
      </w:r>
      <w:r>
        <w:rPr>
          <w:rStyle w:val="17"/>
          <w:rFonts w:hint="eastAsia" w:ascii="仿宋" w:hAnsi="仿宋" w:eastAsia="仿宋"/>
          <w:b w:val="0"/>
          <w:bCs/>
          <w:color w:val="auto"/>
          <w:sz w:val="32"/>
          <w:szCs w:val="32"/>
          <w:highlight w:val="none"/>
        </w:rPr>
        <w:t>万元，完成预算100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Fonts w:hint="eastAsia"/>
          <w:color w:val="auto"/>
          <w:highlight w:val="none"/>
          <w:lang w:val="en-US" w:eastAsia="zh-CN"/>
        </w:rPr>
      </w:pPr>
      <w:r>
        <w:rPr>
          <w:rStyle w:val="17"/>
          <w:rFonts w:hint="eastAsia" w:ascii="仿宋" w:hAnsi="仿宋" w:eastAsia="仿宋"/>
          <w:bCs/>
          <w:color w:val="auto"/>
          <w:sz w:val="32"/>
          <w:szCs w:val="32"/>
          <w:highlight w:val="none"/>
        </w:rPr>
        <w:t>社会保障和就业（类）其他社会保障和就业支出（款）  其他社会保障和就业支出（项）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92.15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woUserID w:val="1"/>
        </w:rPr>
        <w:t>100</w:t>
      </w:r>
      <w:r>
        <w:rPr>
          <w:rStyle w:val="17"/>
          <w:rFonts w:ascii="仿宋" w:hAnsi="仿宋" w:eastAsia="仿宋"/>
          <w:b w:val="0"/>
          <w:bCs/>
          <w:color w:val="auto"/>
          <w:sz w:val="32"/>
          <w:szCs w:val="32"/>
          <w:highlight w:val="none"/>
          <w:woUserID w:val="1"/>
        </w:rPr>
        <w:t>%</w:t>
      </w:r>
      <w:r>
        <w:rPr>
          <w:rStyle w:val="17"/>
          <w:rFonts w:hint="eastAsia" w:ascii="仿宋" w:hAnsi="仿宋" w:eastAsia="仿宋"/>
          <w:b w:val="0"/>
          <w:bCs/>
          <w:color w:val="auto"/>
          <w:sz w:val="32"/>
          <w:szCs w:val="32"/>
          <w:highlight w:val="none"/>
          <w:woUserID w:val="1"/>
        </w:rPr>
        <w:t>。</w:t>
      </w:r>
    </w:p>
    <w:p>
      <w:pPr>
        <w:numPr>
          <w:ilvl w:val="0"/>
          <w:numId w:val="3"/>
        </w:numPr>
        <w:shd w:val="clear"/>
        <w:spacing w:line="600" w:lineRule="exact"/>
        <w:ind w:left="0" w:leftChars="0" w:firstLine="400" w:firstLineChars="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卫生健康支出（类）行政事业单位医疗（款）</w:t>
      </w:r>
      <w:r>
        <w:rPr>
          <w:rStyle w:val="17"/>
          <w:rFonts w:hint="eastAsia" w:ascii="仿宋" w:hAnsi="仿宋" w:eastAsia="仿宋"/>
          <w:bCs/>
          <w:color w:val="auto"/>
          <w:sz w:val="32"/>
          <w:szCs w:val="32"/>
          <w:highlight w:val="none"/>
          <w:lang w:eastAsia="zh-CN"/>
        </w:rPr>
        <w:t>事业</w:t>
      </w:r>
      <w:r>
        <w:rPr>
          <w:rStyle w:val="17"/>
          <w:rFonts w:hint="eastAsia" w:ascii="仿宋" w:hAnsi="仿宋" w:eastAsia="仿宋"/>
          <w:bCs/>
          <w:color w:val="auto"/>
          <w:sz w:val="32"/>
          <w:szCs w:val="32"/>
          <w:highlight w:val="none"/>
        </w:rPr>
        <w:t>单位医疗（项）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236.19</w:t>
      </w:r>
      <w:r>
        <w:rPr>
          <w:rStyle w:val="17"/>
          <w:rFonts w:hint="eastAsia" w:ascii="仿宋" w:hAnsi="仿宋" w:eastAsia="仿宋"/>
          <w:b w:val="0"/>
          <w:bCs/>
          <w:color w:val="auto"/>
          <w:sz w:val="32"/>
          <w:szCs w:val="32"/>
          <w:highlight w:val="none"/>
        </w:rPr>
        <w:t>万元，完成预算100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Fonts w:hint="eastAsia" w:ascii="黑体" w:eastAsia="黑体"/>
          <w:color w:val="auto"/>
          <w:sz w:val="32"/>
          <w:szCs w:val="32"/>
          <w:highlight w:val="none"/>
        </w:rPr>
      </w:pPr>
      <w:r>
        <w:rPr>
          <w:rStyle w:val="17"/>
          <w:rFonts w:hint="eastAsia" w:ascii="仿宋" w:hAnsi="仿宋" w:eastAsia="仿宋"/>
          <w:bCs/>
          <w:color w:val="auto"/>
          <w:sz w:val="32"/>
          <w:szCs w:val="32"/>
          <w:highlight w:val="none"/>
        </w:rPr>
        <w:t>住房保障支出（类）住房改革支出（款）住房公积金（项）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803.74</w:t>
      </w:r>
      <w:r>
        <w:rPr>
          <w:rStyle w:val="17"/>
          <w:rFonts w:hint="eastAsia" w:ascii="仿宋" w:hAnsi="仿宋" w:eastAsia="仿宋"/>
          <w:b w:val="0"/>
          <w:bCs/>
          <w:color w:val="auto"/>
          <w:sz w:val="32"/>
          <w:szCs w:val="32"/>
          <w:highlight w:val="none"/>
        </w:rPr>
        <w:t>万元，完成预算100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住房保障支出（类）住房改革支出（款）购房补贴（项）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27.6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numPr>
          <w:ilvl w:val="0"/>
          <w:numId w:val="3"/>
        </w:numPr>
        <w:shd w:val="clear"/>
        <w:spacing w:line="600" w:lineRule="exact"/>
        <w:ind w:left="0" w:leftChars="0" w:firstLine="400" w:firstLineChars="0"/>
        <w:rPr>
          <w:rFonts w:hint="eastAsia" w:ascii="黑体" w:eastAsia="黑体"/>
          <w:color w:val="auto"/>
          <w:sz w:val="32"/>
          <w:szCs w:val="32"/>
          <w:highlight w:val="none"/>
        </w:rPr>
      </w:pPr>
      <w:r>
        <w:rPr>
          <w:rStyle w:val="17"/>
          <w:rFonts w:hint="eastAsia" w:ascii="仿宋" w:hAnsi="仿宋" w:eastAsia="仿宋"/>
          <w:bCs/>
          <w:color w:val="auto"/>
          <w:sz w:val="32"/>
          <w:szCs w:val="32"/>
          <w:highlight w:val="none"/>
          <w:lang w:eastAsia="zh-CN"/>
        </w:rPr>
        <w:t>其他支出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37.3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97.7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2022年12月代扣校外专家劳务费个税待2023年1月申报缴纳。</w:t>
      </w:r>
      <w:bookmarkStart w:id="69" w:name="_Toc15396608"/>
      <w:bookmarkStart w:id="70" w:name="_Toc15377214"/>
    </w:p>
    <w:p>
      <w:pPr>
        <w:shd w:val="clear"/>
        <w:tabs>
          <w:tab w:val="right" w:pos="8306"/>
        </w:tabs>
        <w:spacing w:line="600" w:lineRule="exact"/>
        <w:ind w:firstLine="640"/>
        <w:outlineLvl w:val="1"/>
        <w:rPr>
          <w:rStyle w:val="20"/>
          <w:color w:val="auto"/>
          <w:highlight w:val="none"/>
        </w:rPr>
      </w:pPr>
      <w:bookmarkStart w:id="71" w:name="_Toc18438"/>
      <w:bookmarkStart w:id="72" w:name="_Toc160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69"/>
      <w:bookmarkEnd w:id="70"/>
      <w:bookmarkEnd w:id="71"/>
      <w:bookmarkEnd w:id="72"/>
      <w:r>
        <w:rPr>
          <w:rStyle w:val="20"/>
          <w:rFonts w:ascii="黑体" w:hAnsi="黑体" w:eastAsia="黑体"/>
          <w:b w:val="0"/>
          <w:color w:val="auto"/>
          <w:highlight w:val="none"/>
        </w:rPr>
        <w:tab/>
      </w:r>
    </w:p>
    <w:p>
      <w:pPr>
        <w:keepNext w:val="0"/>
        <w:keepLines w:val="0"/>
        <w:pageBreakBefore w:val="0"/>
        <w:widowControl w:val="0"/>
        <w:shd w:val="clear"/>
        <w:kinsoku/>
        <w:wordWrap/>
        <w:overflowPunct/>
        <w:topLinePunct w:val="0"/>
        <w:autoSpaceDE/>
        <w:autoSpaceDN/>
        <w:bidi w:val="0"/>
        <w:adjustRightInd/>
        <w:snapToGrid/>
        <w:spacing w:line="600"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9799.76</w:t>
      </w:r>
      <w:r>
        <w:rPr>
          <w:rFonts w:hint="eastAsia" w:ascii="仿宋" w:hAnsi="仿宋" w:eastAsia="仿宋"/>
          <w:color w:val="auto"/>
          <w:sz w:val="32"/>
          <w:szCs w:val="32"/>
          <w:highlight w:val="none"/>
        </w:rPr>
        <w:t>万元，其中：</w:t>
      </w:r>
    </w:p>
    <w:p>
      <w:pPr>
        <w:keepNext w:val="0"/>
        <w:keepLines w:val="0"/>
        <w:pageBreakBefore w:val="0"/>
        <w:widowControl w:val="0"/>
        <w:shd w:val="clear"/>
        <w:kinsoku/>
        <w:wordWrap/>
        <w:overflowPunct/>
        <w:topLinePunct w:val="0"/>
        <w:autoSpaceDE/>
        <w:autoSpaceDN/>
        <w:bidi w:val="0"/>
        <w:adjustRightInd/>
        <w:snapToGrid/>
        <w:spacing w:line="600" w:lineRule="exact"/>
        <w:ind w:firstLine="645"/>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9624.07</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  生活补助</w:t>
      </w:r>
      <w:r>
        <w:rPr>
          <w:rFonts w:hint="eastAsia" w:ascii="仿宋" w:hAnsi="仿宋" w:eastAsia="仿宋"/>
          <w:color w:val="auto"/>
          <w:sz w:val="32"/>
          <w:szCs w:val="32"/>
          <w:highlight w:val="none"/>
          <w:lang w:eastAsia="zh-CN"/>
        </w:rPr>
        <w:t>、助学金</w:t>
      </w:r>
      <w:r>
        <w:rPr>
          <w:rFonts w:hint="eastAsia" w:ascii="仿宋" w:hAnsi="仿宋" w:eastAsia="仿宋"/>
          <w:color w:val="auto"/>
          <w:sz w:val="32"/>
          <w:szCs w:val="32"/>
          <w:highlight w:val="none"/>
        </w:rPr>
        <w:t>、奖励金。</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175.69</w:t>
      </w:r>
      <w:r>
        <w:rPr>
          <w:rFonts w:hint="eastAsia" w:ascii="仿宋" w:hAnsi="仿宋" w:eastAsia="仿宋"/>
          <w:color w:val="auto"/>
          <w:sz w:val="32"/>
          <w:szCs w:val="32"/>
          <w:highlight w:val="none"/>
        </w:rPr>
        <w:t>万元，主要包括：办公费、印刷费、邮电费、差旅费、租赁费、培训费、劳务费、委托业务费、工会经费、福利费、其他交通费、其他商品和服务支出</w:t>
      </w:r>
      <w:r>
        <w:rPr>
          <w:rFonts w:hint="eastAsia" w:ascii="仿宋" w:hAnsi="仿宋" w:eastAsia="仿宋"/>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outlineLvl w:val="1"/>
        <w:rPr>
          <w:rStyle w:val="20"/>
          <w:rFonts w:ascii="黑体" w:hAnsi="黑体" w:eastAsia="黑体"/>
          <w:b w:val="0"/>
          <w:color w:val="auto"/>
          <w:highlight w:val="none"/>
        </w:rPr>
      </w:pPr>
      <w:bookmarkStart w:id="73" w:name="_Toc15377215"/>
      <w:bookmarkStart w:id="74" w:name="_Toc27114"/>
      <w:bookmarkStart w:id="75" w:name="_Toc2367"/>
      <w:bookmarkStart w:id="76" w:name="_Toc1539660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73"/>
      <w:bookmarkEnd w:id="74"/>
      <w:bookmarkEnd w:id="75"/>
      <w:bookmarkEnd w:id="76"/>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outlineLvl w:val="2"/>
        <w:rPr>
          <w:rFonts w:ascii="仿宋" w:hAnsi="仿宋" w:eastAsia="仿宋"/>
          <w:b/>
          <w:color w:val="auto"/>
          <w:sz w:val="32"/>
          <w:szCs w:val="32"/>
          <w:highlight w:val="none"/>
        </w:rPr>
      </w:pPr>
      <w:bookmarkStart w:id="77" w:name="_Toc15377216"/>
      <w:r>
        <w:rPr>
          <w:rFonts w:hint="eastAsia" w:ascii="仿宋" w:hAnsi="仿宋" w:eastAsia="仿宋"/>
          <w:b/>
          <w:color w:val="auto"/>
          <w:sz w:val="32"/>
          <w:szCs w:val="32"/>
          <w:highlight w:val="none"/>
        </w:rPr>
        <w:t>（一）“三公”经费财政拨款支出决算总体情况说明</w:t>
      </w:r>
      <w:bookmarkEnd w:id="77"/>
    </w:p>
    <w:p>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年“三公”经费财政拨款支出决算为0万元，</w:t>
      </w:r>
      <w:r>
        <w:rPr>
          <w:rFonts w:hint="eastAsia" w:ascii="仿宋" w:hAnsi="仿宋" w:eastAsia="仿宋"/>
          <w:color w:val="auto"/>
          <w:sz w:val="32"/>
          <w:szCs w:val="32"/>
          <w:highlight w:val="none"/>
          <w:lang w:eastAsia="zh-CN"/>
        </w:rPr>
        <w:t>年初未安排</w:t>
      </w:r>
      <w:r>
        <w:rPr>
          <w:rFonts w:hint="eastAsia" w:ascii="仿宋" w:hAnsi="仿宋" w:eastAsia="仿宋"/>
          <w:color w:val="auto"/>
          <w:sz w:val="32"/>
          <w:szCs w:val="32"/>
          <w:highlight w:val="none"/>
        </w:rPr>
        <w:t>财政拨款支出</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，“三公”经费支出均为财政专户管理资金支出</w:t>
      </w:r>
      <w:r>
        <w:rPr>
          <w:rFonts w:hint="eastAsia" w:ascii="仿宋" w:hAnsi="仿宋" w:eastAsia="仿宋"/>
          <w:color w:val="auto"/>
          <w:sz w:val="32"/>
          <w:szCs w:val="32"/>
          <w:highlight w:val="none"/>
          <w:lang w:eastAsia="zh-CN"/>
        </w:rPr>
        <w:t>，相比</w:t>
      </w:r>
      <w:r>
        <w:rPr>
          <w:rFonts w:hint="eastAsia" w:ascii="仿宋" w:hAnsi="仿宋" w:eastAsia="仿宋"/>
          <w:color w:val="auto"/>
          <w:sz w:val="32"/>
          <w:szCs w:val="32"/>
          <w:highlight w:val="none"/>
          <w:lang w:val="en-US" w:eastAsia="zh-CN"/>
        </w:rPr>
        <w:t>2021年无变化。</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outlineLvl w:val="2"/>
        <w:rPr>
          <w:rFonts w:ascii="仿宋" w:hAnsi="仿宋" w:eastAsia="仿宋"/>
          <w:b/>
          <w:color w:val="auto"/>
          <w:sz w:val="32"/>
          <w:szCs w:val="32"/>
          <w:highlight w:val="none"/>
        </w:rPr>
      </w:pPr>
      <w:bookmarkStart w:id="78" w:name="_Toc15377217"/>
      <w:r>
        <w:rPr>
          <w:rFonts w:hint="eastAsia" w:ascii="仿宋" w:hAnsi="仿宋" w:eastAsia="仿宋"/>
          <w:b/>
          <w:color w:val="auto"/>
          <w:sz w:val="32"/>
          <w:szCs w:val="32"/>
          <w:highlight w:val="none"/>
        </w:rPr>
        <w:t>（二）“三公”经费财政拨款支出决算具体情况说明</w:t>
      </w:r>
      <w:bookmarkEnd w:id="78"/>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年“三公”经费财政拨款支出决算中，因公出国（境）费支出决算0万元；公务用车购置及运行维护费支出决算0万元；公务接待费支出决算0万元</w:t>
      </w:r>
      <w:r>
        <w:rPr>
          <w:rFonts w:hint="eastAsia" w:ascii="仿宋" w:hAnsi="仿宋" w:eastAsia="仿宋"/>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具体情况如下：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color w:val="auto"/>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相</w:t>
      </w:r>
      <w:r>
        <w:rPr>
          <w:rFonts w:hint="eastAsia" w:ascii="仿宋_GB2312" w:eastAsia="仿宋_GB2312"/>
          <w:color w:val="auto"/>
          <w:sz w:val="32"/>
          <w:szCs w:val="32"/>
          <w:highlight w:val="none"/>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年无变化。</w:t>
      </w:r>
      <w:r>
        <w:rPr>
          <w:rFonts w:hint="eastAsia" w:ascii="仿宋_GB2312" w:eastAsia="仿宋_GB2312"/>
          <w:color w:val="auto"/>
          <w:sz w:val="32"/>
          <w:szCs w:val="32"/>
          <w:highlight w:val="none"/>
          <w:lang w:eastAsia="zh-CN"/>
        </w:rPr>
        <w:t>主要原因是我校</w:t>
      </w:r>
      <w:r>
        <w:rPr>
          <w:rFonts w:hint="eastAsia" w:ascii="仿宋_GB2312" w:eastAsia="仿宋_GB2312"/>
          <w:color w:val="auto"/>
          <w:sz w:val="32"/>
          <w:szCs w:val="32"/>
          <w:highlight w:val="none"/>
          <w:lang w:val="en-US" w:eastAsia="zh-CN"/>
        </w:rPr>
        <w:t>2022年未开展因公出国（境）活动。</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w:t>
      </w:r>
      <w:r>
        <w:rPr>
          <w:rFonts w:hint="eastAsia" w:ascii="仿宋" w:hAnsi="仿宋" w:eastAsia="仿宋"/>
          <w:color w:val="auto"/>
          <w:sz w:val="32"/>
          <w:szCs w:val="32"/>
          <w:highlight w:val="none"/>
        </w:rPr>
        <w:t>财政拨款支出</w:t>
      </w:r>
      <w:r>
        <w:rPr>
          <w:rFonts w:hint="eastAsia" w:ascii="仿宋_GB2312" w:eastAsia="仿宋_GB2312"/>
          <w:color w:val="auto"/>
          <w:sz w:val="32"/>
          <w:szCs w:val="32"/>
          <w:highlight w:val="none"/>
          <w:lang w:eastAsia="zh-CN"/>
        </w:rPr>
        <w:t>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相</w:t>
      </w:r>
      <w:r>
        <w:rPr>
          <w:rFonts w:hint="eastAsia" w:ascii="仿宋_GB2312" w:eastAsia="仿宋_GB2312"/>
          <w:color w:val="auto"/>
          <w:sz w:val="32"/>
          <w:szCs w:val="32"/>
          <w:highlight w:val="none"/>
        </w:rPr>
        <w:t>比</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eastAsia="zh-CN"/>
        </w:rPr>
        <w:t>未更新</w:t>
      </w:r>
      <w:r>
        <w:rPr>
          <w:rFonts w:hint="eastAsia" w:ascii="仿宋_GB2312" w:eastAsia="仿宋_GB2312"/>
          <w:color w:val="auto"/>
          <w:sz w:val="32"/>
          <w:szCs w:val="32"/>
          <w:highlight w:val="none"/>
        </w:rPr>
        <w:t>购置公务用车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textAlignment w:val="auto"/>
        <w:rPr>
          <w:rFonts w:hint="eastAsia" w:ascii="仿宋_GB2312" w:eastAsia="仿宋"/>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万元。主要原因</w:t>
      </w:r>
      <w:r>
        <w:rPr>
          <w:rFonts w:hint="eastAsia" w:ascii="仿宋_GB2312" w:eastAsia="仿宋_GB2312"/>
          <w:color w:val="auto"/>
          <w:sz w:val="32"/>
          <w:szCs w:val="32"/>
          <w:highlight w:val="none"/>
          <w:lang w:eastAsia="zh-CN"/>
        </w:rPr>
        <w:t>是</w:t>
      </w:r>
      <w:r>
        <w:rPr>
          <w:rFonts w:hint="eastAsia" w:ascii="仿宋" w:hAnsi="仿宋" w:eastAsia="仿宋"/>
          <w:color w:val="auto"/>
          <w:sz w:val="32"/>
          <w:szCs w:val="32"/>
          <w:highlight w:val="none"/>
        </w:rPr>
        <w:t>我校</w:t>
      </w:r>
      <w:r>
        <w:rPr>
          <w:rFonts w:hint="eastAsia" w:ascii="仿宋" w:hAnsi="仿宋" w:eastAsia="仿宋"/>
          <w:color w:val="auto"/>
          <w:sz w:val="32"/>
          <w:szCs w:val="32"/>
          <w:highlight w:val="none"/>
          <w:lang w:val="en-US" w:eastAsia="zh-CN"/>
        </w:rPr>
        <w:t>2022</w:t>
      </w:r>
      <w:r>
        <w:rPr>
          <w:rFonts w:hint="eastAsia" w:ascii="仿宋_GB2312" w:eastAsia="仿宋_GB2312"/>
          <w:b w:val="0"/>
          <w:bCs/>
          <w:color w:val="auto"/>
          <w:sz w:val="32"/>
          <w:szCs w:val="32"/>
          <w:highlight w:val="none"/>
          <w:lang w:eastAsia="zh-CN"/>
        </w:rPr>
        <w:t>公务用车</w:t>
      </w:r>
      <w:r>
        <w:rPr>
          <w:rFonts w:hint="eastAsia" w:ascii="仿宋_GB2312" w:eastAsia="仿宋_GB2312"/>
          <w:b w:val="0"/>
          <w:bCs/>
          <w:color w:val="auto"/>
          <w:sz w:val="32"/>
          <w:szCs w:val="32"/>
          <w:highlight w:val="none"/>
        </w:rPr>
        <w:t>运行维护费</w:t>
      </w:r>
      <w:r>
        <w:rPr>
          <w:rFonts w:hint="eastAsia" w:ascii="仿宋" w:hAnsi="仿宋" w:eastAsia="仿宋"/>
          <w:color w:val="auto"/>
          <w:sz w:val="32"/>
          <w:szCs w:val="32"/>
          <w:highlight w:val="none"/>
        </w:rPr>
        <w:t>均为财政专户管理资金支出</w:t>
      </w:r>
      <w:r>
        <w:rPr>
          <w:rFonts w:hint="eastAsia" w:ascii="仿宋" w:hAnsi="仿宋" w:eastAsia="仿宋"/>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
          <w:color w:val="auto"/>
          <w:sz w:val="32"/>
          <w:szCs w:val="32"/>
          <w:highlight w:val="none"/>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w:t>
      </w:r>
      <w:r>
        <w:rPr>
          <w:rFonts w:hint="eastAsia" w:ascii="仿宋" w:hAnsi="仿宋" w:eastAsia="仿宋"/>
          <w:color w:val="auto"/>
          <w:sz w:val="32"/>
          <w:szCs w:val="32"/>
          <w:highlight w:val="none"/>
        </w:rPr>
        <w:t>财政拨款支出</w:t>
      </w:r>
      <w:r>
        <w:rPr>
          <w:rFonts w:hint="eastAsia" w:ascii="仿宋_GB2312" w:eastAsia="仿宋_GB2312"/>
          <w:color w:val="auto"/>
          <w:sz w:val="32"/>
          <w:szCs w:val="32"/>
          <w:highlight w:val="none"/>
          <w:lang w:eastAsia="zh-CN"/>
        </w:rPr>
        <w:t>预算，</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相</w:t>
      </w:r>
      <w:r>
        <w:rPr>
          <w:rFonts w:hint="eastAsia" w:ascii="仿宋_GB2312" w:eastAsia="仿宋_GB2312"/>
          <w:color w:val="auto"/>
          <w:sz w:val="32"/>
          <w:szCs w:val="32"/>
          <w:highlight w:val="none"/>
        </w:rPr>
        <w:t>比</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。主要原因</w:t>
      </w:r>
      <w:r>
        <w:rPr>
          <w:rFonts w:hint="eastAsia" w:ascii="仿宋" w:hAnsi="仿宋" w:eastAsia="仿宋"/>
          <w:color w:val="auto"/>
          <w:sz w:val="32"/>
          <w:szCs w:val="32"/>
          <w:highlight w:val="none"/>
        </w:rPr>
        <w:t>我校</w:t>
      </w: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公务接待费</w:t>
      </w:r>
      <w:r>
        <w:rPr>
          <w:rFonts w:hint="eastAsia" w:ascii="仿宋" w:hAnsi="仿宋" w:eastAsia="仿宋"/>
          <w:color w:val="auto"/>
          <w:sz w:val="32"/>
          <w:szCs w:val="32"/>
          <w:highlight w:val="none"/>
        </w:rPr>
        <w:t>均为财政专户管理资金支出</w:t>
      </w:r>
      <w:r>
        <w:rPr>
          <w:rFonts w:hint="eastAsia" w:ascii="仿宋" w:hAnsi="仿宋" w:eastAsia="仿宋"/>
          <w:color w:val="auto"/>
          <w:sz w:val="32"/>
          <w:szCs w:val="32"/>
          <w:highlight w:val="none"/>
          <w:lang w:eastAsia="zh-CN"/>
        </w:rPr>
        <w:t>。</w:t>
      </w:r>
    </w:p>
    <w:p>
      <w:pPr>
        <w:shd w:val="clear"/>
        <w:spacing w:line="600" w:lineRule="exact"/>
        <w:ind w:firstLine="640"/>
        <w:outlineLvl w:val="1"/>
        <w:rPr>
          <w:rStyle w:val="20"/>
          <w:rFonts w:ascii="黑体" w:hAnsi="黑体" w:eastAsia="黑体"/>
          <w:color w:val="auto"/>
          <w:highlight w:val="none"/>
        </w:rPr>
      </w:pPr>
      <w:bookmarkStart w:id="79" w:name="_Toc15377218"/>
      <w:bookmarkStart w:id="80" w:name="_Toc10584"/>
      <w:bookmarkStart w:id="81" w:name="_Toc15396610"/>
      <w:bookmarkStart w:id="82" w:name="_Toc30022"/>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79"/>
      <w:bookmarkEnd w:id="80"/>
      <w:bookmarkEnd w:id="81"/>
      <w:bookmarkEnd w:id="82"/>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743.35</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0"/>
          <w:rFonts w:ascii="黑体" w:hAnsi="黑体" w:eastAsia="黑体"/>
          <w:b w:val="0"/>
          <w:color w:val="auto"/>
          <w:highlight w:val="none"/>
        </w:rPr>
      </w:pPr>
      <w:bookmarkStart w:id="83" w:name="_Toc15396611"/>
      <w:bookmarkStart w:id="84" w:name="_Toc29837"/>
      <w:bookmarkStart w:id="85" w:name="_Toc23801"/>
      <w:bookmarkStart w:id="86" w:name="_Toc15377219"/>
      <w:r>
        <w:rPr>
          <w:rStyle w:val="20"/>
          <w:rFonts w:hint="eastAsia" w:ascii="黑体" w:hAnsi="黑体" w:eastAsia="黑体"/>
          <w:b w:val="0"/>
          <w:color w:val="auto"/>
          <w:highlight w:val="none"/>
        </w:rPr>
        <w:t>国有资本经营预算支出决算情况说明</w:t>
      </w:r>
      <w:bookmarkEnd w:id="83"/>
      <w:bookmarkEnd w:id="84"/>
      <w:bookmarkEnd w:id="85"/>
      <w:bookmarkEnd w:id="86"/>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0"/>
          <w:rFonts w:hint="eastAsia" w:ascii="黑体" w:hAnsi="黑体" w:eastAsia="黑体"/>
          <w:b w:val="0"/>
          <w:color w:val="auto"/>
          <w:highlight w:val="none"/>
        </w:rPr>
      </w:pPr>
      <w:bookmarkStart w:id="87" w:name="_Toc6537"/>
      <w:bookmarkStart w:id="88" w:name="_Toc15396612"/>
      <w:bookmarkStart w:id="89" w:name="_Toc30040"/>
      <w:bookmarkStart w:id="90" w:name="_Toc15377221"/>
      <w:r>
        <w:rPr>
          <w:rStyle w:val="20"/>
          <w:rFonts w:hint="eastAsia" w:ascii="黑体" w:hAnsi="黑体" w:eastAsia="黑体"/>
          <w:b w:val="0"/>
          <w:color w:val="auto"/>
          <w:highlight w:val="none"/>
        </w:rPr>
        <w:t>其他重要事项的情况说明</w:t>
      </w:r>
      <w:bookmarkEnd w:id="87"/>
      <w:bookmarkEnd w:id="88"/>
      <w:bookmarkEnd w:id="89"/>
      <w:bookmarkEnd w:id="90"/>
    </w:p>
    <w:p>
      <w:pPr>
        <w:shd w:val="clear"/>
        <w:spacing w:line="600" w:lineRule="exact"/>
        <w:ind w:firstLine="640" w:firstLineChars="200"/>
        <w:outlineLvl w:val="2"/>
        <w:rPr>
          <w:rFonts w:ascii="仿宋" w:hAnsi="仿宋" w:eastAsia="仿宋"/>
          <w:color w:val="auto"/>
          <w:sz w:val="32"/>
          <w:szCs w:val="32"/>
          <w:highlight w:val="none"/>
        </w:rPr>
      </w:pPr>
      <w:bookmarkStart w:id="91" w:name="_Toc15377222"/>
      <w:r>
        <w:rPr>
          <w:rFonts w:hint="eastAsia" w:ascii="仿宋" w:hAnsi="仿宋" w:eastAsia="仿宋"/>
          <w:b/>
          <w:color w:val="auto"/>
          <w:sz w:val="32"/>
          <w:szCs w:val="32"/>
          <w:highlight w:val="none"/>
        </w:rPr>
        <w:t>（一）机关运行经费支出情况</w:t>
      </w:r>
      <w:bookmarkEnd w:id="91"/>
    </w:p>
    <w:p>
      <w:pPr>
        <w:shd w:val="clea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lang w:eastAsia="zh-CN"/>
        </w:rPr>
      </w:pPr>
      <w:r>
        <w:rPr>
          <w:rFonts w:hint="eastAsia" w:ascii="仿宋" w:hAnsi="仿宋" w:eastAsia="仿宋"/>
          <w:b w:val="0"/>
          <w:bCs/>
          <w:color w:val="auto"/>
          <w:sz w:val="32"/>
          <w:szCs w:val="32"/>
          <w:highlight w:val="none"/>
          <w:lang w:val="en-US" w:eastAsia="zh-CN"/>
        </w:rPr>
        <w:t xml:space="preserve"> 我校2022年未发生机关运行经费支出，与2021年决算数持平。</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92" w:name="_Toc15377223"/>
      <w:r>
        <w:rPr>
          <w:rFonts w:hint="eastAsia" w:ascii="仿宋" w:hAnsi="仿宋" w:eastAsia="仿宋"/>
          <w:b/>
          <w:color w:val="auto"/>
          <w:sz w:val="32"/>
          <w:szCs w:val="32"/>
          <w:highlight w:val="none"/>
        </w:rPr>
        <w:t>（二）政府采购支出情况</w:t>
      </w:r>
      <w:bookmarkEnd w:id="92"/>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川北幼儿师范高等专科学校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1205.47</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774.9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133.51</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297.05</w:t>
      </w:r>
      <w:r>
        <w:rPr>
          <w:rFonts w:hint="eastAsia" w:ascii="仿宋_GB2312" w:eastAsia="仿宋_GB2312"/>
          <w:color w:val="auto"/>
          <w:sz w:val="32"/>
          <w:szCs w:val="32"/>
          <w:highlight w:val="none"/>
        </w:rPr>
        <w:t>万元。主要用于学校</w:t>
      </w:r>
      <w:r>
        <w:rPr>
          <w:rFonts w:hint="eastAsia" w:ascii="仿宋_GB2312" w:eastAsia="仿宋_GB2312"/>
          <w:color w:val="auto"/>
          <w:sz w:val="32"/>
          <w:szCs w:val="32"/>
          <w:highlight w:val="none"/>
          <w:lang w:eastAsia="zh-CN"/>
        </w:rPr>
        <w:t>物业管理服务、保安服务</w:t>
      </w:r>
      <w:r>
        <w:rPr>
          <w:rFonts w:hint="eastAsia" w:ascii="仿宋_GB2312" w:eastAsia="仿宋_GB2312"/>
          <w:color w:val="auto"/>
          <w:sz w:val="32"/>
          <w:szCs w:val="32"/>
          <w:highlight w:val="none"/>
        </w:rPr>
        <w:t>、教学</w:t>
      </w:r>
      <w:r>
        <w:rPr>
          <w:rFonts w:hint="eastAsia" w:ascii="仿宋_GB2312" w:eastAsia="仿宋_GB2312"/>
          <w:color w:val="auto"/>
          <w:sz w:val="32"/>
          <w:szCs w:val="32"/>
          <w:highlight w:val="none"/>
          <w:lang w:eastAsia="zh-CN"/>
        </w:rPr>
        <w:t>保障</w:t>
      </w:r>
      <w:r>
        <w:rPr>
          <w:rFonts w:ascii="仿宋_GB2312" w:eastAsia="仿宋_GB2312"/>
          <w:color w:val="auto"/>
          <w:sz w:val="32"/>
          <w:szCs w:val="32"/>
          <w:highlight w:val="none"/>
        </w:rPr>
        <w:t>设备</w:t>
      </w:r>
      <w:r>
        <w:rPr>
          <w:rFonts w:hint="eastAsia" w:ascii="仿宋_GB2312" w:eastAsia="仿宋_GB2312"/>
          <w:color w:val="auto"/>
          <w:sz w:val="32"/>
          <w:szCs w:val="32"/>
          <w:highlight w:val="none"/>
          <w:lang w:eastAsia="zh-CN"/>
        </w:rPr>
        <w:t>购置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实训室建设、</w:t>
      </w:r>
      <w:r>
        <w:rPr>
          <w:rFonts w:ascii="仿宋_GB2312" w:eastAsia="仿宋_GB2312"/>
          <w:color w:val="auto"/>
          <w:sz w:val="32"/>
          <w:szCs w:val="32"/>
          <w:highlight w:val="none"/>
        </w:rPr>
        <w:t>信息化软件</w:t>
      </w:r>
      <w:r>
        <w:rPr>
          <w:rFonts w:hint="eastAsia" w:ascii="仿宋_GB2312" w:eastAsia="仿宋_GB2312"/>
          <w:color w:val="auto"/>
          <w:sz w:val="32"/>
          <w:szCs w:val="32"/>
          <w:highlight w:val="none"/>
          <w:lang w:eastAsia="zh-CN"/>
        </w:rPr>
        <w:t>购置、图书购置、校园主干道改造</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支出</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1155.77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95.9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1025.22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85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93" w:name="_Toc15377224"/>
      <w:r>
        <w:rPr>
          <w:rFonts w:hint="eastAsia" w:ascii="仿宋" w:hAnsi="仿宋" w:eastAsia="仿宋"/>
          <w:b/>
          <w:color w:val="auto"/>
          <w:sz w:val="32"/>
          <w:szCs w:val="32"/>
          <w:highlight w:val="none"/>
        </w:rPr>
        <w:t>（三）国有资产占有使用情况</w:t>
      </w:r>
      <w:bookmarkEnd w:id="93"/>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川北幼儿师范高等专科学校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b w:val="0"/>
          <w:bCs w:val="0"/>
          <w:color w:val="auto"/>
          <w:sz w:val="32"/>
          <w:szCs w:val="32"/>
          <w:highlight w:val="none"/>
          <w:lang w:eastAsia="zh-CN"/>
        </w:rPr>
        <w:t>均为其他用车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eastAsia="仿宋_GB2312"/>
          <w:b w:val="0"/>
          <w:bCs w:val="0"/>
          <w:color w:val="auto"/>
          <w:sz w:val="32"/>
          <w:szCs w:val="32"/>
          <w:highlight w:val="none"/>
          <w:lang w:eastAsia="zh-CN"/>
        </w:rPr>
        <w:t>招生宣传、学生实习实训、教学调研、技能大赛、乡村振兴等业务活动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智慧图书馆建设、校园主干道建设、中小学幼儿园教师国家级培训等</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shd w:val="clea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组织对2022年度一般公共预算、政府性基金预算等全面开展绩效自评，形成</w:t>
      </w:r>
      <w:r>
        <w:rPr>
          <w:rFonts w:hint="eastAsia" w:ascii="仿宋_GB2312" w:hAnsi="仿宋_GB2312" w:eastAsia="仿宋_GB2312" w:cs="仿宋_GB2312"/>
          <w:color w:val="auto"/>
          <w:sz w:val="32"/>
          <w:szCs w:val="32"/>
          <w:highlight w:val="none"/>
          <w:lang w:eastAsia="zh-CN"/>
        </w:rPr>
        <w:t>川北幼儿师范高等专科学校</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宋体" w:eastAsia="仿宋_GB2312" w:cs="宋体"/>
          <w:color w:val="auto"/>
          <w:kern w:val="0"/>
          <w:sz w:val="32"/>
          <w:szCs w:val="32"/>
          <w:highlight w:val="none"/>
          <w:lang w:val="en-US" w:eastAsia="zh-CN"/>
        </w:rPr>
        <w:t>2022年省级高校共建与发展专项资金、2022年高层次人才工作补助</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专项预算项目绩效自评报告</w:t>
      </w:r>
      <w:r>
        <w:rPr>
          <w:rFonts w:hint="eastAsia" w:ascii="仿宋_GB2312" w:hAnsi="仿宋_GB2312" w:eastAsia="仿宋_GB2312" w:cs="仿宋_GB2312"/>
          <w:color w:val="auto"/>
          <w:sz w:val="32"/>
          <w:szCs w:val="32"/>
          <w:highlight w:val="none"/>
          <w:lang w:eastAsia="zh-CN"/>
        </w:rPr>
        <w:t>。其中：</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川北幼儿师范高等专科学校</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rPr>
        <w:t>分，学校</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认真编制部门预算，预算完成情况较好，不断健全内部控制制度，进一步加强财务和资产管理，推进财务信息公开，不定时接受市教育局、市财政局以及其他上级部门的监督和检查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对于审计和各类检查反馈的问题，我校积极整改落实，提高资金使用效益，促进学校良性</w:t>
      </w:r>
      <w:r>
        <w:rPr>
          <w:rFonts w:hint="eastAsia" w:ascii="仿宋_GB2312" w:hAnsi="仿宋_GB2312" w:eastAsia="仿宋_GB2312" w:cs="仿宋_GB2312"/>
          <w:color w:val="auto"/>
          <w:sz w:val="32"/>
          <w:szCs w:val="32"/>
          <w:highlight w:val="none"/>
          <w:lang w:eastAsia="zh-CN"/>
        </w:rPr>
        <w:t>可持续发展。</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宋体" w:eastAsia="仿宋_GB2312" w:cs="宋体"/>
          <w:color w:val="auto"/>
          <w:kern w:val="0"/>
          <w:sz w:val="32"/>
          <w:szCs w:val="32"/>
          <w:highlight w:val="none"/>
          <w:lang w:val="en-US" w:eastAsia="zh-CN"/>
        </w:rPr>
        <w:t>2022年省级高校共建与发展专项资金-公费师范生培训补助经费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该专项资金</w:t>
      </w:r>
      <w:r>
        <w:rPr>
          <w:rFonts w:hint="eastAsia" w:ascii="仿宋_GB2312" w:hAnsi="宋体" w:eastAsia="仿宋_GB2312"/>
          <w:b w:val="0"/>
          <w:bCs w:val="0"/>
          <w:color w:val="auto"/>
          <w:sz w:val="32"/>
          <w:szCs w:val="32"/>
          <w:highlight w:val="none"/>
          <w:lang w:val="zh-CN"/>
        </w:rPr>
        <w:t>严格按照文件要求，及时、足额发放补助资金。项目设定数量指标全部完成，应评选的受奖受助学生人数达到年度指标值，未截留指标，有效减轻了贫困学生家庭负担</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宋体" w:eastAsia="仿宋_GB2312" w:cs="宋体"/>
          <w:color w:val="auto"/>
          <w:kern w:val="0"/>
          <w:sz w:val="32"/>
          <w:szCs w:val="32"/>
          <w:highlight w:val="none"/>
          <w:lang w:val="en-US" w:eastAsia="zh-CN"/>
        </w:rPr>
        <w:t>2022年省级高校共建与发展专项资金-困难毕业生就业帮扶经费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，该专项资金</w:t>
      </w:r>
      <w:r>
        <w:rPr>
          <w:rFonts w:hint="eastAsia" w:ascii="仿宋" w:hAnsi="仿宋" w:eastAsia="仿宋" w:cs="仿宋"/>
          <w:color w:val="auto"/>
          <w:sz w:val="32"/>
          <w:szCs w:val="32"/>
          <w:highlight w:val="none"/>
          <w:lang w:val="en-US" w:eastAsia="zh-CN"/>
        </w:rPr>
        <w:t>有序开展，295名2022届困难大学生的就业帮扶补助全部拨付到位，有效缓解了家庭经济困难毕业生的经济压力，并帮助其顺利就业。</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_GB2312" w:hAnsi="宋体" w:eastAsia="仿宋_GB2312" w:cs="宋体"/>
          <w:color w:val="auto"/>
          <w:kern w:val="0"/>
          <w:sz w:val="32"/>
          <w:szCs w:val="32"/>
          <w:highlight w:val="none"/>
          <w:lang w:val="en-US" w:eastAsia="zh-CN"/>
        </w:rPr>
        <w:t>2022年高层次人才工作补助</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91</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，该专项资金有序开展，</w:t>
      </w:r>
      <w:r>
        <w:rPr>
          <w:rFonts w:hint="eastAsia" w:ascii="仿宋_GB2312" w:hAnsi="宋体" w:eastAsia="仿宋_GB2312" w:cs="Times New Roman"/>
          <w:color w:val="auto"/>
          <w:sz w:val="32"/>
          <w:szCs w:val="32"/>
          <w:highlight w:val="none"/>
        </w:rPr>
        <w:t>学校专任教师等师资队伍进一步壮大，学历、年龄结构进一步优化提升，为实现学校办好一流幼专、创建学前师范学院提供了人才保障</w:t>
      </w:r>
      <w:r>
        <w:rPr>
          <w:rFonts w:hint="eastAsia" w:ascii="仿宋_GB2312" w:hAnsi="宋体" w:eastAsia="仿宋_GB2312" w:cs="Times New Roman"/>
          <w:color w:val="auto"/>
          <w:sz w:val="32"/>
          <w:szCs w:val="32"/>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宋体" w:eastAsia="仿宋_GB2312" w:cs="宋体"/>
          <w:color w:val="auto"/>
          <w:kern w:val="0"/>
          <w:sz w:val="32"/>
          <w:szCs w:val="32"/>
          <w:highlight w:val="none"/>
          <w:lang w:val="en-US" w:eastAsia="zh-CN"/>
        </w:rPr>
        <w:t>2022年名师工作经费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80分，</w:t>
      </w:r>
      <w:r>
        <w:rPr>
          <w:rFonts w:hint="eastAsia" w:ascii="仿宋_GB2312" w:hAnsi="仿宋_GB2312" w:eastAsia="仿宋_GB2312" w:cs="仿宋_GB2312"/>
          <w:color w:val="auto"/>
          <w:sz w:val="32"/>
          <w:szCs w:val="32"/>
          <w:highlight w:val="none"/>
          <w:lang w:eastAsia="zh-CN"/>
        </w:rPr>
        <w:t>该专项资金有效实施，</w:t>
      </w:r>
      <w:r>
        <w:rPr>
          <w:rFonts w:hint="eastAsia" w:ascii="仿宋_GB2312" w:hAnsi="仿宋_GB2312" w:eastAsia="仿宋_GB2312" w:cs="仿宋_GB2312"/>
          <w:color w:val="auto"/>
          <w:kern w:val="0"/>
          <w:sz w:val="32"/>
          <w:szCs w:val="32"/>
          <w:highlight w:val="none"/>
          <w:shd w:val="clear" w:color="auto" w:fill="FFFFFF"/>
          <w:lang w:val="zh-CN"/>
        </w:rPr>
        <w:t>充分激励了我校罗勇、李德广两位广元名师的工作激情和热情，为学校教育高质量发展奠定坚实的师资基础。</w:t>
      </w:r>
    </w:p>
    <w:p>
      <w:pPr>
        <w:shd w:val="clear"/>
        <w:spacing w:line="580" w:lineRule="exact"/>
        <w:ind w:firstLine="640" w:firstLineChars="200"/>
        <w:jc w:val="left"/>
        <w:rPr>
          <w:rFonts w:hint="default" w:ascii="仿宋_GB2312" w:hAnsi="宋体" w:eastAsia="仿宋_GB2312" w:cs="宋体"/>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2022广元市市科技拔尖人才岗位激励奖</w:t>
      </w:r>
      <w:r>
        <w:rPr>
          <w:rFonts w:hint="eastAsia" w:ascii="仿宋_GB2312" w:hAnsi="仿宋_GB2312" w:eastAsia="仿宋_GB2312" w:cs="仿宋_GB2312"/>
          <w:color w:val="auto"/>
          <w:sz w:val="32"/>
          <w:szCs w:val="32"/>
          <w:highlight w:val="none"/>
        </w:rPr>
        <w:t>专项预算项目绩效自评得分</w:t>
      </w:r>
      <w:r>
        <w:rPr>
          <w:rFonts w:hint="eastAsia" w:ascii="仿宋_GB2312" w:hAnsi="仿宋_GB2312" w:eastAsia="仿宋_GB2312" w:cs="仿宋_GB2312"/>
          <w:color w:val="auto"/>
          <w:sz w:val="32"/>
          <w:szCs w:val="32"/>
          <w:highlight w:val="none"/>
          <w:lang w:val="en-US" w:eastAsia="zh-CN"/>
        </w:rPr>
        <w:t>90分，</w:t>
      </w:r>
      <w:r>
        <w:rPr>
          <w:rFonts w:hint="eastAsia" w:ascii="仿宋_GB2312" w:hAnsi="仿宋_GB2312" w:eastAsia="仿宋_GB2312" w:cs="仿宋_GB2312"/>
          <w:color w:val="auto"/>
          <w:sz w:val="32"/>
          <w:szCs w:val="32"/>
          <w:highlight w:val="none"/>
          <w:lang w:eastAsia="zh-CN"/>
        </w:rPr>
        <w:t>该专项资金有效实施，</w:t>
      </w:r>
      <w:r>
        <w:rPr>
          <w:rFonts w:hint="eastAsia" w:ascii="仿宋_GB2312" w:hAnsi="Times New Roman" w:eastAsia="仿宋_GB2312" w:cs="Times New Roman"/>
          <w:color w:val="auto"/>
          <w:kern w:val="0"/>
          <w:sz w:val="32"/>
          <w:szCs w:val="32"/>
          <w:highlight w:val="none"/>
          <w:shd w:val="clear" w:color="auto" w:fill="FFFFFF"/>
        </w:rPr>
        <w:t>充分激励了我校曹斌、闫宝荣两位市科技拔尖人才的工作激情和热情，</w:t>
      </w:r>
      <w:r>
        <w:rPr>
          <w:rFonts w:hint="eastAsia" w:ascii="仿宋_GB2312" w:hAnsi="仿宋_GB2312" w:eastAsia="仿宋_GB2312" w:cs="仿宋_GB2312"/>
          <w:color w:val="auto"/>
          <w:kern w:val="0"/>
          <w:sz w:val="32"/>
          <w:szCs w:val="32"/>
          <w:highlight w:val="none"/>
          <w:shd w:val="clear" w:color="auto" w:fill="FFFFFF"/>
          <w:lang w:val="zh-CN"/>
        </w:rPr>
        <w:t>为我市经济社会高质量发展积极贡献智慧和力量</w:t>
      </w:r>
      <w:r>
        <w:rPr>
          <w:rFonts w:hint="eastAsia" w:ascii="仿宋_GB2312" w:eastAsia="仿宋_GB2312" w:cs="Times New Roman"/>
          <w:color w:val="auto"/>
          <w:kern w:val="0"/>
          <w:sz w:val="32"/>
          <w:szCs w:val="32"/>
          <w:highlight w:val="none"/>
          <w:shd w:val="clear" w:color="auto" w:fill="FFFFFF"/>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绩效自评报告详见附件</w:t>
      </w:r>
      <w:r>
        <w:rPr>
          <w:rFonts w:hint="eastAsia" w:ascii="仿宋_GB2312" w:hAnsi="仿宋_GB2312" w:eastAsia="仿宋_GB2312" w:cs="仿宋_GB2312"/>
          <w:color w:val="auto"/>
          <w:sz w:val="32"/>
          <w:szCs w:val="32"/>
          <w:highlight w:val="none"/>
          <w:lang w:eastAsia="zh-CN"/>
        </w:rPr>
        <w:t>。</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pStyle w:val="2"/>
        <w:shd w:val="clear"/>
        <w:ind w:left="0" w:leftChars="0" w:firstLine="0" w:firstLineChars="0"/>
        <w:rPr>
          <w:rFonts w:hint="eastAsia"/>
          <w:color w:val="auto"/>
          <w:highlight w:val="none"/>
        </w:rPr>
      </w:pPr>
    </w:p>
    <w:p>
      <w:pPr>
        <w:numPr>
          <w:ilvl w:val="0"/>
          <w:numId w:val="5"/>
        </w:numPr>
        <w:shd w:val="clear"/>
        <w:spacing w:line="600" w:lineRule="exact"/>
        <w:ind w:firstLine="660" w:firstLineChars="150"/>
        <w:jc w:val="center"/>
        <w:outlineLvl w:val="0"/>
        <w:rPr>
          <w:rStyle w:val="19"/>
          <w:rFonts w:ascii="黑体" w:hAnsi="黑体" w:eastAsia="黑体"/>
          <w:b w:val="0"/>
          <w:color w:val="auto"/>
          <w:highlight w:val="none"/>
        </w:rPr>
      </w:pPr>
      <w:bookmarkStart w:id="94" w:name="_Toc15377225"/>
      <w:bookmarkStart w:id="95" w:name="_Toc15396613"/>
      <w:bookmarkStart w:id="96" w:name="_Toc5615"/>
      <w:bookmarkStart w:id="97" w:name="_Toc238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94"/>
      <w:bookmarkEnd w:id="95"/>
      <w:bookmarkEnd w:id="96"/>
      <w:bookmarkEnd w:id="97"/>
    </w:p>
    <w:p>
      <w:pPr>
        <w:shd w:val="clear"/>
        <w:spacing w:line="600" w:lineRule="exact"/>
        <w:jc w:val="left"/>
        <w:rPr>
          <w:rFonts w:ascii="宋体"/>
          <w:b/>
          <w:color w:val="auto"/>
          <w:sz w:val="44"/>
          <w:szCs w:val="44"/>
          <w:highlight w:val="none"/>
        </w:rPr>
      </w:pPr>
    </w:p>
    <w:p>
      <w:pPr>
        <w:pStyle w:val="29"/>
        <w:numPr>
          <w:ilvl w:val="0"/>
          <w:numId w:val="6"/>
        </w:numPr>
        <w:shd w:val="clear"/>
        <w:spacing w:line="560" w:lineRule="exact"/>
        <w:ind w:left="0" w:leftChars="0" w:firstLine="400" w:firstLineChars="0"/>
        <w:outlineLvl w:val="1"/>
        <w:rPr>
          <w:rFonts w:ascii="仿宋_GB2312" w:eastAsia="仿宋_GB2312"/>
          <w:color w:val="auto"/>
          <w:sz w:val="32"/>
          <w:szCs w:val="32"/>
          <w:highlight w:val="none"/>
        </w:rPr>
      </w:pPr>
      <w:bookmarkStart w:id="98" w:name="_Toc8490"/>
      <w:bookmarkStart w:id="99" w:name="_Toc30211"/>
      <w:r>
        <w:rPr>
          <w:rFonts w:hint="eastAsia" w:ascii="仿宋_GB2312" w:eastAsia="仿宋_GB2312"/>
          <w:color w:val="auto"/>
          <w:sz w:val="32"/>
          <w:szCs w:val="32"/>
          <w:highlight w:val="none"/>
        </w:rPr>
        <w:t>财政拨款收入：指单位从同级财政部门取得的财政预算资金。</w:t>
      </w:r>
      <w:bookmarkEnd w:id="98"/>
      <w:bookmarkEnd w:id="99"/>
    </w:p>
    <w:p>
      <w:pPr>
        <w:pStyle w:val="29"/>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事业收入：指事业单位开展专业业务活动及辅助活动取得的收入。如学费、住宿费</w:t>
      </w:r>
      <w:r>
        <w:rPr>
          <w:rFonts w:ascii="仿宋_GB2312" w:eastAsia="仿宋_GB2312"/>
          <w:color w:val="auto"/>
          <w:sz w:val="32"/>
          <w:szCs w:val="32"/>
          <w:highlight w:val="none"/>
        </w:rPr>
        <w:t>、短期培训费</w:t>
      </w:r>
      <w:r>
        <w:rPr>
          <w:rFonts w:hint="eastAsia" w:ascii="仿宋_GB2312" w:eastAsia="仿宋_GB2312"/>
          <w:color w:val="auto"/>
          <w:sz w:val="32"/>
          <w:szCs w:val="32"/>
          <w:highlight w:val="none"/>
        </w:rPr>
        <w:t>等。</w:t>
      </w:r>
    </w:p>
    <w:p>
      <w:pPr>
        <w:pStyle w:val="29"/>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9"/>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6"/>
        </w:numPr>
        <w:shd w:val="clear"/>
        <w:spacing w:line="560" w:lineRule="exact"/>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教育（类）职业教育（款）中等职业教育（项）：指各部门（不含人力资源社会保障部门）举办的中等职业教育支出。</w:t>
      </w:r>
    </w:p>
    <w:p>
      <w:pPr>
        <w:numPr>
          <w:ilvl w:val="0"/>
          <w:numId w:val="6"/>
        </w:numPr>
        <w:shd w:val="clear"/>
        <w:spacing w:line="560" w:lineRule="exact"/>
        <w:ind w:left="0" w:leftChars="0" w:firstLine="400" w:firstLineChars="0"/>
        <w:rPr>
          <w:rFonts w:hint="eastAsia" w:ascii="仿宋_GB2312" w:hAnsi="Calibri" w:eastAsia="仿宋_GB2312" w:cs="仿宋"/>
          <w:color w:val="auto"/>
          <w:kern w:val="0"/>
          <w:sz w:val="32"/>
          <w:szCs w:val="32"/>
          <w:highlight w:val="none"/>
          <w:lang w:eastAsia="zh-CN"/>
        </w:rPr>
      </w:pPr>
      <w:r>
        <w:rPr>
          <w:rFonts w:ascii="仿宋_GB2312" w:hAnsi="Calibri" w:eastAsia="仿宋_GB2312" w:cs="仿宋"/>
          <w:color w:val="auto"/>
          <w:kern w:val="0"/>
          <w:sz w:val="32"/>
          <w:szCs w:val="32"/>
          <w:highlight w:val="none"/>
        </w:rPr>
        <w:t>教育（类）职业教育（款）高等职业教育（项）：</w:t>
      </w:r>
      <w:r>
        <w:rPr>
          <w:rFonts w:hint="eastAsia" w:ascii="仿宋_GB2312" w:hAnsi="Calibri" w:eastAsia="仿宋_GB2312" w:cs="仿宋"/>
          <w:color w:val="auto"/>
          <w:kern w:val="0"/>
          <w:sz w:val="32"/>
          <w:szCs w:val="32"/>
          <w:highlight w:val="none"/>
          <w:lang w:eastAsia="zh-CN"/>
        </w:rPr>
        <w:t>指各部门举办的本科、专科层次职业教育支出。</w:t>
      </w:r>
    </w:p>
    <w:p>
      <w:pPr>
        <w:numPr>
          <w:ilvl w:val="0"/>
          <w:numId w:val="6"/>
        </w:numPr>
        <w:shd w:val="clear"/>
        <w:spacing w:line="560" w:lineRule="exact"/>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社会保障和就业（类）人力资源和社会保障管理事务（款）其他人力资源和社会保障管理事务支出（项）：指其他用于人力资源和社会保障管理事务方面的支出。</w:t>
      </w:r>
    </w:p>
    <w:p>
      <w:pPr>
        <w:numPr>
          <w:ilvl w:val="0"/>
          <w:numId w:val="6"/>
        </w:numPr>
        <w:shd w:val="clear"/>
        <w:spacing w:line="560" w:lineRule="exact"/>
        <w:ind w:left="0" w:leftChars="0" w:firstLine="400" w:firstLineChars="0"/>
        <w:rPr>
          <w:rFonts w:hint="default" w:ascii="仿宋_GB2312" w:eastAsia="仿宋_GB2312"/>
          <w:color w:val="auto"/>
          <w:sz w:val="32"/>
          <w:szCs w:val="32"/>
          <w:highlight w:val="none"/>
          <w:lang w:val="en-US" w:eastAsia="zh-CN"/>
        </w:rPr>
      </w:pPr>
      <w:r>
        <w:rPr>
          <w:rFonts w:ascii="仿宋_GB2312" w:hAnsi="Calibri" w:eastAsia="仿宋_GB2312" w:cs="仿宋"/>
          <w:color w:val="auto"/>
          <w:kern w:val="0"/>
          <w:sz w:val="32"/>
          <w:szCs w:val="32"/>
          <w:highlight w:val="none"/>
        </w:rPr>
        <w:t>社会保障和就业（类）</w:t>
      </w:r>
      <w:r>
        <w:rPr>
          <w:rFonts w:hint="eastAsia" w:ascii="仿宋_GB2312" w:hAnsi="Calibri" w:eastAsia="仿宋_GB2312" w:cs="仿宋"/>
          <w:color w:val="auto"/>
          <w:kern w:val="0"/>
          <w:sz w:val="32"/>
          <w:szCs w:val="32"/>
          <w:highlight w:val="none"/>
        </w:rPr>
        <w:t>行政事业单位养老支出</w:t>
      </w:r>
      <w:r>
        <w:rPr>
          <w:rFonts w:ascii="仿宋_GB2312" w:hAnsi="Calibri" w:eastAsia="仿宋_GB2312" w:cs="仿宋"/>
          <w:color w:val="auto"/>
          <w:kern w:val="0"/>
          <w:sz w:val="32"/>
          <w:szCs w:val="32"/>
          <w:highlight w:val="none"/>
        </w:rPr>
        <w:t>（款）</w:t>
      </w:r>
      <w:r>
        <w:rPr>
          <w:rFonts w:hint="eastAsia" w:ascii="仿宋_GB2312" w:hAnsi="Calibri" w:eastAsia="仿宋_GB2312" w:cs="仿宋"/>
          <w:color w:val="auto"/>
          <w:kern w:val="0"/>
          <w:sz w:val="32"/>
          <w:szCs w:val="32"/>
          <w:highlight w:val="none"/>
          <w:lang w:eastAsia="zh-CN"/>
        </w:rPr>
        <w:t>行政单位离退休（项）：指行政单位（包括实行公务员管理的事业单位）开支的离退休经费。</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r>
        <w:rPr>
          <w:rFonts w:ascii="仿宋_GB2312" w:hAnsi="Calibri" w:eastAsia="仿宋_GB2312" w:cs="仿宋"/>
          <w:color w:val="auto"/>
          <w:kern w:val="0"/>
          <w:sz w:val="32"/>
          <w:szCs w:val="32"/>
          <w:highlight w:val="none"/>
        </w:rPr>
        <w:t>社会保障和就业（类）</w:t>
      </w:r>
      <w:r>
        <w:rPr>
          <w:rFonts w:hint="eastAsia" w:ascii="仿宋_GB2312" w:hAnsi="Calibri" w:eastAsia="仿宋_GB2312" w:cs="仿宋"/>
          <w:color w:val="auto"/>
          <w:kern w:val="0"/>
          <w:sz w:val="32"/>
          <w:szCs w:val="32"/>
          <w:highlight w:val="none"/>
        </w:rPr>
        <w:t>行政事业单位养老支出</w:t>
      </w:r>
      <w:r>
        <w:rPr>
          <w:rFonts w:ascii="仿宋_GB2312" w:hAnsi="Calibri" w:eastAsia="仿宋_GB2312" w:cs="仿宋"/>
          <w:color w:val="auto"/>
          <w:kern w:val="0"/>
          <w:sz w:val="32"/>
          <w:szCs w:val="32"/>
          <w:highlight w:val="none"/>
        </w:rPr>
        <w:t>（款）机关事业单位基本养老保险缴费支出（项）：指机关事业单位实施养老保险制度由单位缴纳的基本养老保险费支出。</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r>
        <w:rPr>
          <w:rFonts w:ascii="仿宋_GB2312" w:hAnsi="Calibri" w:eastAsia="仿宋_GB2312" w:cs="仿宋"/>
          <w:color w:val="auto"/>
          <w:kern w:val="0"/>
          <w:sz w:val="32"/>
          <w:szCs w:val="32"/>
          <w:highlight w:val="none"/>
        </w:rPr>
        <w:t>社会保障和就业（类）</w:t>
      </w:r>
      <w:r>
        <w:rPr>
          <w:rFonts w:hint="eastAsia" w:ascii="仿宋_GB2312" w:hAnsi="Calibri" w:eastAsia="仿宋_GB2312" w:cs="仿宋"/>
          <w:color w:val="auto"/>
          <w:kern w:val="0"/>
          <w:sz w:val="32"/>
          <w:szCs w:val="32"/>
          <w:highlight w:val="none"/>
        </w:rPr>
        <w:t>行政事业单位养老支出</w:t>
      </w:r>
      <w:r>
        <w:rPr>
          <w:rFonts w:ascii="仿宋_GB2312" w:hAnsi="Calibri" w:eastAsia="仿宋_GB2312" w:cs="仿宋"/>
          <w:color w:val="auto"/>
          <w:kern w:val="0"/>
          <w:sz w:val="32"/>
          <w:szCs w:val="32"/>
          <w:highlight w:val="none"/>
        </w:rPr>
        <w:t>（款）</w:t>
      </w:r>
      <w:r>
        <w:rPr>
          <w:rFonts w:hint="eastAsia" w:ascii="仿宋_GB2312" w:hAnsi="Calibri" w:eastAsia="仿宋_GB2312" w:cs="仿宋"/>
          <w:color w:val="auto"/>
          <w:kern w:val="0"/>
          <w:sz w:val="32"/>
          <w:szCs w:val="32"/>
          <w:highlight w:val="none"/>
          <w:lang w:eastAsia="zh-CN"/>
        </w:rPr>
        <w:t>机关事业单位职业年金缴费支出</w:t>
      </w:r>
      <w:r>
        <w:rPr>
          <w:rFonts w:ascii="仿宋_GB2312" w:hAnsi="Calibri" w:eastAsia="仿宋_GB2312" w:cs="仿宋"/>
          <w:color w:val="auto"/>
          <w:kern w:val="0"/>
          <w:sz w:val="32"/>
          <w:szCs w:val="32"/>
          <w:highlight w:val="none"/>
        </w:rPr>
        <w:t>（项）：指机关事业单位实施养老保险制度由单位</w:t>
      </w:r>
      <w:r>
        <w:rPr>
          <w:rFonts w:hint="eastAsia" w:ascii="仿宋_GB2312" w:hAnsi="Calibri" w:eastAsia="仿宋_GB2312" w:cs="仿宋"/>
          <w:color w:val="auto"/>
          <w:kern w:val="0"/>
          <w:sz w:val="32"/>
          <w:szCs w:val="32"/>
          <w:highlight w:val="none"/>
          <w:lang w:eastAsia="zh-CN"/>
        </w:rPr>
        <w:t>实际</w:t>
      </w:r>
      <w:r>
        <w:rPr>
          <w:rFonts w:ascii="仿宋_GB2312" w:hAnsi="Calibri" w:eastAsia="仿宋_GB2312" w:cs="仿宋"/>
          <w:color w:val="auto"/>
          <w:kern w:val="0"/>
          <w:sz w:val="32"/>
          <w:szCs w:val="32"/>
          <w:highlight w:val="none"/>
        </w:rPr>
        <w:t>缴纳的</w:t>
      </w:r>
      <w:r>
        <w:rPr>
          <w:rFonts w:hint="eastAsia" w:ascii="仿宋_GB2312" w:hAnsi="Calibri" w:eastAsia="仿宋_GB2312" w:cs="仿宋"/>
          <w:color w:val="auto"/>
          <w:kern w:val="0"/>
          <w:sz w:val="32"/>
          <w:szCs w:val="32"/>
          <w:highlight w:val="none"/>
          <w:lang w:eastAsia="zh-CN"/>
        </w:rPr>
        <w:t>职业年金</w:t>
      </w:r>
      <w:r>
        <w:rPr>
          <w:rFonts w:ascii="仿宋_GB2312" w:hAnsi="Calibri" w:eastAsia="仿宋_GB2312" w:cs="仿宋"/>
          <w:color w:val="auto"/>
          <w:kern w:val="0"/>
          <w:sz w:val="32"/>
          <w:szCs w:val="32"/>
          <w:highlight w:val="none"/>
        </w:rPr>
        <w:t>支出。</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lang w:val="en-US" w:eastAsia="zh-CN" w:bidi="ar-SA"/>
        </w:rPr>
        <w:t>社会保障和就业（类）其他社会保障和就业支出（款）  其他社会保障和就业支出（项）：</w:t>
      </w:r>
      <w:r>
        <w:rPr>
          <w:rFonts w:hint="eastAsia" w:ascii="仿宋_GB2312" w:hAnsi="Calibri" w:eastAsia="仿宋_GB2312" w:cs="仿宋"/>
          <w:color w:val="auto"/>
          <w:kern w:val="0"/>
          <w:sz w:val="32"/>
          <w:szCs w:val="32"/>
          <w:highlight w:val="none"/>
          <w:lang w:val="en-US" w:eastAsia="zh-CN" w:bidi="ar-SA"/>
          <w:woUserID w:val="1"/>
        </w:rPr>
        <w:t xml:space="preserve">指其他用于社会保障和就业方面的支出。 </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lang w:eastAsia="zh-CN"/>
        </w:rPr>
        <w:t>卫生健康支出</w:t>
      </w:r>
      <w:r>
        <w:rPr>
          <w:rFonts w:ascii="仿宋_GB2312" w:hAnsi="Calibri" w:eastAsia="仿宋_GB2312" w:cs="仿宋"/>
          <w:color w:val="auto"/>
          <w:kern w:val="0"/>
          <w:sz w:val="32"/>
          <w:szCs w:val="32"/>
          <w:highlight w:val="none"/>
        </w:rPr>
        <w:t>（类）</w:t>
      </w:r>
      <w:r>
        <w:rPr>
          <w:rFonts w:hint="eastAsia" w:ascii="仿宋_GB2312" w:hAnsi="Calibri" w:eastAsia="仿宋_GB2312" w:cs="仿宋"/>
          <w:color w:val="auto"/>
          <w:kern w:val="0"/>
          <w:sz w:val="32"/>
          <w:szCs w:val="32"/>
          <w:highlight w:val="none"/>
          <w:lang w:eastAsia="zh-CN"/>
        </w:rPr>
        <w:t>行政事业单位医疗</w:t>
      </w:r>
      <w:r>
        <w:rPr>
          <w:rFonts w:ascii="仿宋_GB2312" w:hAnsi="Calibri" w:eastAsia="仿宋_GB2312" w:cs="仿宋"/>
          <w:color w:val="auto"/>
          <w:kern w:val="0"/>
          <w:sz w:val="32"/>
          <w:szCs w:val="32"/>
          <w:highlight w:val="none"/>
        </w:rPr>
        <w:t>（款）事业单位医疗（项）：指财政部门安排的事业单位基本医疗保险缴费经费，未参加医疗保险的事业单位的公费医疗经费，按国家规定享受离休人员待遇的医疗经费。</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bookmarkStart w:id="214" w:name="_GoBack"/>
      <w:r>
        <w:rPr>
          <w:rFonts w:hint="eastAsia" w:ascii="仿宋_GB2312" w:hAnsi="Calibri" w:eastAsia="仿宋_GB2312" w:cs="仿宋"/>
          <w:color w:val="auto"/>
          <w:kern w:val="0"/>
          <w:sz w:val="32"/>
          <w:szCs w:val="32"/>
          <w:highlight w:val="none"/>
          <w:lang w:val="en-US" w:eastAsia="zh-CN"/>
        </w:rPr>
        <w:t>城乡社区支出（类）国有土地使用权出让收入安排的支出（款）  城市建设支出（项）：</w:t>
      </w:r>
      <w:r>
        <w:rPr>
          <w:rFonts w:ascii="仿宋_GB2312" w:hAnsi="Calibri" w:eastAsia="仿宋_GB2312" w:cs="仿宋"/>
          <w:color w:val="auto"/>
          <w:kern w:val="0"/>
          <w:sz w:val="32"/>
          <w:szCs w:val="32"/>
          <w:highlight w:val="none"/>
        </w:rPr>
        <w:t>指土地出让收入用于完善国有土地使用功能的配套设施建设和城市基础设施建设支出。</w:t>
      </w:r>
      <w:bookmarkEnd w:id="214"/>
      <w:r>
        <w:rPr>
          <w:rFonts w:ascii="宋体" w:hAnsi="宋体" w:eastAsia="宋体" w:cs="宋体"/>
          <w:sz w:val="24"/>
          <w:szCs w:val="24"/>
          <w:woUserID w:val="1"/>
        </w:rPr>
        <w:t xml:space="preserve"> </w:t>
      </w:r>
    </w:p>
    <w:p>
      <w:pPr>
        <w:numPr>
          <w:ilvl w:val="0"/>
          <w:numId w:val="6"/>
        </w:numPr>
        <w:shd w:val="clear"/>
        <w:spacing w:line="560" w:lineRule="exact"/>
        <w:ind w:left="0" w:leftChars="0" w:firstLine="400" w:firstLineChars="0"/>
        <w:rPr>
          <w:rFonts w:ascii="仿宋_GB2312" w:hAnsi="Calibri" w:eastAsia="仿宋_GB2312" w:cs="仿宋"/>
          <w:color w:val="auto"/>
          <w:kern w:val="0"/>
          <w:sz w:val="32"/>
          <w:szCs w:val="32"/>
          <w:highlight w:val="none"/>
        </w:rPr>
      </w:pPr>
      <w:r>
        <w:rPr>
          <w:rFonts w:ascii="仿宋_GB2312" w:hAnsi="Calibri" w:eastAsia="仿宋_GB2312" w:cs="仿宋"/>
          <w:color w:val="auto"/>
          <w:kern w:val="0"/>
          <w:sz w:val="32"/>
          <w:szCs w:val="32"/>
          <w:highlight w:val="none"/>
        </w:rPr>
        <w:t>住房保障（类）住房改革支出（款）住房公积金（项）：指行政事业单位按人力资源和社会保障部、财政部规定的基本工资和津贴补贴以及规定比例为职工缴纳的住房公积金。</w:t>
      </w:r>
    </w:p>
    <w:p>
      <w:pPr>
        <w:numPr>
          <w:ilvl w:val="0"/>
          <w:numId w:val="6"/>
        </w:numPr>
        <w:shd w:val="clear"/>
        <w:spacing w:line="560" w:lineRule="exact"/>
        <w:ind w:left="0" w:leftChars="0" w:firstLine="400" w:firstLineChars="0"/>
        <w:rPr>
          <w:rFonts w:hint="eastAsia" w:ascii="仿宋_GB2312" w:eastAsia="仿宋_GB2312"/>
          <w:color w:val="auto"/>
          <w:sz w:val="32"/>
          <w:szCs w:val="32"/>
          <w:highlight w:val="none"/>
          <w:lang w:eastAsia="zh-CN"/>
        </w:rPr>
      </w:pPr>
      <w:r>
        <w:rPr>
          <w:rFonts w:ascii="仿宋_GB2312" w:hAnsi="Calibri" w:eastAsia="仿宋_GB2312" w:cs="仿宋"/>
          <w:color w:val="auto"/>
          <w:kern w:val="0"/>
          <w:sz w:val="32"/>
          <w:szCs w:val="32"/>
          <w:highlight w:val="none"/>
        </w:rPr>
        <w:t>住房保障（类）住房改革支出（款）</w:t>
      </w:r>
      <w:r>
        <w:rPr>
          <w:rFonts w:hint="eastAsia" w:ascii="仿宋_GB2312" w:hAnsi="Calibri" w:eastAsia="仿宋_GB2312" w:cs="仿宋"/>
          <w:color w:val="auto"/>
          <w:kern w:val="0"/>
          <w:sz w:val="32"/>
          <w:szCs w:val="32"/>
          <w:highlight w:val="none"/>
          <w:lang w:eastAsia="zh-CN"/>
        </w:rPr>
        <w:t>购房补贴</w:t>
      </w:r>
      <w:r>
        <w:rPr>
          <w:rFonts w:ascii="仿宋_GB2312" w:hAnsi="Calibri" w:eastAsia="仿宋_GB2312" w:cs="仿宋"/>
          <w:color w:val="auto"/>
          <w:kern w:val="0"/>
          <w:sz w:val="32"/>
          <w:szCs w:val="32"/>
          <w:highlight w:val="none"/>
        </w:rPr>
        <w:t>（项）：</w:t>
      </w:r>
      <w:r>
        <w:rPr>
          <w:rFonts w:hint="eastAsia" w:ascii="仿宋_GB2312" w:hAnsi="Calibri" w:eastAsia="仿宋_GB2312" w:cs="仿宋"/>
          <w:color w:val="auto"/>
          <w:kern w:val="0"/>
          <w:sz w:val="32"/>
          <w:szCs w:val="32"/>
          <w:highlight w:val="none"/>
          <w:lang w:eastAsia="zh-CN"/>
        </w:rPr>
        <w:t>指按房改政策规定，行政事业单位向符合条件职工（含离退休人员）、军队（含武警）向转役复员离退休人员发放的用于购买住房的补贴。</w:t>
      </w:r>
    </w:p>
    <w:p>
      <w:pPr>
        <w:numPr>
          <w:ilvl w:val="0"/>
          <w:numId w:val="6"/>
        </w:numPr>
        <w:shd w:val="clear"/>
        <w:ind w:left="0" w:leftChars="0" w:firstLine="400" w:firstLineChars="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其他支出（类）其他支出（款）其他支出（项）：指其他支出。</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9"/>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hd w:val="clear"/>
        <w:spacing w:line="560" w:lineRule="exact"/>
        <w:ind w:firstLine="640" w:firstLineChars="200"/>
        <w:rPr>
          <w:rFonts w:ascii="仿宋_GB2312" w:eastAsia="仿宋_GB2312"/>
          <w:color w:val="auto"/>
          <w:sz w:val="32"/>
          <w:szCs w:val="32"/>
          <w:highlight w:val="none"/>
        </w:rPr>
      </w:pPr>
    </w:p>
    <w:p>
      <w:pPr>
        <w:pStyle w:val="29"/>
        <w:shd w:val="clear"/>
        <w:spacing w:line="560" w:lineRule="exact"/>
        <w:ind w:firstLine="640" w:firstLineChars="200"/>
        <w:rPr>
          <w:rFonts w:ascii="仿宋_GB2312" w:eastAsia="仿宋_GB2312" w:cs="黑体"/>
          <w:color w:val="auto"/>
          <w:sz w:val="32"/>
          <w:szCs w:val="32"/>
          <w:highlight w:val="none"/>
        </w:rPr>
      </w:pPr>
    </w:p>
    <w:p>
      <w:pPr>
        <w:shd w:val="clear"/>
        <w:spacing w:line="600" w:lineRule="exact"/>
        <w:jc w:val="center"/>
        <w:outlineLvl w:val="0"/>
        <w:rPr>
          <w:rStyle w:val="19"/>
          <w:rFonts w:hint="eastAsia" w:ascii="黑体" w:hAnsi="黑体" w:eastAsia="黑体"/>
          <w:b w:val="0"/>
          <w:color w:val="auto"/>
          <w:highlight w:val="none"/>
          <w:lang w:eastAsia="zh-CN"/>
        </w:rPr>
      </w:pPr>
      <w:bookmarkStart w:id="100" w:name="_Toc15377226"/>
      <w:r>
        <w:rPr>
          <w:rFonts w:ascii="宋体"/>
          <w:b/>
          <w:color w:val="auto"/>
          <w:sz w:val="44"/>
          <w:szCs w:val="44"/>
          <w:highlight w:val="none"/>
        </w:rPr>
        <w:br w:type="page"/>
      </w:r>
      <w:bookmarkStart w:id="101" w:name="_Toc20583"/>
      <w:bookmarkStart w:id="102" w:name="_Toc31263"/>
      <w:bookmarkStart w:id="103"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101"/>
      <w:bookmarkEnd w:id="102"/>
      <w:bookmarkEnd w:id="103"/>
    </w:p>
    <w:p>
      <w:pPr>
        <w:keepNext w:val="0"/>
        <w:keepLines w:val="0"/>
        <w:pageBreakBefore w:val="0"/>
        <w:shd w:val="clear"/>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04" w:name="_Toc19329"/>
      <w:bookmarkStart w:id="105" w:name="_Toc20695"/>
      <w:r>
        <w:rPr>
          <w:rFonts w:hint="eastAsia" w:ascii="黑体" w:hAnsi="黑体" w:eastAsia="黑体" w:cs="黑体"/>
          <w:color w:val="auto"/>
          <w:sz w:val="32"/>
          <w:szCs w:val="32"/>
          <w:highlight w:val="none"/>
        </w:rPr>
        <w:t>附件</w:t>
      </w:r>
      <w:bookmarkEnd w:id="104"/>
      <w:r>
        <w:rPr>
          <w:rFonts w:hint="eastAsia" w:ascii="黑体" w:hAnsi="黑体" w:eastAsia="黑体" w:cs="黑体"/>
          <w:color w:val="auto"/>
          <w:sz w:val="32"/>
          <w:szCs w:val="32"/>
          <w:highlight w:val="none"/>
          <w:lang w:val="en-US" w:eastAsia="zh-CN"/>
        </w:rPr>
        <w:t>1</w:t>
      </w:r>
      <w:bookmarkEnd w:id="105"/>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川北幼儿师范高等专科学校</w:t>
      </w:r>
      <w:r>
        <w:rPr>
          <w:rFonts w:hint="eastAsia" w:ascii="宋体" w:hAnsi="宋体" w:eastAsia="宋体"/>
          <w:b/>
          <w:color w:val="auto"/>
          <w:sz w:val="32"/>
          <w:szCs w:val="32"/>
          <w:highlight w:val="none"/>
          <w:shd w:val="clear" w:color="auto" w:fill="FFFFFF"/>
        </w:rPr>
        <w:t>整体绩效评价报告</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outlineLvl w:val="1"/>
        <w:rPr>
          <w:rFonts w:hint="eastAsia" w:ascii="黑体" w:hAnsi="宋体" w:eastAsia="黑体" w:cs="宋体"/>
          <w:color w:val="auto"/>
          <w:kern w:val="0"/>
          <w:sz w:val="32"/>
          <w:szCs w:val="32"/>
          <w:highlight w:val="none"/>
          <w:shd w:val="clear" w:color="auto" w:fill="FFFFFF"/>
          <w:lang w:eastAsia="zh-CN"/>
        </w:rPr>
      </w:pPr>
      <w:bookmarkStart w:id="106" w:name="_Toc7689"/>
      <w:bookmarkStart w:id="107" w:name="_Toc24996"/>
      <w:r>
        <w:rPr>
          <w:rFonts w:hint="eastAsia" w:ascii="黑体" w:hAnsi="宋体" w:eastAsia="黑体" w:cs="宋体"/>
          <w:color w:val="auto"/>
          <w:kern w:val="0"/>
          <w:sz w:val="32"/>
          <w:szCs w:val="32"/>
          <w:highlight w:val="none"/>
          <w:shd w:val="clear" w:color="auto" w:fill="FFFFFF"/>
        </w:rPr>
        <w:t>一、部门</w:t>
      </w:r>
      <w:r>
        <w:rPr>
          <w:rFonts w:hint="eastAsia" w:ascii="黑体" w:hAnsi="宋体" w:eastAsia="黑体" w:cs="宋体"/>
          <w:color w:val="auto"/>
          <w:kern w:val="0"/>
          <w:sz w:val="32"/>
          <w:szCs w:val="32"/>
          <w:highlight w:val="none"/>
          <w:shd w:val="clear" w:color="auto" w:fill="FFFFFF"/>
          <w:lang w:eastAsia="zh-CN"/>
        </w:rPr>
        <w:t>基本情况</w:t>
      </w:r>
      <w:bookmarkEnd w:id="106"/>
      <w:bookmarkEnd w:id="107"/>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（一）机构组成</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川北幼儿师范高等专科学校是经四川省人民政府批准成立、教育部备案的公办全日制普通高等学校</w:t>
      </w: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kern w:val="0"/>
          <w:sz w:val="32"/>
          <w:szCs w:val="32"/>
          <w:highlight w:val="none"/>
          <w:shd w:val="clear" w:color="auto" w:fill="FFFFFF"/>
        </w:rPr>
        <w:t>是广元市人民政府主办独立核算一级预算单位，执行政府会计制度，无二级或下属单位。</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（二）机构职能和人员概况</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学校负责培养具有普通高等专科学历的师资人才、医药卫生人才及其他职业技术人才，负责幼儿园教师、中小学教师、基层医护人员的培训工作，负责开展人才培养、科学研究、社会服务、文化传承与创新、国际交流与合作等工作。学校设置6个教学院部，开设24个大专专业，其中学前教育、语文教育两个专业列为中央财政支持重点建设专业。学校2022年末在职在编人数392人，聘用人员（同工同酬）人数64人，离退休人员164人，学生人数共计8990人。</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（三）年度主要工作任务</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1.保障学校全年按时发放教职工在职及同工同酬人员工资并按时缴纳五险一金等费用；</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2.保障学校全年日常公用经费开支，确保学校正常运转；</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3.保障学校三期工程艺体中心建设、图书馆及校史馆建设等工程顺利开展；</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4.按时完成2022年普通话测试、普通话推广以及普通话测试系统升级工作；</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5.确保学生资助补助经费、国培等各类中央对地方转移支付资金专款专用；</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6.确保高层次人才工作补助、名师经费以及高校共建与发展专项等省、市专项资金专款专用；</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7.按时按进度完成学校教育收费资金安排的教学及保障设备购置、信息化建设等项目。</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（四）部门整体支出绩效目标</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目标1：严肃财经纪律，保证资金安全，合理有效使用资金，发挥资金效益最大化；</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目标2：保障学校教学活动正常开展，改善办学条件，提高办学水平；</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目标3：做好各类项目执行的全过程监督管理工作，确保各类项目按计划有效实施；</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目标4：做好非税收入征收工作，保证完成预算；</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目标5：稳步有序推进图书馆及校史馆等基础设施建设、信息化建设。</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outlineLvl w:val="1"/>
        <w:rPr>
          <w:rFonts w:hint="eastAsia" w:ascii="黑体" w:hAnsi="宋体" w:eastAsia="黑体" w:cs="宋体"/>
          <w:color w:val="auto"/>
          <w:kern w:val="0"/>
          <w:sz w:val="32"/>
          <w:szCs w:val="32"/>
          <w:highlight w:val="none"/>
          <w:shd w:val="clear" w:color="auto" w:fill="FFFFFF"/>
        </w:rPr>
      </w:pPr>
      <w:bookmarkStart w:id="108" w:name="_Toc19"/>
      <w:bookmarkStart w:id="109" w:name="_Toc30227"/>
      <w:r>
        <w:rPr>
          <w:rFonts w:hint="eastAsia" w:ascii="黑体" w:hAnsi="宋体" w:eastAsia="黑体" w:cs="宋体"/>
          <w:color w:val="auto"/>
          <w:kern w:val="0"/>
          <w:sz w:val="32"/>
          <w:szCs w:val="32"/>
          <w:highlight w:val="none"/>
          <w:shd w:val="clear" w:color="auto" w:fill="FFFFFF"/>
        </w:rPr>
        <w:t>二、部门资金收支情况</w:t>
      </w:r>
      <w:bookmarkEnd w:id="108"/>
      <w:bookmarkEnd w:id="109"/>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（一）部门整体收支情况</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1.2022年我校决算总收入18236.10万元，其中一般公共预算财政拨款收入12561.11万元、政府性基金预算财政拨款收入743.35万元、事业收入4926.66万元、其他收入4.98万元。年初结转结余数1883.16万元。</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2.2022年我校决算总支出19342.59万元，其中教育支出16806.92万元、社会保障和就业支出587.49万元、卫生健康支出236.18万元、城乡社区支出843.35、住房保障支出831.34万元、其他支出37.29万元。年末结转结余数776.67万元。</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（二）部门财政拨款收支情况</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1.2022年我校财政拨款总收入13304.46万元，其中一般公共预算拨款收入12561.11万元、政府性基金预算财政拨款收入743.35万元万元。年初结转数997.04万元。</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2.2022年我校财政拨款总支出14270.29万元，其中教育支出11734.62万元、社会保障和就业支出587.50万元、卫生健康支出236.18万元、城乡社区支出843.35万元、住房保障支出831.34万元、其他支出37.30万元。年末结转结余数31.21万元。</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outlineLvl w:val="1"/>
        <w:rPr>
          <w:rFonts w:hint="eastAsia" w:ascii="黑体" w:hAnsi="宋体" w:eastAsia="黑体" w:cs="宋体"/>
          <w:color w:val="auto"/>
          <w:kern w:val="0"/>
          <w:sz w:val="32"/>
          <w:szCs w:val="32"/>
          <w:highlight w:val="none"/>
          <w:shd w:val="clear" w:color="auto" w:fill="FFFFFF"/>
        </w:rPr>
      </w:pPr>
      <w:bookmarkStart w:id="110" w:name="_Toc11442"/>
      <w:bookmarkStart w:id="111" w:name="_Toc1026"/>
      <w:r>
        <w:rPr>
          <w:rFonts w:hint="eastAsia" w:ascii="黑体" w:hAnsi="宋体" w:eastAsia="黑体" w:cs="宋体"/>
          <w:color w:val="auto"/>
          <w:kern w:val="0"/>
          <w:sz w:val="32"/>
          <w:szCs w:val="32"/>
          <w:highlight w:val="none"/>
          <w:shd w:val="clear" w:color="auto" w:fill="FFFFFF"/>
        </w:rPr>
        <w:t>三、部门整体绩效分析</w:t>
      </w:r>
      <w:bookmarkEnd w:id="110"/>
      <w:bookmarkEnd w:id="111"/>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（一）部门预算项目绩效分析</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1.人员类项目绩效分析</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2022年我校人员经费预算总数9355.63万元，实际执行数9290.19万元，预算执行率为99.30%，资金结余率0.7%，其中财政拨款预算8823.12万元，实际执行8757.68万元，预算执行率为99.26%，预算执行率较高。全年我校教职工按时按月发放工资，五险一金等费用按相关标准足额缴纳，不存在违规发放津贴补贴情况，充分保障教职工个人收入待遇，提高工作积极性，从而推动学校良性发展。</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rPr>
        <w:t>运转类项目绩效分析</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2022年我校公用经费预算1125.14万元，学校日常运行经费1514.15万元，合计2639.29万元，实际执行数2080.75万元，预算执行率78.84%，资金结余率为21.16%，预算执行率相对偏低，其中财政拨款预算157.56万元，实际执行157.56万元，预算执行率100%。我校按照年初预算安排及绩效目标申报情况</w:t>
      </w: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kern w:val="0"/>
          <w:sz w:val="32"/>
          <w:szCs w:val="32"/>
          <w:highlight w:val="none"/>
          <w:shd w:val="clear" w:color="auto" w:fill="FFFFFF"/>
        </w:rPr>
        <w:t>严格执行中央八项规定和省、市各项规定</w:t>
      </w: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kern w:val="0"/>
          <w:sz w:val="32"/>
          <w:szCs w:val="32"/>
          <w:highlight w:val="none"/>
          <w:shd w:val="clear" w:color="auto" w:fill="FFFFFF"/>
        </w:rPr>
        <w:t>厉行节约规范使用预算资金。严格控制“三公”经费支出，2022年“三公”经费开支均未超预算。2022年下半年由于疫情影响，秋季学期开学较晚，导致运行经费开支较以往年度有所减少。但总体而言，学校全年各类日常办公、教学、招生、实习实训等业务活动正常有序开展。</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3.特定目标类项目绩效分析</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项目绩效目标制定情况。2022年我校共涉及20个特定目标类项目，其中部门预算项目12个（含9个教育收费资金安排项目），年中追加省市级专项项目5个、中央对地方转移支付专项资金项目3个。所有特定目标类项目均按时按要求报送项目库、绩效目标申报表以及绩效事前评估报告等资料，牢固树立、牢固树立“花钱必问效、无效必问责”的理念，将绩效管理范围覆盖所有财政资金，并深度融入预算编制、执行、监督全过程，不断完善和细化绩效管理相关措施办法，优化绩效目标设置，对预算项目支出全面实施绩效目标管理。</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项目开展情况。2022年学校坚持抓质量、促进度、保安全，完成校园主干道改造工程，加快在建项目图书馆、校史馆建设；树立科研与教学并重理念，突出科学研究的先导性应用性服务性；加强人才引进工作，强化学校师资力量；实施数据中心安全防护加固项目项目，实施预算费用报销内部控制一体化系统项目，不断推进显微镜、触控一体机、演播厅LED屏升级等教学设备购置工作；强化资产管理，规范资产运营和政府采购项目招投标工作；落实国家、省、市各项学生资助、公费师范生等政策，保障家庭经济困难学生受教育权利；按时开展中小学幼儿园教师国家培训，不断建立区域性教师培训协同发展机制；积极落实中央现代职业教育质量计划，推进1+X证书试点工作，强化“三全育人”，建设具有辐射引领作用的高水平专业化产教融合实训基地。</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 xml:space="preserve">（3）项目执行情况。2022年特定目标类项目预算总计9754.9万元，实际执行数6859.58万元，预算执行率为70.32%，资金结转率为29.68%，其中财政拨款项目预算5125.7万元，实际执行数4389.22万元，预算执行率85.63%。由于部分项目需走政府采购流程以及预算指标下达较晚等原因，导致部分项目执行率不高，资金结转2023年继续实施。此外，2022年学校接受各类审计监督以及财政检查结果中，未出现相关违纪违规问题。 </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 xml:space="preserve">特别说明，学校5个专项项目均按要求单独报送自评报告，3个中央对地方转移支付项目按《广元市财政局关于开展2022年度中央对地方转移支付预算执行情况绩效自评工作的通知》（广财绩〔2023〕6号）文件要求单独开展自评工作。                      </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（二）部门整体履职绩效分析</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部门履职情况。2022年学校在市教育局的坚强领导下，以习近平新时代中国特色社会主义思想为指导，深入学习贯彻十九届历次全会和党的二十大精神，坚决贯彻落实党中央和省委、市委各项决策部署，扎实推进全国“一流幼专”和本科院校创建目标，全面提升办学治理水平、全面提高人才培养质量、全面提升教育教学质量、全面优化开放办学水平、全面细化服务育人理想、全面夯实办学基础保障。</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部门整体绩效目标完成情况。一是全年资金安全，严格按照财经纪律合理合规使用各项资金；二是学校全年教学活动正常开展，办学条件得到改善，办学水平得到提高；三是全年各类项目按计划有序推进和实施；四是2022年非税收入预算5097.86万元，受疫情影响实际收入4479.13万元未达目标；五是学校图书馆及校史馆建设、信息化建设等稳步推进。</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（三）结果应用情况</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加强内部制度建设。2022年学校成立学校预算绩效管理工作领导小组并下设办公室，负责学校绩效管理工作，同时出台《川北幼儿师范高等专科学校预算绩效管理办法（试行）》（川北幼专函（2022）63号），建立“预算编制有目标、预算执行有监控、预算完成有评价、评价结果有反馈、反馈结果有应用”的全过程预算绩效管理机制，进一步规范预算绩效目标管理，提高预算资金使用效益。</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2.加强绩效信息公开。学校严格按照市财政局统一工作部署，突出重点，细化公开内容，不断提高信息公开的质量和实效。2022年3月4日我校将 2021年初预算项目绩效批复表同部门预算一并公开在广元市人民政府官网以及我校门户网站。2022年9月21日我校将部门整体支出绩效自评报告、项目绩效自评报告同 2021年决算信息一并公开在广元市人民政府官网以及我校门户网站。</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3.加强落实整改工作。2022年四川金财纵横绩效管理咨询有限公司受市财政局委托对我校2021年度部门整体支出进行绩效评价，根据该公司出具绩效评价报告中，我校主要存在“个别项目前期预算编制不准确”、“绩效目标指标要素设置不完整”等5个问题。针对报告中存在的问题，学校积极落实整改并按时向市财政局报送相关整改报告。</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4.加强结果反馈工作。我校高度重视绩效评价结果的运用，将绩效评价结果作为编制部门下一年度预算的重要依据。在2023年预算编制工作中结合自身情况，围绕事业发展战略和年度计划，设定学校的预算绩效总体目标和具体目标，将预算绩效目标与业务和工作结合，同时将绩效目标纳入项目库管理，成立了校内专家组，评价论证项目立项的依据和必要性、投入经济性和效益性。各职能处室、教学院部围绕学校发展规划、部门职能职责、工作任务，严格按照预算支出标准和绩效管理等相关规定编制部门预算，以各部门预算项目为载体，将项目纳入全面预算绩效管理，通过细化预算项目到部门，避免了“基础+估算”的工作方式。与此同时，2023年所有预算项目绩效目标申报均按照财政绩效中心审核结果进行整改和优化，确保资金投入与绩效产出结果相匹配、相适应的绩效管理目的。</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（四）自评质量</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学校按照市财政2023年部门整体支出绩效评价指标体系，逐一分析，确保自评工作质量达标，自评分数可靠不虚报。</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outlineLvl w:val="1"/>
        <w:rPr>
          <w:rFonts w:hint="eastAsia" w:ascii="黑体" w:hAnsi="宋体" w:eastAsia="黑体" w:cs="宋体"/>
          <w:color w:val="auto"/>
          <w:kern w:val="0"/>
          <w:sz w:val="32"/>
          <w:szCs w:val="32"/>
          <w:highlight w:val="none"/>
          <w:shd w:val="clear" w:color="auto" w:fill="FFFFFF"/>
        </w:rPr>
      </w:pPr>
      <w:bookmarkStart w:id="112" w:name="_Toc5439"/>
      <w:bookmarkStart w:id="113" w:name="_Toc5062"/>
      <w:r>
        <w:rPr>
          <w:rFonts w:hint="eastAsia" w:ascii="黑体" w:hAnsi="宋体" w:eastAsia="黑体" w:cs="宋体"/>
          <w:color w:val="auto"/>
          <w:kern w:val="0"/>
          <w:sz w:val="32"/>
          <w:szCs w:val="32"/>
          <w:highlight w:val="none"/>
          <w:shd w:val="clear" w:color="auto" w:fill="FFFFFF"/>
        </w:rPr>
        <w:t>四、评价结论及建议</w:t>
      </w:r>
      <w:bookmarkEnd w:id="112"/>
      <w:bookmarkEnd w:id="113"/>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（一）评价结论</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学校2022年认真编制部门预算，预算完成情况较好，不断健全内部控制制度，进一步加强财务和资产管理，推进财务信息公开，不定时接受市教育局、市财政局以及其他上级部门的监督和检查。对于审计和各类检查反馈的问题，我校积极整改落实，提高资金使用效益，促进学校良性运转。与此同时，学校积极配合市财政局开展绩效评价一系列工作，并及时提供相关材料，按时报送预算绩效监控表、绩效自评报告以及绩效管理工作考核自查报告等。经自评，学校2022年整体支出绩效自评得分92分。</w:t>
      </w:r>
    </w:p>
    <w:p>
      <w:pPr>
        <w:pStyle w:val="2"/>
        <w:keepNext w:val="0"/>
        <w:keepLines w:val="0"/>
        <w:pageBreakBefore w:val="0"/>
        <w:widowControl w:val="0"/>
        <w:shd w:val="clear"/>
        <w:kinsoku/>
        <w:wordWrap/>
        <w:overflowPunct/>
        <w:topLinePunct w:val="0"/>
        <w:autoSpaceDE/>
        <w:autoSpaceDN/>
        <w:bidi w:val="0"/>
        <w:adjustRightInd/>
        <w:snapToGrid/>
        <w:ind w:left="0" w:leftChars="0" w:firstLine="641"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（二）存在问题及改进建议</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1.学校内部特性绩效指标和标准体系有待进一步建立。接下来学校将逐步开展成本效益分析，建立健全符合本校发展特性的支出标准和绩效标准，将成本效益分析方法运用到全过程预算绩效管理相关环节。</w:t>
      </w:r>
    </w:p>
    <w:p>
      <w:pPr>
        <w:pStyle w:val="2"/>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ascii="黑体" w:hAnsi="宋体" w:eastAsia="黑体" w:cs="宋体"/>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2.绩效管理宣传工作有待进一步加强。学校对绩效管理宣传工作还不到位，各职能处室及学院的绩效管理意识有待加强。在今后工作中将对我校有关预算绩效管理工作进行公示，加大宣传力度，利用公告栏、校园网等各种媒体形式，宣传预算绩效管理工作，创造良好的社会舆论氛围。</w:t>
      </w:r>
    </w:p>
    <w:p>
      <w:pPr>
        <w:pStyle w:val="2"/>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2"/>
        <w:keepNext w:val="0"/>
        <w:keepLines w:val="0"/>
        <w:pageBreakBefore w:val="0"/>
        <w:numPr>
          <w:ilvl w:val="0"/>
          <w:numId w:val="0"/>
        </w:numPr>
        <w:shd w:val="clear"/>
        <w:kinsoku/>
        <w:wordWrap/>
        <w:overflowPunct/>
        <w:topLinePunct w:val="0"/>
        <w:autoSpaceDE/>
        <w:autoSpaceDN/>
        <w:bidi w:val="0"/>
        <w:spacing w:line="560" w:lineRule="exact"/>
        <w:textAlignment w:val="auto"/>
        <w:rPr>
          <w:rFonts w:hint="default" w:hAnsi="Times New Roman" w:cs="Times New Roman"/>
          <w:color w:val="auto"/>
          <w:sz w:val="32"/>
          <w:szCs w:val="32"/>
          <w:highlight w:val="none"/>
          <w:lang w:val="en-US" w:eastAsia="zh-CN"/>
        </w:rPr>
      </w:pPr>
      <w:r>
        <w:rPr>
          <w:rFonts w:hint="eastAsia" w:cs="Times New Roman"/>
          <w:color w:val="auto"/>
          <w:sz w:val="32"/>
          <w:szCs w:val="32"/>
          <w:highlight w:val="none"/>
          <w:lang w:val="en-US" w:eastAsia="zh-CN"/>
        </w:rPr>
        <w:t xml:space="preserve">      </w:t>
      </w: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zh-CN"/>
        </w:rPr>
      </w:pPr>
    </w:p>
    <w:p>
      <w:pPr>
        <w:pStyle w:val="7"/>
        <w:shd w:val="clear"/>
        <w:rPr>
          <w:rFonts w:hint="eastAsia" w:hAnsi="宋体" w:cs="宋体"/>
          <w:color w:val="auto"/>
          <w:kern w:val="0"/>
          <w:sz w:val="32"/>
          <w:szCs w:val="32"/>
          <w:highlight w:val="none"/>
          <w:shd w:val="clear" w:color="auto" w:fill="FFFFFF"/>
          <w:lang w:val="en-US" w:eastAsia="zh-CN"/>
        </w:rPr>
      </w:pPr>
    </w:p>
    <w:p>
      <w:pPr>
        <w:pStyle w:val="7"/>
        <w:shd w:val="clear"/>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2-1</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2022年省级高校共建与发展专项资金</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32"/>
          <w:szCs w:val="32"/>
          <w:highlight w:val="none"/>
          <w:lang w:val="en-US" w:eastAsia="zh-CN"/>
        </w:rPr>
      </w:pPr>
      <w:bookmarkStart w:id="114" w:name="_Toc18850"/>
      <w:bookmarkStart w:id="115" w:name="_Toc30941"/>
      <w:r>
        <w:rPr>
          <w:rFonts w:hint="eastAsia" w:ascii="方正小标宋简体" w:hAnsi="方正小标宋简体" w:eastAsia="方正小标宋简体" w:cs="方正小标宋简体"/>
          <w:color w:val="auto"/>
          <w:kern w:val="2"/>
          <w:sz w:val="32"/>
          <w:szCs w:val="32"/>
          <w:highlight w:val="none"/>
          <w:lang w:val="en-US" w:eastAsia="zh-CN"/>
        </w:rPr>
        <w:t>公费师范生培训补助经费</w:t>
      </w:r>
      <w:bookmarkEnd w:id="114"/>
      <w:bookmarkEnd w:id="115"/>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预算项目绩效自评报告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color w:val="auto"/>
          <w:sz w:val="32"/>
          <w:szCs w:val="32"/>
          <w:highlight w:val="none"/>
          <w:lang w:val="zh-CN"/>
        </w:rPr>
      </w:pPr>
      <w:bookmarkStart w:id="116" w:name="_Toc31923"/>
      <w:bookmarkStart w:id="117" w:name="_Toc755"/>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116"/>
      <w:bookmarkEnd w:id="117"/>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我校严格按照政策规定做好省属公费师范生生活补助发放工作，确保评审程序公开、公正、公平，做到了专款专用，不截留、不挪用。</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落实国家、省各项学生资助政策，保障家庭经济困难学生受教育权利，促进教育公平，保证每一名在校家庭经济困难学生能够安心在校学习生活，顺利完成学业。</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项目资金申报相符性</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项目申报内容与具体实施内容相符、申报目标合理可行。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ascii="黑体" w:hAnsi="宋体" w:eastAsia="黑体"/>
          <w:b w:val="0"/>
          <w:bCs w:val="0"/>
          <w:color w:val="auto"/>
          <w:sz w:val="32"/>
          <w:szCs w:val="32"/>
          <w:highlight w:val="none"/>
        </w:rPr>
      </w:pPr>
      <w:bookmarkStart w:id="118" w:name="_Toc18195"/>
      <w:bookmarkStart w:id="119" w:name="_Toc12740"/>
      <w:r>
        <w:rPr>
          <w:rFonts w:hint="eastAsia" w:ascii="黑体" w:hAnsi="宋体" w:eastAsia="黑体"/>
          <w:b w:val="0"/>
          <w:bCs w:val="0"/>
          <w:color w:val="auto"/>
          <w:sz w:val="32"/>
          <w:szCs w:val="32"/>
          <w:highlight w:val="none"/>
        </w:rPr>
        <w:t>二、项目实施及管理情况</w:t>
      </w:r>
      <w:bookmarkEnd w:id="118"/>
      <w:bookmarkEnd w:id="119"/>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ab/>
      </w:r>
      <w:r>
        <w:rPr>
          <w:rFonts w:hint="eastAsia" w:ascii="楷体_GB2312" w:hAnsi="宋体" w:eastAsia="楷体_GB2312"/>
          <w:b w:val="0"/>
          <w:bCs w:val="0"/>
          <w:color w:val="auto"/>
          <w:sz w:val="32"/>
          <w:szCs w:val="32"/>
          <w:highlight w:val="none"/>
          <w:lang w:val="zh-CN"/>
        </w:rPr>
        <w:t>（一）资金计划、到位及使用情况。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1．资金计划及到位。</w:t>
      </w:r>
      <w:r>
        <w:rPr>
          <w:rFonts w:hint="eastAsia" w:ascii="仿宋_GB2312" w:hAnsi="宋体" w:eastAsia="仿宋_GB2312"/>
          <w:b w:val="0"/>
          <w:bCs w:val="0"/>
          <w:color w:val="auto"/>
          <w:sz w:val="32"/>
          <w:szCs w:val="32"/>
          <w:highlight w:val="none"/>
          <w:lang w:val="zh-CN"/>
        </w:rPr>
        <w:t>202</w:t>
      </w:r>
      <w:r>
        <w:rPr>
          <w:rFonts w:hint="eastAsia" w:ascii="仿宋_GB2312" w:hAnsi="宋体" w:eastAsia="仿宋_GB2312"/>
          <w:b w:val="0"/>
          <w:bCs w:val="0"/>
          <w:color w:val="auto"/>
          <w:sz w:val="32"/>
          <w:szCs w:val="32"/>
          <w:highlight w:val="none"/>
          <w:lang w:val="en-US" w:eastAsia="zh-CN"/>
        </w:rPr>
        <w:t>2</w:t>
      </w:r>
      <w:r>
        <w:rPr>
          <w:rFonts w:hint="eastAsia" w:ascii="仿宋_GB2312" w:hAnsi="宋体" w:eastAsia="仿宋_GB2312"/>
          <w:b w:val="0"/>
          <w:bCs w:val="0"/>
          <w:color w:val="auto"/>
          <w:sz w:val="32"/>
          <w:szCs w:val="32"/>
          <w:highlight w:val="none"/>
          <w:lang w:val="zh-CN"/>
        </w:rPr>
        <w:t>年我校资助省属公费师范生春季91人，秋季13人。生活补助经费共计24.71万元，在202</w:t>
      </w:r>
      <w:r>
        <w:rPr>
          <w:rFonts w:hint="eastAsia" w:ascii="仿宋_GB2312" w:hAnsi="宋体" w:eastAsia="仿宋_GB2312"/>
          <w:b w:val="0"/>
          <w:bCs w:val="0"/>
          <w:color w:val="auto"/>
          <w:sz w:val="32"/>
          <w:szCs w:val="32"/>
          <w:highlight w:val="none"/>
          <w:lang w:val="en-US" w:eastAsia="zh-CN"/>
        </w:rPr>
        <w:t>2</w:t>
      </w:r>
      <w:r>
        <w:rPr>
          <w:rFonts w:hint="eastAsia" w:ascii="仿宋_GB2312" w:hAnsi="宋体" w:eastAsia="仿宋_GB2312"/>
          <w:b w:val="0"/>
          <w:bCs w:val="0"/>
          <w:color w:val="auto"/>
          <w:sz w:val="32"/>
          <w:szCs w:val="32"/>
          <w:highlight w:val="none"/>
          <w:lang w:val="zh-CN"/>
        </w:rPr>
        <w:t>年底全部发放到位。</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2．资金使用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2022年秋季学校未招收省属公费师范新生，且部分省属公费生毕业，资助人数相应减少，并预留了2023年春季学期公费师范生生活补助资金。因此该项目全年预算数为57.20</w:t>
      </w:r>
      <w:r>
        <w:rPr>
          <w:rFonts w:hint="eastAsia" w:ascii="仿宋_GB2312" w:hAnsi="宋体" w:eastAsia="仿宋_GB2312"/>
          <w:b w:val="0"/>
          <w:bCs w:val="0"/>
          <w:color w:val="auto"/>
          <w:sz w:val="32"/>
          <w:szCs w:val="32"/>
          <w:highlight w:val="none"/>
          <w:lang w:val="en-US" w:eastAsia="zh-CN"/>
        </w:rPr>
        <w:t>万</w:t>
      </w:r>
      <w:r>
        <w:rPr>
          <w:rFonts w:hint="eastAsia" w:ascii="仿宋_GB2312" w:hAnsi="宋体" w:eastAsia="仿宋_GB2312"/>
          <w:b w:val="0"/>
          <w:bCs w:val="0"/>
          <w:color w:val="auto"/>
          <w:sz w:val="32"/>
          <w:szCs w:val="32"/>
          <w:highlight w:val="none"/>
          <w:lang w:val="zh-CN"/>
        </w:rPr>
        <w:t>元，全年执行数为</w:t>
      </w:r>
      <w:r>
        <w:rPr>
          <w:rFonts w:hint="eastAsia" w:ascii="仿宋_GB2312" w:hAnsi="宋体" w:eastAsia="仿宋_GB2312"/>
          <w:b w:val="0"/>
          <w:bCs w:val="0"/>
          <w:color w:val="auto"/>
          <w:sz w:val="32"/>
          <w:szCs w:val="32"/>
          <w:highlight w:val="none"/>
          <w:lang w:val="en-US" w:eastAsia="zh-CN"/>
        </w:rPr>
        <w:t>24.71</w:t>
      </w:r>
      <w:r>
        <w:rPr>
          <w:rFonts w:hint="eastAsia" w:ascii="仿宋_GB2312" w:hAnsi="宋体" w:eastAsia="仿宋_GB2312"/>
          <w:b w:val="0"/>
          <w:bCs w:val="0"/>
          <w:color w:val="auto"/>
          <w:sz w:val="32"/>
          <w:szCs w:val="32"/>
          <w:highlight w:val="none"/>
          <w:lang w:val="en-US" w:eastAsia="zh-CN"/>
        </w:rPr>
        <w:tab/>
      </w:r>
      <w:r>
        <w:rPr>
          <w:rFonts w:hint="eastAsia" w:ascii="仿宋_GB2312" w:hAnsi="宋体" w:eastAsia="仿宋_GB2312"/>
          <w:b w:val="0"/>
          <w:bCs w:val="0"/>
          <w:color w:val="auto"/>
          <w:sz w:val="32"/>
          <w:szCs w:val="32"/>
          <w:highlight w:val="none"/>
          <w:lang w:val="en-US" w:eastAsia="zh-CN"/>
        </w:rPr>
        <w:t>万</w:t>
      </w:r>
      <w:r>
        <w:rPr>
          <w:rFonts w:hint="eastAsia" w:ascii="仿宋_GB2312" w:hAnsi="宋体" w:eastAsia="仿宋_GB2312"/>
          <w:b w:val="0"/>
          <w:bCs w:val="0"/>
          <w:color w:val="auto"/>
          <w:sz w:val="32"/>
          <w:szCs w:val="32"/>
          <w:highlight w:val="none"/>
          <w:lang w:val="zh-CN"/>
        </w:rPr>
        <w:t>元，执行率43.20%。学校通过广元市惠民惠农财政补贴资金“一卡通”项目资金直接打入受资助学生本人社保卡中。</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在项目建设过程中，认真贯彻执行省属公费师范生生活补助发放的方针政策，根据上级相关文件、制度，制定并完善我校学生奖助学金管理办法和实施细则。专款专用，不截留、不挪用，不多发、也不漏发给每一位学生。</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（三）项目组织实施情况。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b w:val="0"/>
          <w:bCs w:val="0"/>
          <w:color w:val="auto"/>
          <w:sz w:val="32"/>
          <w:szCs w:val="32"/>
          <w:highlight w:val="none"/>
          <w:lang w:val="en-US" w:eastAsia="zh-CN"/>
        </w:rPr>
      </w:pPr>
      <w:r>
        <w:rPr>
          <w:rFonts w:hint="eastAsia" w:ascii="仿宋_GB2312" w:hAnsi="宋体" w:eastAsia="仿宋_GB2312"/>
          <w:b w:val="0"/>
          <w:bCs w:val="0"/>
          <w:color w:val="auto"/>
          <w:sz w:val="32"/>
          <w:szCs w:val="32"/>
          <w:highlight w:val="none"/>
          <w:lang w:val="zh-CN"/>
        </w:rPr>
        <w:t>根据省属公费师范生相关文件，逐月发放生活补助。</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ascii="仿宋_GB2312" w:hAnsi="宋体" w:eastAsia="仿宋_GB2312"/>
          <w:b w:val="0"/>
          <w:bCs w:val="0"/>
          <w:color w:val="auto"/>
          <w:sz w:val="32"/>
          <w:szCs w:val="32"/>
          <w:highlight w:val="none"/>
          <w:lang w:val="zh-CN"/>
        </w:rPr>
      </w:pPr>
      <w:bookmarkStart w:id="120" w:name="_Toc128"/>
      <w:bookmarkStart w:id="121" w:name="_Toc4788"/>
      <w:r>
        <w:rPr>
          <w:rFonts w:hint="eastAsia" w:ascii="黑体" w:hAnsi="宋体" w:eastAsia="黑体"/>
          <w:b w:val="0"/>
          <w:bCs w:val="0"/>
          <w:color w:val="auto"/>
          <w:sz w:val="32"/>
          <w:szCs w:val="32"/>
          <w:highlight w:val="none"/>
        </w:rPr>
        <w:t>三、项目绩效情况</w:t>
      </w:r>
      <w:bookmarkEnd w:id="120"/>
      <w:bookmarkEnd w:id="121"/>
      <w:r>
        <w:rPr>
          <w:rFonts w:hint="eastAsia" w:ascii="仿宋_GB2312" w:hAnsi="宋体" w:eastAsia="仿宋_GB2312"/>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严格按照文件要求，及时、足额发放补助资金。项目设定数量指标全部完成。应评选的受奖受助学生人数达到年度指标值，未截留指标。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color w:val="auto"/>
          <w:sz w:val="32"/>
          <w:szCs w:val="32"/>
          <w:highlight w:val="none"/>
        </w:rPr>
      </w:pPr>
      <w:r>
        <w:rPr>
          <w:rFonts w:hint="eastAsia" w:ascii="楷体_GB2312" w:hAnsi="宋体" w:eastAsia="楷体_GB2312"/>
          <w:b w:val="0"/>
          <w:bCs w:val="0"/>
          <w:color w:val="auto"/>
          <w:sz w:val="32"/>
          <w:szCs w:val="32"/>
          <w:highlight w:val="none"/>
          <w:lang w:val="zh-CN"/>
        </w:rPr>
        <w:t>（二）项目效益情况。</w:t>
      </w:r>
      <w:r>
        <w:rPr>
          <w:rFonts w:hint="eastAsia" w:ascii="仿宋_GB2312" w:hAnsi="宋体" w:eastAsia="仿宋_GB2312"/>
          <w:b w:val="0"/>
          <w:bCs w:val="0"/>
          <w:color w:val="auto"/>
          <w:sz w:val="32"/>
          <w:szCs w:val="32"/>
          <w:highlight w:val="none"/>
          <w:lang w:val="zh-CN"/>
        </w:rPr>
        <w:t>利用网站、校园广播、展板等进行政策宣传；给每一位学生印发资助管理制度，宣讲资助政策，使资助政策深入学生心中。有效减轻了贫困学生家庭负担。</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ascii="黑体" w:hAnsi="宋体" w:eastAsia="黑体"/>
          <w:b w:val="0"/>
          <w:bCs w:val="0"/>
          <w:color w:val="auto"/>
          <w:sz w:val="32"/>
          <w:szCs w:val="32"/>
          <w:highlight w:val="none"/>
        </w:rPr>
      </w:pPr>
      <w:bookmarkStart w:id="122" w:name="_Toc28326"/>
      <w:bookmarkStart w:id="123" w:name="_Toc31744"/>
      <w:r>
        <w:rPr>
          <w:rFonts w:hint="eastAsia" w:ascii="黑体" w:hAnsi="宋体" w:eastAsia="黑体"/>
          <w:b w:val="0"/>
          <w:bCs w:val="0"/>
          <w:color w:val="auto"/>
          <w:sz w:val="32"/>
          <w:szCs w:val="32"/>
          <w:highlight w:val="none"/>
        </w:rPr>
        <w:t>四、问题及建议</w:t>
      </w:r>
      <w:bookmarkEnd w:id="122"/>
      <w:bookmarkEnd w:id="123"/>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在发放省属公费师范生生活补助过程中因学生社保卡未激活导致打卡失败情况较多，给发放工作带来了一定的现实阻碍，加大了后期清理的工作量。</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提前通知、督促学生，办理激活社保卡金融功能。同时紧紧围绕“立德树人”这一根本宗旨，将培养青年学生全面发展作为资助育人工作的总目标，加强励志教育、诚信教育和社会责任感教育“三项教育”，培养青年学生自立自强、诚实守信、知恩感恩、勇于担当的良好品质。</w:t>
      </w:r>
    </w:p>
    <w:p>
      <w:pPr>
        <w:shd w:val="clear"/>
        <w:spacing w:line="580" w:lineRule="exac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widowControl/>
        <w:shd w:val="clear"/>
        <w:jc w:val="left"/>
        <w:rPr>
          <w:rStyle w:val="19"/>
          <w:rFonts w:ascii="黑体" w:hAnsi="黑体" w:eastAsia="黑体"/>
          <w:b w:val="0"/>
          <w:color w:val="auto"/>
          <w:highlight w:val="none"/>
        </w:rPr>
      </w:pPr>
    </w:p>
    <w:p>
      <w:pPr>
        <w:pStyle w:val="7"/>
        <w:shd w:val="clear"/>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2-2</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2022年省级高校共建与发展专项资金</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32"/>
          <w:szCs w:val="32"/>
          <w:highlight w:val="none"/>
          <w:lang w:val="en-US" w:eastAsia="zh-CN"/>
        </w:rPr>
      </w:pPr>
      <w:bookmarkStart w:id="124" w:name="_Toc18878"/>
      <w:bookmarkStart w:id="125" w:name="_Toc32218"/>
      <w:r>
        <w:rPr>
          <w:rFonts w:hint="eastAsia" w:ascii="方正小标宋简体" w:hAnsi="方正小标宋简体" w:eastAsia="方正小标宋简体" w:cs="方正小标宋简体"/>
          <w:color w:val="auto"/>
          <w:kern w:val="2"/>
          <w:sz w:val="32"/>
          <w:szCs w:val="32"/>
          <w:highlight w:val="none"/>
          <w:lang w:val="en-US" w:eastAsia="zh-CN"/>
        </w:rPr>
        <w:t>困难毕业生就业帮扶经费</w:t>
      </w:r>
      <w:bookmarkEnd w:id="124"/>
      <w:bookmarkEnd w:id="125"/>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预算项目绩效自评报告</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outlineLvl w:val="1"/>
        <w:rPr>
          <w:rFonts w:hint="eastAsia" w:ascii="仿宋" w:hAnsi="仿宋" w:eastAsia="仿宋" w:cs="仿宋"/>
          <w:b/>
          <w:bCs/>
          <w:color w:val="auto"/>
          <w:sz w:val="32"/>
          <w:szCs w:val="32"/>
          <w:highlight w:val="none"/>
          <w:lang w:val="zh-CN"/>
        </w:rPr>
      </w:pPr>
      <w:bookmarkStart w:id="126" w:name="_Toc6187"/>
      <w:bookmarkStart w:id="127" w:name="_Toc27168"/>
      <w:r>
        <w:rPr>
          <w:rFonts w:hint="eastAsia" w:ascii="仿宋" w:hAnsi="仿宋" w:eastAsia="仿宋" w:cs="仿宋"/>
          <w:b/>
          <w:bCs/>
          <w:color w:val="auto"/>
          <w:sz w:val="32"/>
          <w:szCs w:val="32"/>
          <w:highlight w:val="none"/>
          <w:lang w:val="zh-CN"/>
        </w:rPr>
        <w:t>项目概况</w:t>
      </w:r>
      <w:bookmarkEnd w:id="126"/>
      <w:bookmarkEnd w:id="127"/>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leftChars="50" w:right="-315" w:rightChars="-15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（一）项目基本情况</w:t>
      </w:r>
    </w:p>
    <w:p>
      <w:pPr>
        <w:pStyle w:val="2"/>
        <w:keepNext w:val="0"/>
        <w:keepLines w:val="0"/>
        <w:pageBreakBefore w:val="0"/>
        <w:widowControl w:val="0"/>
        <w:shd w:val="clear"/>
        <w:kinsoku/>
        <w:wordWrap/>
        <w:overflowPunct/>
        <w:topLinePunct w:val="0"/>
        <w:autoSpaceDE/>
        <w:autoSpaceDN/>
        <w:bidi w:val="0"/>
        <w:spacing w:line="578" w:lineRule="exact"/>
        <w:ind w:left="-315" w:leftChars="-150" w:right="-315" w:rightChars="-15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我校</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2022年高校共建与发展专项资金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项目严格按照《四川省教育厅关于做好202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年普通高校家庭经济困难和就业困难毕业生就业帮扶经费申报工作的通知》《关于进一步加强惠民惠农财政补贴资金“一卡通”管理的通知》（川财办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2021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6号）《关于做好高校惠民惠农财政补贴资金社会保障卡“一卡通”管理有关工作的通知》（川财教</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2021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163号）等文件实施，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发放对象首先确立为建档立卡贫困家庭大学毕业生就业帮扶，再兼顾城乡低保家庭、残疾残学生，专项经费按每人600元的标准执行。</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学校招生就业处负责制定方案，同时为各学院分配帮扶系统账号，审核各学院提交的帮扶名单，并上报省教育厅审核。</w:t>
      </w:r>
    </w:p>
    <w:p>
      <w:pPr>
        <w:pStyle w:val="2"/>
        <w:keepNext w:val="0"/>
        <w:keepLines w:val="0"/>
        <w:pageBreakBefore w:val="0"/>
        <w:widowControl w:val="0"/>
        <w:shd w:val="clear"/>
        <w:kinsoku/>
        <w:wordWrap/>
        <w:overflowPunct/>
        <w:topLinePunct w:val="0"/>
        <w:autoSpaceDE/>
        <w:autoSpaceDN/>
        <w:bidi w:val="0"/>
        <w:spacing w:line="578" w:lineRule="exact"/>
        <w:ind w:left="-315" w:leftChars="-150" w:right="-315" w:rightChars="-15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（二）项目绩效目标</w:t>
      </w:r>
    </w:p>
    <w:p>
      <w:pPr>
        <w:pStyle w:val="2"/>
        <w:keepNext w:val="0"/>
        <w:keepLines w:val="0"/>
        <w:pageBreakBefore w:val="0"/>
        <w:widowControl w:val="0"/>
        <w:shd w:val="clear"/>
        <w:kinsoku/>
        <w:wordWrap/>
        <w:overflowPunct/>
        <w:topLinePunct w:val="0"/>
        <w:autoSpaceDE/>
        <w:autoSpaceDN/>
        <w:bidi w:val="0"/>
        <w:spacing w:line="578" w:lineRule="exact"/>
        <w:ind w:left="-315" w:leftChars="-150" w:right="-315" w:rightChars="-15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高校共建与发展专项资金项目（困难大学生就业帮扶与就业工作经费）主要为家庭经济困难和就业困难毕业生发放就业帮扶专项经费，助推困难大学生充分就业，一定程度</w:t>
      </w:r>
      <w:r>
        <w:rPr>
          <w:rFonts w:hint="eastAsia" w:ascii="仿宋_GB2312" w:hAnsi="仿宋_GB2312" w:cs="仿宋_GB2312"/>
          <w:b w:val="0"/>
          <w:bCs w:val="0"/>
          <w:color w:val="auto"/>
          <w:kern w:val="0"/>
          <w:sz w:val="32"/>
          <w:szCs w:val="32"/>
          <w:highlight w:val="none"/>
          <w:u w:val="none"/>
          <w:shd w:val="clear" w:color="auto" w:fill="FFFFFF"/>
          <w:lang w:val="en-US" w:eastAsia="zh-CN" w:bidi="ar-SA"/>
        </w:rPr>
        <w:t>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减轻困难毕业生经济压力。</w:t>
      </w:r>
    </w:p>
    <w:p>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该项目自评由学校计划财务处牵头，招生就业处根据《广元市财政局关于开展2022年度市级部门绩效自评工作的通知》（广财绩〔2023〕5号）文件要求，对照2023年市级专项资金预算项目支出绩效评价指标体系，使用目标比较法，通过项目实际产生的效果与预定绩效目标对比，分析目标完成或未完成的原因，从而达到项目绩效评价的目的。</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outlineLvl w:val="1"/>
        <w:rPr>
          <w:rFonts w:hint="eastAsia" w:ascii="仿宋" w:hAnsi="仿宋" w:eastAsia="仿宋" w:cs="仿宋"/>
          <w:b/>
          <w:bCs/>
          <w:color w:val="auto"/>
          <w:sz w:val="32"/>
          <w:szCs w:val="32"/>
          <w:highlight w:val="none"/>
          <w:u w:val="none"/>
        </w:rPr>
      </w:pPr>
      <w:bookmarkStart w:id="128" w:name="_Toc14508"/>
      <w:bookmarkStart w:id="129" w:name="_Toc12999"/>
      <w:r>
        <w:rPr>
          <w:rFonts w:hint="eastAsia" w:ascii="仿宋" w:hAnsi="仿宋" w:eastAsia="仿宋" w:cs="仿宋"/>
          <w:b/>
          <w:bCs/>
          <w:color w:val="auto"/>
          <w:sz w:val="32"/>
          <w:szCs w:val="32"/>
          <w:highlight w:val="none"/>
          <w:u w:val="none"/>
        </w:rPr>
        <w:t>二、项目资金申报及使用情况</w:t>
      </w:r>
      <w:bookmarkEnd w:id="128"/>
      <w:bookmarkEnd w:id="129"/>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（一）项目资金申报、到位及使用情况</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根据《广元市财政局关于下达</w:t>
      </w:r>
      <w:r>
        <w:rPr>
          <w:rFonts w:hint="eastAsia" w:ascii="仿宋" w:hAnsi="仿宋" w:eastAsia="仿宋" w:cs="仿宋"/>
          <w:color w:val="auto"/>
          <w:sz w:val="32"/>
          <w:szCs w:val="32"/>
          <w:highlight w:val="none"/>
          <w:lang w:val="en-US" w:eastAsia="zh-CN"/>
        </w:rPr>
        <w:t>2022年第一批省级高校共建与发展专项资金预算的通知</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广财教〔202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134</w:t>
      </w:r>
      <w:r>
        <w:rPr>
          <w:rFonts w:hint="eastAsia" w:ascii="仿宋" w:hAnsi="仿宋" w:eastAsia="仿宋" w:cs="仿宋"/>
          <w:color w:val="auto"/>
          <w:sz w:val="32"/>
          <w:szCs w:val="32"/>
          <w:highlight w:val="none"/>
          <w:lang w:val="zh-CN"/>
        </w:rPr>
        <w:t>号</w:t>
      </w:r>
      <w:r>
        <w:rPr>
          <w:rFonts w:hint="eastAsia" w:ascii="仿宋" w:hAnsi="仿宋" w:eastAsia="仿宋" w:cs="仿宋"/>
          <w:color w:val="auto"/>
          <w:sz w:val="32"/>
          <w:szCs w:val="32"/>
          <w:highlight w:val="none"/>
          <w:lang w:val="zh-CN" w:eastAsia="zh-CN"/>
        </w:rPr>
        <w:t>）文件，市财政局下达该专项资金</w:t>
      </w:r>
      <w:r>
        <w:rPr>
          <w:rFonts w:hint="eastAsia" w:ascii="仿宋" w:hAnsi="仿宋" w:eastAsia="仿宋" w:cs="仿宋"/>
          <w:color w:val="auto"/>
          <w:sz w:val="32"/>
          <w:szCs w:val="32"/>
          <w:highlight w:val="none"/>
          <w:lang w:val="en-US" w:eastAsia="zh-CN"/>
        </w:rPr>
        <w:t>17.1万元，四川省惠民惠农公共服务平台上指标分配285人，并结合实际情况，学校按照相同标准自筹经费0.6万元，扩大了困难帮扶人数10人，该项目资金共计17.7万元。学校2022年12月通过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惠民惠农</w:t>
      </w:r>
      <w:r>
        <w:rPr>
          <w:rFonts w:hint="eastAsia" w:ascii="仿宋" w:hAnsi="仿宋" w:eastAsia="仿宋" w:cs="仿宋"/>
          <w:color w:val="auto"/>
          <w:sz w:val="32"/>
          <w:szCs w:val="32"/>
          <w:highlight w:val="none"/>
          <w:lang w:val="zh-CN" w:eastAsia="zh-CN"/>
        </w:rPr>
        <w:t>“一卡通”平台将该资金发放到位。</w:t>
      </w:r>
    </w:p>
    <w:p>
      <w:pPr>
        <w:keepNext w:val="0"/>
        <w:keepLines w:val="0"/>
        <w:pageBreakBefore w:val="0"/>
        <w:widowControl w:val="0"/>
        <w:shd w:val="clear"/>
        <w:kinsoku/>
        <w:wordWrap/>
        <w:overflowPunct/>
        <w:topLinePunct w:val="0"/>
        <w:autoSpaceDE/>
        <w:autoSpaceDN/>
        <w:bidi w:val="0"/>
        <w:adjustRightInd w:val="0"/>
        <w:snapToGrid w:val="0"/>
        <w:spacing w:line="578" w:lineRule="exact"/>
        <w:ind w:right="-315" w:rightChars="-150"/>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（二）项目财务管理情况</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u w:val="none"/>
          <w:lang w:val="zh-CN" w:eastAsia="zh-CN"/>
        </w:rPr>
        <w:t>严格按照相应的业务管理制度，规范专项资金拨付。资金使用规范，符合国家财经法规和财务管理以及有关专项资金管理办法的规定；资金的拨付有完整的审批程序和手续；不存在截留、挤占、挪用、虚列支出等情况。</w:t>
      </w:r>
    </w:p>
    <w:p>
      <w:pPr>
        <w:keepNext w:val="0"/>
        <w:keepLines w:val="0"/>
        <w:pageBreakBefore w:val="0"/>
        <w:widowControl w:val="0"/>
        <w:numPr>
          <w:ilvl w:val="0"/>
          <w:numId w:val="11"/>
        </w:numPr>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outlineLvl w:val="1"/>
        <w:rPr>
          <w:rFonts w:hint="eastAsia" w:ascii="仿宋" w:hAnsi="仿宋" w:eastAsia="仿宋" w:cs="仿宋"/>
          <w:b/>
          <w:bCs/>
          <w:color w:val="auto"/>
          <w:sz w:val="32"/>
          <w:szCs w:val="32"/>
          <w:highlight w:val="none"/>
          <w:u w:val="none"/>
        </w:rPr>
      </w:pPr>
      <w:bookmarkStart w:id="130" w:name="_Toc12252"/>
      <w:bookmarkStart w:id="131" w:name="_Toc2745"/>
      <w:r>
        <w:rPr>
          <w:rFonts w:hint="eastAsia" w:ascii="仿宋" w:hAnsi="仿宋" w:eastAsia="仿宋" w:cs="仿宋"/>
          <w:b/>
          <w:bCs/>
          <w:color w:val="auto"/>
          <w:sz w:val="32"/>
          <w:szCs w:val="32"/>
          <w:highlight w:val="none"/>
          <w:u w:val="none"/>
        </w:rPr>
        <w:t>项目实施及管理情况</w:t>
      </w:r>
      <w:bookmarkEnd w:id="130"/>
      <w:bookmarkEnd w:id="131"/>
    </w:p>
    <w:p>
      <w:pPr>
        <w:keepNext w:val="0"/>
        <w:keepLines w:val="0"/>
        <w:pageBreakBefore w:val="0"/>
        <w:numPr>
          <w:ilvl w:val="0"/>
          <w:numId w:val="0"/>
        </w:numPr>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zh-CN"/>
        </w:rPr>
        <w:t>（</w:t>
      </w:r>
      <w:r>
        <w:rPr>
          <w:rFonts w:hint="eastAsia" w:ascii="仿宋" w:hAnsi="仿宋" w:eastAsia="仿宋" w:cs="仿宋"/>
          <w:b w:val="0"/>
          <w:bCs/>
          <w:color w:val="auto"/>
          <w:sz w:val="32"/>
          <w:szCs w:val="32"/>
          <w:highlight w:val="none"/>
          <w:lang w:val="zh-CN" w:eastAsia="zh-CN"/>
        </w:rPr>
        <w:t>一</w:t>
      </w:r>
      <w:r>
        <w:rPr>
          <w:rFonts w:hint="eastAsia" w:ascii="仿宋" w:hAnsi="仿宋" w:eastAsia="仿宋" w:cs="仿宋"/>
          <w:b w:val="0"/>
          <w:bCs/>
          <w:color w:val="auto"/>
          <w:sz w:val="32"/>
          <w:szCs w:val="32"/>
          <w:highlight w:val="none"/>
          <w:lang w:val="zh-CN"/>
        </w:rPr>
        <w:t>）项目实施流程</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1.学校根据省市相关文件制定具体实施方案。</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2.系部根据方案筛选出符合条件的对象名单，并进行公示。</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3.学校审核后并公示。</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4.公示无异议后，通过“一卡通”平台发放帮扶资金。</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zh-CN"/>
        </w:rPr>
        <w:t>（二）项目管理情况</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color w:val="auto"/>
          <w:sz w:val="32"/>
          <w:szCs w:val="32"/>
          <w:highlight w:val="none"/>
          <w:u w:val="none"/>
          <w:lang w:val="zh-CN"/>
        </w:rPr>
      </w:pPr>
      <w:r>
        <w:rPr>
          <w:rFonts w:hint="eastAsia" w:ascii="仿宋" w:hAnsi="仿宋" w:eastAsia="仿宋" w:cs="仿宋"/>
          <w:color w:val="auto"/>
          <w:sz w:val="32"/>
          <w:szCs w:val="32"/>
          <w:highlight w:val="none"/>
          <w:u w:val="none"/>
          <w:lang w:val="en-US" w:eastAsia="zh-CN"/>
        </w:rPr>
        <w:t>该项目资金发放符合国家、省、市及学校相关资金管理办法以及相关财务会计制度的规定。</w:t>
      </w:r>
    </w:p>
    <w:p>
      <w:pPr>
        <w:keepNext w:val="0"/>
        <w:keepLines w:val="0"/>
        <w:pageBreakBefore w:val="0"/>
        <w:numPr>
          <w:ilvl w:val="0"/>
          <w:numId w:val="0"/>
        </w:numPr>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zh-CN"/>
        </w:rPr>
        <w:t>（三）项目监管情况</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zh-CN" w:eastAsia="zh-CN"/>
        </w:rPr>
        <w:t>通过对项目实施监管，帮扶对象名单申报过程符合相关文件规定，资金发放过程符合财务制度。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outlineLvl w:val="1"/>
        <w:rPr>
          <w:rFonts w:hint="eastAsia" w:ascii="仿宋" w:hAnsi="仿宋" w:eastAsia="仿宋" w:cs="仿宋"/>
          <w:b/>
          <w:bCs/>
          <w:color w:val="auto"/>
          <w:sz w:val="32"/>
          <w:szCs w:val="32"/>
          <w:highlight w:val="none"/>
          <w:u w:val="none"/>
          <w:lang w:val="zh-CN"/>
        </w:rPr>
      </w:pPr>
      <w:bookmarkStart w:id="132" w:name="_Toc7747"/>
      <w:bookmarkStart w:id="133" w:name="_Toc3070"/>
      <w:r>
        <w:rPr>
          <w:rFonts w:hint="eastAsia" w:ascii="仿宋" w:hAnsi="仿宋" w:eastAsia="仿宋" w:cs="仿宋"/>
          <w:b/>
          <w:bCs/>
          <w:color w:val="auto"/>
          <w:sz w:val="32"/>
          <w:szCs w:val="32"/>
          <w:highlight w:val="none"/>
          <w:u w:val="none"/>
        </w:rPr>
        <w:t>四、项目绩效情况</w:t>
      </w:r>
      <w:bookmarkEnd w:id="132"/>
      <w:bookmarkEnd w:id="133"/>
      <w:r>
        <w:rPr>
          <w:rFonts w:hint="eastAsia" w:ascii="仿宋" w:hAnsi="仿宋" w:eastAsia="仿宋" w:cs="仿宋"/>
          <w:b/>
          <w:bCs/>
          <w:color w:val="auto"/>
          <w:sz w:val="32"/>
          <w:szCs w:val="32"/>
          <w:highlight w:val="none"/>
          <w:u w:val="none"/>
          <w:lang w:val="zh-CN"/>
        </w:rPr>
        <w:tab/>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较好地完成了预设工作任务，专项项目得到有序开展。截止2022年12月底，我校295名2022届困难大学生的就业帮扶资金已全部拨付到位，项目实施完成100%。</w:t>
      </w:r>
    </w:p>
    <w:p>
      <w:pPr>
        <w:keepNext w:val="0"/>
        <w:keepLines w:val="0"/>
        <w:pageBreakBefore w:val="0"/>
        <w:shd w:val="clear"/>
        <w:kinsoku/>
        <w:wordWrap/>
        <w:overflowPunct/>
        <w:topLinePunct w:val="0"/>
        <w:autoSpaceDE/>
        <w:autoSpaceDN/>
        <w:bidi w:val="0"/>
        <w:adjustRightInd w:val="0"/>
        <w:snapToGrid w:val="0"/>
        <w:spacing w:line="578" w:lineRule="exact"/>
        <w:ind w:left="-315" w:leftChars="-150" w:right="-315" w:rightChars="-150"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zh-CN"/>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left="-315" w:leftChars="-150" w:right="-315" w:rightChars="-150" w:firstLine="640" w:firstLineChars="200"/>
        <w:contextualSpacing/>
        <w:jc w:val="both"/>
        <w:textAlignment w:val="auto"/>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 w:hAnsi="仿宋" w:eastAsia="仿宋" w:cs="仿宋"/>
          <w:color w:val="auto"/>
          <w:sz w:val="32"/>
          <w:szCs w:val="32"/>
          <w:highlight w:val="none"/>
          <w:lang w:val="en-US" w:eastAsia="zh-CN"/>
        </w:rPr>
        <w:t>有效缓解了家庭经济困难毕业生的经济压力，并帮助其顺利就业，得到学生、家长及社会的好评</w:t>
      </w:r>
      <w:r>
        <w:rPr>
          <w:rFonts w:hint="eastAsia" w:ascii="仿宋" w:hAnsi="仿宋" w:eastAsia="仿宋" w:cs="仿宋"/>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outlineLvl w:val="1"/>
        <w:rPr>
          <w:rFonts w:hint="eastAsia" w:ascii="仿宋" w:hAnsi="仿宋" w:eastAsia="仿宋" w:cs="仿宋"/>
          <w:b w:val="0"/>
          <w:bCs w:val="0"/>
          <w:color w:val="auto"/>
          <w:sz w:val="32"/>
          <w:szCs w:val="32"/>
          <w:highlight w:val="none"/>
          <w:u w:val="none"/>
        </w:rPr>
      </w:pPr>
      <w:bookmarkStart w:id="134" w:name="_Toc6514"/>
      <w:bookmarkStart w:id="135" w:name="_Toc13301"/>
      <w:r>
        <w:rPr>
          <w:rFonts w:hint="eastAsia" w:ascii="仿宋" w:hAnsi="仿宋" w:eastAsia="仿宋" w:cs="仿宋"/>
          <w:b w:val="0"/>
          <w:bCs w:val="0"/>
          <w:color w:val="auto"/>
          <w:sz w:val="32"/>
          <w:szCs w:val="32"/>
          <w:highlight w:val="none"/>
          <w:u w:val="none"/>
        </w:rPr>
        <w:t>五、评价结论及建议</w:t>
      </w:r>
      <w:bookmarkEnd w:id="134"/>
      <w:bookmarkEnd w:id="135"/>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（一）评价结论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8" w:lineRule="exact"/>
        <w:ind w:left="-315" w:leftChars="-150" w:right="-315" w:rightChars="-15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1.项目经费及时拨付到位，支出合理合规，实现了预定的绩效目标。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8" w:lineRule="exact"/>
        <w:ind w:left="-315" w:leftChars="-150" w:right="-315" w:rightChars="-15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2.目标明确，项目实施工作有序开展。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8" w:lineRule="exact"/>
        <w:ind w:left="-315" w:leftChars="-150" w:right="-315" w:rightChars="-15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3.通过对专项资金的有效管理和使用，有效减轻了家庭经济困难毕业生的经济负担，也有效缓解了高校困难毕业生就业压力。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8" w:lineRule="exact"/>
        <w:ind w:left="-315" w:leftChars="-150" w:right="-315" w:rightChars="-150" w:firstLine="640" w:firstLineChars="200"/>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（二）相关建议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8" w:lineRule="exact"/>
        <w:ind w:left="-315" w:leftChars="-150" w:right="-315" w:rightChars="-150" w:firstLine="640" w:firstLineChars="200"/>
        <w:jc w:val="both"/>
        <w:textAlignment w:val="auto"/>
        <w:rPr>
          <w:rStyle w:val="19"/>
          <w:rFonts w:ascii="黑体" w:hAnsi="黑体" w:eastAsia="黑体"/>
          <w:b w:val="0"/>
          <w:color w:val="auto"/>
          <w:highlight w:val="none"/>
        </w:rPr>
      </w:pPr>
      <w:r>
        <w:rPr>
          <w:rFonts w:hint="eastAsia" w:ascii="仿宋" w:hAnsi="仿宋" w:eastAsia="仿宋" w:cs="仿宋"/>
          <w:color w:val="auto"/>
          <w:kern w:val="2"/>
          <w:sz w:val="32"/>
          <w:szCs w:val="32"/>
          <w:highlight w:val="none"/>
          <w:lang w:val="en-US" w:eastAsia="zh-CN" w:bidi="ar-SA"/>
        </w:rPr>
        <w:t>建议将该项目纳入当年高校学生资助项目统一管理。</w:t>
      </w:r>
    </w:p>
    <w:p>
      <w:pPr>
        <w:pStyle w:val="7"/>
        <w:shd w:val="clear"/>
        <w:rPr>
          <w:rFonts w:hint="default" w:eastAsia="仿宋_GB2312"/>
          <w:color w:val="auto"/>
          <w:sz w:val="32"/>
          <w:szCs w:val="32"/>
          <w:highlight w:val="none"/>
          <w:lang w:val="en-US" w:eastAsia="zh-CN"/>
        </w:rPr>
      </w:pPr>
      <w:bookmarkStart w:id="136" w:name="_Toc15396618"/>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2-3</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2022年高层次人才工作补助</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32"/>
          <w:szCs w:val="32"/>
          <w:highlight w:val="none"/>
          <w:lang w:val="en-US" w:eastAsia="zh-CN"/>
        </w:rPr>
      </w:pPr>
      <w:bookmarkStart w:id="137" w:name="_Toc17069"/>
      <w:bookmarkStart w:id="138" w:name="_Toc11951"/>
      <w:r>
        <w:rPr>
          <w:rFonts w:hint="eastAsia" w:ascii="方正小标宋简体" w:hAnsi="方正小标宋简体" w:eastAsia="方正小标宋简体" w:cs="方正小标宋简体"/>
          <w:color w:val="auto"/>
          <w:kern w:val="2"/>
          <w:sz w:val="32"/>
          <w:szCs w:val="32"/>
          <w:highlight w:val="none"/>
          <w:lang w:val="en-US" w:eastAsia="zh-CN"/>
        </w:rPr>
        <w:t>预算项目绩效自评报告</w:t>
      </w:r>
      <w:bookmarkEnd w:id="137"/>
      <w:bookmarkEnd w:id="138"/>
    </w:p>
    <w:p>
      <w:pPr>
        <w:shd w:val="clear"/>
        <w:adjustRightInd w:val="0"/>
        <w:snapToGrid w:val="0"/>
        <w:spacing w:line="578" w:lineRule="exact"/>
        <w:ind w:firstLine="640" w:firstLineChars="200"/>
        <w:rPr>
          <w:rFonts w:hint="eastAsia" w:ascii="黑体" w:hAnsi="宋体" w:eastAsia="黑体" w:cs="Times New Roman"/>
          <w:color w:val="auto"/>
          <w:sz w:val="32"/>
          <w:szCs w:val="32"/>
          <w:highlight w:val="none"/>
        </w:rPr>
      </w:pP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lang w:val="zh-CN"/>
        </w:rPr>
      </w:pPr>
      <w:bookmarkStart w:id="139" w:name="_Toc8713"/>
      <w:bookmarkStart w:id="140" w:name="_Toc3995"/>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39"/>
      <w:bookmarkEnd w:id="140"/>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根据《广元市高层次人才引进暂行办法》（广委办〔2014〕38号），为深入贯彻中央人才工作会议精神，落实市第八次党代会部署，精准招引一批急需紧缺专业人才，助力高质量发展，经市委、市政府同意，决定开展第十四批高层次人才引进工作。</w:t>
      </w:r>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仿宋_GB2312" w:hAnsi="Times New Roman" w:eastAsia="仿宋_GB2312" w:cs="Times New Roman"/>
          <w:color w:val="auto"/>
          <w:kern w:val="0"/>
          <w:sz w:val="32"/>
          <w:szCs w:val="32"/>
          <w:highlight w:val="none"/>
          <w:shd w:val="clear" w:color="auto" w:fill="FFFFFF"/>
        </w:rPr>
        <w:t>为进一步加强我校教师队伍建设，充分发挥教育人才示范引领作用，有效促进广元高等教育核心竞争力全面提升，推动我市教育事业又好又快发展。</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shd w:val="clear"/>
        <w:adjustRightInd w:val="0"/>
        <w:snapToGrid w:val="0"/>
        <w:spacing w:line="578" w:lineRule="exact"/>
        <w:ind w:firstLine="640" w:firstLineChars="200"/>
        <w:rPr>
          <w:rFonts w:ascii="仿宋_GB2312" w:hAnsi="Times New Roman" w:eastAsia="仿宋_GB2312" w:cs="Times New Roman"/>
          <w:color w:val="auto"/>
          <w:kern w:val="0"/>
          <w:sz w:val="32"/>
          <w:szCs w:val="32"/>
          <w:highlight w:val="none"/>
          <w:shd w:val="clear" w:color="auto" w:fill="FFFFFF"/>
        </w:rPr>
      </w:pPr>
      <w:r>
        <w:rPr>
          <w:rFonts w:hint="eastAsia" w:ascii="仿宋" w:hAnsi="仿宋" w:eastAsia="仿宋" w:cs="仿宋"/>
          <w:color w:val="auto"/>
          <w:sz w:val="32"/>
          <w:szCs w:val="32"/>
          <w:highlight w:val="none"/>
          <w:lang w:val="zh-CN"/>
        </w:rPr>
        <w:t>该项目自评由学校计划财务处牵头，组织人事处根据《广元市财政局关于开展2022年度市级部门绩效自评工作的通知》（广财绩〔2023〕5号）文件要求，对照2023年市级专项资金预算项目支出绩效评价指标体系，使用目标比较法，通过项目实际产生的效果与预定绩效目标对比，分析目标完成或未完成的原因，从而达到项目绩效评价的目的。</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41" w:name="_Toc6271"/>
      <w:bookmarkStart w:id="142" w:name="_Toc22209"/>
      <w:r>
        <w:rPr>
          <w:rFonts w:hint="eastAsia" w:ascii="黑体" w:hAnsi="宋体" w:eastAsia="黑体" w:cs="Times New Roman"/>
          <w:color w:val="auto"/>
          <w:sz w:val="32"/>
          <w:szCs w:val="32"/>
          <w:highlight w:val="none"/>
        </w:rPr>
        <w:t>二、项目资金申报及使用情况</w:t>
      </w:r>
      <w:bookmarkEnd w:id="141"/>
      <w:bookmarkEnd w:id="142"/>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shd w:val="clear"/>
        <w:adjustRightInd w:val="0"/>
        <w:snapToGrid w:val="0"/>
        <w:spacing w:line="578" w:lineRule="exact"/>
        <w:ind w:firstLine="640" w:firstLineChars="200"/>
        <w:contextualSpacing/>
        <w:rPr>
          <w:rFonts w:ascii="仿宋_GB2312" w:hAnsi="Times New Roman" w:eastAsia="仿宋_GB2312" w:cs="Times New Roman"/>
          <w:color w:val="auto"/>
          <w:kern w:val="0"/>
          <w:sz w:val="32"/>
          <w:szCs w:val="32"/>
          <w:highlight w:val="none"/>
          <w:shd w:val="clear" w:color="auto" w:fill="FFFFFF"/>
        </w:rPr>
      </w:pPr>
      <w:r>
        <w:rPr>
          <w:rFonts w:hint="eastAsia" w:ascii="仿宋_GB2312" w:hAnsi="Times New Roman" w:eastAsia="仿宋_GB2312" w:cs="Times New Roman"/>
          <w:color w:val="auto"/>
          <w:kern w:val="0"/>
          <w:sz w:val="32"/>
          <w:szCs w:val="32"/>
          <w:highlight w:val="none"/>
          <w:shd w:val="clear" w:color="auto" w:fill="FFFFFF"/>
        </w:rPr>
        <w:t>按照2022年12月19日广元市财政局文件《关于下达市级财政专项资金的通知》（广财社〔2022〕180号），给予我校广元市</w:t>
      </w:r>
      <w:r>
        <w:rPr>
          <w:rFonts w:hint="eastAsia" w:ascii="仿宋_GB2312" w:hAnsi="仿宋_GB2312" w:eastAsia="仿宋_GB2312" w:cs="仿宋_GB2312"/>
          <w:color w:val="auto"/>
          <w:kern w:val="0"/>
          <w:sz w:val="32"/>
          <w:szCs w:val="32"/>
          <w:highlight w:val="none"/>
          <w:shd w:val="clear" w:color="auto" w:fill="FFFFFF"/>
          <w:lang w:val="zh-CN"/>
        </w:rPr>
        <w:t>第十四批高层次人才引进的6名硕士研究生每人每月500元工作补助（2022年发7-12月，每人3000元，合计1.8万元）、每人8万元安家补助，并补发广元市第十二批高层次人才引进的硕士研究生赵川林8万元安家补助，三项合计57.8万元。</w:t>
      </w:r>
    </w:p>
    <w:p>
      <w:pPr>
        <w:shd w:val="clear"/>
        <w:adjustRightInd w:val="0"/>
        <w:snapToGrid w:val="0"/>
        <w:spacing w:line="578" w:lineRule="exact"/>
        <w:ind w:firstLine="640" w:firstLineChars="200"/>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（二）资金计划、到位及使用情况（可用表格形式反映）。</w:t>
      </w:r>
    </w:p>
    <w:p>
      <w:pPr>
        <w:shd w:val="clear"/>
        <w:adjustRightInd w:val="0"/>
        <w:snapToGrid w:val="0"/>
        <w:spacing w:line="578"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w:t>
      </w:r>
      <w:r>
        <w:rPr>
          <w:rFonts w:hint="eastAsia" w:ascii="仿宋_GB2312" w:hAnsi="Times New Roman" w:eastAsia="仿宋_GB2312" w:cs="Times New Roman"/>
          <w:color w:val="auto"/>
          <w:kern w:val="0"/>
          <w:sz w:val="32"/>
          <w:szCs w:val="32"/>
          <w:highlight w:val="none"/>
          <w:shd w:val="clear" w:color="auto" w:fill="FFFFFF"/>
        </w:rPr>
        <w:t>该项目全年资金计划57.8万元。</w:t>
      </w:r>
    </w:p>
    <w:p>
      <w:pPr>
        <w:shd w:val="clear"/>
        <w:adjustRightInd w:val="0"/>
        <w:snapToGrid w:val="0"/>
        <w:spacing w:line="578"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lang w:val="zh-CN"/>
        </w:rPr>
        <w:t>2.资金到位。</w:t>
      </w:r>
      <w:r>
        <w:rPr>
          <w:rFonts w:hint="eastAsia" w:ascii="仿宋_GB2312" w:hAnsi="Times New Roman" w:eastAsia="仿宋_GB2312" w:cs="Times New Roman"/>
          <w:color w:val="auto"/>
          <w:kern w:val="0"/>
          <w:sz w:val="32"/>
          <w:szCs w:val="32"/>
          <w:highlight w:val="none"/>
          <w:shd w:val="clear" w:color="auto" w:fill="FFFFFF"/>
        </w:rPr>
        <w:t>截止评价时点，该项目资金57.8万元于2022年12月31日划拨到学校账户。</w:t>
      </w:r>
    </w:p>
    <w:p>
      <w:pPr>
        <w:shd w:val="clear"/>
        <w:adjustRightInd w:val="0"/>
        <w:snapToGrid w:val="0"/>
        <w:spacing w:line="578" w:lineRule="exact"/>
        <w:ind w:firstLine="640" w:firstLineChars="200"/>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3.资金使用。</w:t>
      </w:r>
      <w:r>
        <w:rPr>
          <w:rFonts w:hint="eastAsia" w:ascii="仿宋_GB2312" w:hAnsi="Times New Roman" w:eastAsia="仿宋_GB2312" w:cs="Times New Roman"/>
          <w:color w:val="auto"/>
          <w:kern w:val="0"/>
          <w:sz w:val="32"/>
          <w:szCs w:val="32"/>
          <w:highlight w:val="none"/>
          <w:shd w:val="clear" w:color="auto" w:fill="FFFFFF"/>
        </w:rPr>
        <w:t>截止评价时点，学校于2023年2月将56万元安家补助发放到7名引进人才的个人账户，</w:t>
      </w:r>
      <w:r>
        <w:rPr>
          <w:rFonts w:hint="eastAsia" w:ascii="仿宋_GB2312" w:hAnsi="仿宋_GB2312" w:eastAsia="仿宋_GB2312" w:cs="仿宋_GB2312"/>
          <w:color w:val="auto"/>
          <w:kern w:val="0"/>
          <w:sz w:val="32"/>
          <w:szCs w:val="32"/>
          <w:highlight w:val="none"/>
          <w:shd w:val="clear" w:color="auto" w:fill="FFFFFF"/>
          <w:lang w:val="zh-CN"/>
        </w:rPr>
        <w:t>第十四批高层次人才引进的6名硕士研究生7-12月每人每月500元工作补助已于2022年垫支发放到个人账户。</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shd w:val="clear"/>
        <w:adjustRightInd w:val="0"/>
        <w:snapToGrid w:val="0"/>
        <w:spacing w:line="578" w:lineRule="exact"/>
        <w:ind w:firstLine="640" w:firstLineChars="200"/>
        <w:rPr>
          <w:rFonts w:ascii="Times New Roman" w:hAnsi="Times New Roman"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我校</w:t>
      </w:r>
      <w:r>
        <w:rPr>
          <w:rFonts w:hint="eastAsia" w:ascii="仿宋_GB2312" w:hAnsi="仿宋_GB2312" w:eastAsia="仿宋_GB2312" w:cs="仿宋_GB2312"/>
          <w:color w:val="auto"/>
          <w:kern w:val="0"/>
          <w:sz w:val="32"/>
          <w:szCs w:val="32"/>
          <w:highlight w:val="none"/>
          <w:shd w:val="clear" w:color="auto" w:fill="FFFFFF"/>
          <w:lang w:val="zh-CN"/>
        </w:rPr>
        <w:t>第十四批高层次人才引进</w:t>
      </w:r>
      <w:r>
        <w:rPr>
          <w:rFonts w:hint="eastAsia" w:ascii="仿宋_GB2312" w:hAnsi="宋体" w:eastAsia="仿宋_GB2312" w:cs="Times New Roman"/>
          <w:color w:val="auto"/>
          <w:sz w:val="32"/>
          <w:szCs w:val="32"/>
          <w:highlight w:val="none"/>
        </w:rPr>
        <w:t>项目的资金支出严格执行财务管理制度及财经纪律，会计核算规范严谨，专款专用，无截留、无挪用，无多发、也无漏发。</w:t>
      </w:r>
    </w:p>
    <w:p>
      <w:pPr>
        <w:shd w:val="clear"/>
        <w:adjustRightInd w:val="0"/>
        <w:snapToGrid w:val="0"/>
        <w:spacing w:line="578" w:lineRule="exact"/>
        <w:ind w:firstLine="640" w:firstLineChars="200"/>
        <w:outlineLvl w:val="1"/>
        <w:rPr>
          <w:rFonts w:hint="eastAsia" w:ascii="黑体" w:hAnsi="宋体" w:eastAsia="黑体" w:cs="Times New Roman"/>
          <w:color w:val="auto"/>
          <w:sz w:val="32"/>
          <w:szCs w:val="32"/>
          <w:highlight w:val="none"/>
        </w:rPr>
      </w:pPr>
      <w:bookmarkStart w:id="143" w:name="_Toc27624"/>
      <w:bookmarkStart w:id="144" w:name="_Toc18049"/>
      <w:r>
        <w:rPr>
          <w:rFonts w:hint="eastAsia" w:ascii="黑体" w:hAnsi="宋体" w:eastAsia="黑体" w:cs="Times New Roman"/>
          <w:color w:val="auto"/>
          <w:sz w:val="32"/>
          <w:szCs w:val="32"/>
          <w:highlight w:val="none"/>
        </w:rPr>
        <w:t>三、项目实施及管理情况</w:t>
      </w:r>
      <w:bookmarkEnd w:id="143"/>
      <w:bookmarkEnd w:id="144"/>
    </w:p>
    <w:p>
      <w:pPr>
        <w:shd w:val="clear"/>
        <w:adjustRightInd w:val="0"/>
        <w:snapToGrid w:val="0"/>
        <w:spacing w:line="578" w:lineRule="exact"/>
        <w:ind w:firstLine="640" w:firstLineChars="200"/>
        <w:rPr>
          <w:rFonts w:ascii="黑体" w:hAnsi="宋体" w:eastAsia="黑体" w:cs="Times New Roman"/>
          <w:color w:val="auto"/>
          <w:sz w:val="32"/>
          <w:szCs w:val="32"/>
          <w:highlight w:val="none"/>
        </w:rPr>
      </w:pPr>
      <w:r>
        <w:rPr>
          <w:rFonts w:hint="eastAsia" w:ascii="仿宋_GB2312" w:hAnsi="宋体" w:eastAsia="仿宋_GB2312" w:cs="Times New Roman"/>
          <w:color w:val="auto"/>
          <w:sz w:val="32"/>
          <w:szCs w:val="32"/>
          <w:highlight w:val="none"/>
        </w:rPr>
        <w:t>学校积极配合市教育局、市人社局做好第十四批高层次人才引进相关工作，按照与引进的6名硕士研究生签订《广元市人才引进协议书》《四川省事业单位聘用合同》，及时办理入编及聘用手续，按时足额发放引进人才安家补助、工作补助，确保相关政策待遇落实到位。</w:t>
      </w:r>
    </w:p>
    <w:p>
      <w:pPr>
        <w:shd w:val="clear"/>
        <w:adjustRightInd w:val="0"/>
        <w:snapToGrid w:val="0"/>
        <w:spacing w:line="578" w:lineRule="exact"/>
        <w:ind w:firstLine="640" w:firstLineChars="200"/>
        <w:outlineLvl w:val="1"/>
        <w:rPr>
          <w:rFonts w:ascii="仿宋_GB2312" w:hAnsi="宋体" w:eastAsia="仿宋_GB2312" w:cs="Times New Roman"/>
          <w:color w:val="auto"/>
          <w:sz w:val="32"/>
          <w:szCs w:val="32"/>
          <w:highlight w:val="none"/>
          <w:lang w:val="zh-CN"/>
        </w:rPr>
      </w:pPr>
      <w:bookmarkStart w:id="145" w:name="_Toc16255"/>
      <w:bookmarkStart w:id="146" w:name="_Toc20313"/>
      <w:r>
        <w:rPr>
          <w:rFonts w:hint="eastAsia" w:ascii="黑体" w:hAnsi="宋体" w:eastAsia="黑体" w:cs="Times New Roman"/>
          <w:color w:val="auto"/>
          <w:sz w:val="32"/>
          <w:szCs w:val="32"/>
          <w:highlight w:val="none"/>
        </w:rPr>
        <w:t>四、项目绩效情况</w:t>
      </w:r>
      <w:bookmarkEnd w:id="145"/>
      <w:bookmarkEnd w:id="146"/>
      <w:r>
        <w:rPr>
          <w:rFonts w:hint="eastAsia" w:ascii="仿宋_GB2312" w:hAnsi="宋体" w:eastAsia="仿宋_GB2312" w:cs="Times New Roman"/>
          <w:color w:val="auto"/>
          <w:sz w:val="32"/>
          <w:szCs w:val="32"/>
          <w:highlight w:val="none"/>
          <w:lang w:val="zh-CN"/>
        </w:rPr>
        <w:tab/>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（一）项目完成情况</w:t>
      </w:r>
    </w:p>
    <w:p>
      <w:pPr>
        <w:shd w:val="clear"/>
        <w:autoSpaceDE w:val="0"/>
        <w:adjustRightInd w:val="0"/>
        <w:snapToGrid w:val="0"/>
        <w:spacing w:line="576" w:lineRule="exact"/>
        <w:ind w:firstLine="72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2022年，通过</w:t>
      </w:r>
      <w:r>
        <w:rPr>
          <w:rFonts w:hint="eastAsia" w:ascii="仿宋_GB2312" w:hAnsi="仿宋_GB2312" w:eastAsia="仿宋_GB2312" w:cs="仿宋_GB2312"/>
          <w:color w:val="auto"/>
          <w:kern w:val="0"/>
          <w:sz w:val="32"/>
          <w:szCs w:val="32"/>
          <w:highlight w:val="none"/>
          <w:shd w:val="clear" w:color="auto" w:fill="FFFFFF"/>
          <w:lang w:val="zh-CN"/>
        </w:rPr>
        <w:t>第十四批高层次人才引进，</w:t>
      </w:r>
      <w:r>
        <w:rPr>
          <w:rFonts w:hint="eastAsia" w:ascii="仿宋_GB2312" w:hAnsi="宋体" w:eastAsia="仿宋_GB2312" w:cs="Times New Roman"/>
          <w:color w:val="auto"/>
          <w:sz w:val="32"/>
          <w:szCs w:val="32"/>
          <w:highlight w:val="none"/>
        </w:rPr>
        <w:t>学校累计引进硕士研究生6人，师资队伍不断充实，结构进一步优化。</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（二）项目效益情况</w:t>
      </w:r>
    </w:p>
    <w:p>
      <w:pPr>
        <w:shd w:val="clear"/>
        <w:adjustRightInd w:val="0"/>
        <w:snapToGrid w:val="0"/>
        <w:spacing w:line="578" w:lineRule="exact"/>
        <w:ind w:firstLine="640" w:firstLineChars="200"/>
        <w:rPr>
          <w:rFonts w:ascii="仿宋_GB2312" w:hAnsi="Times New Roman" w:eastAsia="仿宋_GB2312" w:cs="Times New Roman"/>
          <w:color w:val="auto"/>
          <w:kern w:val="0"/>
          <w:sz w:val="32"/>
          <w:szCs w:val="32"/>
          <w:highlight w:val="none"/>
          <w:shd w:val="clear" w:color="auto" w:fill="FFFFFF"/>
        </w:rPr>
      </w:pPr>
      <w:r>
        <w:rPr>
          <w:rFonts w:hint="eastAsia" w:ascii="仿宋_GB2312" w:hAnsi="宋体" w:eastAsia="仿宋_GB2312" w:cs="Times New Roman"/>
          <w:color w:val="auto"/>
          <w:sz w:val="32"/>
          <w:szCs w:val="32"/>
          <w:highlight w:val="none"/>
        </w:rPr>
        <w:t>1.社会效益：学校专任教师等师资队伍进一步壮大，学历、年龄结构进一步优化提升，为实现学校办好一流幼专、创建学前师范学院提供了人才保障，</w:t>
      </w:r>
      <w:r>
        <w:rPr>
          <w:rFonts w:hint="eastAsia" w:ascii="仿宋_GB2312" w:hAnsi="Times New Roman" w:eastAsia="仿宋_GB2312" w:cs="Times New Roman"/>
          <w:color w:val="auto"/>
          <w:kern w:val="0"/>
          <w:sz w:val="32"/>
          <w:szCs w:val="32"/>
          <w:highlight w:val="none"/>
          <w:shd w:val="clear" w:color="auto" w:fill="FFFFFF"/>
        </w:rPr>
        <w:t>为学校教育高质量发展奠定坚实的师资基础</w:t>
      </w:r>
      <w:r>
        <w:rPr>
          <w:rFonts w:hint="eastAsia" w:ascii="仿宋_GB2312" w:hAnsi="宋体" w:eastAsia="仿宋_GB2312" w:cs="Times New Roman"/>
          <w:color w:val="auto"/>
          <w:sz w:val="32"/>
          <w:szCs w:val="32"/>
          <w:highlight w:val="none"/>
        </w:rPr>
        <w:t>。</w:t>
      </w:r>
    </w:p>
    <w:p>
      <w:pPr>
        <w:shd w:val="clear"/>
        <w:autoSpaceDE w:val="0"/>
        <w:adjustRightInd w:val="0"/>
        <w:snapToGrid w:val="0"/>
        <w:spacing w:line="576" w:lineRule="exact"/>
        <w:ind w:firstLine="640" w:firstLineChars="200"/>
        <w:rPr>
          <w:rFonts w:hint="eastAsia" w:ascii="楷体_GB2312" w:hAnsi="宋体" w:eastAsia="楷体_GB2312" w:cs="Times New Roman"/>
          <w:color w:val="auto"/>
          <w:sz w:val="32"/>
          <w:szCs w:val="32"/>
          <w:highlight w:val="none"/>
        </w:rPr>
      </w:pPr>
      <w:r>
        <w:rPr>
          <w:rFonts w:hint="eastAsia" w:ascii="仿宋_GB2312" w:hAnsi="宋体" w:eastAsia="仿宋_GB2312" w:cs="Times New Roman"/>
          <w:color w:val="auto"/>
          <w:sz w:val="32"/>
          <w:szCs w:val="32"/>
          <w:highlight w:val="none"/>
        </w:rPr>
        <w:t>2.服务对象满意度：90%。</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47" w:name="_Toc26088"/>
      <w:bookmarkStart w:id="148" w:name="_Toc21574"/>
      <w:r>
        <w:rPr>
          <w:rFonts w:hint="eastAsia" w:ascii="黑体" w:hAnsi="宋体" w:eastAsia="黑体" w:cs="Times New Roman"/>
          <w:color w:val="auto"/>
          <w:sz w:val="32"/>
          <w:szCs w:val="32"/>
          <w:highlight w:val="none"/>
        </w:rPr>
        <w:t>五、评价结论及建议</w:t>
      </w:r>
      <w:bookmarkEnd w:id="147"/>
      <w:bookmarkEnd w:id="148"/>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shd w:val="clear"/>
        <w:adjustRightInd w:val="0"/>
        <w:snapToGrid w:val="0"/>
        <w:spacing w:line="578" w:lineRule="exact"/>
        <w:ind w:firstLine="640" w:firstLineChars="200"/>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color w:val="auto"/>
          <w:kern w:val="0"/>
          <w:sz w:val="32"/>
          <w:szCs w:val="32"/>
          <w:highlight w:val="none"/>
          <w:shd w:val="clear" w:color="auto" w:fill="FFFFFF"/>
        </w:rPr>
        <w:t>根据项目自身特点、评价重点及管理办法等要求，围绕项目支出绩效评价指标体系，该项目自评分为</w:t>
      </w:r>
      <w:r>
        <w:rPr>
          <w:rFonts w:hint="eastAsia" w:ascii="仿宋_GB2312" w:eastAsia="仿宋_GB2312" w:cs="Times New Roman"/>
          <w:color w:val="auto"/>
          <w:kern w:val="0"/>
          <w:sz w:val="32"/>
          <w:szCs w:val="32"/>
          <w:highlight w:val="none"/>
          <w:shd w:val="clear" w:color="auto" w:fill="FFFFFF"/>
          <w:lang w:val="en-US" w:eastAsia="zh-CN"/>
        </w:rPr>
        <w:t>91</w:t>
      </w:r>
      <w:r>
        <w:rPr>
          <w:rFonts w:hint="eastAsia" w:ascii="仿宋_GB2312" w:hAnsi="Times New Roman" w:eastAsia="仿宋_GB2312" w:cs="Times New Roman"/>
          <w:color w:val="auto"/>
          <w:kern w:val="0"/>
          <w:sz w:val="32"/>
          <w:szCs w:val="32"/>
          <w:highlight w:val="none"/>
          <w:shd w:val="clear" w:color="auto" w:fill="FFFFFF"/>
        </w:rPr>
        <w:t>分。</w:t>
      </w:r>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仿宋_GB2312" w:hAnsi="Times New Roman" w:eastAsia="仿宋_GB2312" w:cs="Times New Roman"/>
          <w:color w:val="auto"/>
          <w:kern w:val="0"/>
          <w:sz w:val="32"/>
          <w:szCs w:val="32"/>
          <w:highlight w:val="none"/>
          <w:shd w:val="clear" w:color="auto" w:fill="FFFFFF"/>
        </w:rPr>
        <w:t>项目资金年底才下达，导致56万元安家补助未能当年执行到位。</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spacing w:line="600" w:lineRule="exact"/>
        <w:ind w:firstLine="640" w:firstLineChars="200"/>
        <w:jc w:val="left"/>
        <w:textAlignment w:val="auto"/>
        <w:outlineLvl w:val="1"/>
        <w:rPr>
          <w:rFonts w:hint="eastAsia" w:ascii="黑体" w:hAnsi="黑体" w:eastAsia="黑体"/>
          <w:color w:val="auto"/>
          <w:sz w:val="44"/>
          <w:szCs w:val="44"/>
          <w:highlight w:val="none"/>
        </w:rPr>
      </w:pPr>
      <w:bookmarkStart w:id="149" w:name="_Toc12079"/>
      <w:bookmarkStart w:id="150" w:name="_Toc12272"/>
      <w:r>
        <w:rPr>
          <w:rFonts w:hint="eastAsia" w:ascii="仿宋_GB2312" w:hAnsi="Times New Roman" w:eastAsia="仿宋_GB2312" w:cs="Times New Roman"/>
          <w:color w:val="auto"/>
          <w:kern w:val="0"/>
          <w:sz w:val="32"/>
          <w:szCs w:val="32"/>
          <w:highlight w:val="none"/>
          <w:shd w:val="clear" w:color="auto" w:fill="FFFFFF"/>
        </w:rPr>
        <w:t>建议市财政局每年提早下达项目资金指标，年底才下达，资金就不能当年执行到位。</w:t>
      </w:r>
      <w:bookmarkEnd w:id="149"/>
      <w:bookmarkEnd w:id="150"/>
    </w:p>
    <w:p>
      <w:pPr>
        <w:keepNext w:val="0"/>
        <w:keepLines w:val="0"/>
        <w:pageBreakBefore w:val="0"/>
        <w:widowControl w:val="0"/>
        <w:shd w:val="clear"/>
        <w:kinsoku/>
        <w:wordWrap/>
        <w:overflowPunct/>
        <w:topLinePunct w:val="0"/>
        <w:autoSpaceDE/>
        <w:autoSpaceDN/>
        <w:bidi w:val="0"/>
        <w:spacing w:line="600" w:lineRule="exact"/>
        <w:ind w:firstLine="880" w:firstLineChars="200"/>
        <w:jc w:val="center"/>
        <w:textAlignment w:val="auto"/>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7"/>
        <w:shd w:val="clear"/>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2-4</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2022年名师工作经费</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预算项目绩效自评报告</w:t>
      </w:r>
    </w:p>
    <w:p>
      <w:pPr>
        <w:shd w:val="clear"/>
        <w:adjustRightInd w:val="0"/>
        <w:snapToGrid w:val="0"/>
        <w:spacing w:line="578" w:lineRule="exact"/>
        <w:ind w:firstLine="640" w:firstLineChars="200"/>
        <w:rPr>
          <w:rFonts w:hint="eastAsia" w:ascii="黑体" w:hAnsi="宋体" w:eastAsia="黑体" w:cs="Times New Roman"/>
          <w:color w:val="auto"/>
          <w:sz w:val="32"/>
          <w:szCs w:val="32"/>
          <w:highlight w:val="none"/>
        </w:rPr>
      </w:pP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lang w:val="zh-CN"/>
        </w:rPr>
      </w:pPr>
      <w:bookmarkStart w:id="151" w:name="_Toc3011"/>
      <w:bookmarkStart w:id="152" w:name="_Toc13587"/>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51"/>
      <w:bookmarkEnd w:id="152"/>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《广元市人民政府关于授予莫玉立等129名教师第三批“广元名师”称号的决定》（广府办发〔2018〕22号）</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根据《广元市人民政府办公室关于实施名师工程的意见》（广府办发〔2013〕81号）和《广元市人民政府办公室关于修订〈关于实施名师工程的意见〉的通知》（广府办发〔2018〕70号）精神，为进一步加强全市教师队伍建设，充分发挥教育人才示范引领作用，有效促进广元教育核心竞争力全面提升，推动我市教育事业又好又快发展，经市政府研究，决定授予莫玉立等129名教师第三批“广元名师”称号。</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 w:hAnsi="仿宋" w:eastAsia="仿宋" w:cs="仿宋"/>
          <w:color w:val="auto"/>
          <w:sz w:val="32"/>
          <w:szCs w:val="32"/>
          <w:highlight w:val="none"/>
          <w:lang w:val="zh-CN"/>
        </w:rPr>
        <w:t>该项目自评由学校计划财务处牵头，组织人事处根据《广元市财政局关于开展2022年度市级部门绩效自评工作的通知》（广财绩〔2023〕5号）文件要求，对照2023年市级专项资金预算项目支出绩效评价指标体系，使用目标比较法，通过项目实际产生的效果与预定绩效目标对比，分析目标完成或未完成的原因，从而达到项目绩效评价的目的。</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53" w:name="_Toc5873"/>
      <w:bookmarkStart w:id="154" w:name="_Toc17151"/>
      <w:r>
        <w:rPr>
          <w:rFonts w:hint="eastAsia" w:ascii="黑体" w:hAnsi="宋体" w:eastAsia="黑体" w:cs="Times New Roman"/>
          <w:color w:val="auto"/>
          <w:sz w:val="32"/>
          <w:szCs w:val="32"/>
          <w:highlight w:val="none"/>
        </w:rPr>
        <w:t>二、项目资金申报及使用情况</w:t>
      </w:r>
      <w:bookmarkEnd w:id="153"/>
      <w:bookmarkEnd w:id="154"/>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按照2022年12月13日广元市财政局文件《关于下达2022年广元名师考核奖励经费级工作经费预算的通知》（广财教〔2022〕160号），给我校罗勇、李德广两位名师下达2022年考核奖励经费1.6万元、名师工作室工作经费1.2万元，两项合计2.8万元。</w:t>
      </w:r>
    </w:p>
    <w:p>
      <w:pPr>
        <w:shd w:val="clear"/>
        <w:adjustRightInd w:val="0"/>
        <w:snapToGrid w:val="0"/>
        <w:spacing w:line="578" w:lineRule="exact"/>
        <w:ind w:firstLine="640" w:firstLineChars="20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（二）资金计划、到位及使用情况（可用表格形式反映）。</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1.资金计划。该项目全年资金计划2.8万元。</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2.资金到位。截止评价时点，该项目资金名师考核奖励1.6万元已于2023年2月，根据市教育局组织的名师考核结果，发放到名师个人账户。</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3.资金使用。截止评价时点，该项目资金中，1.2万元名师工作室工作经费未使用。</w:t>
      </w:r>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仿宋_GB2312" w:hAnsi="宋体" w:eastAsia="仿宋_GB2312" w:cs="Times New Roman"/>
          <w:color w:val="auto"/>
          <w:sz w:val="32"/>
          <w:szCs w:val="32"/>
          <w:highlight w:val="none"/>
        </w:rPr>
        <w:t>在项目建设过程中，认真贯彻执</w:t>
      </w:r>
      <w:r>
        <w:rPr>
          <w:rFonts w:hint="eastAsia" w:ascii="仿宋_GB2312" w:hAnsi="仿宋_GB2312" w:eastAsia="仿宋_GB2312" w:cs="仿宋_GB2312"/>
          <w:color w:val="auto"/>
          <w:kern w:val="0"/>
          <w:sz w:val="32"/>
          <w:szCs w:val="32"/>
          <w:highlight w:val="none"/>
          <w:shd w:val="clear" w:color="auto" w:fill="FFFFFF"/>
          <w:lang w:val="zh-CN"/>
        </w:rPr>
        <w:t>《广元市人民政府办公室关于实施名师工程的意见》（广府办发〔2013〕81号）和《广元市人民政府办公室关于修订〈关于实施名师工程的意见〉的通知》（广府办发〔2018〕70号）相关</w:t>
      </w:r>
      <w:r>
        <w:rPr>
          <w:rFonts w:hint="eastAsia" w:ascii="仿宋_GB2312" w:hAnsi="宋体" w:eastAsia="仿宋_GB2312" w:cs="Times New Roman"/>
          <w:color w:val="auto"/>
          <w:sz w:val="32"/>
          <w:szCs w:val="32"/>
          <w:highlight w:val="none"/>
        </w:rPr>
        <w:t>政策，根据上级相关文件、制度，专款专用，不截留、不挪用，不多发、也不漏发。</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55" w:name="_Toc5074"/>
      <w:bookmarkStart w:id="156" w:name="_Toc12400"/>
      <w:r>
        <w:rPr>
          <w:rFonts w:hint="eastAsia" w:ascii="黑体" w:hAnsi="宋体" w:eastAsia="黑体" w:cs="Times New Roman"/>
          <w:color w:val="auto"/>
          <w:sz w:val="32"/>
          <w:szCs w:val="32"/>
          <w:highlight w:val="none"/>
        </w:rPr>
        <w:t>三、项目实施及管理情况</w:t>
      </w:r>
      <w:bookmarkEnd w:id="155"/>
      <w:bookmarkEnd w:id="156"/>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Times New Roman" w:hAnsi="Times New Roman" w:eastAsia="仿宋_GB2312" w:cs="Times New Roman"/>
          <w:color w:val="auto"/>
          <w:sz w:val="32"/>
          <w:szCs w:val="32"/>
          <w:highlight w:val="none"/>
        </w:rPr>
        <w:t>我校罗勇、李德广两位名师</w:t>
      </w:r>
      <w:r>
        <w:rPr>
          <w:rFonts w:hint="eastAsia" w:ascii="仿宋_GB2312" w:hAnsi="仿宋_GB2312" w:eastAsia="仿宋_GB2312" w:cs="仿宋_GB2312"/>
          <w:color w:val="auto"/>
          <w:kern w:val="0"/>
          <w:sz w:val="32"/>
          <w:szCs w:val="32"/>
          <w:highlight w:val="none"/>
          <w:shd w:val="clear" w:color="auto" w:fill="FFFFFF"/>
          <w:lang w:val="zh-CN"/>
        </w:rPr>
        <w:t>及工作室成员立足岗位，坚持立德树人，扎实开展课堂教学研究，充分发挥示范引领作用，全面提升育人质量，引领带动一大批优秀骨干教师专业化发展。</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Times New Roman" w:hAnsi="Times New Roman" w:eastAsia="仿宋_GB2312" w:cs="Times New Roman"/>
          <w:color w:val="auto"/>
          <w:sz w:val="32"/>
          <w:szCs w:val="32"/>
          <w:highlight w:val="none"/>
          <w:lang w:val="zh-CN"/>
        </w:rPr>
        <w:t>2.广元市教育局根据《广元市名师考核办法(修订)》和《广元市名师工作室管理办法（修订）》精神，对全市纳入考核的243名“广元名师”进行了年度考核，并对考核结果由广教函〔2022〕288号文件进行了通报。</w:t>
      </w:r>
    </w:p>
    <w:p>
      <w:pPr>
        <w:shd w:val="clear"/>
        <w:adjustRightInd w:val="0"/>
        <w:snapToGrid w:val="0"/>
        <w:spacing w:line="578" w:lineRule="exact"/>
        <w:ind w:firstLine="640" w:firstLineChars="200"/>
        <w:outlineLvl w:val="1"/>
        <w:rPr>
          <w:rFonts w:ascii="仿宋_GB2312" w:hAnsi="宋体" w:eastAsia="仿宋_GB2312" w:cs="Times New Roman"/>
          <w:color w:val="auto"/>
          <w:sz w:val="32"/>
          <w:szCs w:val="32"/>
          <w:highlight w:val="none"/>
          <w:lang w:val="zh-CN"/>
        </w:rPr>
      </w:pPr>
      <w:bookmarkStart w:id="157" w:name="_Toc25974"/>
      <w:bookmarkStart w:id="158" w:name="_Toc11741"/>
      <w:r>
        <w:rPr>
          <w:rFonts w:hint="eastAsia" w:ascii="黑体" w:hAnsi="宋体" w:eastAsia="黑体" w:cs="Times New Roman"/>
          <w:color w:val="auto"/>
          <w:sz w:val="32"/>
          <w:szCs w:val="32"/>
          <w:highlight w:val="none"/>
        </w:rPr>
        <w:t>四、项目绩效情况</w:t>
      </w:r>
      <w:bookmarkEnd w:id="157"/>
      <w:bookmarkEnd w:id="158"/>
      <w:r>
        <w:rPr>
          <w:rFonts w:hint="eastAsia" w:ascii="仿宋_GB2312" w:hAnsi="宋体" w:eastAsia="仿宋_GB2312" w:cs="Times New Roman"/>
          <w:color w:val="auto"/>
          <w:sz w:val="32"/>
          <w:szCs w:val="32"/>
          <w:highlight w:val="none"/>
          <w:lang w:val="zh-CN"/>
        </w:rPr>
        <w:tab/>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名师工程的实施，充分激励了我校两位广元名师的工作激情和热情，为学校教育高质量发展奠定坚实的师资基础。</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59" w:name="_Toc27937"/>
      <w:bookmarkStart w:id="160" w:name="_Toc590"/>
      <w:r>
        <w:rPr>
          <w:rFonts w:hint="eastAsia" w:ascii="黑体" w:hAnsi="宋体" w:eastAsia="黑体" w:cs="Times New Roman"/>
          <w:color w:val="auto"/>
          <w:sz w:val="32"/>
          <w:szCs w:val="32"/>
          <w:highlight w:val="none"/>
        </w:rPr>
        <w:t>五、评价结论及建议</w:t>
      </w:r>
      <w:bookmarkEnd w:id="159"/>
      <w:bookmarkEnd w:id="160"/>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根据项目自身特点、评价重点及管理办法等要求，围绕项目支出绩效评价指标体系，该项目自评分为80分。</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截止评价时点，该项目资金中，1.2万元名师工作室工作经费至今未使用。</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（三）相关建议。</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建议市财政局每年提早下达项目资金指标，年底才下达，资金就不能当年执行到位。</w:t>
      </w: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7"/>
        <w:shd w:val="clear"/>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2-5</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2022年广元市市科技拔尖人才岗位激励奖</w:t>
      </w: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32"/>
          <w:szCs w:val="32"/>
          <w:highlight w:val="none"/>
          <w:lang w:val="en-US" w:eastAsia="zh-CN"/>
        </w:rPr>
      </w:pPr>
      <w:bookmarkStart w:id="161" w:name="_Toc17802"/>
      <w:bookmarkStart w:id="162" w:name="_Toc24449"/>
      <w:r>
        <w:rPr>
          <w:rFonts w:hint="eastAsia" w:ascii="方正小标宋简体" w:hAnsi="方正小标宋简体" w:eastAsia="方正小标宋简体" w:cs="方正小标宋简体"/>
          <w:color w:val="auto"/>
          <w:kern w:val="2"/>
          <w:sz w:val="32"/>
          <w:szCs w:val="32"/>
          <w:highlight w:val="none"/>
          <w:lang w:val="en-US" w:eastAsia="zh-CN"/>
        </w:rPr>
        <w:t>预算项目绩效自评报告</w:t>
      </w:r>
      <w:bookmarkEnd w:id="161"/>
      <w:bookmarkEnd w:id="162"/>
    </w:p>
    <w:p>
      <w:pPr>
        <w:shd w:val="clear"/>
        <w:spacing w:line="600" w:lineRule="exact"/>
        <w:jc w:val="center"/>
        <w:outlineLvl w:val="9"/>
        <w:rPr>
          <w:rFonts w:hint="eastAsia" w:ascii="黑体" w:hAnsi="黑体" w:eastAsia="黑体"/>
          <w:color w:val="auto"/>
          <w:sz w:val="44"/>
          <w:szCs w:val="44"/>
          <w:highlight w:val="none"/>
        </w:rPr>
      </w:pP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lang w:val="zh-CN"/>
        </w:rPr>
      </w:pPr>
      <w:bookmarkStart w:id="163" w:name="_Toc32386"/>
      <w:bookmarkStart w:id="164" w:name="_Toc13891"/>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63"/>
      <w:bookmarkEnd w:id="164"/>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shd w:val="clear"/>
        <w:adjustRightInd w:val="0"/>
        <w:snapToGrid w:val="0"/>
        <w:spacing w:line="578" w:lineRule="exact"/>
        <w:ind w:firstLine="640" w:firstLineChars="200"/>
        <w:rPr>
          <w:rFonts w:hint="eastAsia" w:ascii="仿宋_GB2312" w:hAnsi="Times New Roman" w:eastAsia="仿宋_GB2312" w:cs="Times New Roman"/>
          <w:color w:val="auto"/>
          <w:kern w:val="0"/>
          <w:sz w:val="32"/>
          <w:szCs w:val="32"/>
          <w:highlight w:val="none"/>
          <w:shd w:val="clear" w:color="auto" w:fill="FFFFFF"/>
        </w:rPr>
      </w:pPr>
      <w:r>
        <w:rPr>
          <w:rFonts w:hint="eastAsia" w:ascii="仿宋_GB2312" w:hAnsi="Times New Roman" w:eastAsia="仿宋_GB2312" w:cs="Times New Roman"/>
          <w:color w:val="auto"/>
          <w:kern w:val="0"/>
          <w:sz w:val="32"/>
          <w:szCs w:val="32"/>
          <w:highlight w:val="none"/>
          <w:shd w:val="clear" w:color="auto" w:fill="FFFFFF"/>
        </w:rPr>
        <w:t>《中共广元市委办公室 广元市人民政府办公室关于命名广元市第十届科技拔尖人才的通报》（广委办函〔2022〕30号）。</w:t>
      </w:r>
    </w:p>
    <w:p>
      <w:pPr>
        <w:shd w:val="clear"/>
        <w:adjustRightInd w:val="0"/>
        <w:snapToGrid w:val="0"/>
        <w:spacing w:line="578" w:lineRule="exact"/>
        <w:ind w:firstLine="640" w:firstLineChars="200"/>
        <w:rPr>
          <w:rFonts w:hint="eastAsia" w:ascii="仿宋_GB2312" w:hAnsi="Times New Roman" w:eastAsia="仿宋_GB2312" w:cs="Times New Roman"/>
          <w:color w:val="auto"/>
          <w:kern w:val="0"/>
          <w:sz w:val="32"/>
          <w:szCs w:val="32"/>
          <w:highlight w:val="none"/>
          <w:shd w:val="clear" w:color="auto" w:fill="FFFFFF"/>
        </w:rPr>
      </w:pPr>
      <w:r>
        <w:rPr>
          <w:rFonts w:hint="eastAsia" w:ascii="Times New Roman" w:hAnsi="Times New Roman" w:eastAsia="仿宋_GB2312" w:cs="Times New Roman"/>
          <w:color w:val="auto"/>
          <w:sz w:val="32"/>
          <w:szCs w:val="32"/>
          <w:highlight w:val="none"/>
        </w:rPr>
        <w:t>根据市委办、市政府办《印发〈关于实施新时代“蜀道英才</w:t>
      </w:r>
    </w:p>
    <w:p>
      <w:pPr>
        <w:shd w:val="clea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计划”的三十八条措施〉的通知》（广委办〔2022〕424号）规定，对“市科技拔尖人才号）规定，对“市科技拔尖人才”在管理期内，给予每人每月600元的岗位激励资金。</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被命名的科技拔尖人才要倍加珍惜荣誉、再接再厉，充分发挥专业优势和技术专长，以更加奋发有为的精神风貌、更加求真务实的工作作风、更加强烈的使命担当，踔厉奋发，笃行不怠，团结带领各类人才在加快建设川陕甘结合部现代化中心城市的生动实践中再创佳绩、再立新功！引领全市各行业、各领域人才，大力弘扬科学家精神，主动担当作为，锐意开拓创新，勇攀科技高峰，为我市经济社会高质量发展积极贡献智慧和力量。</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left="-315" w:leftChars="-150" w:right="-315" w:rightChars="-150" w:firstLine="640" w:firstLineChars="200"/>
        <w:jc w:val="both"/>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该项目自评由学校计划财务处牵头，组织人事处根据《广元市财政局关于开展2022年度市级部门绩效自评工作的通知》（广财绩〔2023〕5号）文件要求，对照2023年市级专项资金预算项目支出绩效评价指标体系，使用目标比较法，通过项目实际产生的效果与预定绩效目标对比，分析目标完成或未完成的原因，从而达到项目绩效评价的目的。</w:t>
      </w:r>
    </w:p>
    <w:p>
      <w:pPr>
        <w:shd w:val="clear"/>
        <w:adjustRightInd w:val="0"/>
        <w:snapToGrid w:val="0"/>
        <w:spacing w:line="578" w:lineRule="exact"/>
        <w:ind w:firstLine="640" w:firstLineChars="200"/>
        <w:outlineLvl w:val="1"/>
        <w:rPr>
          <w:rFonts w:ascii="仿宋_GB2312" w:hAnsi="Times New Roman" w:eastAsia="仿宋_GB2312" w:cs="Times New Roman"/>
          <w:color w:val="auto"/>
          <w:kern w:val="0"/>
          <w:sz w:val="32"/>
          <w:szCs w:val="32"/>
          <w:highlight w:val="none"/>
          <w:shd w:val="clear" w:color="auto" w:fill="FFFFFF"/>
        </w:rPr>
      </w:pPr>
      <w:bookmarkStart w:id="165" w:name="_Toc7086"/>
      <w:bookmarkStart w:id="166" w:name="_Toc11547"/>
      <w:r>
        <w:rPr>
          <w:rFonts w:hint="eastAsia" w:ascii="黑体" w:hAnsi="宋体" w:eastAsia="黑体" w:cs="Times New Roman"/>
          <w:color w:val="auto"/>
          <w:sz w:val="32"/>
          <w:szCs w:val="32"/>
          <w:highlight w:val="none"/>
        </w:rPr>
        <w:t>二、项目资金申报及使用情况</w:t>
      </w:r>
      <w:bookmarkEnd w:id="165"/>
      <w:bookmarkEnd w:id="166"/>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shd w:val="clear"/>
        <w:adjustRightInd w:val="0"/>
        <w:snapToGrid w:val="0"/>
        <w:spacing w:line="578" w:lineRule="exact"/>
        <w:ind w:firstLine="640" w:firstLineChars="200"/>
        <w:contextualSpacing/>
        <w:rPr>
          <w:rFonts w:ascii="仿宋_GB2312" w:hAnsi="Times New Roman" w:eastAsia="仿宋_GB2312" w:cs="Times New Roman"/>
          <w:color w:val="auto"/>
          <w:kern w:val="0"/>
          <w:sz w:val="32"/>
          <w:szCs w:val="32"/>
          <w:highlight w:val="none"/>
          <w:shd w:val="clear" w:color="auto" w:fill="FFFFFF"/>
        </w:rPr>
      </w:pPr>
      <w:r>
        <w:rPr>
          <w:rFonts w:hint="eastAsia" w:ascii="仿宋_GB2312" w:hAnsi="Times New Roman" w:eastAsia="仿宋_GB2312" w:cs="Times New Roman"/>
          <w:color w:val="auto"/>
          <w:kern w:val="0"/>
          <w:sz w:val="32"/>
          <w:szCs w:val="32"/>
          <w:highlight w:val="none"/>
          <w:shd w:val="clear" w:color="auto" w:fill="FFFFFF"/>
        </w:rPr>
        <w:t>按照2022年12月28日广元市财政局文件《关于下达广元市第十届科技拔尖人才2022年度岗位激励资的通知》（广财行〔2022〕63号），给我校曹斌、闫宝荣两位科技拔尖人才下达2022年岗位激励资金，每人每月600元，全年2人合计1.44万元。</w:t>
      </w:r>
    </w:p>
    <w:p>
      <w:pPr>
        <w:shd w:val="clear"/>
        <w:adjustRightInd w:val="0"/>
        <w:snapToGrid w:val="0"/>
        <w:spacing w:line="578" w:lineRule="exact"/>
        <w:ind w:firstLine="640" w:firstLineChars="20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w:t>
      </w:r>
    </w:p>
    <w:p>
      <w:pPr>
        <w:shd w:val="clear"/>
        <w:adjustRightInd w:val="0"/>
        <w:snapToGrid w:val="0"/>
        <w:spacing w:line="578"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1.资金计划。该项目全年给予我校资金计划1.44万元。</w:t>
      </w:r>
    </w:p>
    <w:p>
      <w:pPr>
        <w:shd w:val="clear"/>
        <w:adjustRightInd w:val="0"/>
        <w:snapToGrid w:val="0"/>
        <w:spacing w:line="578"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2.资金到位。</w:t>
      </w:r>
      <w:r>
        <w:rPr>
          <w:rFonts w:hint="eastAsia" w:ascii="仿宋_GB2312" w:hAnsi="Times New Roman" w:eastAsia="仿宋_GB2312" w:cs="Times New Roman"/>
          <w:color w:val="auto"/>
          <w:kern w:val="0"/>
          <w:sz w:val="32"/>
          <w:szCs w:val="32"/>
          <w:highlight w:val="none"/>
          <w:shd w:val="clear" w:color="auto" w:fill="FFFFFF"/>
        </w:rPr>
        <w:t>截止评价时点，该项目资金1.44万元于2022年12月31日划拨到学校账户。</w:t>
      </w:r>
    </w:p>
    <w:p>
      <w:pPr>
        <w:shd w:val="clear"/>
        <w:adjustRightInd w:val="0"/>
        <w:snapToGrid w:val="0"/>
        <w:spacing w:line="578" w:lineRule="exact"/>
        <w:ind w:firstLine="640" w:firstLineChars="200"/>
        <w:contextualSpacing/>
        <w:rPr>
          <w:rFonts w:ascii="仿宋_GB2312" w:hAnsi="Times New Roman" w:eastAsia="仿宋_GB2312" w:cs="Times New Roman"/>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3.资金使用。</w:t>
      </w:r>
      <w:r>
        <w:rPr>
          <w:rFonts w:hint="eastAsia" w:ascii="仿宋_GB2312" w:hAnsi="Times New Roman" w:eastAsia="仿宋_GB2312" w:cs="Times New Roman"/>
          <w:color w:val="auto"/>
          <w:kern w:val="0"/>
          <w:sz w:val="32"/>
          <w:szCs w:val="32"/>
          <w:highlight w:val="none"/>
          <w:shd w:val="clear" w:color="auto" w:fill="FFFFFF"/>
        </w:rPr>
        <w:t>截止评价时点，学校于2023年4月将1.44万元岗位激励资金全额发放到曹斌、闫宝荣个人账户。</w:t>
      </w:r>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shd w:val="clear"/>
        <w:adjustRightInd w:val="0"/>
        <w:snapToGrid w:val="0"/>
        <w:spacing w:line="578" w:lineRule="exact"/>
        <w:ind w:firstLine="640" w:firstLineChars="200"/>
        <w:rPr>
          <w:rFonts w:ascii="Times New Roman" w:hAnsi="Times New Roman"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我校广元市科技拔尖人才岗位激励资金项目支出严格执行财务管理制度及财经纪律，会计核算规范严谨，专款专用，无截留、无挪用，无多发、也无漏发。</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67" w:name="_Toc32734"/>
      <w:bookmarkStart w:id="168" w:name="_Toc17581"/>
      <w:r>
        <w:rPr>
          <w:rFonts w:hint="eastAsia" w:ascii="黑体" w:hAnsi="宋体" w:eastAsia="黑体" w:cs="Times New Roman"/>
          <w:color w:val="auto"/>
          <w:sz w:val="32"/>
          <w:szCs w:val="32"/>
          <w:highlight w:val="none"/>
        </w:rPr>
        <w:t>三、项目实施及管理情况</w:t>
      </w:r>
      <w:bookmarkEnd w:id="167"/>
      <w:bookmarkEnd w:id="168"/>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为全面贯彻中央、省委人才工作会议精神，在全社会营造尊贤重才的浓厚氛围，让各类人才的创造活力竞相迸发、聪明才智充分涌流，经申报推荐、专家评审、公示审定等程序，市委、市政府决定，命名黄克勤等55名同志（其中我校曹斌、闫宝荣2名同志）为广元市第十届科技拔尖人才，并予以通报。</w:t>
      </w:r>
    </w:p>
    <w:p>
      <w:pPr>
        <w:shd w:val="clear"/>
        <w:adjustRightInd w:val="0"/>
        <w:snapToGrid w:val="0"/>
        <w:spacing w:line="578" w:lineRule="exact"/>
        <w:ind w:firstLine="640" w:firstLineChars="200"/>
        <w:outlineLvl w:val="1"/>
        <w:rPr>
          <w:rFonts w:ascii="仿宋_GB2312" w:hAnsi="仿宋_GB2312" w:eastAsia="仿宋_GB2312" w:cs="仿宋_GB2312"/>
          <w:color w:val="auto"/>
          <w:kern w:val="0"/>
          <w:sz w:val="32"/>
          <w:szCs w:val="32"/>
          <w:highlight w:val="none"/>
          <w:shd w:val="clear" w:color="auto" w:fill="FFFFFF"/>
          <w:lang w:val="zh-CN"/>
        </w:rPr>
      </w:pPr>
      <w:bookmarkStart w:id="169" w:name="_Toc9317"/>
      <w:bookmarkStart w:id="170" w:name="_Toc344"/>
      <w:r>
        <w:rPr>
          <w:rFonts w:hint="eastAsia" w:ascii="黑体" w:hAnsi="宋体" w:eastAsia="黑体" w:cs="Times New Roman"/>
          <w:color w:val="auto"/>
          <w:sz w:val="32"/>
          <w:szCs w:val="32"/>
          <w:highlight w:val="none"/>
        </w:rPr>
        <w:t>四、项目绩效情况</w:t>
      </w:r>
      <w:bookmarkEnd w:id="169"/>
      <w:bookmarkEnd w:id="170"/>
      <w:r>
        <w:rPr>
          <w:rFonts w:hint="eastAsia" w:ascii="仿宋_GB2312" w:hAnsi="宋体" w:eastAsia="仿宋_GB2312" w:cs="Times New Roman"/>
          <w:color w:val="auto"/>
          <w:sz w:val="32"/>
          <w:szCs w:val="32"/>
          <w:highlight w:val="none"/>
          <w:lang w:val="zh-CN"/>
        </w:rPr>
        <w:tab/>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（一）项目完成情况</w:t>
      </w:r>
    </w:p>
    <w:p>
      <w:pPr>
        <w:shd w:val="clear"/>
        <w:adjustRightInd w:val="0"/>
        <w:snapToGrid w:val="0"/>
        <w:spacing w:line="578" w:lineRule="exact"/>
        <w:ind w:firstLine="640" w:firstLineChars="200"/>
        <w:rPr>
          <w:rFonts w:hint="eastAsia" w:ascii="仿宋_GB2312" w:hAnsi="Times New Roman" w:eastAsia="仿宋_GB2312" w:cs="Times New Roman"/>
          <w:color w:val="auto"/>
          <w:kern w:val="0"/>
          <w:sz w:val="32"/>
          <w:szCs w:val="32"/>
          <w:highlight w:val="none"/>
          <w:shd w:val="clear" w:color="auto" w:fill="FFFFFF"/>
        </w:rPr>
      </w:pPr>
      <w:r>
        <w:rPr>
          <w:rFonts w:hint="eastAsia" w:ascii="仿宋_GB2312" w:hAnsi="Times New Roman" w:eastAsia="仿宋_GB2312" w:cs="Times New Roman"/>
          <w:color w:val="auto"/>
          <w:kern w:val="0"/>
          <w:sz w:val="32"/>
          <w:szCs w:val="32"/>
          <w:highlight w:val="none"/>
          <w:shd w:val="clear" w:color="auto" w:fill="FFFFFF"/>
        </w:rPr>
        <w:t>按照广元市财政局文件《关于下达广元市第十届科技拔尖人才2022年度岗位激励资的通知》（广财行〔2022〕63号）精神，我校于2023年4月将1.44万元岗位激励资金全额发放到曹斌、闫宝荣个人账户。</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（二）项目效益情况</w:t>
      </w:r>
    </w:p>
    <w:p>
      <w:pPr>
        <w:shd w:val="clear"/>
        <w:adjustRightInd w:val="0"/>
        <w:snapToGrid w:val="0"/>
        <w:spacing w:line="578" w:lineRule="exact"/>
        <w:ind w:firstLine="640" w:firstLineChars="200"/>
        <w:rPr>
          <w:rFonts w:ascii="仿宋_GB2312" w:hAnsi="Times New Roman" w:eastAsia="仿宋_GB2312" w:cs="Times New Roman"/>
          <w:color w:val="auto"/>
          <w:kern w:val="0"/>
          <w:sz w:val="32"/>
          <w:szCs w:val="32"/>
          <w:highlight w:val="none"/>
          <w:shd w:val="clear" w:color="auto" w:fill="FFFFFF"/>
        </w:rPr>
      </w:pPr>
      <w:r>
        <w:rPr>
          <w:rFonts w:hint="eastAsia" w:ascii="仿宋_GB2312" w:hAnsi="Times New Roman" w:eastAsia="仿宋_GB2312" w:cs="Times New Roman"/>
          <w:color w:val="auto"/>
          <w:kern w:val="0"/>
          <w:sz w:val="32"/>
          <w:szCs w:val="32"/>
          <w:highlight w:val="none"/>
          <w:shd w:val="clear" w:color="auto" w:fill="FFFFFF"/>
        </w:rPr>
        <w:t>市科技拔尖人才岗位激励资金的兑现发放，充分激励了我校曹斌、闫宝荣两位市科技拔尖人才的工作激情和热情，为学校教育高质量发展奠定坚实的师资基础。</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171" w:name="_Toc30462"/>
      <w:bookmarkStart w:id="172" w:name="_Toc6690"/>
      <w:r>
        <w:rPr>
          <w:rFonts w:hint="eastAsia" w:ascii="黑体" w:hAnsi="宋体" w:eastAsia="黑体" w:cs="Times New Roman"/>
          <w:color w:val="auto"/>
          <w:sz w:val="32"/>
          <w:szCs w:val="32"/>
          <w:highlight w:val="none"/>
        </w:rPr>
        <w:t>五、评价结论及建议</w:t>
      </w:r>
      <w:bookmarkEnd w:id="171"/>
      <w:bookmarkEnd w:id="172"/>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shd w:val="clear"/>
        <w:adjustRightInd w:val="0"/>
        <w:snapToGrid w:val="0"/>
        <w:spacing w:line="578" w:lineRule="exact"/>
        <w:ind w:firstLine="640" w:firstLineChars="200"/>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color w:val="auto"/>
          <w:kern w:val="0"/>
          <w:sz w:val="32"/>
          <w:szCs w:val="32"/>
          <w:highlight w:val="none"/>
          <w:shd w:val="clear" w:color="auto" w:fill="FFFFFF"/>
        </w:rPr>
        <w:t>根据项目自身特点、评价重点及管理办法等要求，围绕项目支出绩效评价指标体系，该项目自评分为</w:t>
      </w:r>
      <w:r>
        <w:rPr>
          <w:rFonts w:hint="eastAsia" w:ascii="仿宋_GB2312" w:hAnsi="Times New Roman" w:eastAsia="仿宋_GB2312" w:cs="Times New Roman"/>
          <w:color w:val="auto"/>
          <w:kern w:val="0"/>
          <w:sz w:val="32"/>
          <w:szCs w:val="32"/>
          <w:highlight w:val="none"/>
          <w:shd w:val="clear" w:color="auto" w:fill="FFFFFF"/>
          <w:lang w:val="en-US" w:eastAsia="zh-CN"/>
        </w:rPr>
        <w:t>90</w:t>
      </w:r>
      <w:r>
        <w:rPr>
          <w:rFonts w:hint="eastAsia" w:ascii="仿宋_GB2312" w:hAnsi="Times New Roman" w:eastAsia="仿宋_GB2312" w:cs="Times New Roman"/>
          <w:color w:val="auto"/>
          <w:kern w:val="0"/>
          <w:sz w:val="32"/>
          <w:szCs w:val="32"/>
          <w:highlight w:val="none"/>
          <w:shd w:val="clear" w:color="auto" w:fill="FFFFFF"/>
        </w:rPr>
        <w:t>分。</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shd w:val="clear"/>
        <w:adjustRightInd w:val="0"/>
        <w:snapToGrid w:val="0"/>
        <w:spacing w:line="578" w:lineRule="exact"/>
        <w:ind w:firstLine="640" w:firstLineChars="200"/>
        <w:contextualSpacing/>
        <w:rPr>
          <w:rFonts w:hint="eastAsia" w:ascii="黑体" w:hAnsi="黑体" w:eastAsia="黑体"/>
          <w:color w:val="auto"/>
          <w:sz w:val="44"/>
          <w:szCs w:val="44"/>
          <w:highlight w:val="none"/>
        </w:rPr>
      </w:pPr>
      <w:r>
        <w:rPr>
          <w:rFonts w:hint="eastAsia" w:ascii="仿宋_GB2312" w:hAnsi="仿宋_GB2312" w:eastAsia="仿宋_GB2312" w:cs="仿宋_GB2312"/>
          <w:color w:val="auto"/>
          <w:kern w:val="0"/>
          <w:sz w:val="32"/>
          <w:szCs w:val="32"/>
          <w:highlight w:val="none"/>
          <w:shd w:val="clear" w:color="auto" w:fill="FFFFFF"/>
          <w:lang w:val="zh-CN"/>
        </w:rPr>
        <w:t>项目资金年底才下达，导致未能当年执行到位。</w:t>
      </w:r>
    </w:p>
    <w:p>
      <w:pPr>
        <w:shd w:val="clear"/>
        <w:spacing w:line="600" w:lineRule="exact"/>
        <w:jc w:val="center"/>
        <w:outlineLvl w:val="0"/>
        <w:rPr>
          <w:rFonts w:hint="eastAsia" w:ascii="仿宋" w:hAnsi="仿宋" w:eastAsia="仿宋"/>
          <w:b w:val="0"/>
          <w:color w:val="auto"/>
          <w:highlight w:val="none"/>
        </w:rPr>
      </w:pPr>
      <w:bookmarkStart w:id="173" w:name="_Toc25690"/>
      <w:bookmarkStart w:id="174" w:name="_Toc629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100"/>
      <w:bookmarkEnd w:id="136"/>
      <w:bookmarkEnd w:id="173"/>
      <w:bookmarkEnd w:id="174"/>
      <w:bookmarkStart w:id="175" w:name="_Toc15396619"/>
    </w:p>
    <w:p>
      <w:pPr>
        <w:pStyle w:val="5"/>
        <w:shd w:val="clear"/>
        <w:rPr>
          <w:rFonts w:ascii="仿宋" w:hAnsi="仿宋" w:eastAsia="仿宋"/>
          <w:color w:val="auto"/>
          <w:highlight w:val="none"/>
        </w:rPr>
      </w:pPr>
      <w:bookmarkStart w:id="176" w:name="_Toc15295"/>
      <w:bookmarkStart w:id="177" w:name="_Toc25418"/>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175"/>
      <w:bookmarkEnd w:id="176"/>
      <w:bookmarkEnd w:id="177"/>
    </w:p>
    <w:p>
      <w:pPr>
        <w:pStyle w:val="5"/>
        <w:shd w:val="clear"/>
        <w:rPr>
          <w:rFonts w:ascii="仿宋" w:hAnsi="仿宋" w:eastAsia="仿宋"/>
          <w:color w:val="auto"/>
          <w:highlight w:val="none"/>
        </w:rPr>
      </w:pPr>
      <w:bookmarkStart w:id="178" w:name="_Toc15396620"/>
      <w:bookmarkStart w:id="179" w:name="_Toc10831"/>
      <w:bookmarkStart w:id="180" w:name="_Toc4027"/>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178"/>
      <w:bookmarkEnd w:id="179"/>
      <w:bookmarkEnd w:id="180"/>
    </w:p>
    <w:p>
      <w:pPr>
        <w:pStyle w:val="5"/>
        <w:shd w:val="clear"/>
        <w:rPr>
          <w:rFonts w:ascii="仿宋" w:hAnsi="仿宋" w:eastAsia="仿宋"/>
          <w:color w:val="auto"/>
          <w:highlight w:val="none"/>
        </w:rPr>
      </w:pPr>
      <w:bookmarkStart w:id="181" w:name="_Toc18131"/>
      <w:bookmarkStart w:id="182" w:name="_Toc15396621"/>
      <w:bookmarkStart w:id="183" w:name="_Toc2189"/>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81"/>
      <w:bookmarkEnd w:id="182"/>
      <w:bookmarkEnd w:id="183"/>
    </w:p>
    <w:p>
      <w:pPr>
        <w:pStyle w:val="5"/>
        <w:shd w:val="clear"/>
        <w:rPr>
          <w:rFonts w:ascii="仿宋" w:hAnsi="仿宋" w:eastAsia="仿宋"/>
          <w:b w:val="0"/>
          <w:color w:val="auto"/>
          <w:highlight w:val="none"/>
        </w:rPr>
      </w:pPr>
      <w:bookmarkStart w:id="184" w:name="_Toc15396622"/>
      <w:bookmarkStart w:id="185" w:name="_Toc9564"/>
      <w:bookmarkStart w:id="186" w:name="_Toc30674"/>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84"/>
      <w:bookmarkEnd w:id="185"/>
      <w:bookmarkEnd w:id="186"/>
    </w:p>
    <w:p>
      <w:pPr>
        <w:pStyle w:val="5"/>
        <w:shd w:val="clear"/>
        <w:rPr>
          <w:rStyle w:val="20"/>
          <w:rFonts w:ascii="仿宋" w:hAnsi="仿宋" w:eastAsia="仿宋"/>
          <w:b w:val="0"/>
          <w:bCs w:val="0"/>
          <w:color w:val="auto"/>
          <w:highlight w:val="none"/>
        </w:rPr>
      </w:pPr>
      <w:bookmarkStart w:id="187" w:name="_Toc15396623"/>
      <w:bookmarkStart w:id="188" w:name="_Toc26480"/>
      <w:bookmarkStart w:id="189" w:name="_Toc24644"/>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87"/>
      <w:bookmarkEnd w:id="188"/>
      <w:bookmarkEnd w:id="189"/>
      <w:bookmarkStart w:id="190" w:name="_Toc15396624"/>
    </w:p>
    <w:p>
      <w:pPr>
        <w:pStyle w:val="5"/>
        <w:shd w:val="clear"/>
        <w:rPr>
          <w:rFonts w:ascii="仿宋" w:hAnsi="仿宋" w:eastAsia="仿宋"/>
          <w:color w:val="auto"/>
          <w:highlight w:val="none"/>
        </w:rPr>
      </w:pPr>
      <w:bookmarkStart w:id="191" w:name="_Toc23129"/>
      <w:bookmarkStart w:id="192" w:name="_Toc31195"/>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90"/>
      <w:bookmarkEnd w:id="191"/>
      <w:bookmarkEnd w:id="192"/>
    </w:p>
    <w:p>
      <w:pPr>
        <w:pStyle w:val="5"/>
        <w:shd w:val="clear"/>
        <w:rPr>
          <w:rFonts w:ascii="仿宋" w:hAnsi="仿宋" w:eastAsia="仿宋"/>
          <w:color w:val="auto"/>
          <w:highlight w:val="none"/>
        </w:rPr>
      </w:pPr>
      <w:bookmarkStart w:id="193" w:name="_Toc15396625"/>
      <w:bookmarkStart w:id="194" w:name="_Toc8098"/>
      <w:bookmarkStart w:id="195" w:name="_Toc4933"/>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93"/>
      <w:bookmarkEnd w:id="194"/>
      <w:bookmarkEnd w:id="195"/>
    </w:p>
    <w:p>
      <w:pPr>
        <w:pStyle w:val="5"/>
        <w:shd w:val="clear"/>
        <w:rPr>
          <w:rFonts w:ascii="仿宋" w:hAnsi="仿宋" w:eastAsia="仿宋"/>
          <w:color w:val="auto"/>
          <w:highlight w:val="none"/>
        </w:rPr>
      </w:pPr>
      <w:bookmarkStart w:id="196" w:name="_Toc22889"/>
      <w:bookmarkStart w:id="197" w:name="_Toc14248"/>
      <w:bookmarkStart w:id="198"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96"/>
      <w:bookmarkEnd w:id="197"/>
      <w:bookmarkEnd w:id="198"/>
    </w:p>
    <w:p>
      <w:pPr>
        <w:pStyle w:val="5"/>
        <w:shd w:val="clear"/>
        <w:rPr>
          <w:rFonts w:ascii="仿宋" w:hAnsi="仿宋" w:eastAsia="仿宋"/>
          <w:color w:val="auto"/>
          <w:highlight w:val="none"/>
        </w:rPr>
      </w:pPr>
      <w:bookmarkStart w:id="199" w:name="_Toc9251"/>
      <w:bookmarkStart w:id="200" w:name="_Toc15396627"/>
      <w:bookmarkStart w:id="201" w:name="_Toc20231"/>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99"/>
      <w:bookmarkEnd w:id="200"/>
      <w:bookmarkEnd w:id="201"/>
    </w:p>
    <w:p>
      <w:pPr>
        <w:pStyle w:val="5"/>
        <w:shd w:val="clear"/>
        <w:rPr>
          <w:rFonts w:ascii="仿宋" w:hAnsi="仿宋" w:eastAsia="仿宋"/>
          <w:color w:val="auto"/>
          <w:highlight w:val="none"/>
        </w:rPr>
      </w:pPr>
      <w:bookmarkStart w:id="202" w:name="_Toc15396628"/>
      <w:bookmarkStart w:id="203" w:name="_Toc23800"/>
      <w:bookmarkStart w:id="204" w:name="_Toc14340"/>
      <w:r>
        <w:rPr>
          <w:rStyle w:val="20"/>
          <w:rFonts w:hint="eastAsia" w:ascii="仿宋" w:hAnsi="仿宋" w:eastAsia="仿宋"/>
          <w:b w:val="0"/>
          <w:bCs w:val="0"/>
          <w:color w:val="auto"/>
          <w:highlight w:val="none"/>
        </w:rPr>
        <w:t>十、</w:t>
      </w:r>
      <w:bookmarkEnd w:id="202"/>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203"/>
      <w:bookmarkEnd w:id="204"/>
    </w:p>
    <w:p>
      <w:pPr>
        <w:pStyle w:val="5"/>
        <w:shd w:val="clear"/>
        <w:rPr>
          <w:rFonts w:ascii="仿宋" w:hAnsi="仿宋" w:eastAsia="仿宋"/>
          <w:color w:val="auto"/>
          <w:highlight w:val="none"/>
        </w:rPr>
      </w:pPr>
      <w:bookmarkStart w:id="205" w:name="_Toc15396629"/>
      <w:bookmarkStart w:id="206" w:name="_Toc31153"/>
      <w:bookmarkStart w:id="207" w:name="_Toc9179"/>
      <w:r>
        <w:rPr>
          <w:rStyle w:val="20"/>
          <w:rFonts w:hint="eastAsia" w:ascii="仿宋" w:hAnsi="仿宋" w:eastAsia="仿宋"/>
          <w:b w:val="0"/>
          <w:bCs w:val="0"/>
          <w:color w:val="auto"/>
          <w:highlight w:val="none"/>
        </w:rPr>
        <w:t>十一、</w:t>
      </w:r>
      <w:bookmarkEnd w:id="205"/>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206"/>
      <w:bookmarkEnd w:id="207"/>
    </w:p>
    <w:p>
      <w:pPr>
        <w:pStyle w:val="5"/>
        <w:shd w:val="clear"/>
        <w:rPr>
          <w:rFonts w:ascii="仿宋" w:hAnsi="仿宋" w:eastAsia="仿宋"/>
          <w:color w:val="auto"/>
          <w:highlight w:val="none"/>
        </w:rPr>
      </w:pPr>
      <w:bookmarkStart w:id="208" w:name="_Toc15396630"/>
      <w:bookmarkStart w:id="209" w:name="_Toc1465"/>
      <w:bookmarkStart w:id="210" w:name="_Toc24815"/>
      <w:r>
        <w:rPr>
          <w:rStyle w:val="20"/>
          <w:rFonts w:hint="eastAsia" w:ascii="仿宋" w:hAnsi="仿宋" w:eastAsia="仿宋"/>
          <w:b w:val="0"/>
          <w:bCs w:val="0"/>
          <w:color w:val="auto"/>
          <w:highlight w:val="none"/>
        </w:rPr>
        <w:t>十二、</w:t>
      </w:r>
      <w:bookmarkEnd w:id="208"/>
      <w:r>
        <w:rPr>
          <w:rStyle w:val="20"/>
          <w:rFonts w:hint="eastAsia" w:ascii="仿宋" w:hAnsi="仿宋" w:eastAsia="仿宋"/>
          <w:b w:val="0"/>
          <w:bCs w:val="0"/>
          <w:color w:val="auto"/>
          <w:highlight w:val="none"/>
          <w:lang w:eastAsia="zh-CN"/>
        </w:rPr>
        <w:t>国有资本经营预算财政拨款支出决算表</w:t>
      </w:r>
      <w:bookmarkEnd w:id="209"/>
      <w:bookmarkEnd w:id="210"/>
    </w:p>
    <w:p>
      <w:pPr>
        <w:pStyle w:val="5"/>
        <w:shd w:val="clear"/>
        <w:rPr>
          <w:rFonts w:hint="eastAsia" w:eastAsia="仿宋"/>
          <w:color w:val="auto"/>
          <w:highlight w:val="none"/>
          <w:lang w:eastAsia="zh-CN"/>
        </w:rPr>
      </w:pPr>
      <w:bookmarkStart w:id="211" w:name="_Toc15396631"/>
      <w:bookmarkStart w:id="212" w:name="_Toc23674"/>
      <w:bookmarkStart w:id="213" w:name="_Toc32718"/>
      <w:r>
        <w:rPr>
          <w:rStyle w:val="20"/>
          <w:rFonts w:hint="eastAsia" w:ascii="仿宋" w:hAnsi="仿宋" w:eastAsia="仿宋"/>
          <w:b w:val="0"/>
          <w:bCs w:val="0"/>
          <w:color w:val="auto"/>
          <w:highlight w:val="none"/>
        </w:rPr>
        <w:t>十三、</w:t>
      </w:r>
      <w:bookmarkEnd w:id="211"/>
      <w:r>
        <w:rPr>
          <w:rStyle w:val="20"/>
          <w:rFonts w:hint="eastAsia" w:ascii="仿宋" w:hAnsi="仿宋" w:eastAsia="仿宋"/>
          <w:b w:val="0"/>
          <w:bCs w:val="0"/>
          <w:color w:val="auto"/>
          <w:highlight w:val="none"/>
          <w:lang w:eastAsia="zh-CN"/>
        </w:rPr>
        <w:t>财政拨款“三公”经费支出决算表</w:t>
      </w:r>
      <w:bookmarkEnd w:id="212"/>
      <w:bookmarkEnd w:id="213"/>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2000000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FB844"/>
    <w:multiLevelType w:val="singleLevel"/>
    <w:tmpl w:val="8EEFB844"/>
    <w:lvl w:ilvl="0" w:tentative="0">
      <w:start w:val="3"/>
      <w:numFmt w:val="chineseCounting"/>
      <w:suff w:val="nothing"/>
      <w:lvlText w:val="%1、"/>
      <w:lvlJc w:val="left"/>
      <w:rPr>
        <w:rFonts w:hint="eastAsia"/>
      </w:rPr>
    </w:lvl>
  </w:abstractNum>
  <w:abstractNum w:abstractNumId="1">
    <w:nsid w:val="9C8E0A66"/>
    <w:multiLevelType w:val="singleLevel"/>
    <w:tmpl w:val="9C8E0A66"/>
    <w:lvl w:ilvl="0" w:tentative="0">
      <w:start w:val="2"/>
      <w:numFmt w:val="chineseCounting"/>
      <w:suff w:val="nothing"/>
      <w:lvlText w:val="（%1）"/>
      <w:lvlJc w:val="left"/>
      <w:rPr>
        <w:rFonts w:hint="eastAsia"/>
      </w:rPr>
    </w:lvl>
  </w:abstractNum>
  <w:abstractNum w:abstractNumId="2">
    <w:nsid w:val="9C971DE6"/>
    <w:multiLevelType w:val="singleLevel"/>
    <w:tmpl w:val="9C971DE6"/>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3">
    <w:nsid w:val="9E6DCE19"/>
    <w:multiLevelType w:val="singleLevel"/>
    <w:tmpl w:val="9E6DCE19"/>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4">
    <w:nsid w:val="A6614366"/>
    <w:multiLevelType w:val="singleLevel"/>
    <w:tmpl w:val="A6614366"/>
    <w:lvl w:ilvl="0" w:tentative="0">
      <w:start w:val="1"/>
      <w:numFmt w:val="chineseCounting"/>
      <w:suff w:val="nothing"/>
      <w:lvlText w:val="%1、"/>
      <w:lvlJc w:val="left"/>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8CE4530"/>
    <w:multiLevelType w:val="singleLevel"/>
    <w:tmpl w:val="E8CE4530"/>
    <w:lvl w:ilvl="0" w:tentative="0">
      <w:start w:val="3"/>
      <w:numFmt w:val="chineseCounting"/>
      <w:suff w:val="nothing"/>
      <w:lvlText w:val="（%1）"/>
      <w:lvlJc w:val="left"/>
      <w:rPr>
        <w:rFonts w:hint="eastAsia"/>
      </w:rPr>
    </w:lvl>
  </w:abstractNum>
  <w:abstractNum w:abstractNumId="8">
    <w:nsid w:val="FD5E030F"/>
    <w:multiLevelType w:val="singleLevel"/>
    <w:tmpl w:val="FD5E030F"/>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54952E6"/>
    <w:multiLevelType w:val="singleLevel"/>
    <w:tmpl w:val="154952E6"/>
    <w:lvl w:ilvl="0" w:tentative="0">
      <w:start w:val="1"/>
      <w:numFmt w:val="chineseCounting"/>
      <w:suff w:val="nothing"/>
      <w:lvlText w:val="%1、"/>
      <w:lvlJc w:val="left"/>
      <w:rPr>
        <w:rFonts w:hint="eastAsia"/>
      </w:rPr>
    </w:lvl>
  </w:abstractNum>
  <w:num w:numId="1">
    <w:abstractNumId w:val="4"/>
  </w:num>
  <w:num w:numId="2">
    <w:abstractNumId w:val="9"/>
  </w:num>
  <w:num w:numId="3">
    <w:abstractNumId w:val="3"/>
  </w:num>
  <w:num w:numId="4">
    <w:abstractNumId w:val="5"/>
  </w:num>
  <w:num w:numId="5">
    <w:abstractNumId w:val="6"/>
  </w:num>
  <w:num w:numId="6">
    <w:abstractNumId w:val="2"/>
  </w:num>
  <w:num w:numId="7">
    <w:abstractNumId w:val="8"/>
  </w:num>
  <w:num w:numId="8">
    <w:abstractNumId w:val="1"/>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405F8A"/>
    <w:rsid w:val="02C24BF1"/>
    <w:rsid w:val="04194CE4"/>
    <w:rsid w:val="066E0107"/>
    <w:rsid w:val="06DF2215"/>
    <w:rsid w:val="0733430F"/>
    <w:rsid w:val="074327A4"/>
    <w:rsid w:val="07996F6E"/>
    <w:rsid w:val="0A2032A3"/>
    <w:rsid w:val="0F98263C"/>
    <w:rsid w:val="101860EC"/>
    <w:rsid w:val="108F5D13"/>
    <w:rsid w:val="10C055FF"/>
    <w:rsid w:val="118107EC"/>
    <w:rsid w:val="13D50BC4"/>
    <w:rsid w:val="14B51486"/>
    <w:rsid w:val="14C64A14"/>
    <w:rsid w:val="16BB723D"/>
    <w:rsid w:val="1A50725A"/>
    <w:rsid w:val="1BE8440E"/>
    <w:rsid w:val="1BF73D89"/>
    <w:rsid w:val="1D155CEE"/>
    <w:rsid w:val="1FF35744"/>
    <w:rsid w:val="23860B96"/>
    <w:rsid w:val="240371BF"/>
    <w:rsid w:val="2533676E"/>
    <w:rsid w:val="26C26CF7"/>
    <w:rsid w:val="29FD04D3"/>
    <w:rsid w:val="2B461E05"/>
    <w:rsid w:val="2C324A12"/>
    <w:rsid w:val="2C8A61B5"/>
    <w:rsid w:val="2DF04E50"/>
    <w:rsid w:val="2F040D46"/>
    <w:rsid w:val="2F650C5A"/>
    <w:rsid w:val="306D4B10"/>
    <w:rsid w:val="319F7F4E"/>
    <w:rsid w:val="32A9493D"/>
    <w:rsid w:val="3304709D"/>
    <w:rsid w:val="36AA5135"/>
    <w:rsid w:val="376D39B2"/>
    <w:rsid w:val="37E16F03"/>
    <w:rsid w:val="38D469F0"/>
    <w:rsid w:val="3D98207C"/>
    <w:rsid w:val="3E5E3444"/>
    <w:rsid w:val="3E78745D"/>
    <w:rsid w:val="44E268DA"/>
    <w:rsid w:val="47215957"/>
    <w:rsid w:val="496A2A9A"/>
    <w:rsid w:val="4A627F82"/>
    <w:rsid w:val="4A9106FD"/>
    <w:rsid w:val="4B0E749A"/>
    <w:rsid w:val="4B4F25DA"/>
    <w:rsid w:val="4B577B99"/>
    <w:rsid w:val="4BAF3531"/>
    <w:rsid w:val="4BE068DB"/>
    <w:rsid w:val="4D577224"/>
    <w:rsid w:val="4DF66D97"/>
    <w:rsid w:val="4EAB630A"/>
    <w:rsid w:val="4ECE2238"/>
    <w:rsid w:val="50F32112"/>
    <w:rsid w:val="537E6D0A"/>
    <w:rsid w:val="550A17D8"/>
    <w:rsid w:val="5AF92295"/>
    <w:rsid w:val="5C294C3A"/>
    <w:rsid w:val="5CD71FC4"/>
    <w:rsid w:val="5D4D2BAA"/>
    <w:rsid w:val="5EFD263A"/>
    <w:rsid w:val="60564992"/>
    <w:rsid w:val="61A94127"/>
    <w:rsid w:val="6C4A05C8"/>
    <w:rsid w:val="6E7E3605"/>
    <w:rsid w:val="6FB30045"/>
    <w:rsid w:val="6FF5CC65"/>
    <w:rsid w:val="715C0E4B"/>
    <w:rsid w:val="72734D90"/>
    <w:rsid w:val="72C232B3"/>
    <w:rsid w:val="73AD73D5"/>
    <w:rsid w:val="73B6EB34"/>
    <w:rsid w:val="744731E5"/>
    <w:rsid w:val="75501031"/>
    <w:rsid w:val="76E3355F"/>
    <w:rsid w:val="778769C8"/>
    <w:rsid w:val="786F5C73"/>
    <w:rsid w:val="79EE5BA4"/>
    <w:rsid w:val="7A894339"/>
    <w:rsid w:val="7AB71569"/>
    <w:rsid w:val="7BEE5100"/>
    <w:rsid w:val="7EEF11D3"/>
    <w:rsid w:val="7FA30C79"/>
    <w:rsid w:val="7FB7269E"/>
    <w:rsid w:val="7FC96657"/>
    <w:rsid w:val="7FF8479F"/>
    <w:rsid w:val="B7F540CE"/>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4"/>
    <w:qFormat/>
    <w:uiPriority w:val="9"/>
    <w:rPr>
      <w:rFonts w:ascii="Times New Roman" w:hAnsi="Times New Roman"/>
      <w:b/>
      <w:bCs/>
      <w:kern w:val="44"/>
      <w:sz w:val="44"/>
      <w:szCs w:val="44"/>
    </w:rPr>
  </w:style>
  <w:style w:type="character" w:customStyle="1" w:styleId="20">
    <w:name w:val="标题 2 Char"/>
    <w:basedOn w:val="16"/>
    <w:link w:val="5"/>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6"/>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41"/>
    <w:basedOn w:val="16"/>
    <w:uiPriority w:val="0"/>
    <w:rPr>
      <w:rFonts w:hint="eastAsia" w:ascii="宋体" w:hAnsi="宋体" w:eastAsia="宋体" w:cs="宋体"/>
      <w:color w:val="000000"/>
      <w:sz w:val="18"/>
      <w:szCs w:val="18"/>
      <w:u w:val="none"/>
    </w:rPr>
  </w:style>
  <w:style w:type="character" w:customStyle="1" w:styleId="36">
    <w:name w:val="font61"/>
    <w:basedOn w:val="16"/>
    <w:uiPriority w:val="0"/>
    <w:rPr>
      <w:rFonts w:hint="eastAsia" w:ascii="宋体" w:hAnsi="宋体" w:eastAsia="宋体" w:cs="宋体"/>
      <w:color w:val="000000"/>
      <w:sz w:val="18"/>
      <w:szCs w:val="18"/>
      <w:u w:val="none"/>
    </w:rPr>
  </w:style>
  <w:style w:type="paragraph" w:customStyle="1" w:styleId="37">
    <w:name w:val="WPSOffice手动目录 1"/>
    <w:uiPriority w:val="0"/>
    <w:pPr>
      <w:ind w:leftChars="0"/>
    </w:pPr>
    <w:rPr>
      <w:rFonts w:ascii="Times New Roman" w:hAnsi="Times New Roman" w:eastAsia="宋体" w:cs="Times New Roman"/>
      <w:sz w:val="20"/>
      <w:szCs w:val="20"/>
    </w:rPr>
  </w:style>
  <w:style w:type="paragraph" w:customStyle="1" w:styleId="38">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2&#24180;&#20915;&#31639;&#20844;&#24320;\&#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2&#24180;&#20915;&#31639;&#20844;&#243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2&#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[图表.xls]Sheet1!$A$1:$B$1</c:f>
              <c:strCache>
                <c:ptCount val="2"/>
                <c:pt idx="0">
                  <c:v>2021年度</c:v>
                </c:pt>
                <c:pt idx="1">
                  <c:v>2022年度</c:v>
                </c:pt>
              </c:strCache>
            </c:strRef>
          </c:cat>
          <c:val>
            <c:numRef>
              <c:f>[图表.xls]Sheet1!$A$2:$B$2</c:f>
              <c:numCache>
                <c:formatCode>#,##0.00_ </c:formatCode>
                <c:ptCount val="2"/>
                <c:pt idx="0">
                  <c:v>21524</c:v>
                </c:pt>
                <c:pt idx="1">
                  <c:v>20119.26</c:v>
                </c:pt>
              </c:numCache>
            </c:numRef>
          </c:val>
        </c:ser>
        <c:dLbls>
          <c:showLegendKey val="0"/>
          <c:showVal val="1"/>
          <c:showCatName val="0"/>
          <c:showSerName val="0"/>
          <c:showPercent val="0"/>
          <c:showBubbleSize val="0"/>
        </c:dLbls>
        <c:gapWidth val="219"/>
        <c:overlap val="-27"/>
        <c:axId val="591812784"/>
        <c:axId val="678767057"/>
      </c:barChart>
      <c:catAx>
        <c:axId val="591812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767057"/>
        <c:crosses val="autoZero"/>
        <c:auto val="1"/>
        <c:lblAlgn val="ctr"/>
        <c:lblOffset val="100"/>
        <c:noMultiLvlLbl val="0"/>
      </c:catAx>
      <c:valAx>
        <c:axId val="678767057"/>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81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[图表.xls]Sheet1!$H$1:$H$4</c:f>
              <c:strCache>
                <c:ptCount val="4"/>
                <c:pt idx="0">
                  <c:v>一般公共预算财政拨款收入</c:v>
                </c:pt>
                <c:pt idx="1">
                  <c:v>政府性基金预算财政拨款收入</c:v>
                </c:pt>
                <c:pt idx="2">
                  <c:v>事业收入</c:v>
                </c:pt>
                <c:pt idx="3">
                  <c:v>其他收入</c:v>
                </c:pt>
              </c:strCache>
            </c:strRef>
          </c:cat>
          <c:val>
            <c:numRef>
              <c:f>[图表.xls]Sheet1!$I$1:$I$4</c:f>
              <c:numCache>
                <c:formatCode>General</c:formatCode>
                <c:ptCount val="4"/>
                <c:pt idx="0">
                  <c:v>12561.11</c:v>
                </c:pt>
                <c:pt idx="1">
                  <c:v>743.35</c:v>
                </c:pt>
                <c:pt idx="2">
                  <c:v>4926.66</c:v>
                </c:pt>
                <c:pt idx="3">
                  <c:v>4.98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[图表.20230918104047868.xls]Sheet1!$L$1:$L$2</c:f>
              <c:strCache>
                <c:ptCount val="2"/>
                <c:pt idx="0">
                  <c:v>基本支出</c:v>
                </c:pt>
                <c:pt idx="1">
                  <c:v>项目支出</c:v>
                </c:pt>
              </c:strCache>
            </c:strRef>
          </c:cat>
          <c:val>
            <c:numRef>
              <c:f>[图表.20230918104047868.xls]Sheet1!$M$1:$M$2</c:f>
              <c:numCache>
                <c:formatCode>General</c:formatCode>
                <c:ptCount val="2"/>
                <c:pt idx="0">
                  <c:v>10939.31</c:v>
                </c:pt>
                <c:pt idx="1">
                  <c:v>8403.28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936455353109"/>
          <c:y val="0.0872656755009696"/>
          <c:w val="0.81740701701551"/>
          <c:h val="0.77259211376858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[图表.xls]Sheet1!$A$20:$B$20</c:f>
              <c:strCache>
                <c:ptCount val="2"/>
                <c:pt idx="0">
                  <c:v>2021年度</c:v>
                </c:pt>
                <c:pt idx="1">
                  <c:v>2022年度</c:v>
                </c:pt>
              </c:strCache>
            </c:strRef>
          </c:cat>
          <c:val>
            <c:numRef>
              <c:f>[图表.xls]Sheet1!$A$21:$B$21</c:f>
              <c:numCache>
                <c:formatCode>#,##0.00_ </c:formatCode>
                <c:ptCount val="2"/>
                <c:pt idx="0">
                  <c:v>17101.9</c:v>
                </c:pt>
                <c:pt idx="1">
                  <c:v>14301.5</c:v>
                </c:pt>
              </c:numCache>
            </c:numRef>
          </c:val>
        </c:ser>
        <c:dLbls>
          <c:showLegendKey val="0"/>
          <c:showVal val="0"/>
          <c:showCatName val="0"/>
          <c:showSerName val="0"/>
          <c:showPercent val="0"/>
          <c:showBubbleSize val="0"/>
        </c:dLbls>
        <c:gapWidth val="219"/>
        <c:overlap val="-27"/>
        <c:axId val="386558345"/>
        <c:axId val="485076991"/>
      </c:barChart>
      <c:catAx>
        <c:axId val="3865583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076991"/>
        <c:crosses val="autoZero"/>
        <c:auto val="1"/>
        <c:lblAlgn val="ctr"/>
        <c:lblOffset val="100"/>
        <c:noMultiLvlLbl val="0"/>
      </c:catAx>
      <c:valAx>
        <c:axId val="48507699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55834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[图表.xls]Sheet1!$G$20:$H$20</c:f>
              <c:strCache>
                <c:ptCount val="2"/>
                <c:pt idx="0">
                  <c:v>2021年度</c:v>
                </c:pt>
                <c:pt idx="1">
                  <c:v>2022年度</c:v>
                </c:pt>
              </c:strCache>
            </c:strRef>
          </c:cat>
          <c:val>
            <c:numRef>
              <c:f>[图表.xls]Sheet1!$G$21:$H$21</c:f>
              <c:numCache>
                <c:formatCode>#,##0.00_ </c:formatCode>
                <c:ptCount val="2"/>
                <c:pt idx="0">
                  <c:v>13426.94</c:v>
                </c:pt>
                <c:pt idx="1">
                  <c:v>16090.74</c:v>
                </c:pt>
              </c:numCache>
            </c:numRef>
          </c:val>
        </c:ser>
        <c:dLbls>
          <c:showLegendKey val="0"/>
          <c:showVal val="1"/>
          <c:showCatName val="0"/>
          <c:showSerName val="0"/>
          <c:showPercent val="0"/>
          <c:showBubbleSize val="0"/>
        </c:dLbls>
        <c:gapWidth val="75"/>
        <c:overlap val="0"/>
        <c:axId val="795587237"/>
        <c:axId val="788581548"/>
      </c:barChart>
      <c:catAx>
        <c:axId val="7955872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581548"/>
        <c:crosses val="autoZero"/>
        <c:auto val="1"/>
        <c:lblAlgn val="ctr"/>
        <c:lblOffset val="100"/>
        <c:noMultiLvlLbl val="0"/>
      </c:catAx>
      <c:valAx>
        <c:axId val="788581548"/>
        <c:scaling>
          <c:orientation val="minMax"/>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58723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21980705824887"/>
                  <c:y val="-0.2111553784860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59421174746611"/>
                  <c:y val="0.035856573705179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77738429600684"/>
                  <c:y val="-0.015936254980079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12883135914031"/>
                  <c:y val="-0.01833936311829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751007449016974"/>
                  <c:y val="-0.008356986736431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[图表.xls]Sheet1!$L$19:$L$23</c:f>
              <c:strCache>
                <c:ptCount val="5"/>
                <c:pt idx="0">
                  <c:v>教育支出</c:v>
                </c:pt>
                <c:pt idx="1">
                  <c:v>社会和保障就业支出</c:v>
                </c:pt>
                <c:pt idx="2">
                  <c:v>卫生健康支出</c:v>
                </c:pt>
                <c:pt idx="3">
                  <c:v>住房保障支出</c:v>
                </c:pt>
                <c:pt idx="4">
                  <c:v>其他支出</c:v>
                </c:pt>
              </c:strCache>
            </c:strRef>
          </c:cat>
          <c:val>
            <c:numRef>
              <c:f>[图表.xls]Sheet1!$M$19:$M$23</c:f>
              <c:numCache>
                <c:formatCode>General</c:formatCode>
                <c:ptCount val="5"/>
                <c:pt idx="0">
                  <c:v>11734.62</c:v>
                </c:pt>
                <c:pt idx="1">
                  <c:v>587.49</c:v>
                </c:pt>
                <c:pt idx="2">
                  <c:v>236.19</c:v>
                </c:pt>
                <c:pt idx="3">
                  <c:v>831.34</c:v>
                </c:pt>
                <c:pt idx="4">
                  <c:v>37.3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43</Pages>
  <Words>15627</Words>
  <Characters>18913</Characters>
  <Lines>61</Lines>
  <Paragraphs>17</Paragraphs>
  <TotalTime>0</TotalTime>
  <ScaleCrop>false</ScaleCrop>
  <LinksUpToDate>false</LinksUpToDate>
  <CharactersWithSpaces>18976</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玖千余为春秋</cp:lastModifiedBy>
  <cp:lastPrinted>2023-09-21T08:51:00Z</cp:lastPrinted>
  <dcterms:modified xsi:type="dcterms:W3CDTF">2023-09-25T15:07:18Z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