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96597"/>
      <w:bookmarkStart w:id="2" w:name="_Toc15377425"/>
      <w:bookmarkStart w:id="3" w:name="_Toc1539647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598"/>
      <w:bookmarkStart w:id="7" w:name="_Toc15378442"/>
      <w:bookmarkStart w:id="8" w:name="_Toc15377426"/>
      <w:bookmarkStart w:id="9" w:name="_Toc15396476"/>
      <w:bookmarkStart w:id="10" w:name="_Toc15377194"/>
      <w:r>
        <w:rPr>
          <w:rFonts w:hint="eastAsia" w:ascii="方正小标宋简体" w:hAnsi="方正小标宋简体" w:eastAsia="方正小标宋简体" w:cs="方正小标宋简体"/>
          <w:color w:val="auto"/>
          <w:sz w:val="52"/>
          <w:szCs w:val="52"/>
          <w:highlight w:val="none"/>
          <w:lang w:eastAsia="zh-CN"/>
        </w:rPr>
        <w:t>广元市</w:t>
      </w:r>
      <w:bookmarkEnd w:id="5"/>
      <w:bookmarkStart w:id="11" w:name="_Toc15306268"/>
      <w:r>
        <w:rPr>
          <w:rFonts w:hint="eastAsia" w:ascii="方正小标宋简体" w:hAnsi="方正小标宋简体" w:eastAsia="方正小标宋简体" w:cs="方正小标宋简体"/>
          <w:color w:val="auto"/>
          <w:sz w:val="52"/>
          <w:szCs w:val="52"/>
          <w:highlight w:val="none"/>
          <w:lang w:eastAsia="zh-CN"/>
        </w:rPr>
        <w:t>荣山地区人民检察院</w:t>
      </w:r>
      <w:r>
        <w:rPr>
          <w:rFonts w:hint="eastAsia" w:ascii="方正小标宋简体" w:hAnsi="方正小标宋简体" w:eastAsia="方正小标宋简体" w:cs="方正小标宋简体"/>
          <w:color w:val="auto"/>
          <w:sz w:val="52"/>
          <w:szCs w:val="5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第一部分 部门概况...............................................................................................4</w:t>
      </w:r>
    </w:p>
    <w:p>
      <w:pPr>
        <w:pStyle w:val="11"/>
        <w:adjustRightInd w:val="0"/>
        <w:snapToGrid w:val="0"/>
        <w:spacing w:before="0" w:line="440" w:lineRule="exact"/>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一、部门职责.................................................................................................4</w:t>
      </w:r>
    </w:p>
    <w:p>
      <w:pPr>
        <w:pStyle w:val="11"/>
        <w:adjustRightInd w:val="0"/>
        <w:snapToGrid w:val="0"/>
        <w:spacing w:before="0" w:line="440" w:lineRule="exact"/>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二、机构设置.................................................................................................4</w:t>
      </w:r>
    </w:p>
    <w:p>
      <w:pPr>
        <w:pStyle w:val="11"/>
        <w:adjustRightInd w:val="0"/>
        <w:snapToGrid w:val="0"/>
        <w:spacing w:before="0"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第二部分 2022年度部门决算情况说明..............................................................4</w:t>
      </w:r>
    </w:p>
    <w:p>
      <w:pPr>
        <w:pStyle w:val="11"/>
        <w:adjustRightInd w:val="0"/>
        <w:snapToGrid w:val="0"/>
        <w:spacing w:before="0" w:line="440" w:lineRule="exact"/>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一、收入支出决算总体情况说明.................................................................4</w:t>
      </w:r>
    </w:p>
    <w:p>
      <w:pPr>
        <w:pStyle w:val="11"/>
        <w:adjustRightInd w:val="0"/>
        <w:snapToGrid w:val="0"/>
        <w:spacing w:before="0" w:line="440" w:lineRule="exact"/>
        <w:ind w:firstLine="480" w:firstLineChars="200"/>
        <w:jc w:val="left"/>
        <w:rPr>
          <w:rFonts w:ascii="仿宋" w:hAnsi="仿宋" w:eastAsia="仿宋" w:cstheme="minorBidi"/>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二、收入决算情况说明..................................................................................5</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.............5</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6</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6</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9</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9</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11</w:t>
      </w:r>
    </w:p>
    <w:p>
      <w:pPr>
        <w:pStyle w:val="12"/>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11</w:t>
      </w:r>
      <w:r>
        <w:rPr>
          <w:rFonts w:hint="eastAsia" w:asciiTheme="minorEastAsia" w:hAnsiTheme="minorEastAsia" w:eastAsiaTheme="minorEastAsia" w:cstheme="minorEastAsia"/>
          <w:color w:val="auto"/>
          <w:sz w:val="24"/>
          <w:highlight w:val="none"/>
        </w:rPr>
        <w:tab/>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13</w:t>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35</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2"/>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p>
    <w:p>
      <w:pPr>
        <w:pageBreakBefore w:val="0"/>
        <w:widowControl/>
        <w:kinsoku/>
        <w:wordWrap/>
        <w:overflowPunct/>
        <w:topLinePunct w:val="0"/>
        <w:autoSpaceDE/>
        <w:autoSpaceDN/>
        <w:bidi w:val="0"/>
        <w:spacing w:line="540" w:lineRule="exact"/>
        <w:jc w:val="left"/>
        <w:textAlignment w:val="auto"/>
        <w:rPr>
          <w:rFonts w:ascii="黑体" w:eastAsia="黑体"/>
          <w:color w:val="auto"/>
          <w:sz w:val="32"/>
          <w:szCs w:val="32"/>
          <w:highlight w:val="none"/>
        </w:rPr>
      </w:pPr>
    </w:p>
    <w:p>
      <w:pPr>
        <w:pStyle w:val="3"/>
        <w:pageBreakBefore w:val="0"/>
        <w:numPr>
          <w:ilvl w:val="0"/>
          <w:numId w:val="1"/>
        </w:numPr>
        <w:kinsoku/>
        <w:wordWrap/>
        <w:overflowPunct/>
        <w:topLinePunct w:val="0"/>
        <w:autoSpaceDE/>
        <w:autoSpaceDN/>
        <w:bidi w:val="0"/>
        <w:spacing w:line="540" w:lineRule="exact"/>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pStyle w:val="13"/>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40" w:lineRule="exact"/>
        <w:ind w:right="0" w:firstLine="640" w:firstLineChars="200"/>
        <w:jc w:val="left"/>
        <w:textAlignment w:val="auto"/>
        <w:rPr>
          <w:rFonts w:hint="default"/>
          <w:lang w:val="en-US" w:eastAsia="zh-CN"/>
        </w:rPr>
      </w:pPr>
      <w:r>
        <w:rPr>
          <w:rFonts w:hint="eastAsia" w:ascii="仿宋" w:hAnsi="仿宋" w:eastAsia="仿宋" w:cs="仿宋"/>
          <w:i w:val="0"/>
          <w:caps w:val="0"/>
          <w:color w:val="000000"/>
          <w:spacing w:val="0"/>
          <w:sz w:val="32"/>
          <w:szCs w:val="32"/>
          <w:shd w:val="clear" w:color="auto" w:fill="FFFFFF"/>
        </w:rPr>
        <w:t>广元市荣山地区人民检察院成立于1991年12月，地处广元市利州区万源新区翠云路135号，是广元市人民检察院派出的正县级机构，主要职能是对广元监狱刑罚执行活动实施法律监督。</w:t>
      </w:r>
      <w:r>
        <w:rPr>
          <w:rFonts w:hint="eastAsia"/>
          <w:lang w:val="en-US" w:eastAsia="zh-CN"/>
        </w:rPr>
        <w:t xml:space="preserve">  </w:t>
      </w:r>
    </w:p>
    <w:p>
      <w:pPr>
        <w:pStyle w:val="3"/>
        <w:pageBreakBefore w:val="0"/>
        <w:kinsoku/>
        <w:wordWrap/>
        <w:overflowPunct/>
        <w:topLinePunct w:val="0"/>
        <w:autoSpaceDE/>
        <w:autoSpaceDN/>
        <w:bidi w:val="0"/>
        <w:spacing w:line="540" w:lineRule="exact"/>
        <w:textAlignment w:val="auto"/>
        <w:rPr>
          <w:rStyle w:val="29"/>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14"/>
      <w:bookmarkEnd w:id="15"/>
    </w:p>
    <w:p>
      <w:pPr>
        <w:pageBreakBefore w:val="0"/>
        <w:widowControl/>
        <w:kinsoku/>
        <w:wordWrap/>
        <w:overflowPunct/>
        <w:topLinePunct w:val="0"/>
        <w:autoSpaceDE/>
        <w:autoSpaceDN/>
        <w:bidi w:val="0"/>
        <w:spacing w:line="540" w:lineRule="exact"/>
        <w:ind w:firstLine="640" w:firstLineChars="200"/>
        <w:jc w:val="left"/>
        <w:textAlignment w:val="auto"/>
        <w:rPr>
          <w:rFonts w:ascii="仿宋" w:hAnsi="仿宋" w:eastAsia="仿宋"/>
          <w:color w:val="000000"/>
          <w:kern w:val="0"/>
          <w:sz w:val="32"/>
          <w:szCs w:val="32"/>
        </w:rPr>
      </w:pPr>
      <w:r>
        <w:rPr>
          <w:rFonts w:hint="eastAsia" w:ascii="仿宋" w:hAnsi="仿宋" w:eastAsia="仿宋" w:cs="仿宋"/>
          <w:i w:val="0"/>
          <w:caps w:val="0"/>
          <w:color w:val="000000"/>
          <w:spacing w:val="0"/>
          <w:sz w:val="32"/>
          <w:szCs w:val="32"/>
          <w:shd w:val="clear" w:color="auto" w:fill="FFFFFF"/>
          <w:lang w:eastAsia="zh-CN"/>
        </w:rPr>
        <w:t>广元市荣山地区人民检察院</w:t>
      </w:r>
      <w:r>
        <w:rPr>
          <w:rFonts w:hint="eastAsia" w:ascii="仿宋" w:hAnsi="仿宋" w:eastAsia="仿宋" w:cs="仿宋"/>
          <w:i w:val="0"/>
          <w:caps w:val="0"/>
          <w:color w:val="000000"/>
          <w:spacing w:val="0"/>
          <w:sz w:val="32"/>
          <w:szCs w:val="32"/>
          <w:shd w:val="clear" w:color="auto" w:fill="FFFFFF"/>
        </w:rPr>
        <w:t>内设办公室、第一检察部（驻广元监狱检察室）、第二检察部、政治部等四个职能部门。现有政法专编18人，其中员额检察官</w:t>
      </w:r>
      <w:r>
        <w:rPr>
          <w:rFonts w:hint="eastAsia" w:ascii="仿宋" w:hAnsi="仿宋" w:eastAsia="仿宋" w:cs="仿宋"/>
          <w:i w:val="0"/>
          <w:caps w:val="0"/>
          <w:color w:val="000000"/>
          <w:spacing w:val="0"/>
          <w:sz w:val="32"/>
          <w:szCs w:val="32"/>
          <w:shd w:val="clear" w:color="auto" w:fill="FFFFFF"/>
          <w:lang w:val="en-US" w:eastAsia="zh-CN"/>
        </w:rPr>
        <w:t>7</w:t>
      </w:r>
      <w:r>
        <w:rPr>
          <w:rFonts w:hint="eastAsia" w:ascii="仿宋" w:hAnsi="仿宋" w:eastAsia="仿宋" w:cs="仿宋"/>
          <w:i w:val="0"/>
          <w:caps w:val="0"/>
          <w:color w:val="000000"/>
          <w:spacing w:val="0"/>
          <w:sz w:val="32"/>
          <w:szCs w:val="32"/>
          <w:shd w:val="clear" w:color="auto" w:fill="FFFFFF"/>
        </w:rPr>
        <w:t>人。聘用制书记员5人。</w:t>
      </w:r>
    </w:p>
    <w:p>
      <w:pPr>
        <w:pStyle w:val="5"/>
        <w:pageBreakBefore w:val="0"/>
        <w:kinsoku/>
        <w:wordWrap/>
        <w:overflowPunct/>
        <w:topLinePunct w:val="0"/>
        <w:autoSpaceDE/>
        <w:autoSpaceDN/>
        <w:bidi w:val="0"/>
        <w:adjustRightInd w:val="0"/>
        <w:snapToGrid w:val="0"/>
        <w:spacing w:before="93" w:line="540" w:lineRule="exact"/>
        <w:ind w:firstLine="640" w:firstLineChars="200"/>
        <w:textAlignment w:val="auto"/>
        <w:rPr>
          <w:rFonts w:ascii="仿宋" w:hAnsi="仿宋" w:eastAsia="仿宋"/>
          <w:color w:val="auto"/>
          <w:kern w:val="0"/>
          <w:sz w:val="32"/>
          <w:szCs w:val="32"/>
          <w:highlight w:val="none"/>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p>
      <w:pPr>
        <w:pStyle w:val="2"/>
        <w:pageBreakBefore w:val="0"/>
        <w:kinsoku/>
        <w:wordWrap/>
        <w:overflowPunct/>
        <w:topLinePunct w:val="0"/>
        <w:autoSpaceDE/>
        <w:autoSpaceDN/>
        <w:bidi w:val="0"/>
        <w:spacing w:line="240" w:lineRule="auto"/>
        <w:ind w:right="440"/>
        <w:jc w:val="center"/>
        <w:textAlignment w:val="auto"/>
        <w:rPr>
          <w:rStyle w:val="28"/>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16"/>
      <w:bookmarkEnd w:id="17"/>
    </w:p>
    <w:p>
      <w:pPr>
        <w:rPr>
          <w:color w:val="auto"/>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565.61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年相比，收、支总计各增减少</w:t>
      </w:r>
      <w:r>
        <w:rPr>
          <w:rFonts w:hint="eastAsia" w:ascii="仿宋" w:hAnsi="仿宋" w:eastAsia="仿宋"/>
          <w:color w:val="auto"/>
          <w:sz w:val="32"/>
          <w:szCs w:val="32"/>
          <w:highlight w:val="none"/>
          <w:lang w:val="en-US" w:eastAsia="zh-CN"/>
        </w:rPr>
        <w:t>12.52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年初结转和结余资金减少。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olor w:val="auto"/>
          <w:sz w:val="32"/>
          <w:szCs w:val="32"/>
          <w:highlight w:val="none"/>
        </w:rPr>
      </w:pPr>
      <w:r>
        <w:drawing>
          <wp:inline distT="0" distB="0" distL="114300" distR="114300">
            <wp:extent cx="4636135" cy="2486025"/>
            <wp:effectExtent l="4445" t="5080" r="7620" b="444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517.48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506.6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10.88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olor w:val="auto"/>
          <w:sz w:val="32"/>
          <w:szCs w:val="32"/>
          <w:highlight w:val="none"/>
        </w:rPr>
      </w:pPr>
      <w:r>
        <w:drawing>
          <wp:inline distT="0" distB="0" distL="114300" distR="114300">
            <wp:extent cx="4511675" cy="2228850"/>
            <wp:effectExtent l="5080" t="4445" r="1714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564.28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426.17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75.52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138.11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olor w:val="auto"/>
          <w:sz w:val="32"/>
          <w:szCs w:val="32"/>
          <w:highlight w:val="none"/>
        </w:rPr>
      </w:pPr>
      <w:r>
        <w:drawing>
          <wp:inline distT="0" distB="0" distL="114300" distR="114300">
            <wp:extent cx="4245610" cy="2096135"/>
            <wp:effectExtent l="4445" t="4445" r="17145" b="1397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9"/>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554.73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23.4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年初结转和结余资金减少。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32"/>
          <w:szCs w:val="32"/>
          <w:highlight w:val="none"/>
        </w:rPr>
      </w:pPr>
      <w:r>
        <w:drawing>
          <wp:inline distT="0" distB="0" distL="114300" distR="114300">
            <wp:extent cx="4502150" cy="2057400"/>
            <wp:effectExtent l="4445" t="5080" r="8255" b="1397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9"/>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553.4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23.4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4.42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4名检察干警职务晋升导致人员支出增加。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olor w:val="auto"/>
          <w:sz w:val="32"/>
          <w:szCs w:val="32"/>
          <w:highlight w:val="none"/>
          <w:lang w:val="en-US" w:eastAsia="zh-CN"/>
        </w:rPr>
      </w:pPr>
      <w:r>
        <w:drawing>
          <wp:inline distT="0" distB="0" distL="114300" distR="114300">
            <wp:extent cx="4549775" cy="2019300"/>
            <wp:effectExtent l="4445" t="4445" r="17780" b="14605"/>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553.4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公共安全支出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487.58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22.07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13.86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29.89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ascii="仿宋" w:hAnsi="仿宋" w:eastAsia="仿宋"/>
          <w:color w:val="auto"/>
          <w:sz w:val="32"/>
          <w:szCs w:val="32"/>
          <w:highlight w:val="none"/>
        </w:rPr>
      </w:pPr>
      <w:r>
        <w:drawing>
          <wp:inline distT="0" distB="0" distL="114300" distR="114300">
            <wp:extent cx="4453890" cy="1990725"/>
            <wp:effectExtent l="4445" t="4445" r="18415" b="508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553.4</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99.76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000000"/>
          <w:sz w:val="32"/>
          <w:szCs w:val="32"/>
          <w:lang w:eastAsia="zh-CN"/>
        </w:rPr>
        <w:t>公共安全支出</w:t>
      </w:r>
      <w:r>
        <w:rPr>
          <w:rStyle w:val="17"/>
          <w:rFonts w:hint="eastAsia" w:ascii="仿宋_GB2312" w:eastAsia="仿宋_GB2312"/>
          <w:sz w:val="32"/>
          <w:szCs w:val="32"/>
        </w:rPr>
        <w:t>（类）检察（款）行政运行（项）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487.58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000000"/>
          <w:sz w:val="30"/>
          <w:szCs w:val="30"/>
        </w:rPr>
        <w:t>决算数</w:t>
      </w:r>
      <w:r>
        <w:rPr>
          <w:rStyle w:val="17"/>
          <w:rFonts w:hint="eastAsia" w:ascii="仿宋" w:hAnsi="仿宋" w:eastAsia="仿宋"/>
          <w:b w:val="0"/>
          <w:bCs/>
          <w:color w:val="000000"/>
          <w:sz w:val="30"/>
          <w:szCs w:val="30"/>
          <w:lang w:eastAsia="zh-CN"/>
        </w:rPr>
        <w:t>与</w:t>
      </w:r>
      <w:r>
        <w:rPr>
          <w:rStyle w:val="17"/>
          <w:rFonts w:hint="eastAsia" w:ascii="仿宋" w:hAnsi="仿宋" w:eastAsia="仿宋"/>
          <w:b w:val="0"/>
          <w:bCs/>
          <w:color w:val="000000"/>
          <w:sz w:val="30"/>
          <w:szCs w:val="30"/>
        </w:rPr>
        <w:t>预算数</w:t>
      </w:r>
      <w:r>
        <w:rPr>
          <w:rFonts w:hint="eastAsia" w:ascii="仿宋_GB2312" w:eastAsia="仿宋_GB2312"/>
          <w:sz w:val="30"/>
          <w:szCs w:val="30"/>
          <w:lang w:eastAsia="zh-CN"/>
        </w:rPr>
        <w:t>持平</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000000"/>
          <w:sz w:val="30"/>
          <w:szCs w:val="30"/>
          <w:lang w:eastAsia="zh-CN"/>
        </w:rPr>
        <w:t>公共安全支出</w:t>
      </w:r>
      <w:r>
        <w:rPr>
          <w:rStyle w:val="17"/>
          <w:rFonts w:hint="eastAsia" w:ascii="仿宋_GB2312" w:eastAsia="仿宋_GB2312"/>
          <w:sz w:val="30"/>
          <w:szCs w:val="30"/>
        </w:rPr>
        <w:t>（类）检察（款）</w:t>
      </w:r>
      <w:r>
        <w:rPr>
          <w:rStyle w:val="17"/>
          <w:rFonts w:hint="eastAsia" w:ascii="仿宋_GB2312" w:eastAsia="仿宋_GB2312"/>
          <w:sz w:val="30"/>
          <w:szCs w:val="30"/>
          <w:lang w:eastAsia="zh-CN"/>
        </w:rPr>
        <w:t>一般</w:t>
      </w:r>
      <w:r>
        <w:rPr>
          <w:rStyle w:val="17"/>
          <w:rFonts w:hint="eastAsia" w:ascii="仿宋_GB2312" w:eastAsia="仿宋_GB2312"/>
          <w:b/>
          <w:bCs w:val="0"/>
          <w:color w:val="auto"/>
          <w:sz w:val="30"/>
          <w:szCs w:val="30"/>
          <w:lang w:eastAsia="zh-CN"/>
        </w:rPr>
        <w:t>行政管理事务</w:t>
      </w:r>
      <w:r>
        <w:rPr>
          <w:rStyle w:val="17"/>
          <w:rFonts w:hint="eastAsia" w:ascii="仿宋_GB2312" w:eastAsia="仿宋_GB2312"/>
          <w:sz w:val="30"/>
          <w:szCs w:val="30"/>
        </w:rPr>
        <w:t>（项）</w:t>
      </w:r>
      <w:r>
        <w:rPr>
          <w:rStyle w:val="17"/>
          <w:rFonts w:ascii="仿宋" w:hAnsi="仿宋" w:eastAsia="仿宋"/>
          <w:bCs/>
          <w:color w:val="000000"/>
          <w:sz w:val="30"/>
          <w:szCs w:val="30"/>
        </w:rPr>
        <w:t>:</w:t>
      </w:r>
      <w:r>
        <w:rPr>
          <w:rStyle w:val="17"/>
          <w:rFonts w:hint="eastAsia" w:ascii="仿宋" w:hAnsi="仿宋" w:eastAsia="仿宋"/>
          <w:b w:val="0"/>
          <w:bCs/>
          <w:color w:val="000000"/>
          <w:sz w:val="30"/>
          <w:szCs w:val="30"/>
        </w:rPr>
        <w:t>支出决算为</w:t>
      </w:r>
      <w:r>
        <w:rPr>
          <w:rStyle w:val="17"/>
          <w:rFonts w:hint="eastAsia" w:ascii="仿宋" w:hAnsi="仿宋" w:eastAsia="仿宋"/>
          <w:b w:val="0"/>
          <w:bCs/>
          <w:color w:val="000000"/>
          <w:sz w:val="30"/>
          <w:szCs w:val="30"/>
          <w:lang w:val="en-US" w:eastAsia="zh-CN"/>
        </w:rPr>
        <w:t>10.11</w:t>
      </w:r>
      <w:r>
        <w:rPr>
          <w:rStyle w:val="17"/>
          <w:rFonts w:hint="eastAsia" w:ascii="仿宋" w:hAnsi="仿宋" w:eastAsia="仿宋"/>
          <w:b w:val="0"/>
          <w:bCs/>
          <w:color w:val="000000"/>
          <w:sz w:val="30"/>
          <w:szCs w:val="30"/>
        </w:rPr>
        <w:t>万元，完成预算</w:t>
      </w:r>
      <w:r>
        <w:rPr>
          <w:rStyle w:val="17"/>
          <w:rFonts w:hint="eastAsia" w:ascii="仿宋" w:hAnsi="仿宋" w:eastAsia="仿宋"/>
          <w:b w:val="0"/>
          <w:bCs/>
          <w:color w:val="000000"/>
          <w:sz w:val="30"/>
          <w:szCs w:val="30"/>
          <w:lang w:val="en-US" w:eastAsia="zh-CN"/>
        </w:rPr>
        <w:t>6.16</w:t>
      </w:r>
      <w:r>
        <w:rPr>
          <w:rStyle w:val="17"/>
          <w:rFonts w:ascii="仿宋" w:hAnsi="仿宋" w:eastAsia="仿宋"/>
          <w:b w:val="0"/>
          <w:bCs/>
          <w:color w:val="auto"/>
          <w:sz w:val="30"/>
          <w:szCs w:val="30"/>
        </w:rPr>
        <w:t>%</w:t>
      </w:r>
      <w:r>
        <w:rPr>
          <w:rStyle w:val="17"/>
          <w:rFonts w:hint="eastAsia" w:ascii="仿宋" w:hAnsi="仿宋" w:eastAsia="仿宋"/>
          <w:b w:val="0"/>
          <w:bCs/>
          <w:color w:val="auto"/>
          <w:sz w:val="30"/>
          <w:szCs w:val="30"/>
        </w:rPr>
        <w:t>，</w:t>
      </w:r>
      <w:r>
        <w:rPr>
          <w:rStyle w:val="17"/>
          <w:rFonts w:hint="eastAsia" w:ascii="仿宋" w:hAnsi="仿宋" w:eastAsia="仿宋"/>
          <w:b w:val="0"/>
          <w:bCs/>
          <w:color w:val="auto"/>
          <w:sz w:val="30"/>
          <w:szCs w:val="30"/>
          <w:lang w:eastAsia="zh-CN"/>
        </w:rPr>
        <w:t>决算数不等于预算数的主要原因是</w:t>
      </w:r>
      <w:r>
        <w:rPr>
          <w:rStyle w:val="17"/>
          <w:rFonts w:hint="eastAsia" w:ascii="仿宋" w:hAnsi="仿宋" w:eastAsia="仿宋"/>
          <w:b w:val="0"/>
          <w:bCs/>
          <w:color w:val="auto"/>
          <w:sz w:val="30"/>
          <w:szCs w:val="30"/>
          <w:lang w:val="en-US" w:eastAsia="zh-CN"/>
        </w:rPr>
        <w:t>2022年办公设备</w:t>
      </w:r>
      <w:r>
        <w:rPr>
          <w:rStyle w:val="17"/>
          <w:rFonts w:hint="eastAsia" w:ascii="仿宋" w:hAnsi="仿宋" w:eastAsia="仿宋"/>
          <w:b w:val="0"/>
          <w:bCs/>
          <w:color w:val="auto"/>
          <w:sz w:val="30"/>
          <w:szCs w:val="30"/>
          <w:lang w:eastAsia="zh-CN"/>
        </w:rPr>
        <w:t>国产化替代项目实施导致经费支出增加</w:t>
      </w:r>
      <w:r>
        <w:rPr>
          <w:rStyle w:val="17"/>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Style w:val="17"/>
          <w:rFonts w:hint="eastAsia" w:ascii="仿宋" w:hAnsi="仿宋" w:eastAsia="仿宋"/>
          <w:b w:val="0"/>
          <w:bCs/>
          <w:color w:val="auto"/>
          <w:sz w:val="30"/>
          <w:szCs w:val="30"/>
        </w:rPr>
      </w:pPr>
      <w:r>
        <w:rPr>
          <w:rStyle w:val="17"/>
          <w:rFonts w:ascii="仿宋" w:hAnsi="仿宋" w:eastAsia="仿宋"/>
          <w:bCs/>
          <w:color w:val="auto"/>
          <w:sz w:val="32"/>
          <w:szCs w:val="32"/>
          <w:highlight w:val="none"/>
        </w:rPr>
        <w:t>3.</w:t>
      </w:r>
      <w:r>
        <w:rPr>
          <w:rStyle w:val="17"/>
          <w:rFonts w:hint="eastAsia" w:ascii="仿宋" w:hAnsi="仿宋" w:eastAsia="仿宋"/>
          <w:bCs/>
          <w:color w:val="000000"/>
          <w:sz w:val="30"/>
          <w:szCs w:val="30"/>
          <w:lang w:eastAsia="zh-CN"/>
        </w:rPr>
        <w:t>公共安全支出</w:t>
      </w:r>
      <w:r>
        <w:rPr>
          <w:rStyle w:val="17"/>
          <w:rFonts w:hint="eastAsia" w:ascii="仿宋_GB2312" w:eastAsia="仿宋_GB2312"/>
          <w:sz w:val="30"/>
          <w:szCs w:val="30"/>
        </w:rPr>
        <w:t>（类）检察（款）</w:t>
      </w:r>
      <w:r>
        <w:rPr>
          <w:rStyle w:val="17"/>
          <w:rFonts w:hint="eastAsia" w:ascii="仿宋_GB2312" w:eastAsia="仿宋_GB2312"/>
          <w:sz w:val="30"/>
          <w:szCs w:val="30"/>
          <w:lang w:eastAsia="zh-CN"/>
        </w:rPr>
        <w:t>检察监督</w:t>
      </w:r>
      <w:r>
        <w:rPr>
          <w:rStyle w:val="17"/>
          <w:rFonts w:hint="eastAsia" w:ascii="仿宋_GB2312" w:eastAsia="仿宋_GB2312"/>
          <w:sz w:val="30"/>
          <w:szCs w:val="30"/>
        </w:rPr>
        <w:t>（项）</w:t>
      </w:r>
      <w:r>
        <w:rPr>
          <w:rStyle w:val="17"/>
          <w:rFonts w:hint="eastAsia" w:ascii="仿宋_GB2312" w:eastAsia="仿宋_GB2312"/>
          <w:sz w:val="30"/>
          <w:szCs w:val="30"/>
          <w:lang w:eastAsia="zh-CN"/>
        </w:rPr>
        <w:t>：</w:t>
      </w:r>
      <w:r>
        <w:rPr>
          <w:rStyle w:val="17"/>
          <w:rFonts w:hint="eastAsia" w:ascii="仿宋" w:hAnsi="仿宋" w:eastAsia="仿宋"/>
          <w:b w:val="0"/>
          <w:bCs/>
          <w:color w:val="000000"/>
          <w:sz w:val="30"/>
          <w:szCs w:val="30"/>
        </w:rPr>
        <w:t>支出决算为</w:t>
      </w:r>
      <w:r>
        <w:rPr>
          <w:rStyle w:val="17"/>
          <w:rFonts w:hint="eastAsia" w:ascii="仿宋" w:hAnsi="仿宋" w:eastAsia="仿宋"/>
          <w:b w:val="0"/>
          <w:bCs/>
          <w:color w:val="000000"/>
          <w:sz w:val="30"/>
          <w:szCs w:val="30"/>
          <w:lang w:val="en-US" w:eastAsia="zh-CN"/>
        </w:rPr>
        <w:t>98</w:t>
      </w:r>
      <w:r>
        <w:rPr>
          <w:rStyle w:val="17"/>
          <w:rFonts w:hint="eastAsia" w:ascii="仿宋" w:hAnsi="仿宋" w:eastAsia="仿宋"/>
          <w:b w:val="0"/>
          <w:bCs/>
          <w:color w:val="000000"/>
          <w:sz w:val="30"/>
          <w:szCs w:val="30"/>
        </w:rPr>
        <w:t>万元，完成预算</w:t>
      </w:r>
      <w:r>
        <w:rPr>
          <w:rStyle w:val="17"/>
          <w:rFonts w:hint="eastAsia" w:ascii="仿宋" w:hAnsi="仿宋" w:eastAsia="仿宋"/>
          <w:b w:val="0"/>
          <w:bCs/>
          <w:color w:val="auto"/>
          <w:sz w:val="30"/>
          <w:szCs w:val="30"/>
          <w:lang w:val="en-US" w:eastAsia="zh-CN"/>
        </w:rPr>
        <w:t>1.11</w:t>
      </w:r>
      <w:r>
        <w:rPr>
          <w:rStyle w:val="17"/>
          <w:rFonts w:ascii="仿宋" w:hAnsi="仿宋" w:eastAsia="仿宋"/>
          <w:b w:val="0"/>
          <w:bCs/>
          <w:color w:val="auto"/>
          <w:sz w:val="30"/>
          <w:szCs w:val="30"/>
        </w:rPr>
        <w:t>%</w:t>
      </w:r>
      <w:r>
        <w:rPr>
          <w:rStyle w:val="17"/>
          <w:rFonts w:hint="eastAsia" w:ascii="仿宋" w:hAnsi="仿宋" w:eastAsia="仿宋"/>
          <w:b w:val="0"/>
          <w:bCs/>
          <w:color w:val="auto"/>
          <w:sz w:val="30"/>
          <w:szCs w:val="30"/>
        </w:rPr>
        <w:t>，</w:t>
      </w:r>
      <w:r>
        <w:rPr>
          <w:rStyle w:val="17"/>
          <w:rFonts w:hint="eastAsia" w:ascii="仿宋" w:hAnsi="仿宋" w:eastAsia="仿宋"/>
          <w:b w:val="0"/>
          <w:bCs/>
          <w:color w:val="auto"/>
          <w:sz w:val="30"/>
          <w:szCs w:val="30"/>
          <w:lang w:eastAsia="zh-CN"/>
        </w:rPr>
        <w:t>决算数不等于预算数的主要原因是完成省检察要求的对德阳和阿坝监狱开展巡回检察工作，导致办案经费支出增加。</w:t>
      </w:r>
    </w:p>
    <w:p>
      <w:pPr>
        <w:pStyle w:val="35"/>
        <w:rPr>
          <w:rStyle w:val="17"/>
          <w:rFonts w:hint="eastAsia" w:ascii="仿宋" w:hAnsi="仿宋" w:eastAsia="仿宋"/>
          <w:b w:val="0"/>
          <w:bCs/>
          <w:color w:val="000000"/>
          <w:sz w:val="30"/>
          <w:szCs w:val="30"/>
        </w:rPr>
      </w:pPr>
      <w:r>
        <w:rPr>
          <w:rStyle w:val="17"/>
          <w:rFonts w:ascii="仿宋" w:hAnsi="仿宋" w:eastAsia="仿宋"/>
          <w:bCs/>
          <w:color w:val="auto"/>
          <w:sz w:val="32"/>
          <w:szCs w:val="32"/>
          <w:highlight w:val="none"/>
        </w:rPr>
        <w:t>4.</w:t>
      </w:r>
      <w:r>
        <w:rPr>
          <w:rStyle w:val="17"/>
          <w:rFonts w:hint="eastAsia" w:ascii="仿宋" w:hAnsi="仿宋" w:eastAsia="仿宋"/>
          <w:bCs/>
          <w:color w:val="000000"/>
          <w:sz w:val="30"/>
          <w:szCs w:val="30"/>
          <w:lang w:eastAsia="zh-CN"/>
        </w:rPr>
        <w:t>公共安全支出</w:t>
      </w:r>
      <w:r>
        <w:rPr>
          <w:rStyle w:val="17"/>
          <w:rFonts w:hint="eastAsia" w:ascii="仿宋_GB2312" w:eastAsia="仿宋_GB2312"/>
          <w:sz w:val="30"/>
          <w:szCs w:val="30"/>
        </w:rPr>
        <w:t>（类）检察（款）</w:t>
      </w:r>
      <w:r>
        <w:rPr>
          <w:rStyle w:val="17"/>
          <w:rFonts w:hint="eastAsia" w:ascii="仿宋_GB2312" w:eastAsia="仿宋_GB2312"/>
          <w:sz w:val="30"/>
          <w:szCs w:val="30"/>
          <w:lang w:eastAsia="zh-CN"/>
        </w:rPr>
        <w:t>事业运行</w:t>
      </w:r>
      <w:r>
        <w:rPr>
          <w:rStyle w:val="17"/>
          <w:rFonts w:hint="eastAsia" w:ascii="仿宋_GB2312" w:eastAsia="仿宋_GB2312"/>
          <w:sz w:val="30"/>
          <w:szCs w:val="30"/>
        </w:rPr>
        <w:t>（项）</w:t>
      </w:r>
      <w:r>
        <w:rPr>
          <w:rStyle w:val="17"/>
          <w:rFonts w:hint="eastAsia" w:ascii="仿宋_GB2312" w:eastAsia="仿宋_GB2312"/>
          <w:sz w:val="30"/>
          <w:szCs w:val="30"/>
          <w:lang w:eastAsia="zh-CN"/>
        </w:rPr>
        <w:t>：</w:t>
      </w:r>
      <w:r>
        <w:rPr>
          <w:rStyle w:val="17"/>
          <w:rFonts w:hint="eastAsia" w:ascii="仿宋" w:hAnsi="仿宋" w:eastAsia="仿宋"/>
          <w:b w:val="0"/>
          <w:bCs/>
          <w:color w:val="000000"/>
          <w:sz w:val="30"/>
          <w:szCs w:val="30"/>
        </w:rPr>
        <w:t>支出决算为</w:t>
      </w:r>
      <w:r>
        <w:rPr>
          <w:rStyle w:val="17"/>
          <w:rFonts w:hint="eastAsia" w:ascii="仿宋" w:hAnsi="仿宋" w:eastAsia="仿宋"/>
          <w:b w:val="0"/>
          <w:bCs/>
          <w:color w:val="000000"/>
          <w:sz w:val="30"/>
          <w:szCs w:val="30"/>
          <w:lang w:val="en-US" w:eastAsia="zh-CN"/>
        </w:rPr>
        <w:t>118.75</w:t>
      </w:r>
      <w:r>
        <w:rPr>
          <w:rStyle w:val="17"/>
          <w:rFonts w:hint="eastAsia" w:ascii="仿宋" w:hAnsi="仿宋" w:eastAsia="仿宋"/>
          <w:b w:val="0"/>
          <w:bCs/>
          <w:color w:val="000000"/>
          <w:sz w:val="30"/>
          <w:szCs w:val="30"/>
        </w:rPr>
        <w:t>万元，完成预算</w:t>
      </w:r>
      <w:r>
        <w:rPr>
          <w:rStyle w:val="17"/>
          <w:rFonts w:hint="eastAsia" w:ascii="仿宋" w:hAnsi="仿宋" w:eastAsia="仿宋"/>
          <w:b w:val="0"/>
          <w:bCs/>
          <w:color w:val="000000"/>
          <w:sz w:val="30"/>
          <w:szCs w:val="30"/>
          <w:lang w:val="en-US" w:eastAsia="zh-CN"/>
        </w:rPr>
        <w:t>100</w:t>
      </w:r>
      <w:r>
        <w:rPr>
          <w:rStyle w:val="17"/>
          <w:rFonts w:ascii="仿宋" w:hAnsi="仿宋" w:eastAsia="仿宋"/>
          <w:b w:val="0"/>
          <w:bCs/>
          <w:color w:val="000000"/>
          <w:sz w:val="30"/>
          <w:szCs w:val="30"/>
        </w:rPr>
        <w:t>%</w:t>
      </w:r>
      <w:r>
        <w:rPr>
          <w:rStyle w:val="17"/>
          <w:rFonts w:hint="eastAsia" w:ascii="仿宋" w:hAnsi="仿宋" w:eastAsia="仿宋"/>
          <w:b w:val="0"/>
          <w:bCs/>
          <w:color w:val="000000"/>
          <w:sz w:val="30"/>
          <w:szCs w:val="30"/>
        </w:rPr>
        <w:t>，决算数</w:t>
      </w:r>
      <w:r>
        <w:rPr>
          <w:rStyle w:val="17"/>
          <w:rFonts w:hint="eastAsia" w:ascii="仿宋" w:hAnsi="仿宋" w:eastAsia="仿宋"/>
          <w:b w:val="0"/>
          <w:bCs/>
          <w:color w:val="000000"/>
          <w:sz w:val="30"/>
          <w:szCs w:val="30"/>
          <w:lang w:eastAsia="zh-CN"/>
        </w:rPr>
        <w:t>与</w:t>
      </w:r>
      <w:r>
        <w:rPr>
          <w:rStyle w:val="17"/>
          <w:rFonts w:hint="eastAsia" w:ascii="仿宋" w:hAnsi="仿宋" w:eastAsia="仿宋"/>
          <w:b w:val="0"/>
          <w:bCs/>
          <w:color w:val="000000"/>
          <w:sz w:val="30"/>
          <w:szCs w:val="30"/>
        </w:rPr>
        <w:t>预算数</w:t>
      </w:r>
      <w:r>
        <w:rPr>
          <w:rFonts w:hint="eastAsia" w:ascii="仿宋_GB2312" w:eastAsia="仿宋_GB2312"/>
          <w:sz w:val="30"/>
          <w:szCs w:val="30"/>
          <w:lang w:eastAsia="zh-CN"/>
        </w:rPr>
        <w:t>持平</w:t>
      </w:r>
      <w:r>
        <w:rPr>
          <w:rStyle w:val="17"/>
          <w:rFonts w:hint="eastAsia" w:ascii="仿宋" w:hAnsi="仿宋" w:eastAsia="仿宋"/>
          <w:b w:val="0"/>
          <w:bCs/>
          <w:color w:val="000000"/>
          <w:sz w:val="30"/>
          <w:szCs w:val="30"/>
        </w:rPr>
        <w:t>。</w:t>
      </w:r>
    </w:p>
    <w:p>
      <w:pPr>
        <w:pStyle w:val="35"/>
        <w:rPr>
          <w:rFonts w:ascii="仿宋" w:hAnsi="仿宋" w:eastAsia="仿宋"/>
          <w:b/>
          <w:color w:val="auto"/>
          <w:sz w:val="32"/>
          <w:szCs w:val="32"/>
          <w:highlight w:val="none"/>
        </w:rPr>
      </w:pPr>
      <w:r>
        <w:rPr>
          <w:rStyle w:val="17"/>
          <w:rFonts w:hint="eastAsia" w:ascii="仿宋" w:hAnsi="仿宋" w:eastAsia="仿宋"/>
          <w:b/>
          <w:bCs w:val="0"/>
          <w:color w:val="000000"/>
          <w:sz w:val="30"/>
          <w:szCs w:val="30"/>
          <w:lang w:val="en-US" w:eastAsia="zh-CN"/>
        </w:rPr>
        <w:t>5.</w:t>
      </w:r>
      <w:r>
        <w:rPr>
          <w:rStyle w:val="17"/>
          <w:rFonts w:hint="eastAsia" w:ascii="仿宋" w:hAnsi="仿宋" w:eastAsia="仿宋"/>
          <w:bCs/>
          <w:color w:val="000000"/>
          <w:sz w:val="30"/>
          <w:szCs w:val="30"/>
          <w:lang w:eastAsia="zh-CN"/>
        </w:rPr>
        <w:t>公共安全支出</w:t>
      </w:r>
      <w:r>
        <w:rPr>
          <w:rStyle w:val="17"/>
          <w:rFonts w:hint="eastAsia" w:ascii="仿宋_GB2312" w:eastAsia="仿宋_GB2312"/>
          <w:sz w:val="30"/>
          <w:szCs w:val="30"/>
        </w:rPr>
        <w:t>（类）检察（款）</w:t>
      </w:r>
      <w:r>
        <w:rPr>
          <w:rStyle w:val="17"/>
          <w:rFonts w:hint="eastAsia" w:ascii="仿宋_GB2312" w:eastAsia="仿宋_GB2312"/>
          <w:sz w:val="30"/>
          <w:szCs w:val="30"/>
          <w:lang w:eastAsia="zh-CN"/>
        </w:rPr>
        <w:t>其他检察支出</w:t>
      </w:r>
      <w:r>
        <w:rPr>
          <w:rStyle w:val="17"/>
          <w:rFonts w:hint="eastAsia" w:ascii="仿宋_GB2312" w:eastAsia="仿宋_GB2312"/>
          <w:sz w:val="30"/>
          <w:szCs w:val="30"/>
        </w:rPr>
        <w:t>（项）</w:t>
      </w:r>
      <w:r>
        <w:rPr>
          <w:rStyle w:val="17"/>
          <w:rFonts w:hint="eastAsia" w:ascii="仿宋" w:hAnsi="仿宋" w:eastAsia="仿宋"/>
          <w:b w:val="0"/>
          <w:bCs/>
          <w:color w:val="000000"/>
          <w:sz w:val="30"/>
          <w:szCs w:val="30"/>
        </w:rPr>
        <w:t>支出决算为</w:t>
      </w:r>
      <w:r>
        <w:rPr>
          <w:rStyle w:val="17"/>
          <w:rFonts w:hint="eastAsia" w:ascii="仿宋" w:hAnsi="仿宋" w:eastAsia="仿宋"/>
          <w:b w:val="0"/>
          <w:bCs/>
          <w:color w:val="000000"/>
          <w:sz w:val="30"/>
          <w:szCs w:val="30"/>
          <w:lang w:val="en-US" w:eastAsia="zh-CN"/>
        </w:rPr>
        <w:t>30</w:t>
      </w:r>
      <w:r>
        <w:rPr>
          <w:rStyle w:val="17"/>
          <w:rFonts w:hint="eastAsia" w:ascii="仿宋" w:hAnsi="仿宋" w:eastAsia="仿宋"/>
          <w:b w:val="0"/>
          <w:bCs/>
          <w:color w:val="000000"/>
          <w:sz w:val="30"/>
          <w:szCs w:val="30"/>
        </w:rPr>
        <w:t>万元，完成预算</w:t>
      </w:r>
      <w:r>
        <w:rPr>
          <w:rStyle w:val="17"/>
          <w:rFonts w:hint="eastAsia" w:ascii="仿宋" w:hAnsi="仿宋" w:eastAsia="仿宋"/>
          <w:b w:val="0"/>
          <w:bCs/>
          <w:color w:val="auto"/>
          <w:sz w:val="30"/>
          <w:szCs w:val="30"/>
          <w:lang w:val="en-US" w:eastAsia="zh-CN"/>
        </w:rPr>
        <w:t>100</w:t>
      </w:r>
      <w:r>
        <w:rPr>
          <w:rStyle w:val="17"/>
          <w:rFonts w:ascii="仿宋" w:hAnsi="仿宋" w:eastAsia="仿宋"/>
          <w:b w:val="0"/>
          <w:bCs/>
          <w:color w:val="auto"/>
          <w:sz w:val="30"/>
          <w:szCs w:val="30"/>
        </w:rPr>
        <w:t>%</w:t>
      </w:r>
      <w:r>
        <w:rPr>
          <w:rStyle w:val="17"/>
          <w:rFonts w:hint="eastAsia" w:ascii="仿宋" w:hAnsi="仿宋" w:eastAsia="仿宋"/>
          <w:b w:val="0"/>
          <w:bCs/>
          <w:color w:val="auto"/>
          <w:sz w:val="30"/>
          <w:szCs w:val="30"/>
        </w:rPr>
        <w:t>，</w:t>
      </w:r>
      <w:r>
        <w:rPr>
          <w:rStyle w:val="17"/>
          <w:rFonts w:hint="eastAsia" w:ascii="仿宋" w:hAnsi="仿宋" w:eastAsia="仿宋"/>
          <w:b w:val="0"/>
          <w:bCs/>
          <w:color w:val="000000"/>
          <w:sz w:val="30"/>
          <w:szCs w:val="30"/>
        </w:rPr>
        <w:t>决算数</w:t>
      </w:r>
      <w:r>
        <w:rPr>
          <w:rStyle w:val="17"/>
          <w:rFonts w:hint="eastAsia" w:ascii="仿宋" w:hAnsi="仿宋" w:eastAsia="仿宋"/>
          <w:b w:val="0"/>
          <w:bCs/>
          <w:color w:val="000000"/>
          <w:sz w:val="30"/>
          <w:szCs w:val="30"/>
          <w:lang w:eastAsia="zh-CN"/>
        </w:rPr>
        <w:t>与</w:t>
      </w:r>
      <w:r>
        <w:rPr>
          <w:rStyle w:val="17"/>
          <w:rFonts w:hint="eastAsia" w:ascii="仿宋" w:hAnsi="仿宋" w:eastAsia="仿宋"/>
          <w:b w:val="0"/>
          <w:bCs/>
          <w:color w:val="000000"/>
          <w:sz w:val="30"/>
          <w:szCs w:val="30"/>
        </w:rPr>
        <w:t>预算数</w:t>
      </w:r>
      <w:r>
        <w:rPr>
          <w:rFonts w:hint="eastAsia" w:ascii="仿宋_GB2312" w:eastAsia="仿宋_GB2312"/>
          <w:sz w:val="30"/>
          <w:szCs w:val="30"/>
          <w:lang w:eastAsia="zh-CN"/>
        </w:rPr>
        <w:t>持平</w:t>
      </w:r>
      <w:r>
        <w:rPr>
          <w:rStyle w:val="17"/>
          <w:rFonts w:hint="eastAsia" w:ascii="仿宋" w:hAnsi="仿宋" w:eastAsia="仿宋"/>
          <w:b w:val="0"/>
          <w:bCs/>
          <w:color w:val="000000"/>
          <w:sz w:val="30"/>
          <w:szCs w:val="30"/>
        </w:rPr>
        <w:t>。</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000000"/>
          <w:sz w:val="30"/>
          <w:szCs w:val="30"/>
          <w:lang w:val="en-US" w:eastAsia="zh-CN"/>
        </w:rPr>
        <w:t>.</w:t>
      </w:r>
      <w:r>
        <w:rPr>
          <w:rStyle w:val="17"/>
          <w:rFonts w:hint="eastAsia" w:ascii="仿宋_GB2312" w:eastAsia="仿宋_GB2312"/>
          <w:sz w:val="30"/>
          <w:szCs w:val="30"/>
        </w:rPr>
        <w:t>社会保障和就业支出（类）行政事业单位离退休（款）机关事业单位基本养老保险缴费支出（项）</w:t>
      </w:r>
      <w:r>
        <w:rPr>
          <w:rStyle w:val="17"/>
          <w:rFonts w:ascii="仿宋" w:hAnsi="仿宋" w:eastAsia="仿宋"/>
          <w:bCs/>
          <w:color w:val="000000"/>
          <w:sz w:val="30"/>
          <w:szCs w:val="30"/>
        </w:rPr>
        <w:t>:</w:t>
      </w:r>
      <w:r>
        <w:rPr>
          <w:rStyle w:val="17"/>
          <w:rFonts w:hint="eastAsia" w:ascii="仿宋" w:hAnsi="仿宋" w:eastAsia="仿宋"/>
          <w:b w:val="0"/>
          <w:bCs/>
          <w:color w:val="000000"/>
          <w:sz w:val="30"/>
          <w:szCs w:val="30"/>
        </w:rPr>
        <w:t>支出决算为</w:t>
      </w:r>
      <w:r>
        <w:rPr>
          <w:rFonts w:hint="eastAsia" w:ascii="仿宋" w:hAnsi="仿宋" w:eastAsia="仿宋"/>
          <w:color w:val="auto"/>
          <w:sz w:val="32"/>
          <w:szCs w:val="32"/>
          <w:lang w:val="en-US" w:eastAsia="zh-CN"/>
        </w:rPr>
        <w:t>22.07</w:t>
      </w:r>
      <w:r>
        <w:rPr>
          <w:rStyle w:val="17"/>
          <w:rFonts w:hint="eastAsia" w:ascii="仿宋" w:hAnsi="仿宋" w:eastAsia="仿宋"/>
          <w:b w:val="0"/>
          <w:bCs/>
          <w:color w:val="auto"/>
          <w:sz w:val="30"/>
          <w:szCs w:val="30"/>
        </w:rPr>
        <w:t>万元，完成预算</w:t>
      </w:r>
      <w:r>
        <w:rPr>
          <w:rStyle w:val="17"/>
          <w:rFonts w:hint="eastAsia" w:ascii="仿宋" w:hAnsi="仿宋" w:eastAsia="仿宋"/>
          <w:b w:val="0"/>
          <w:bCs/>
          <w:color w:val="auto"/>
          <w:sz w:val="30"/>
          <w:szCs w:val="30"/>
          <w:lang w:val="en-US" w:eastAsia="zh-CN"/>
        </w:rPr>
        <w:t>100</w:t>
      </w:r>
      <w:r>
        <w:rPr>
          <w:rStyle w:val="17"/>
          <w:rFonts w:ascii="仿宋" w:hAnsi="仿宋" w:eastAsia="仿宋"/>
          <w:b w:val="0"/>
          <w:bCs/>
          <w:color w:val="auto"/>
          <w:sz w:val="30"/>
          <w:szCs w:val="30"/>
        </w:rPr>
        <w:t>%</w:t>
      </w:r>
      <w:r>
        <w:rPr>
          <w:rStyle w:val="17"/>
          <w:rFonts w:hint="eastAsia" w:ascii="仿宋" w:hAnsi="仿宋" w:eastAsia="仿宋"/>
          <w:b w:val="0"/>
          <w:bCs/>
          <w:color w:val="auto"/>
          <w:sz w:val="30"/>
          <w:szCs w:val="30"/>
        </w:rPr>
        <w:t>，决算数</w:t>
      </w:r>
      <w:r>
        <w:rPr>
          <w:rStyle w:val="17"/>
          <w:rFonts w:hint="eastAsia" w:ascii="仿宋" w:hAnsi="仿宋" w:eastAsia="仿宋"/>
          <w:b w:val="0"/>
          <w:bCs/>
          <w:color w:val="auto"/>
          <w:sz w:val="30"/>
          <w:szCs w:val="30"/>
          <w:lang w:eastAsia="zh-CN"/>
        </w:rPr>
        <w:t>与</w:t>
      </w:r>
      <w:r>
        <w:rPr>
          <w:rStyle w:val="17"/>
          <w:rFonts w:hint="eastAsia" w:ascii="仿宋" w:hAnsi="仿宋" w:eastAsia="仿宋"/>
          <w:b w:val="0"/>
          <w:bCs/>
          <w:color w:val="auto"/>
          <w:sz w:val="30"/>
          <w:szCs w:val="30"/>
        </w:rPr>
        <w:t>预算数</w:t>
      </w:r>
      <w:r>
        <w:rPr>
          <w:rFonts w:hint="eastAsia" w:ascii="仿宋_GB2312" w:eastAsia="仿宋_GB2312"/>
          <w:color w:val="auto"/>
          <w:sz w:val="30"/>
          <w:szCs w:val="30"/>
          <w:lang w:eastAsia="zh-CN"/>
        </w:rPr>
        <w:t>持平</w:t>
      </w:r>
      <w:r>
        <w:rPr>
          <w:rStyle w:val="17"/>
          <w:rFonts w:hint="eastAsia" w:ascii="仿宋" w:hAnsi="仿宋" w:eastAsia="仿宋"/>
          <w:b w:val="0"/>
          <w:bCs/>
          <w:color w:val="auto"/>
          <w:sz w:val="30"/>
          <w:szCs w:val="30"/>
        </w:rPr>
        <w:t>。</w:t>
      </w:r>
    </w:p>
    <w:p>
      <w:pPr>
        <w:spacing w:line="580" w:lineRule="exact"/>
        <w:ind w:firstLine="643" w:firstLineChars="200"/>
        <w:rPr>
          <w:rStyle w:val="17"/>
          <w:rFonts w:hint="eastAsia" w:ascii="仿宋_GB2312" w:eastAsia="仿宋_GB2312"/>
          <w:sz w:val="30"/>
          <w:szCs w:val="30"/>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_GB2312" w:eastAsia="仿宋_GB2312"/>
          <w:sz w:val="30"/>
          <w:szCs w:val="30"/>
        </w:rPr>
        <w:t>行政事业单位医疗（款）行政单位医疗（项）:</w:t>
      </w:r>
      <w:r>
        <w:rPr>
          <w:rStyle w:val="17"/>
          <w:rFonts w:hint="eastAsia" w:ascii="仿宋" w:hAnsi="仿宋" w:eastAsia="仿宋"/>
          <w:b w:val="0"/>
          <w:bCs/>
          <w:color w:val="000000"/>
          <w:sz w:val="30"/>
          <w:szCs w:val="30"/>
        </w:rPr>
        <w:t>支出决算为</w:t>
      </w:r>
      <w:r>
        <w:rPr>
          <w:rStyle w:val="17"/>
          <w:rFonts w:hint="eastAsia" w:ascii="仿宋" w:hAnsi="仿宋" w:eastAsia="仿宋"/>
          <w:b w:val="0"/>
          <w:bCs/>
          <w:color w:val="000000"/>
          <w:sz w:val="30"/>
          <w:szCs w:val="30"/>
          <w:lang w:val="en-US" w:eastAsia="zh-CN"/>
        </w:rPr>
        <w:t>13.86</w:t>
      </w:r>
      <w:r>
        <w:rPr>
          <w:rStyle w:val="17"/>
          <w:rFonts w:hint="eastAsia" w:ascii="仿宋" w:hAnsi="仿宋" w:eastAsia="仿宋"/>
          <w:b w:val="0"/>
          <w:bCs/>
          <w:color w:val="000000"/>
          <w:sz w:val="30"/>
          <w:szCs w:val="30"/>
        </w:rPr>
        <w:t>万元，完成预算</w:t>
      </w:r>
      <w:r>
        <w:rPr>
          <w:rStyle w:val="17"/>
          <w:rFonts w:hint="eastAsia" w:ascii="仿宋" w:hAnsi="仿宋" w:eastAsia="仿宋"/>
          <w:b w:val="0"/>
          <w:bCs/>
          <w:color w:val="000000"/>
          <w:sz w:val="30"/>
          <w:szCs w:val="30"/>
          <w:lang w:val="en-US" w:eastAsia="zh-CN"/>
        </w:rPr>
        <w:t>100</w:t>
      </w:r>
      <w:r>
        <w:rPr>
          <w:rStyle w:val="17"/>
          <w:rFonts w:ascii="仿宋" w:hAnsi="仿宋" w:eastAsia="仿宋"/>
          <w:b w:val="0"/>
          <w:bCs/>
          <w:color w:val="000000"/>
          <w:sz w:val="30"/>
          <w:szCs w:val="30"/>
        </w:rPr>
        <w:t>%</w:t>
      </w:r>
      <w:r>
        <w:rPr>
          <w:rStyle w:val="17"/>
          <w:rFonts w:hint="eastAsia" w:ascii="仿宋" w:hAnsi="仿宋" w:eastAsia="仿宋"/>
          <w:b w:val="0"/>
          <w:bCs/>
          <w:color w:val="000000"/>
          <w:sz w:val="30"/>
          <w:szCs w:val="30"/>
        </w:rPr>
        <w:t>，决算数</w:t>
      </w:r>
      <w:r>
        <w:rPr>
          <w:rStyle w:val="17"/>
          <w:rFonts w:hint="eastAsia" w:ascii="仿宋" w:hAnsi="仿宋" w:eastAsia="仿宋"/>
          <w:b w:val="0"/>
          <w:bCs/>
          <w:color w:val="000000"/>
          <w:sz w:val="30"/>
          <w:szCs w:val="30"/>
          <w:lang w:eastAsia="zh-CN"/>
        </w:rPr>
        <w:t>与</w:t>
      </w:r>
      <w:r>
        <w:rPr>
          <w:rStyle w:val="17"/>
          <w:rFonts w:hint="eastAsia" w:ascii="仿宋" w:hAnsi="仿宋" w:eastAsia="仿宋"/>
          <w:b w:val="0"/>
          <w:bCs/>
          <w:color w:val="000000"/>
          <w:sz w:val="30"/>
          <w:szCs w:val="30"/>
        </w:rPr>
        <w:t>预算数</w:t>
      </w:r>
      <w:r>
        <w:rPr>
          <w:rFonts w:hint="eastAsia" w:ascii="仿宋_GB2312" w:eastAsia="仿宋_GB2312"/>
          <w:sz w:val="30"/>
          <w:szCs w:val="30"/>
          <w:lang w:eastAsia="zh-CN"/>
        </w:rPr>
        <w:t>持平</w:t>
      </w:r>
      <w:r>
        <w:rPr>
          <w:rFonts w:hint="eastAsia" w:ascii="仿宋_GB2312" w:eastAsia="仿宋_GB2312"/>
          <w:sz w:val="30"/>
          <w:szCs w:val="30"/>
        </w:rPr>
        <w:t>。</w:t>
      </w:r>
    </w:p>
    <w:p>
      <w:pPr>
        <w:spacing w:line="580" w:lineRule="exact"/>
        <w:ind w:firstLine="643" w:firstLineChars="200"/>
        <w:rPr>
          <w:rStyle w:val="17"/>
          <w:rFonts w:hint="eastAsia" w:ascii="仿宋_GB2312" w:eastAsia="仿宋_GB2312"/>
          <w:sz w:val="30"/>
          <w:szCs w:val="30"/>
        </w:rPr>
      </w:pPr>
      <w:r>
        <w:rPr>
          <w:rFonts w:hint="eastAsia" w:ascii="仿宋" w:hAnsi="仿宋" w:eastAsia="仿宋"/>
          <w:b/>
          <w:color w:val="auto"/>
          <w:sz w:val="32"/>
          <w:szCs w:val="32"/>
          <w:highlight w:val="none"/>
          <w:lang w:val="en-US" w:eastAsia="zh-CN"/>
        </w:rPr>
        <w:t>8.</w:t>
      </w:r>
      <w:r>
        <w:rPr>
          <w:rFonts w:hint="eastAsia" w:ascii="仿宋" w:hAnsi="仿宋" w:eastAsia="仿宋"/>
          <w:b/>
          <w:bCs/>
          <w:color w:val="auto"/>
          <w:sz w:val="32"/>
          <w:szCs w:val="32"/>
          <w:highlight w:val="none"/>
          <w:lang w:eastAsia="zh-CN"/>
        </w:rPr>
        <w:t>住房保障支出</w:t>
      </w:r>
      <w:r>
        <w:rPr>
          <w:rStyle w:val="17"/>
          <w:rFonts w:hint="eastAsia" w:ascii="仿宋" w:hAnsi="仿宋" w:eastAsia="仿宋"/>
          <w:bCs/>
          <w:color w:val="auto"/>
          <w:sz w:val="32"/>
          <w:szCs w:val="32"/>
          <w:highlight w:val="none"/>
        </w:rPr>
        <w:t>（类）</w:t>
      </w:r>
      <w:r>
        <w:rPr>
          <w:rStyle w:val="17"/>
          <w:rFonts w:hint="eastAsia" w:ascii="仿宋_GB2312" w:eastAsia="仿宋_GB2312"/>
          <w:sz w:val="30"/>
          <w:szCs w:val="30"/>
          <w:lang w:eastAsia="zh-CN"/>
        </w:rPr>
        <w:t>住房改革支出</w:t>
      </w:r>
      <w:r>
        <w:rPr>
          <w:rStyle w:val="17"/>
          <w:rFonts w:hint="eastAsia" w:ascii="仿宋_GB2312" w:eastAsia="仿宋_GB2312"/>
          <w:sz w:val="30"/>
          <w:szCs w:val="30"/>
        </w:rPr>
        <w:t>（款）</w:t>
      </w:r>
      <w:r>
        <w:rPr>
          <w:rStyle w:val="17"/>
          <w:rFonts w:hint="eastAsia" w:ascii="仿宋_GB2312" w:eastAsia="仿宋_GB2312"/>
          <w:sz w:val="30"/>
          <w:szCs w:val="30"/>
          <w:lang w:eastAsia="zh-CN"/>
        </w:rPr>
        <w:t>住房公积金</w:t>
      </w:r>
      <w:r>
        <w:rPr>
          <w:rStyle w:val="17"/>
          <w:rFonts w:hint="eastAsia" w:ascii="仿宋_GB2312" w:eastAsia="仿宋_GB2312"/>
          <w:sz w:val="30"/>
          <w:szCs w:val="30"/>
        </w:rPr>
        <w:t>（项）:</w:t>
      </w:r>
      <w:r>
        <w:rPr>
          <w:rStyle w:val="17"/>
          <w:rFonts w:hint="eastAsia" w:ascii="仿宋" w:hAnsi="仿宋" w:eastAsia="仿宋"/>
          <w:b w:val="0"/>
          <w:bCs/>
          <w:color w:val="000000"/>
          <w:sz w:val="30"/>
          <w:szCs w:val="30"/>
        </w:rPr>
        <w:t>支出决算为</w:t>
      </w:r>
      <w:r>
        <w:rPr>
          <w:rStyle w:val="17"/>
          <w:rFonts w:hint="eastAsia" w:ascii="仿宋" w:hAnsi="仿宋" w:eastAsia="仿宋"/>
          <w:b w:val="0"/>
          <w:bCs/>
          <w:color w:val="000000"/>
          <w:sz w:val="30"/>
          <w:szCs w:val="30"/>
          <w:lang w:val="en-US" w:eastAsia="zh-CN"/>
        </w:rPr>
        <w:t>29.89</w:t>
      </w:r>
      <w:r>
        <w:rPr>
          <w:rStyle w:val="17"/>
          <w:rFonts w:hint="eastAsia" w:ascii="仿宋" w:hAnsi="仿宋" w:eastAsia="仿宋"/>
          <w:b w:val="0"/>
          <w:bCs/>
          <w:color w:val="000000"/>
          <w:sz w:val="30"/>
          <w:szCs w:val="30"/>
        </w:rPr>
        <w:t>万元，完成预算</w:t>
      </w:r>
      <w:r>
        <w:rPr>
          <w:rStyle w:val="17"/>
          <w:rFonts w:hint="eastAsia" w:ascii="仿宋" w:hAnsi="仿宋" w:eastAsia="仿宋"/>
          <w:b w:val="0"/>
          <w:bCs/>
          <w:color w:val="000000"/>
          <w:sz w:val="30"/>
          <w:szCs w:val="30"/>
          <w:lang w:val="en-US" w:eastAsia="zh-CN"/>
        </w:rPr>
        <w:t>100</w:t>
      </w:r>
      <w:r>
        <w:rPr>
          <w:rStyle w:val="17"/>
          <w:rFonts w:ascii="仿宋" w:hAnsi="仿宋" w:eastAsia="仿宋"/>
          <w:b w:val="0"/>
          <w:bCs/>
          <w:color w:val="000000"/>
          <w:sz w:val="30"/>
          <w:szCs w:val="30"/>
        </w:rPr>
        <w:t>%</w:t>
      </w:r>
      <w:r>
        <w:rPr>
          <w:rStyle w:val="17"/>
          <w:rFonts w:hint="eastAsia" w:ascii="仿宋" w:hAnsi="仿宋" w:eastAsia="仿宋"/>
          <w:b w:val="0"/>
          <w:bCs/>
          <w:color w:val="000000"/>
          <w:sz w:val="30"/>
          <w:szCs w:val="30"/>
        </w:rPr>
        <w:t>，决算数</w:t>
      </w:r>
      <w:r>
        <w:rPr>
          <w:rStyle w:val="17"/>
          <w:rFonts w:hint="eastAsia" w:ascii="仿宋" w:hAnsi="仿宋" w:eastAsia="仿宋"/>
          <w:b w:val="0"/>
          <w:bCs/>
          <w:color w:val="000000"/>
          <w:sz w:val="30"/>
          <w:szCs w:val="30"/>
          <w:lang w:eastAsia="zh-CN"/>
        </w:rPr>
        <w:t>与</w:t>
      </w:r>
      <w:r>
        <w:rPr>
          <w:rStyle w:val="17"/>
          <w:rFonts w:hint="eastAsia" w:ascii="仿宋" w:hAnsi="仿宋" w:eastAsia="仿宋"/>
          <w:b w:val="0"/>
          <w:bCs/>
          <w:color w:val="000000"/>
          <w:sz w:val="30"/>
          <w:szCs w:val="30"/>
        </w:rPr>
        <w:t>预算数</w:t>
      </w:r>
      <w:r>
        <w:rPr>
          <w:rFonts w:hint="eastAsia" w:ascii="仿宋_GB2312" w:eastAsia="仿宋_GB2312"/>
          <w:sz w:val="30"/>
          <w:szCs w:val="30"/>
          <w:lang w:eastAsia="zh-CN"/>
        </w:rPr>
        <w:t>持平</w:t>
      </w:r>
      <w:r>
        <w:rPr>
          <w:rFonts w:hint="eastAsia" w:ascii="仿宋_GB2312" w:eastAsia="仿宋_GB2312"/>
          <w:sz w:val="30"/>
          <w:szCs w:val="30"/>
        </w:rPr>
        <w:t>。</w:t>
      </w:r>
    </w:p>
    <w:p>
      <w:pPr>
        <w:tabs>
          <w:tab w:val="right" w:pos="8306"/>
        </w:tabs>
        <w:spacing w:line="600" w:lineRule="exact"/>
        <w:ind w:firstLine="640"/>
        <w:outlineLvl w:val="1"/>
        <w:rPr>
          <w:rStyle w:val="29"/>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4"/>
      <w:bookmarkEnd w:id="35"/>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415.28</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381.05</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退休费、生活补助、奖励金、住房公积金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34.24</w:t>
      </w:r>
      <w:r>
        <w:rPr>
          <w:rFonts w:hint="eastAsia" w:ascii="仿宋" w:hAnsi="仿宋" w:eastAsia="仿宋"/>
          <w:color w:val="auto"/>
          <w:sz w:val="32"/>
          <w:szCs w:val="32"/>
          <w:highlight w:val="none"/>
        </w:rPr>
        <w:t>万元，主要包括：办公费、邮电费、物业管理费、差旅费、维修（护）费、培训费、公务接待费、劳务费、委托业务费、工会经费、公务用车运行维护费、其他交通费、其他商品和服务支出等。</w:t>
      </w:r>
    </w:p>
    <w:p>
      <w:pPr>
        <w:spacing w:line="600" w:lineRule="exact"/>
        <w:ind w:firstLine="640"/>
        <w:outlineLvl w:val="1"/>
        <w:rPr>
          <w:rStyle w:val="29"/>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10.29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7.02万元，增长/下降214.58%。</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大</w:t>
      </w:r>
      <w:r>
        <w:rPr>
          <w:rFonts w:hint="eastAsia" w:ascii="仿宋" w:hAnsi="仿宋" w:eastAsia="仿宋"/>
          <w:color w:val="auto"/>
          <w:sz w:val="32"/>
          <w:szCs w:val="32"/>
          <w:highlight w:val="none"/>
        </w:rPr>
        <w:t>于预算数的主要原因是</w:t>
      </w:r>
      <w:r>
        <w:rPr>
          <w:rFonts w:hint="eastAsia" w:ascii="仿宋" w:hAnsi="仿宋" w:eastAsia="仿宋"/>
          <w:color w:val="auto"/>
          <w:sz w:val="32"/>
          <w:szCs w:val="32"/>
          <w:highlight w:val="none"/>
          <w:lang w:val="en-US" w:eastAsia="zh-CN"/>
        </w:rPr>
        <w:t>2022年开展对德阳、阿坝两所监狱的巡回检察工作，导致公务用车运行维护费支出增加</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9.36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91.05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35"/>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283710" cy="2133600"/>
            <wp:effectExtent l="4445" t="4445" r="1714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9.36</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6.28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203.9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2022年开展对德阳、阿坝两所监狱的巡回检察工作，导致公务用车运行维护费支出增加</w:t>
      </w:r>
      <w:r>
        <w:rPr>
          <w:rFonts w:hint="eastAsia" w:ascii="仿宋" w:hAnsi="仿宋" w:eastAsia="仿宋"/>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9.36</w:t>
      </w:r>
      <w:r>
        <w:rPr>
          <w:rFonts w:hint="eastAsia" w:ascii="仿宋_GB2312" w:eastAsia="仿宋_GB2312"/>
          <w:color w:val="auto"/>
          <w:sz w:val="32"/>
          <w:szCs w:val="32"/>
          <w:highlight w:val="none"/>
        </w:rPr>
        <w:t>万元。主要用于</w:t>
      </w:r>
      <w:r>
        <w:rPr>
          <w:rFonts w:hint="eastAsia" w:ascii="仿宋" w:hAnsi="仿宋" w:eastAsia="仿宋"/>
          <w:color w:val="auto"/>
          <w:sz w:val="32"/>
          <w:szCs w:val="32"/>
          <w:highlight w:val="none"/>
          <w:lang w:val="en-US" w:eastAsia="zh-CN"/>
        </w:rPr>
        <w:t>2022年开展对德阳、阿坝两所监狱的巡回检察工作</w:t>
      </w:r>
      <w:r>
        <w:rPr>
          <w:rFonts w:hint="eastAsia" w:ascii="仿宋_GB2312" w:eastAsia="仿宋_GB2312"/>
          <w:color w:val="auto"/>
          <w:sz w:val="32"/>
          <w:szCs w:val="32"/>
          <w:highlight w:val="none"/>
        </w:rPr>
        <w:t>等所需的公务用车燃料费、维修费、过路过桥费、</w:t>
      </w:r>
      <w:r>
        <w:rPr>
          <w:rFonts w:hint="eastAsia" w:ascii="仿宋_GB2312" w:eastAsia="仿宋_GB2312"/>
          <w:color w:val="auto"/>
          <w:sz w:val="32"/>
          <w:szCs w:val="32"/>
          <w:highlight w:val="none"/>
          <w:lang w:eastAsia="zh-CN"/>
        </w:rPr>
        <w:t>停车</w:t>
      </w:r>
      <w:r>
        <w:rPr>
          <w:rFonts w:hint="eastAsia" w:ascii="仿宋_GB2312" w:eastAsia="仿宋_GB2312"/>
          <w:color w:val="auto"/>
          <w:sz w:val="32"/>
          <w:szCs w:val="32"/>
          <w:highlight w:val="none"/>
        </w:rPr>
        <w:t>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0.92</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0.73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381.21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2022年接受其他地区检察对广元监狱开展的巡回检察工作</w:t>
      </w:r>
      <w:r>
        <w:rPr>
          <w:rFonts w:hint="eastAsia" w:ascii="仿宋_GB2312" w:eastAsia="仿宋_GB2312"/>
          <w:color w:val="auto"/>
          <w:sz w:val="32"/>
          <w:szCs w:val="32"/>
          <w:highlight w:val="none"/>
        </w:rPr>
        <w:t>。</w:t>
      </w:r>
    </w:p>
    <w:p>
      <w:pP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0.92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接受其他地区检察对广元监狱开展的巡回检察工作</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0.92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具体内容包括：接待省检察院来院调研工作，金额0.16万元；</w:t>
      </w:r>
    </w:p>
    <w:p>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未发生外事接待支出。</w:t>
      </w:r>
    </w:p>
    <w:p>
      <w:pPr>
        <w:spacing w:line="600" w:lineRule="exact"/>
        <w:ind w:firstLine="640"/>
        <w:outlineLvl w:val="1"/>
        <w:rPr>
          <w:rStyle w:val="29"/>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9"/>
          <w:rFonts w:ascii="黑体" w:hAnsi="黑体" w:eastAsia="黑体"/>
          <w:b w:val="0"/>
          <w:color w:val="auto"/>
          <w:highlight w:val="none"/>
        </w:rPr>
      </w:pPr>
      <w:bookmarkStart w:id="42" w:name="_Toc15396611"/>
      <w:bookmarkStart w:id="43" w:name="_Toc15377219"/>
      <w:r>
        <w:rPr>
          <w:rStyle w:val="29"/>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9"/>
          <w:rFonts w:hint="eastAsia" w:ascii="黑体" w:hAnsi="黑体" w:eastAsia="黑体"/>
          <w:b w:val="0"/>
          <w:color w:val="auto"/>
          <w:highlight w:val="none"/>
        </w:rPr>
      </w:pPr>
      <w:bookmarkStart w:id="44" w:name="_Toc15377221"/>
      <w:bookmarkStart w:id="45" w:name="_Toc15396612"/>
      <w:r>
        <w:rPr>
          <w:rStyle w:val="29"/>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广元市荣山地区人民检察院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34.24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21.02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38.04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。主要原因是主要原因是</w:t>
      </w:r>
      <w:r>
        <w:rPr>
          <w:rFonts w:hint="eastAsia" w:ascii="仿宋_GB2312" w:eastAsia="仿宋_GB2312"/>
          <w:color w:val="auto"/>
          <w:sz w:val="32"/>
          <w:szCs w:val="32"/>
          <w:highlight w:val="none"/>
          <w:lang w:eastAsia="zh-CN"/>
        </w:rPr>
        <w:t>将办案中发生差旅费在项目经费中列支。</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广元市荣山地区人民检察院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广元市荣山地区人民检察院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000000"/>
          <w:sz w:val="32"/>
          <w:szCs w:val="32"/>
          <w:lang w:eastAsia="zh-CN"/>
        </w:rPr>
        <w:t>全部为执法执勤</w:t>
      </w:r>
      <w:r>
        <w:rPr>
          <w:rFonts w:hint="eastAsia" w:ascii="仿宋_GB2312" w:eastAsia="仿宋_GB2312"/>
          <w:color w:val="000000"/>
          <w:sz w:val="32"/>
          <w:szCs w:val="32"/>
          <w:lang w:val="en-US" w:eastAsia="zh-CN"/>
        </w:rPr>
        <w:t>车</w:t>
      </w:r>
      <w:r>
        <w:rPr>
          <w:rFonts w:hint="eastAsia" w:ascii="仿宋_GB2312" w:eastAsia="仿宋_GB2312"/>
          <w:color w:val="000000"/>
          <w:sz w:val="32"/>
          <w:szCs w:val="32"/>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eastAsia="仿宋_GB2312"/>
          <w:color w:val="auto"/>
          <w:sz w:val="32"/>
          <w:szCs w:val="32"/>
          <w:highlight w:val="none"/>
          <w:lang w:eastAsia="zh-CN"/>
        </w:rPr>
        <w:t>对广元监狱开展刑罚执行监督检察工作。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年度预算编制阶段，组织对检察一体化网络建设项目等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个项目开展绩效监控。形成</w:t>
      </w:r>
      <w:r>
        <w:rPr>
          <w:rFonts w:hint="eastAsia" w:ascii="仿宋_GB2312" w:hAnsi="仿宋_GB2312" w:eastAsia="仿宋_GB2312" w:cs="仿宋_GB2312"/>
          <w:color w:val="auto"/>
          <w:sz w:val="32"/>
          <w:szCs w:val="32"/>
          <w:highlight w:val="none"/>
          <w:lang w:eastAsia="zh-CN"/>
        </w:rPr>
        <w:t>广元市荣山地区人民检察院</w:t>
      </w:r>
      <w:r>
        <w:rPr>
          <w:rFonts w:hint="eastAsia" w:ascii="仿宋_GB2312" w:hAnsi="仿宋_GB2312" w:eastAsia="仿宋_GB2312" w:cs="仿宋_GB2312"/>
          <w:color w:val="auto"/>
          <w:sz w:val="32"/>
          <w:szCs w:val="32"/>
          <w:highlight w:val="none"/>
        </w:rPr>
        <w:t>部门整体绩效自评报告，其中，</w:t>
      </w:r>
      <w:r>
        <w:rPr>
          <w:rFonts w:hint="eastAsia" w:ascii="仿宋_GB2312" w:hAnsi="仿宋_GB2312" w:eastAsia="仿宋_GB2312" w:cs="仿宋_GB2312"/>
          <w:color w:val="auto"/>
          <w:sz w:val="32"/>
          <w:szCs w:val="32"/>
          <w:highlight w:val="none"/>
          <w:lang w:eastAsia="zh-CN"/>
        </w:rPr>
        <w:t>广元市荣山地区人民检察院</w:t>
      </w:r>
      <w:r>
        <w:rPr>
          <w:rFonts w:hint="eastAsia" w:ascii="仿宋_GB2312" w:hAnsi="仿宋_GB2312" w:eastAsia="仿宋_GB2312" w:cs="仿宋_GB2312"/>
          <w:color w:val="auto"/>
          <w:sz w:val="32"/>
          <w:szCs w:val="32"/>
          <w:highlight w:val="none"/>
        </w:rPr>
        <w:t>部门整体绩效自评得分为</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分，</w:t>
      </w:r>
      <w:r>
        <w:rPr>
          <w:rFonts w:hint="eastAsia" w:ascii="仿宋" w:hAnsi="仿宋" w:eastAsia="仿宋"/>
          <w:sz w:val="32"/>
          <w:szCs w:val="32"/>
          <w:lang w:val="zh-CN"/>
        </w:rPr>
        <w:t>该项目达到项目预期,确保我院顺利实施国产化电脑分批次替换。截止评价时，高质量地完成了年初设定目标，并严格控制支出，未超预算。</w:t>
      </w:r>
      <w:r>
        <w:rPr>
          <w:rFonts w:hint="eastAsia" w:ascii="仿宋_GB2312" w:hAnsi="仿宋_GB2312" w:eastAsia="仿宋_GB2312" w:cs="仿宋_GB2312"/>
          <w:color w:val="auto"/>
          <w:sz w:val="32"/>
          <w:szCs w:val="32"/>
          <w:highlight w:val="none"/>
        </w:rPr>
        <w:t>绩效自评报告详见附件。</w:t>
      </w:r>
    </w:p>
    <w:p>
      <w:pPr>
        <w:widowControl/>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28"/>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上级检察院转入的工作经费</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公共安全（类）</w:t>
      </w:r>
      <w:r>
        <w:rPr>
          <w:rFonts w:hint="eastAsia" w:ascii="仿宋_GB2312" w:eastAsia="仿宋_GB2312"/>
          <w:color w:val="000000"/>
          <w:sz w:val="32"/>
          <w:szCs w:val="32"/>
          <w:lang w:eastAsia="zh-CN"/>
        </w:rPr>
        <w:t>检察（</w:t>
      </w:r>
      <w:r>
        <w:rPr>
          <w:rFonts w:hint="eastAsia" w:ascii="仿宋_GB2312" w:eastAsia="仿宋_GB2312"/>
          <w:color w:val="auto"/>
          <w:sz w:val="32"/>
          <w:szCs w:val="32"/>
          <w:highlight w:val="none"/>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行政运行</w:t>
      </w:r>
      <w:r>
        <w:rPr>
          <w:rFonts w:hint="eastAsia" w:ascii="仿宋_GB2312" w:eastAsia="仿宋_GB2312"/>
          <w:color w:val="auto"/>
          <w:sz w:val="32"/>
          <w:szCs w:val="32"/>
          <w:highlight w:val="none"/>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行政单位的基本支出</w:t>
      </w:r>
      <w:r>
        <w:rPr>
          <w:rFonts w:hint="eastAsia" w:ascii="仿宋_GB2312" w:eastAsia="仿宋_GB2312"/>
          <w:color w:val="000000"/>
          <w:sz w:val="32"/>
          <w:szCs w:val="32"/>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公共安全（类）</w:t>
      </w:r>
      <w:r>
        <w:rPr>
          <w:rFonts w:hint="eastAsia" w:ascii="仿宋_GB2312" w:eastAsia="仿宋_GB2312"/>
          <w:color w:val="000000"/>
          <w:sz w:val="32"/>
          <w:szCs w:val="32"/>
          <w:lang w:eastAsia="zh-CN"/>
        </w:rPr>
        <w:t>检察（</w:t>
      </w:r>
      <w:r>
        <w:rPr>
          <w:rFonts w:hint="eastAsia" w:ascii="仿宋_GB2312" w:eastAsia="仿宋_GB2312"/>
          <w:color w:val="auto"/>
          <w:sz w:val="32"/>
          <w:szCs w:val="32"/>
          <w:highlight w:val="none"/>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auto"/>
          <w:sz w:val="32"/>
          <w:szCs w:val="32"/>
          <w:highlight w:val="none"/>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行政单位未单独设置项级科目的其他项目支出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公共安全（类）</w:t>
      </w:r>
      <w:r>
        <w:rPr>
          <w:rFonts w:hint="eastAsia" w:ascii="仿宋_GB2312" w:eastAsia="仿宋_GB2312"/>
          <w:color w:val="000000"/>
          <w:sz w:val="32"/>
          <w:szCs w:val="32"/>
          <w:lang w:eastAsia="zh-CN"/>
        </w:rPr>
        <w:t>检察（</w:t>
      </w:r>
      <w:r>
        <w:rPr>
          <w:rFonts w:hint="eastAsia" w:ascii="仿宋_GB2312" w:eastAsia="仿宋_GB2312"/>
          <w:color w:val="auto"/>
          <w:sz w:val="32"/>
          <w:szCs w:val="32"/>
          <w:highlight w:val="none"/>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检察监督</w:t>
      </w:r>
      <w:r>
        <w:rPr>
          <w:rFonts w:hint="eastAsia" w:ascii="仿宋_GB2312" w:eastAsia="仿宋_GB2312"/>
          <w:color w:val="auto"/>
          <w:sz w:val="32"/>
          <w:szCs w:val="32"/>
          <w:highlight w:val="none"/>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反映检察机关依法发展法律监督工作的支出。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公共安全（类）</w:t>
      </w:r>
      <w:r>
        <w:rPr>
          <w:rFonts w:hint="eastAsia" w:ascii="仿宋_GB2312" w:eastAsia="仿宋_GB2312"/>
          <w:color w:val="000000"/>
          <w:sz w:val="32"/>
          <w:szCs w:val="32"/>
          <w:lang w:eastAsia="zh-CN"/>
        </w:rPr>
        <w:t>检察（</w:t>
      </w:r>
      <w:r>
        <w:rPr>
          <w:rFonts w:hint="eastAsia" w:ascii="仿宋_GB2312" w:eastAsia="仿宋_GB2312"/>
          <w:color w:val="auto"/>
          <w:sz w:val="32"/>
          <w:szCs w:val="32"/>
          <w:highlight w:val="none"/>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其他检察支出</w:t>
      </w:r>
      <w:r>
        <w:rPr>
          <w:rFonts w:hint="eastAsia" w:ascii="仿宋_GB2312" w:eastAsia="仿宋_GB2312"/>
          <w:color w:val="auto"/>
          <w:sz w:val="32"/>
          <w:szCs w:val="32"/>
          <w:highlight w:val="none"/>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反映项目以外其他用于检察方面的支出。</w:t>
      </w:r>
    </w:p>
    <w:p>
      <w:pPr>
        <w:ind w:firstLine="640" w:firstLineChars="200"/>
        <w:rPr>
          <w:rFonts w:ascii="仿宋_GB2312" w:eastAsia="仿宋_GB2312"/>
          <w:color w:val="000000"/>
          <w:sz w:val="32"/>
          <w:szCs w:val="32"/>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000000"/>
          <w:sz w:val="32"/>
          <w:szCs w:val="32"/>
          <w:lang w:eastAsia="zh-CN"/>
        </w:rPr>
        <w:t>行政单位离退休</w:t>
      </w:r>
      <w:r>
        <w:rPr>
          <w:rFonts w:hint="eastAsia" w:ascii="仿宋_GB2312" w:eastAsia="仿宋_GB2312"/>
          <w:color w:val="auto"/>
          <w:sz w:val="32"/>
          <w:szCs w:val="32"/>
          <w:highlight w:val="none"/>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auto"/>
          <w:sz w:val="32"/>
          <w:szCs w:val="32"/>
          <w:highlight w:val="none"/>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行政单位医疗</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财政部门安排的行政单位基本医疗保险缴费经费，未参加医疗保险的行政单位的公费医疗经费，按国家规定享受离休人员、红军老战士待遇人员的医疗经费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olor w:val="000000"/>
          <w:sz w:val="32"/>
          <w:szCs w:val="32"/>
        </w:rPr>
      </w:pPr>
      <w:r>
        <w:rPr>
          <w:rFonts w:hint="eastAsia" w:ascii="仿宋_GB2312" w:eastAsia="仿宋_GB2312"/>
          <w:color w:val="auto"/>
          <w:sz w:val="32"/>
          <w:szCs w:val="32"/>
          <w:highlight w:val="none"/>
          <w:lang w:val="en-US" w:eastAsia="zh-CN"/>
        </w:rPr>
        <w:t>16.</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600" w:lineRule="exact"/>
        <w:jc w:val="center"/>
        <w:outlineLvl w:val="0"/>
        <w:rPr>
          <w:rStyle w:val="28"/>
          <w:rFonts w:hint="eastAsia" w:ascii="黑体" w:hAnsi="黑体" w:eastAsia="黑体"/>
          <w:b w:val="0"/>
          <w:color w:val="auto"/>
          <w:highlight w:val="none"/>
          <w:lang w:eastAsia="zh-CN"/>
        </w:rPr>
      </w:pPr>
      <w:bookmarkStart w:id="51" w:name="_Toc15396614"/>
      <w:bookmarkStart w:id="52" w:name="_Toc15377226"/>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b/>
          <w:color w:val="auto"/>
          <w:sz w:val="44"/>
          <w:szCs w:val="44"/>
          <w:highlight w:val="none"/>
          <w:shd w:val="clear" w:color="auto" w:fill="FFFFFF"/>
          <w:lang w:eastAsia="zh-CN"/>
        </w:rPr>
      </w:pPr>
      <w:r>
        <w:rPr>
          <w:rFonts w:hint="eastAsia" w:ascii="宋体" w:hAnsi="宋体"/>
          <w:b/>
          <w:color w:val="auto"/>
          <w:sz w:val="44"/>
          <w:szCs w:val="44"/>
          <w:highlight w:val="none"/>
          <w:shd w:val="clear" w:color="auto" w:fill="FFFFFF"/>
          <w:lang w:eastAsia="zh-CN"/>
        </w:rPr>
        <w:t>广元市荣山地区人民检察院</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rPr>
      </w:pPr>
      <w:r>
        <w:rPr>
          <w:rFonts w:hint="eastAsia" w:ascii="宋体" w:hAnsi="宋体" w:eastAsia="宋体"/>
          <w:b/>
          <w:color w:val="auto"/>
          <w:sz w:val="44"/>
          <w:szCs w:val="44"/>
          <w:highlight w:val="none"/>
          <w:shd w:val="clear" w:color="auto" w:fill="FFFFFF"/>
        </w:rPr>
        <w:t>20</w:t>
      </w:r>
      <w:r>
        <w:rPr>
          <w:rFonts w:hint="eastAsia" w:ascii="宋体" w:hAnsi="宋体" w:eastAsia="宋体"/>
          <w:b/>
          <w:color w:val="auto"/>
          <w:sz w:val="44"/>
          <w:szCs w:val="44"/>
          <w:highlight w:val="none"/>
          <w:shd w:val="clear" w:color="auto" w:fill="FFFFFF"/>
          <w:lang w:val="en-US" w:eastAsia="zh-CN"/>
        </w:rPr>
        <w:t>23</w:t>
      </w:r>
      <w:r>
        <w:rPr>
          <w:rFonts w:hint="eastAsia" w:ascii="宋体" w:hAnsi="宋体" w:eastAsia="宋体"/>
          <w:b/>
          <w:color w:val="auto"/>
          <w:sz w:val="44"/>
          <w:szCs w:val="44"/>
          <w:highlight w:val="none"/>
          <w:shd w:val="clear" w:color="auto" w:fill="FFFFFF"/>
        </w:rPr>
        <w:t>年整体绩效评价报告</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 w:hAnsi="仿宋" w:eastAsia="仿宋" w:cs="仿宋"/>
          <w:i w:val="0"/>
          <w:caps w:val="0"/>
          <w:color w:val="000000"/>
          <w:spacing w:val="0"/>
          <w:sz w:val="32"/>
          <w:szCs w:val="32"/>
          <w:shd w:val="clear" w:color="auto" w:fill="FFFFFF"/>
        </w:rPr>
        <w:t>广元市荣山地区人民检察院成立于1991年12月，地处广元市利州区万源新区翠云路135号，是广元市人民检察院派出的正县级机构，主要职能是对广元监狱刑罚执行活动实施法律监督。</w:t>
      </w:r>
    </w:p>
    <w:p>
      <w:pPr>
        <w:pageBreakBefore w:val="0"/>
        <w:widowControl/>
        <w:numPr>
          <w:ilvl w:val="0"/>
          <w:numId w:val="7"/>
        </w:numPr>
        <w:kinsoku/>
        <w:wordWrap/>
        <w:overflowPunct/>
        <w:topLinePunct w:val="0"/>
        <w:autoSpaceDE/>
        <w:autoSpaceDN/>
        <w:bidi w:val="0"/>
        <w:spacing w:line="54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s="仿宋"/>
          <w:i w:val="0"/>
          <w:caps w:val="0"/>
          <w:color w:val="000000"/>
          <w:spacing w:val="0"/>
          <w:sz w:val="32"/>
          <w:szCs w:val="32"/>
          <w:shd w:val="clear" w:color="auto" w:fill="FFFFFF"/>
          <w:lang w:eastAsia="zh-CN"/>
        </w:rPr>
        <w:t>广元市荣山地区人民检察院</w:t>
      </w:r>
      <w:r>
        <w:rPr>
          <w:rFonts w:hint="eastAsia" w:ascii="仿宋" w:hAnsi="仿宋" w:eastAsia="仿宋" w:cs="仿宋"/>
          <w:i w:val="0"/>
          <w:caps w:val="0"/>
          <w:color w:val="000000"/>
          <w:spacing w:val="0"/>
          <w:sz w:val="32"/>
          <w:szCs w:val="32"/>
          <w:shd w:val="clear" w:color="auto" w:fill="FFFFFF"/>
        </w:rPr>
        <w:t>内设办公室、第一检察部（驻广元监狱检察室）、第二检察部、政治部等四个职能部门。</w:t>
      </w:r>
      <w:r>
        <w:rPr>
          <w:rFonts w:hint="eastAsia" w:ascii="仿宋" w:hAnsi="仿宋" w:eastAsia="仿宋" w:cs="仿宋"/>
          <w:i w:val="0"/>
          <w:caps w:val="0"/>
          <w:color w:val="000000"/>
          <w:spacing w:val="0"/>
          <w:sz w:val="32"/>
          <w:szCs w:val="32"/>
          <w:shd w:val="clear" w:color="auto" w:fill="FFFFFF"/>
          <w:lang w:eastAsia="zh-CN"/>
        </w:rPr>
        <w:t>主要开展对广元监狱的刑罚执行监督检察。</w:t>
      </w:r>
      <w:r>
        <w:rPr>
          <w:rFonts w:hint="eastAsia" w:ascii="仿宋" w:hAnsi="仿宋" w:eastAsia="仿宋" w:cs="仿宋"/>
          <w:i w:val="0"/>
          <w:caps w:val="0"/>
          <w:color w:val="000000"/>
          <w:spacing w:val="0"/>
          <w:sz w:val="32"/>
          <w:szCs w:val="32"/>
          <w:shd w:val="clear" w:color="auto" w:fill="FFFFFF"/>
        </w:rPr>
        <w:t>现有政法专编18人，其中员额检察官</w:t>
      </w:r>
      <w:r>
        <w:rPr>
          <w:rFonts w:hint="eastAsia" w:ascii="仿宋" w:hAnsi="仿宋" w:eastAsia="仿宋" w:cs="仿宋"/>
          <w:i w:val="0"/>
          <w:caps w:val="0"/>
          <w:color w:val="000000"/>
          <w:spacing w:val="0"/>
          <w:sz w:val="32"/>
          <w:szCs w:val="32"/>
          <w:shd w:val="clear" w:color="auto" w:fill="FFFFFF"/>
          <w:lang w:val="en-US" w:eastAsia="zh-CN"/>
        </w:rPr>
        <w:t>7</w:t>
      </w:r>
      <w:r>
        <w:rPr>
          <w:rFonts w:hint="eastAsia" w:ascii="仿宋" w:hAnsi="仿宋" w:eastAsia="仿宋" w:cs="仿宋"/>
          <w:i w:val="0"/>
          <w:caps w:val="0"/>
          <w:color w:val="000000"/>
          <w:spacing w:val="0"/>
          <w:sz w:val="32"/>
          <w:szCs w:val="32"/>
          <w:shd w:val="clear" w:color="auto" w:fill="FFFFFF"/>
        </w:rPr>
        <w:t>人。聘用制书记员5人。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楷体_GB2312" w:hAnsi="楷体_GB2312" w:eastAsia="楷体_GB2312" w:cs="楷体_GB2312"/>
          <w:b/>
          <w:bCs/>
          <w:color w:val="auto"/>
          <w:kern w:val="0"/>
          <w:sz w:val="32"/>
          <w:szCs w:val="32"/>
          <w:highlight w:val="none"/>
          <w:shd w:val="clear" w:color="auto" w:fill="FFFFFF"/>
          <w:lang w:val="en-US" w:eastAsia="zh-CN"/>
        </w:rPr>
      </w:pP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我院</w:t>
      </w:r>
      <w:r>
        <w:rPr>
          <w:rFonts w:hint="eastAsia" w:ascii="仿宋_GB2312" w:hAnsi="仿宋_GB2312" w:eastAsia="仿宋_GB2312" w:cs="仿宋_GB2312"/>
          <w:color w:val="auto"/>
          <w:sz w:val="32"/>
          <w:szCs w:val="32"/>
          <w:lang w:val="en-US" w:eastAsia="zh-CN"/>
        </w:rPr>
        <w:t>全面加强对监狱服刑人员减刑、假释、暂予监外执行案件，控告申诉案件等重点案件的办理。2022年办理减刑案件、暂予监外执行案件、罪犯正常死亡检察类案件、控告申诉案件。工作理念从“办事”向“办案”转变。充分利用公开听证的案件审查方式，共开展实质化审查84件，公开听证13件，提出纠正提请减刑不当258件，不予减刑7件，得到审判机关的采纳261件。</w:t>
      </w:r>
      <w:r>
        <w:rPr>
          <w:rFonts w:hint="eastAsia" w:ascii="仿宋_GB2312" w:hAnsi="仿宋_GB2312" w:eastAsia="仿宋_GB2312" w:cs="仿宋_GB2312"/>
          <w:color w:val="auto"/>
          <w:sz w:val="32"/>
          <w:szCs w:val="32"/>
          <w:lang w:eastAsia="zh-CN"/>
        </w:rPr>
        <w:t>围绕全省检察机关派驻监管场所检察室规范化等级考核评定要求，确保驻广元监狱“一级规范化检察室”达标验收；强化</w:t>
      </w:r>
      <w:r>
        <w:rPr>
          <w:rFonts w:hint="eastAsia" w:ascii="仿宋_GB2312" w:hAnsi="仿宋_GB2312" w:eastAsia="仿宋_GB2312" w:cs="仿宋_GB2312"/>
          <w:color w:val="auto"/>
          <w:sz w:val="32"/>
          <w:szCs w:val="32"/>
          <w:lang w:val="en-US" w:eastAsia="zh-CN"/>
        </w:rPr>
        <w:t>机构队伍建设、制度机制建设、基础设施建设</w:t>
      </w:r>
      <w:r>
        <w:rPr>
          <w:rFonts w:hint="eastAsia" w:ascii="仿宋_GB2312" w:hAnsi="仿宋_GB2312" w:eastAsia="仿宋_GB2312" w:cs="仿宋_GB2312"/>
          <w:color w:val="auto"/>
          <w:sz w:val="32"/>
          <w:szCs w:val="32"/>
          <w:lang w:eastAsia="zh-CN"/>
        </w:rPr>
        <w:t>“三个建设”，严格落实岗位职责、派驻职责、办案职责、“驻+巡”工作职责等“四个职责”，有效促进了派驻检察工作的规范化水平。规范开展检察罪犯计分考核12次，检察立功奖惩26次，派员列席广元监狱狱情分析会12次，减刑、假释评审委员会5次，暂予监外执行评审委员会1次，列席比例均达到100%的要求。</w:t>
      </w:r>
      <w:r>
        <w:rPr>
          <w:rFonts w:hint="eastAsia" w:ascii="仿宋_GB2312" w:hAnsi="仿宋_GB2312" w:eastAsia="仿宋_GB2312" w:cs="仿宋_GB2312"/>
          <w:color w:val="auto"/>
          <w:sz w:val="32"/>
          <w:szCs w:val="32"/>
          <w:lang w:val="en-US" w:eastAsia="zh-CN"/>
        </w:rPr>
        <w:t>以实践探索为抓手，提升巡回检察工作实效。</w:t>
      </w:r>
      <w:r>
        <w:rPr>
          <w:rFonts w:hint="eastAsia" w:ascii="仿宋_GB2312" w:hAnsi="仿宋_GB2312" w:eastAsia="仿宋_GB2312" w:cs="仿宋_GB2312"/>
          <w:color w:val="auto"/>
          <w:sz w:val="32"/>
          <w:szCs w:val="32"/>
          <w:lang w:eastAsia="zh-CN"/>
        </w:rPr>
        <w:t>选派</w:t>
      </w:r>
      <w:r>
        <w:rPr>
          <w:rFonts w:hint="eastAsia" w:ascii="仿宋_GB2312" w:hAnsi="仿宋_GB2312" w:eastAsia="仿宋_GB2312" w:cs="仿宋_GB2312"/>
          <w:color w:val="auto"/>
          <w:sz w:val="32"/>
          <w:szCs w:val="32"/>
          <w:lang w:val="en-US" w:eastAsia="zh-CN"/>
        </w:rPr>
        <w:t>11名干警</w:t>
      </w:r>
      <w:r>
        <w:rPr>
          <w:rFonts w:hint="eastAsia" w:ascii="仿宋_GB2312" w:hAnsi="仿宋_GB2312" w:eastAsia="仿宋_GB2312" w:cs="仿宋_GB2312"/>
          <w:color w:val="auto"/>
          <w:sz w:val="32"/>
          <w:szCs w:val="32"/>
          <w:lang w:eastAsia="zh-CN"/>
        </w:rPr>
        <w:t>参加省院</w:t>
      </w:r>
      <w:r>
        <w:rPr>
          <w:rFonts w:hint="eastAsia" w:ascii="仿宋_GB2312" w:hAnsi="仿宋_GB2312" w:eastAsia="仿宋_GB2312" w:cs="仿宋_GB2312"/>
          <w:color w:val="auto"/>
          <w:sz w:val="32"/>
          <w:szCs w:val="32"/>
          <w:lang w:val="en-US" w:eastAsia="zh-CN"/>
        </w:rPr>
        <w:t>对省内两所监狱的</w:t>
      </w:r>
      <w:r>
        <w:rPr>
          <w:rFonts w:hint="eastAsia" w:ascii="仿宋_GB2312" w:hAnsi="仿宋_GB2312" w:eastAsia="仿宋_GB2312" w:cs="仿宋_GB2312"/>
          <w:color w:val="auto"/>
          <w:sz w:val="32"/>
          <w:szCs w:val="32"/>
          <w:lang w:eastAsia="zh-CN"/>
        </w:rPr>
        <w:t>巡回检察</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，共查找出各类问题</w:t>
      </w:r>
      <w:r>
        <w:rPr>
          <w:rFonts w:hint="eastAsia" w:ascii="仿宋_GB2312" w:hAnsi="仿宋_GB2312" w:eastAsia="仿宋_GB2312" w:cs="仿宋_GB2312"/>
          <w:color w:val="auto"/>
          <w:sz w:val="32"/>
          <w:szCs w:val="32"/>
          <w:lang w:val="en-US" w:eastAsia="zh-CN"/>
        </w:rPr>
        <w:t>50余个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与此同时，及时归纳总结巡回检察工作经验，关于如何拓展线索的“889工作法”、需要重点关注的“6个方面”、善于发现问题的6个工作技巧等经验被其它市州检察机关所借鉴。聚焦</w:t>
      </w:r>
      <w:r>
        <w:rPr>
          <w:rFonts w:hint="eastAsia" w:ascii="仿宋_GB2312" w:hAnsi="仿宋_GB2312" w:eastAsia="仿宋_GB2312" w:cs="仿宋_GB2312"/>
          <w:color w:val="auto"/>
          <w:sz w:val="32"/>
          <w:szCs w:val="32"/>
          <w:lang w:eastAsia="zh-CN"/>
        </w:rPr>
        <w:t>减、假、暂监督工作中罪犯履行财产性判项难题，坚持问题导向，立足“保障当事人合法权益、维护生效裁判公信力、助推监管秩序稳定”三大要求，从办案实际出发，多次与市中级人民法院、广元监狱调研、会商、研究，深化协作形成合力，广元市人民检察院与广元市中级人民法院、四川省广元监狱联合印发了《服刑罪犯财产性判项资金代管办法（试行）》。</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b/>
          <w:bCs/>
          <w:color w:val="auto"/>
          <w:kern w:val="0"/>
          <w:sz w:val="32"/>
          <w:szCs w:val="32"/>
          <w:highlight w:val="none"/>
          <w:shd w:val="clear" w:color="auto" w:fill="FFFFFF"/>
          <w:lang w:val="en-US" w:eastAsia="zh-CN"/>
        </w:rPr>
      </w:pPr>
      <w:r>
        <w:rPr>
          <w:rFonts w:hint="eastAsia" w:ascii="仿宋_GB2312" w:hAnsi="仿宋_GB2312" w:eastAsia="仿宋_GB2312" w:cs="仿宋_GB2312"/>
          <w:color w:val="auto"/>
          <w:sz w:val="32"/>
          <w:szCs w:val="32"/>
          <w:lang w:val="en-US" w:eastAsia="zh-CN"/>
        </w:rPr>
        <w:t>2022年总目标是</w:t>
      </w:r>
      <w:r>
        <w:rPr>
          <w:rFonts w:hint="eastAsia" w:ascii="仿宋_GB2312" w:hAnsi="仿宋_GB2312" w:eastAsia="仿宋_GB2312" w:cs="仿宋_GB2312"/>
          <w:color w:val="auto"/>
          <w:sz w:val="32"/>
          <w:szCs w:val="32"/>
        </w:rPr>
        <w:t>在市委和</w:t>
      </w:r>
      <w:r>
        <w:rPr>
          <w:rFonts w:hint="eastAsia" w:ascii="仿宋_GB2312" w:hAnsi="仿宋_GB2312" w:eastAsia="仿宋_GB2312" w:cs="仿宋_GB2312"/>
          <w:color w:val="auto"/>
          <w:sz w:val="32"/>
          <w:szCs w:val="32"/>
          <w:lang w:eastAsia="zh-CN"/>
        </w:rPr>
        <w:t>市人民</w:t>
      </w:r>
      <w:r>
        <w:rPr>
          <w:rFonts w:hint="eastAsia" w:ascii="仿宋_GB2312" w:hAnsi="仿宋_GB2312" w:eastAsia="仿宋_GB2312" w:cs="仿宋_GB2312"/>
          <w:color w:val="auto"/>
          <w:sz w:val="32"/>
          <w:szCs w:val="32"/>
        </w:rPr>
        <w:t>检察</w:t>
      </w:r>
      <w:r>
        <w:rPr>
          <w:rFonts w:hint="eastAsia" w:ascii="仿宋_GB2312" w:hAnsi="仿宋_GB2312" w:eastAsia="仿宋_GB2312" w:cs="仿宋_GB2312"/>
          <w:color w:val="auto"/>
          <w:sz w:val="32"/>
          <w:szCs w:val="32"/>
          <w:lang w:eastAsia="zh-CN"/>
        </w:rPr>
        <w:t>院</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坚强</w:t>
      </w:r>
      <w:r>
        <w:rPr>
          <w:rFonts w:hint="eastAsia" w:ascii="仿宋_GB2312" w:hAnsi="仿宋_GB2312" w:eastAsia="仿宋_GB2312" w:cs="仿宋_GB2312"/>
          <w:color w:val="auto"/>
          <w:sz w:val="32"/>
          <w:szCs w:val="32"/>
        </w:rPr>
        <w:t>领导下，坚持</w:t>
      </w:r>
      <w:r>
        <w:rPr>
          <w:rFonts w:hint="eastAsia" w:ascii="仿宋_GB2312" w:hAnsi="仿宋_GB2312" w:eastAsia="仿宋_GB2312" w:cs="仿宋_GB2312"/>
          <w:color w:val="auto"/>
          <w:sz w:val="32"/>
          <w:szCs w:val="32"/>
          <w:lang w:eastAsia="zh-CN"/>
        </w:rPr>
        <w:t>政治引领，</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hAnsi="仿宋_GB2312" w:eastAsia="仿宋_GB2312" w:cs="仿宋_GB2312"/>
          <w:color w:val="auto"/>
          <w:sz w:val="32"/>
          <w:szCs w:val="32"/>
          <w:lang w:eastAsia="zh-CN"/>
        </w:rPr>
        <w:t>深入学习贯彻党的二十大精神，进一步巩固政法队伍教育整顿成果，扎实开展</w:t>
      </w:r>
      <w:r>
        <w:rPr>
          <w:rFonts w:hint="eastAsia" w:ascii="仿宋_GB2312" w:hAnsi="仿宋_GB2312" w:eastAsia="仿宋_GB2312" w:cs="仿宋_GB2312"/>
          <w:color w:val="auto"/>
          <w:sz w:val="32"/>
          <w:szCs w:val="32"/>
        </w:rPr>
        <w:t>“忠诚铸魂、铁纪担当”专项活动，</w:t>
      </w:r>
      <w:r>
        <w:rPr>
          <w:rFonts w:hint="eastAsia" w:ascii="仿宋_GB2312" w:hAnsi="仿宋_GB2312" w:eastAsia="仿宋_GB2312" w:cs="仿宋_GB2312"/>
          <w:color w:val="auto"/>
          <w:sz w:val="32"/>
          <w:szCs w:val="32"/>
          <w:lang w:eastAsia="zh-CN"/>
        </w:rPr>
        <w:t>着力锻造一支党和人民放心满意的政法铁军；坚持</w:t>
      </w:r>
      <w:r>
        <w:rPr>
          <w:rFonts w:hint="eastAsia" w:ascii="仿宋_GB2312" w:hAnsi="仿宋_GB2312" w:eastAsia="仿宋_GB2312" w:cs="仿宋_GB2312"/>
          <w:color w:val="auto"/>
          <w:sz w:val="32"/>
          <w:szCs w:val="32"/>
        </w:rPr>
        <w:t>理念引领</w:t>
      </w:r>
      <w:r>
        <w:rPr>
          <w:rFonts w:hint="eastAsia" w:ascii="仿宋_GB2312" w:hAnsi="仿宋_GB2312" w:eastAsia="仿宋_GB2312" w:cs="仿宋_GB2312"/>
          <w:color w:val="auto"/>
          <w:sz w:val="32"/>
          <w:szCs w:val="32"/>
          <w:lang w:eastAsia="zh-CN"/>
        </w:rPr>
        <w:t>，注重观念更新，积极探索巡回检察“广元经验”，不断提高刑事执行检察质效；</w:t>
      </w:r>
      <w:r>
        <w:rPr>
          <w:rFonts w:hint="eastAsia" w:ascii="仿宋_GB2312" w:hAnsi="仿宋_GB2312" w:eastAsia="仿宋_GB2312" w:cs="仿宋_GB2312"/>
          <w:color w:val="auto"/>
          <w:sz w:val="32"/>
          <w:szCs w:val="32"/>
        </w:rPr>
        <w:t>坚持创新引领，</w:t>
      </w:r>
      <w:r>
        <w:rPr>
          <w:rFonts w:hint="eastAsia" w:ascii="仿宋_GB2312" w:hAnsi="仿宋_GB2312" w:eastAsia="仿宋_GB2312" w:cs="仿宋_GB2312"/>
          <w:color w:val="auto"/>
          <w:sz w:val="32"/>
          <w:szCs w:val="32"/>
          <w:lang w:eastAsia="zh-CN"/>
        </w:rPr>
        <w:t>突出问题导向，探索创新刑事执行检察监督工作新机制，为新时期刑事执行检察注入了新的活力，不断推动刑事执行检察再上新台阶。</w:t>
      </w:r>
      <w:r>
        <w:rPr>
          <w:rFonts w:hint="eastAsia" w:ascii="楷体_GB2312" w:hAnsi="楷体_GB2312" w:eastAsia="楷体_GB2312" w:cs="楷体_GB2312"/>
          <w:b/>
          <w:bCs/>
          <w:color w:val="auto"/>
          <w:kern w:val="0"/>
          <w:sz w:val="32"/>
          <w:szCs w:val="32"/>
          <w:highlight w:val="none"/>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spacing w:line="600" w:lineRule="exact"/>
        <w:ind w:firstLine="640" w:firstLineChars="200"/>
        <w:outlineLvl w:val="1"/>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1.总体收入情况。</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517.48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506.6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10.88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2.总体支出情况。</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564.28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426.17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75.52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138.11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3.总体结转结余情况。2021年结转结余收入48.13万元。主要是疫情原因导致2021年转移支付项目中的国产化替代设备未实现采购。</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1.财政拨款收入情况。2022年</w:t>
      </w:r>
      <w:r>
        <w:rPr>
          <w:rFonts w:hint="eastAsia" w:ascii="仿宋" w:hAnsi="仿宋" w:eastAsia="仿宋"/>
          <w:color w:val="auto"/>
          <w:sz w:val="32"/>
          <w:szCs w:val="32"/>
          <w:highlight w:val="none"/>
        </w:rPr>
        <w:t>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554.73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其中</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公共安全支出（类）收入487.58万元，占财政拨款收入总额的87.9%；社会保障和就业（类）收入22.07万元，占财政拨款收入总额的3.98%；卫生健康支出13.86万元，占2.5%；住房保障支出29.89万元，占5.39%。</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2.财政拨款支出情况。2022年一般公共预算支出决算数为553.4，完成预算99.76%。</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3.财政拨款结转结余情况。2022年末财政拨款结转结余1.34万元。主要是主要是转移支付项目未实现100%支出而导致的结转结余。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r>
        <w:rPr>
          <w:rFonts w:hint="eastAsia" w:ascii="仿宋_GB2312" w:hAnsi="仿宋_GB2312" w:eastAsia="仿宋_GB2312" w:cs="仿宋_GB2312"/>
          <w:color w:val="auto"/>
          <w:kern w:val="0"/>
          <w:sz w:val="32"/>
          <w:szCs w:val="32"/>
          <w:highlight w:val="none"/>
          <w:shd w:val="clear" w:color="auto" w:fill="FFFFFF"/>
          <w:lang w:val="zh-CN"/>
        </w:rPr>
        <w:t>（分段表述人员类、运</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转类、特定目标类项目绩效情况和存在问题）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2022年人员类项目的目标主要是实现在职干警的</w:t>
      </w:r>
      <w:r>
        <w:rPr>
          <w:rFonts w:ascii="仿宋_GB2312" w:hAnsi="仿宋_GB2312" w:eastAsia="仿宋_GB2312" w:cs="仿宋_GB2312"/>
          <w:i w:val="0"/>
          <w:iCs w:val="0"/>
          <w:caps w:val="0"/>
          <w:color w:val="000000"/>
          <w:spacing w:val="0"/>
          <w:sz w:val="32"/>
          <w:szCs w:val="32"/>
          <w:shd w:val="clear" w:fill="FFFFFF"/>
        </w:rPr>
        <w:t>基本工资、津贴补贴、养老保险、医保等</w:t>
      </w:r>
      <w:r>
        <w:rPr>
          <w:rFonts w:hint="eastAsia" w:ascii="仿宋_GB2312" w:hAnsi="仿宋_GB2312" w:eastAsia="仿宋_GB2312" w:cs="仿宋_GB2312"/>
          <w:i w:val="0"/>
          <w:iCs w:val="0"/>
          <w:caps w:val="0"/>
          <w:color w:val="000000"/>
          <w:spacing w:val="0"/>
          <w:sz w:val="32"/>
          <w:szCs w:val="32"/>
          <w:shd w:val="clear" w:fill="FFFFFF"/>
          <w:lang w:eastAsia="zh-CN"/>
        </w:rPr>
        <w:t>经费全额兑现、退休人员的生活补助</w:t>
      </w:r>
      <w:r>
        <w:rPr>
          <w:rFonts w:ascii="仿宋_GB2312" w:hAnsi="仿宋_GB2312" w:eastAsia="仿宋_GB2312" w:cs="仿宋_GB2312"/>
          <w:i w:val="0"/>
          <w:iCs w:val="0"/>
          <w:caps w:val="0"/>
          <w:color w:val="000000"/>
          <w:spacing w:val="0"/>
          <w:sz w:val="32"/>
          <w:szCs w:val="32"/>
          <w:shd w:val="clear" w:fill="FFFFFF"/>
        </w:rPr>
        <w:t>经费</w:t>
      </w:r>
      <w:r>
        <w:rPr>
          <w:rFonts w:hint="eastAsia" w:ascii="仿宋_GB2312" w:hAnsi="仿宋_GB2312" w:eastAsia="仿宋_GB2312" w:cs="仿宋_GB2312"/>
          <w:i w:val="0"/>
          <w:iCs w:val="0"/>
          <w:caps w:val="0"/>
          <w:color w:val="000000"/>
          <w:spacing w:val="0"/>
          <w:sz w:val="32"/>
          <w:szCs w:val="32"/>
          <w:shd w:val="clear" w:fill="FFFFFF"/>
          <w:lang w:eastAsia="zh-CN"/>
        </w:rPr>
        <w:t>足额保障到位。通过严格落实预算绩效管理，我们成功实现了年初制定的</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人员类项目</w:t>
      </w:r>
      <w:r>
        <w:rPr>
          <w:rFonts w:hint="eastAsia" w:ascii="仿宋_GB2312" w:hAnsi="仿宋_GB2312" w:eastAsia="仿宋_GB2312" w:cs="仿宋_GB2312"/>
          <w:i w:val="0"/>
          <w:iCs w:val="0"/>
          <w:caps w:val="0"/>
          <w:color w:val="000000"/>
          <w:spacing w:val="0"/>
          <w:sz w:val="32"/>
          <w:szCs w:val="32"/>
          <w:shd w:val="clear" w:fill="FFFFFF"/>
          <w:lang w:eastAsia="zh-CN"/>
        </w:rPr>
        <w:t>目标。同时</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严格按照市财政局要求的资金拨付进度要求，没有出现延迟和遗漏的情况，保障了干部职工的福利待遇及时足额兑现。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2022年预算的381.05万元人员经费全部实现支出，</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预算完成率达到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。无资金结余率和违规记录等情况。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2022年运转类项目的目标是确保日常公用经费的正常开支。运转类项目主要包括</w:t>
      </w:r>
      <w:r>
        <w:rPr>
          <w:rFonts w:hint="eastAsia" w:ascii="仿宋" w:hAnsi="仿宋" w:eastAsia="仿宋"/>
          <w:color w:val="auto"/>
          <w:sz w:val="32"/>
          <w:szCs w:val="32"/>
          <w:highlight w:val="none"/>
        </w:rPr>
        <w:t>办公费、印刷费、邮电费、物业管理费、培训费、公务接待费、工会经费、其他交通费等。</w:t>
      </w:r>
      <w:r>
        <w:rPr>
          <w:rFonts w:hint="eastAsia" w:ascii="仿宋" w:hAnsi="仿宋" w:eastAsia="仿宋"/>
          <w:color w:val="auto"/>
          <w:sz w:val="32"/>
          <w:szCs w:val="32"/>
          <w:highlight w:val="none"/>
          <w:lang w:val="en-US" w:eastAsia="zh-CN"/>
        </w:rPr>
        <w:t>2022年共实现预算资金支出34.24万元，确保了我院各项刑罚执行监督检察工作的正常开展。</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预算完成率达到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。无资金结余率和违规记录等情况。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2022年我院特定目标类项目的目标是完成省检察院对阿坝、德阳两所监狱的巡回检察工作。通过项目的实施我们</w:t>
      </w:r>
      <w:r>
        <w:rPr>
          <w:rFonts w:hint="eastAsia" w:ascii="仿宋_GB2312" w:hAnsi="仿宋_GB2312" w:eastAsia="仿宋_GB2312" w:cs="仿宋_GB2312"/>
          <w:color w:val="auto"/>
          <w:sz w:val="32"/>
          <w:szCs w:val="32"/>
          <w:lang w:eastAsia="zh-CN"/>
        </w:rPr>
        <w:t>全面落实“巡回+派驻”的刑执检察新模式，及时总结</w:t>
      </w:r>
      <w:r>
        <w:rPr>
          <w:rFonts w:hint="eastAsia" w:ascii="仿宋_GB2312" w:hAnsi="仿宋_GB2312" w:eastAsia="仿宋_GB2312" w:cs="仿宋_GB2312"/>
          <w:color w:val="auto"/>
          <w:sz w:val="32"/>
          <w:szCs w:val="32"/>
          <w:lang w:val="en-US" w:eastAsia="zh-CN"/>
        </w:rPr>
        <w:t>巡回检察好经验，被其它市州检察机关所借鉴。</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i w:val="0"/>
          <w:iCs w:val="0"/>
          <w:caps w:val="0"/>
          <w:color w:val="000000"/>
          <w:spacing w:val="0"/>
          <w:sz w:val="32"/>
          <w:szCs w:val="32"/>
        </w:rPr>
      </w:pPr>
      <w:r>
        <w:rPr>
          <w:rFonts w:ascii="仿宋_GB2312" w:hAnsi="仿宋_GB2312" w:eastAsia="仿宋_GB2312" w:cs="仿宋_GB2312"/>
          <w:i w:val="0"/>
          <w:iCs w:val="0"/>
          <w:caps w:val="0"/>
          <w:color w:val="000000"/>
          <w:spacing w:val="0"/>
          <w:sz w:val="32"/>
          <w:szCs w:val="32"/>
        </w:rPr>
        <w:t>按照预算管理有关规定，</w:t>
      </w:r>
      <w:r>
        <w:rPr>
          <w:rFonts w:hint="eastAsia" w:ascii="仿宋_GB2312" w:hAnsi="仿宋_GB2312" w:eastAsia="仿宋_GB2312" w:cs="仿宋_GB2312"/>
          <w:i w:val="0"/>
          <w:iCs w:val="0"/>
          <w:caps w:val="0"/>
          <w:color w:val="000000"/>
          <w:spacing w:val="0"/>
          <w:sz w:val="32"/>
          <w:szCs w:val="32"/>
          <w:lang w:eastAsia="zh-CN"/>
        </w:rPr>
        <w:t>我院</w:t>
      </w:r>
      <w:r>
        <w:rPr>
          <w:rFonts w:ascii="仿宋_GB2312" w:hAnsi="仿宋_GB2312" w:eastAsia="仿宋_GB2312" w:cs="仿宋_GB2312"/>
          <w:i w:val="0"/>
          <w:iCs w:val="0"/>
          <w:caps w:val="0"/>
          <w:color w:val="000000"/>
          <w:spacing w:val="0"/>
          <w:sz w:val="32"/>
          <w:szCs w:val="32"/>
        </w:rPr>
        <w:t>从严控制预算执行。严格财务资金审批程序，原则上无预算不追加，无预算不采购。认真落实厉行节约各项政策，牢固树立过</w:t>
      </w:r>
      <w:r>
        <w:rPr>
          <w:rFonts w:hint="default" w:ascii="仿宋_GB2312" w:hAnsi="仿宋_GB2312" w:eastAsia="仿宋_GB2312" w:cs="仿宋_GB2312"/>
          <w:i w:val="0"/>
          <w:iCs w:val="0"/>
          <w:caps w:val="0"/>
          <w:color w:val="000000"/>
          <w:spacing w:val="0"/>
          <w:sz w:val="32"/>
          <w:szCs w:val="32"/>
        </w:rPr>
        <w:t>“紧日子”的思想，严格控制办公费、差旅费、公务接待费等一般性支出。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ascii="仿宋_GB2312" w:hAnsi="仿宋_GB2312" w:eastAsia="仿宋_GB2312" w:cs="仿宋_GB2312"/>
          <w:i w:val="0"/>
          <w:iCs w:val="0"/>
          <w:caps w:val="0"/>
          <w:color w:val="000000"/>
          <w:spacing w:val="0"/>
          <w:sz w:val="32"/>
          <w:szCs w:val="32"/>
        </w:rPr>
        <w:t>本部门预算整体支出绩效评价自评报告将根据</w:t>
      </w:r>
      <w:r>
        <w:rPr>
          <w:rFonts w:hint="eastAsia" w:ascii="仿宋_GB2312" w:hAnsi="仿宋_GB2312" w:eastAsia="仿宋_GB2312" w:cs="仿宋_GB2312"/>
          <w:i w:val="0"/>
          <w:iCs w:val="0"/>
          <w:caps w:val="0"/>
          <w:color w:val="000000"/>
          <w:spacing w:val="0"/>
          <w:sz w:val="31"/>
          <w:szCs w:val="31"/>
          <w:lang w:eastAsia="zh-CN"/>
        </w:rPr>
        <w:t>市</w:t>
      </w:r>
      <w:r>
        <w:rPr>
          <w:rFonts w:hint="default" w:ascii="仿宋_GB2312" w:hAnsi="仿宋_GB2312" w:eastAsia="仿宋_GB2312" w:cs="仿宋_GB2312"/>
          <w:i w:val="0"/>
          <w:iCs w:val="0"/>
          <w:caps w:val="0"/>
          <w:color w:val="000000"/>
          <w:spacing w:val="0"/>
          <w:sz w:val="31"/>
          <w:szCs w:val="31"/>
        </w:rPr>
        <w:t>财政局依据信息公开的相关要求在</w:t>
      </w:r>
      <w:r>
        <w:rPr>
          <w:rFonts w:hint="eastAsia" w:ascii="仿宋_GB2312" w:hAnsi="仿宋_GB2312" w:eastAsia="仿宋_GB2312" w:cs="仿宋_GB2312"/>
          <w:i w:val="0"/>
          <w:iCs w:val="0"/>
          <w:caps w:val="0"/>
          <w:color w:val="000000"/>
          <w:spacing w:val="0"/>
          <w:sz w:val="31"/>
          <w:szCs w:val="31"/>
          <w:lang w:eastAsia="zh-CN"/>
        </w:rPr>
        <w:t>门户网站上</w:t>
      </w:r>
      <w:r>
        <w:rPr>
          <w:rFonts w:hint="default" w:ascii="仿宋_GB2312" w:hAnsi="仿宋_GB2312" w:eastAsia="仿宋_GB2312" w:cs="仿宋_GB2312"/>
          <w:i w:val="0"/>
          <w:iCs w:val="0"/>
          <w:caps w:val="0"/>
          <w:color w:val="000000"/>
          <w:spacing w:val="0"/>
          <w:sz w:val="31"/>
          <w:szCs w:val="31"/>
        </w:rPr>
        <w:t>进行公开</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i w:val="0"/>
          <w:iCs w:val="0"/>
          <w:caps w:val="0"/>
          <w:color w:val="000000"/>
          <w:spacing w:val="0"/>
          <w:sz w:val="32"/>
          <w:szCs w:val="32"/>
        </w:rPr>
      </w:pPr>
      <w:r>
        <w:rPr>
          <w:rFonts w:ascii="仿宋_GB2312" w:hAnsi="仿宋_GB2312" w:eastAsia="仿宋_GB2312" w:cs="仿宋_GB2312"/>
          <w:i w:val="0"/>
          <w:iCs w:val="0"/>
          <w:caps w:val="0"/>
          <w:color w:val="000000"/>
          <w:spacing w:val="0"/>
          <w:sz w:val="32"/>
          <w:szCs w:val="32"/>
        </w:rPr>
        <w:t>按照预算管理有关规定，目前部门预算的编制实行综合预算制度，即全部收入和支出都反映在预算中。按照预算批复规范和从严控制预算执行，不随意调整和变更。严格财务资金审批程序，原则上无预算不追加，无预算不采购。认真落实厉行节约各项政策，牢固树立过</w:t>
      </w:r>
      <w:r>
        <w:rPr>
          <w:rFonts w:hint="default" w:ascii="仿宋_GB2312" w:hAnsi="仿宋_GB2312" w:eastAsia="仿宋_GB2312" w:cs="仿宋_GB2312"/>
          <w:i w:val="0"/>
          <w:iCs w:val="0"/>
          <w:caps w:val="0"/>
          <w:color w:val="000000"/>
          <w:spacing w:val="0"/>
          <w:sz w:val="32"/>
          <w:szCs w:val="32"/>
        </w:rPr>
        <w:t>“紧日子”的思想，严格控制办公费、差旅费、公务接待费等一般性支出。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sz w:val="32"/>
          <w:szCs w:val="32"/>
          <w:lang w:val="en-US" w:eastAsia="zh-CN"/>
        </w:rPr>
        <w:t>2022年预算所有</w:t>
      </w:r>
      <w:r>
        <w:rPr>
          <w:rFonts w:hint="eastAsia" w:ascii="仿宋" w:hAnsi="仿宋" w:eastAsia="仿宋"/>
          <w:sz w:val="32"/>
          <w:szCs w:val="32"/>
          <w:lang w:val="zh-CN"/>
        </w:rPr>
        <w:t>项目达到预期目标，刑罚执行监督工作取得良好的社会效应。截止评价时，高质量地完成了年初设定目标，并严格控制支出，未超预算。</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numPr>
          <w:ilvl w:val="0"/>
          <w:numId w:val="0"/>
        </w:numPr>
        <w:adjustRightInd w:val="0"/>
        <w:snapToGrid w:val="0"/>
        <w:spacing w:line="6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1、预算编制的还不够精准，一些项目在实施过程中，由于未提前设定采购计划，导致项目无法开展；</w:t>
      </w:r>
    </w:p>
    <w:p>
      <w:pPr>
        <w:numPr>
          <w:ilvl w:val="0"/>
          <w:numId w:val="0"/>
        </w:numPr>
        <w:adjustRightInd w:val="0"/>
        <w:snapToGrid w:val="0"/>
        <w:spacing w:line="600" w:lineRule="exact"/>
        <w:ind w:firstLine="640" w:firstLineChars="200"/>
        <w:rPr>
          <w:rFonts w:hint="default" w:ascii="楷体_GB2312" w:hAnsi="楷体_GB2312" w:eastAsia="楷体_GB2312" w:cs="楷体_GB2312"/>
          <w:b/>
          <w:bCs/>
          <w:color w:val="auto"/>
          <w:kern w:val="0"/>
          <w:sz w:val="32"/>
          <w:szCs w:val="32"/>
          <w:highlight w:val="none"/>
          <w:shd w:val="clear" w:color="auto" w:fill="FFFFFF"/>
          <w:lang w:val="en-US" w:eastAsia="zh-CN"/>
        </w:rPr>
      </w:pPr>
      <w:r>
        <w:rPr>
          <w:rFonts w:hint="eastAsia" w:ascii="仿宋_GB2312" w:hAnsi="仿宋_GB2312" w:eastAsia="仿宋_GB2312" w:cs="仿宋_GB2312"/>
          <w:kern w:val="2"/>
          <w:sz w:val="32"/>
          <w:szCs w:val="32"/>
          <w:lang w:val="en-US" w:eastAsia="zh-CN"/>
        </w:rPr>
        <w:t>2、财务人员对预算绩效管理的意识还不强，绩效管理水平有待提升</w:t>
      </w:r>
      <w:r>
        <w:rPr>
          <w:rFonts w:hint="default" w:ascii="仿宋_GB2312" w:hAnsi="仿宋_GB2312" w:eastAsia="仿宋_GB2312" w:cs="仿宋_GB2312"/>
          <w:kern w:val="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大力提升</w:t>
      </w:r>
      <w:r>
        <w:rPr>
          <w:rFonts w:hint="eastAsia" w:ascii="仿宋_GB2312" w:hAnsi="仿宋_GB2312" w:eastAsia="仿宋_GB2312" w:cs="仿宋_GB2312"/>
          <w:sz w:val="32"/>
          <w:szCs w:val="32"/>
          <w:lang w:val="en-US" w:eastAsia="zh-CN"/>
        </w:rPr>
        <w:t>财务</w:t>
      </w:r>
      <w:r>
        <w:rPr>
          <w:rFonts w:hint="default"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en-US" w:eastAsia="zh-CN"/>
        </w:rPr>
        <w:t>的预算</w:t>
      </w:r>
      <w:r>
        <w:rPr>
          <w:rFonts w:hint="default" w:ascii="仿宋_GB2312" w:hAnsi="仿宋_GB2312" w:eastAsia="仿宋_GB2312" w:cs="仿宋_GB2312"/>
          <w:sz w:val="32"/>
          <w:szCs w:val="32"/>
          <w:lang w:val="en-US" w:eastAsia="zh-CN"/>
        </w:rPr>
        <w:t>绩效管理业务水平</w:t>
      </w:r>
      <w:r>
        <w:rPr>
          <w:rFonts w:hint="eastAsia" w:ascii="仿宋_GB2312" w:hAnsi="仿宋_GB2312" w:eastAsia="仿宋_GB2312" w:cs="仿宋_GB2312"/>
          <w:sz w:val="32"/>
          <w:szCs w:val="32"/>
          <w:lang w:val="en-US" w:eastAsia="zh-CN"/>
        </w:rPr>
        <w:t>，积极派员参加市财政组织的业务培训</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进一步提升财务人员</w:t>
      </w:r>
      <w:r>
        <w:rPr>
          <w:rFonts w:hint="default" w:ascii="仿宋_GB2312" w:hAnsi="仿宋_GB2312" w:eastAsia="仿宋_GB2312" w:cs="仿宋_GB2312"/>
          <w:sz w:val="32"/>
          <w:szCs w:val="32"/>
          <w:lang w:val="en-US" w:eastAsia="zh-CN"/>
        </w:rPr>
        <w:t>对绩效管理</w:t>
      </w:r>
      <w:r>
        <w:rPr>
          <w:rFonts w:hint="eastAsia" w:ascii="仿宋_GB2312" w:hAnsi="仿宋_GB2312" w:eastAsia="仿宋_GB2312" w:cs="仿宋_GB2312"/>
          <w:sz w:val="32"/>
          <w:szCs w:val="32"/>
          <w:lang w:val="en-US" w:eastAsia="zh-CN"/>
        </w:rPr>
        <w:t>工作的</w:t>
      </w:r>
      <w:r>
        <w:rPr>
          <w:rFonts w:hint="default" w:ascii="仿宋_GB2312" w:hAnsi="仿宋_GB2312" w:eastAsia="仿宋_GB2312" w:cs="仿宋_GB2312"/>
          <w:sz w:val="32"/>
          <w:szCs w:val="32"/>
          <w:lang w:val="en-US" w:eastAsia="zh-CN"/>
        </w:rPr>
        <w:t>理解，提高</w:t>
      </w:r>
      <w:r>
        <w:rPr>
          <w:rFonts w:hint="eastAsia" w:ascii="仿宋_GB2312" w:hAnsi="仿宋_GB2312" w:eastAsia="仿宋_GB2312" w:cs="仿宋_GB2312"/>
          <w:sz w:val="32"/>
          <w:szCs w:val="32"/>
          <w:lang w:val="en-US" w:eastAsia="zh-CN"/>
        </w:rPr>
        <w:t>预算资金的</w:t>
      </w:r>
      <w:r>
        <w:rPr>
          <w:rFonts w:hint="default" w:ascii="仿宋_GB2312" w:hAnsi="仿宋_GB2312" w:eastAsia="仿宋_GB2312" w:cs="仿宋_GB2312"/>
          <w:sz w:val="32"/>
          <w:szCs w:val="32"/>
          <w:lang w:val="en-US" w:eastAsia="zh-CN"/>
        </w:rPr>
        <w:t>绩效管理水平</w:t>
      </w:r>
      <w:r>
        <w:rPr>
          <w:rFonts w:hint="eastAsia" w:ascii="仿宋_GB2312" w:hAnsi="仿宋_GB2312" w:eastAsia="仿宋_GB2312" w:cs="仿宋_GB2312"/>
          <w:sz w:val="32"/>
          <w:szCs w:val="32"/>
          <w:lang w:val="en-US" w:eastAsia="zh-CN"/>
        </w:rPr>
        <w:t>。</w:t>
      </w:r>
    </w:p>
    <w:tbl>
      <w:tblPr>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6"/>
        <w:gridCol w:w="885"/>
        <w:gridCol w:w="212"/>
        <w:gridCol w:w="1193"/>
        <w:gridCol w:w="816"/>
        <w:gridCol w:w="399"/>
        <w:gridCol w:w="726"/>
        <w:gridCol w:w="1190"/>
        <w:gridCol w:w="1057"/>
        <w:gridCol w:w="771"/>
        <w:gridCol w:w="440"/>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9212"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部门名称</w:t>
            </w:r>
          </w:p>
        </w:tc>
        <w:tc>
          <w:tcPr>
            <w:tcW w:w="7232"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四川省广元市荣山地区人民检察院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主要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任务</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任务名称</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主要内容</w:t>
            </w:r>
          </w:p>
        </w:tc>
        <w:tc>
          <w:tcPr>
            <w:tcW w:w="235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预算金额（万元）</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财政拨款</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其他资金</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总额</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财政拨款</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检察院基本支出</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人员及公用经费基本支出</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460.99</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460.99</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411.9</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411.88</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检察官、司法警察加班费（单列）</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根据广人社办发【2017】185号文件，保障人员加班经费落实到位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办案经费（单列）</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保障刑罚执行类案件的正常办理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乡村振兴工作经费</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工作对下乡开展帮扶工作经费</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巡回检察工作经费</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开展巡回检察工作用差旅费、交通费等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19.65</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19.65</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聘用制书记员工作经费</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聘用制书记员的工资、社保、工作经费等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李正勇保证金</w:t>
            </w:r>
          </w:p>
        </w:tc>
        <w:tc>
          <w:tcPr>
            <w:tcW w:w="12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李正勇保证金</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20" w:type="dxa"/>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转移支付</w:t>
            </w:r>
          </w:p>
        </w:tc>
        <w:tc>
          <w:tcPr>
            <w:tcW w:w="1275" w:type="dxa"/>
            <w:tcBorders>
              <w:top w:val="single" w:color="000000" w:sz="4" w:space="0"/>
              <w:left w:val="nil"/>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转移支付办案费</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37.14</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37.14</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9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金额合计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579.23</w:t>
            </w:r>
          </w:p>
        </w:tc>
        <w:tc>
          <w:tcPr>
            <w:tcW w:w="82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506.63</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总体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目标</w:t>
            </w:r>
          </w:p>
        </w:tc>
        <w:tc>
          <w:tcPr>
            <w:tcW w:w="3405" w:type="dxa"/>
            <w:gridSpan w:val="4"/>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147"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6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405"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以习近平新时代中国特色社会主义思想为指导，深入学习贯彻党的二十大精神，进一步巩固政法队伍教育整顿成果，扎实开展“忠诚铸魂、铁纪担当”专项活动，积极探索巡回检察“广元经验”，不断提高刑事执行检察质效；坚持创新引领，突出问题导向，探索创新刑事执行检察监督工作新机制，为新时期刑事执行检察注入了新的活力，不断推动刑事执行检察再上新台阶。</w:t>
            </w:r>
          </w:p>
        </w:tc>
        <w:tc>
          <w:tcPr>
            <w:tcW w:w="5147" w:type="dxa"/>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全面加强对监狱服刑人员减刑、假释、暂予监外执行案件，控告申诉案件等重点案件的办理。2、工作理念从“办事”向“办案”转变,突出案件办理实质化、管理规范化要求，视办案质量为案件的生命线。3、严格按照减刑假释案件实质化办理要求，对计分考核、奖惩审批、评审鉴定、财产刑履行情况等深入开展调查核实，充分利用公开听证的案件审查方式，提出纠正提请减刑不当意见，得到审判机关的采纳。4、坚持刑事执行检察网上办案，全面实现与监狱、法院通过政法协同案件网上移送，案件办理网上运行，案件管理网上监督，刑事执行检察办案的信息化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指标值（包含数字及文字描述）</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实际完成指标值（包含数字及文字描述）</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部门自评得分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财政部门科室复评得分</w:t>
            </w:r>
          </w:p>
        </w:tc>
        <w:tc>
          <w:tcPr>
            <w:tcW w:w="166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纠正“减假暂”不当数达到全年报请数</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8"/>
                <w:bdr w:val="none" w:color="auto" w:sz="0" w:space="0"/>
                <w:lang w:val="en-US" w:eastAsia="zh-CN" w:bidi="ar"/>
              </w:rPr>
              <w:t>2022年预计办理减刑案件</w:t>
            </w:r>
            <w:r>
              <w:rPr>
                <w:rStyle w:val="39"/>
                <w:rFonts w:eastAsia="宋体"/>
                <w:bdr w:val="none" w:color="auto" w:sz="0" w:space="0"/>
                <w:lang w:val="en-US" w:eastAsia="zh-CN" w:bidi="ar"/>
              </w:rPr>
              <w:t>≥</w:t>
            </w:r>
            <w:r>
              <w:rPr>
                <w:rStyle w:val="38"/>
                <w:bdr w:val="none" w:color="auto" w:sz="0" w:space="0"/>
                <w:lang w:val="en-US" w:eastAsia="zh-CN" w:bidi="ar"/>
              </w:rPr>
              <w:t>1000件</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2022年实际办理减刑案件1148件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按照省、市院安排开展巡回检察工作</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2022年预计开展交叉巡回检察≥2次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2022年开展对阿坝和德阳监狱巡回检察各1次，共计2次</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案件合格率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瑕疵案率≦1%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无瑕疵案件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提出纠正意见被监狱采纳率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Style w:val="39"/>
                <w:rFonts w:eastAsia="宋体"/>
                <w:bdr w:val="none" w:color="auto" w:sz="0" w:space="0"/>
                <w:lang w:val="en-US" w:eastAsia="zh-CN" w:bidi="ar"/>
              </w:rPr>
              <w:t>≥</w:t>
            </w:r>
            <w:r>
              <w:rPr>
                <w:rStyle w:val="38"/>
                <w:bdr w:val="none" w:color="auto" w:sz="0" w:space="0"/>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2022年提出纠正提请减刑不当258件，不予减刑7件，得到审判机关的采纳261件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全年任务完成时间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Style w:val="39"/>
                <w:rFonts w:eastAsia="宋体"/>
                <w:bdr w:val="none" w:color="auto" w:sz="0" w:space="0"/>
                <w:lang w:val="en-US" w:eastAsia="zh-CN" w:bidi="ar"/>
              </w:rPr>
              <w:t>≤</w:t>
            </w:r>
            <w:r>
              <w:rPr>
                <w:rStyle w:val="38"/>
                <w:bdr w:val="none" w:color="auto" w:sz="0" w:space="0"/>
                <w:lang w:val="en-US" w:eastAsia="zh-CN" w:bidi="ar"/>
              </w:rPr>
              <w:t>12月</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实际用时11个月</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预算资金控制数≤24.82万元</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bdr w:val="none" w:color="auto" w:sz="0" w:space="0"/>
                <w:lang w:val="en-US" w:eastAsia="zh-CN" w:bidi="ar"/>
              </w:rPr>
              <w:t>实际支出</w:t>
            </w:r>
            <w:r>
              <w:rPr>
                <w:rStyle w:val="39"/>
                <w:rFonts w:eastAsia="宋体"/>
                <w:bdr w:val="none" w:color="auto" w:sz="0" w:space="0"/>
                <w:lang w:val="en-US" w:eastAsia="zh-CN" w:bidi="ar"/>
              </w:rPr>
              <w:t>24.46</w:t>
            </w:r>
            <w:r>
              <w:rPr>
                <w:rStyle w:val="38"/>
                <w:bdr w:val="none" w:color="auto" w:sz="0" w:space="0"/>
                <w:lang w:val="en-US" w:eastAsia="zh-CN" w:bidi="ar"/>
              </w:rPr>
              <w:t>万元</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指标</w:t>
            </w: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典型案例被上级部门采用</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罪犯张某某减刑案作为典型案例被省检察院采用</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监管场所秩序稳定</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监管场所秩序好</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监管场所秩序稳定，无脱逃事件发生</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指标</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260" w:type="dxa"/>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群众满意度</w:t>
            </w:r>
          </w:p>
        </w:tc>
        <w:tc>
          <w:tcPr>
            <w:tcW w:w="3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0"/>
                <w:bdr w:val="none" w:color="auto" w:sz="0" w:space="0"/>
                <w:lang w:val="en-US" w:eastAsia="zh-CN" w:bidi="ar"/>
              </w:rPr>
              <w:t>≧</w:t>
            </w:r>
            <w:r>
              <w:rPr>
                <w:rStyle w:val="38"/>
                <w:bdr w:val="none" w:color="auto" w:sz="0" w:space="0"/>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部门（单位）自评结论</w:t>
            </w:r>
          </w:p>
        </w:tc>
        <w:tc>
          <w:tcPr>
            <w:tcW w:w="8552"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在财政资金的足额保障的基础之上，我院依法办理刑事执行监督案件，严格落实岗位职责、派驻职责、办案职责、“驻+巡”工作职责等“四个职责”，有效促进了派驻检察工作的规范化水平，有力的维护了监管场所的稳定，确保服刑人员的合法权益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部门（单位）自评存在问题</w:t>
            </w:r>
          </w:p>
        </w:tc>
        <w:tc>
          <w:tcPr>
            <w:tcW w:w="8552"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1、项目资金支出进度受项目推进速度的影响较大；2、重支出、轻绩效，绩效理念还有待进一步加强。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部门（单位）自评改进措施</w:t>
            </w:r>
          </w:p>
        </w:tc>
        <w:tc>
          <w:tcPr>
            <w:tcW w:w="8552"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1、项目实施过程中，加大项目推进的速度，提升项目资金的支出进度；2、切实提高政治站位，不断提升绩效管理意识，认真落实对预算绩效工资的主体责任。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财政部门对口科室复评结论及整改要求</w:t>
            </w:r>
          </w:p>
        </w:tc>
        <w:tc>
          <w:tcPr>
            <w:tcW w:w="8552"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部门项目负责人：杜玉玲</w:t>
            </w:r>
          </w:p>
        </w:tc>
        <w:tc>
          <w:tcPr>
            <w:tcW w:w="469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部门财务负责人：杜玉玲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财政部门科室负责人：李瑾</w:t>
            </w:r>
          </w:p>
        </w:tc>
        <w:tc>
          <w:tcPr>
            <w:tcW w:w="106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bl>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tbl>
      <w:tblPr>
        <w:tblStyle w:val="15"/>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116"/>
        <w:gridCol w:w="76"/>
        <w:gridCol w:w="756"/>
        <w:gridCol w:w="36"/>
        <w:gridCol w:w="84"/>
        <w:gridCol w:w="205"/>
        <w:gridCol w:w="382"/>
        <w:gridCol w:w="161"/>
        <w:gridCol w:w="271"/>
        <w:gridCol w:w="81"/>
        <w:gridCol w:w="302"/>
        <w:gridCol w:w="270"/>
        <w:gridCol w:w="249"/>
        <w:gridCol w:w="2"/>
        <w:gridCol w:w="107"/>
        <w:gridCol w:w="160"/>
        <w:gridCol w:w="249"/>
        <w:gridCol w:w="86"/>
        <w:gridCol w:w="98"/>
        <w:gridCol w:w="89"/>
        <w:gridCol w:w="247"/>
        <w:gridCol w:w="46"/>
        <w:gridCol w:w="225"/>
        <w:gridCol w:w="2"/>
        <w:gridCol w:w="192"/>
        <w:gridCol w:w="324"/>
        <w:gridCol w:w="80"/>
        <w:gridCol w:w="248"/>
        <w:gridCol w:w="104"/>
        <w:gridCol w:w="415"/>
        <w:gridCol w:w="12"/>
        <w:gridCol w:w="243"/>
        <w:gridCol w:w="103"/>
        <w:gridCol w:w="393"/>
        <w:gridCol w:w="6"/>
        <w:gridCol w:w="341"/>
        <w:gridCol w:w="103"/>
        <w:gridCol w:w="211"/>
        <w:gridCol w:w="325"/>
        <w:gridCol w:w="14"/>
        <w:gridCol w:w="372"/>
        <w:gridCol w:w="1048"/>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540" w:hRule="atLeast"/>
        </w:trPr>
        <w:tc>
          <w:tcPr>
            <w:tcW w:w="9585" w:type="dxa"/>
            <w:gridSpan w:val="4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检察官、法警加班津贴项目支出绩效目标自评表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40" w:hRule="atLeast"/>
        </w:trPr>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386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317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四川省广元市荣山地区人民检察院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00" w:hRule="atLeast"/>
        </w:trPr>
        <w:tc>
          <w:tcPr>
            <w:tcW w:w="8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386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402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0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86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保障检察官、法警加班津贴足额到位</w:t>
            </w:r>
          </w:p>
        </w:tc>
        <w:tc>
          <w:tcPr>
            <w:tcW w:w="402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保障检察官、法警加班津贴足额到位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9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78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检察官、法警加班津贴按照标准按时保障到位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080" w:hRule="atLeast"/>
        </w:trPr>
        <w:tc>
          <w:tcPr>
            <w:tcW w:w="8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7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7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0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7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70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92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720" w:hRule="atLeast"/>
        </w:trPr>
        <w:tc>
          <w:tcPr>
            <w:tcW w:w="8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72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39" w:type="dxa"/>
            <w:gridSpan w:val="6"/>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预算资金控制数</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5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检察、法警人数</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90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提出纠正不当率占在押人员总数比例</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72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全年任务完成时间</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5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预算资金控制数</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2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监狱整改纠正率</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检察意见法院采纳率</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0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社会群众满意度</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00" w:hRule="atLeast"/>
        </w:trPr>
        <w:tc>
          <w:tcPr>
            <w:tcW w:w="640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860" w:hRule="atLeast"/>
        </w:trPr>
        <w:tc>
          <w:tcPr>
            <w:tcW w:w="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724"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2022年按照年初制定的目标计划圆满完成了各项绩效任务。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860" w:hRule="atLeast"/>
        </w:trPr>
        <w:tc>
          <w:tcPr>
            <w:tcW w:w="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724"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绩效理念有待进一步提升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860" w:hRule="atLeast"/>
        </w:trPr>
        <w:tc>
          <w:tcPr>
            <w:tcW w:w="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724"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提高政治站位，不断提升绩效管理意识，认真落实好预算绩效的主体责任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340" w:hRule="atLeast"/>
        </w:trPr>
        <w:tc>
          <w:tcPr>
            <w:tcW w:w="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8724"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443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514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443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部门项目负责人：杜玉玲</w:t>
            </w:r>
          </w:p>
        </w:tc>
        <w:tc>
          <w:tcPr>
            <w:tcW w:w="514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部门财务负责人：杜玉玲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958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320" w:hRule="atLeast"/>
        </w:trPr>
        <w:tc>
          <w:tcPr>
            <w:tcW w:w="9585" w:type="dxa"/>
            <w:gridSpan w:val="4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办案经费（单列）项目支出绩效目标自评表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40" w:hRule="atLeast"/>
        </w:trPr>
        <w:tc>
          <w:tcPr>
            <w:tcW w:w="1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30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39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四川省广元市荣山地区人民检察院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0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98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30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481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98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0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“减假暂”案件数</w:t>
            </w:r>
            <w:r>
              <w:rPr>
                <w:rStyle w:val="36"/>
                <w:rFonts w:eastAsia="宋体"/>
                <w:lang w:val="en-US" w:eastAsia="zh-CN" w:bidi="ar"/>
              </w:rPr>
              <w:t>≥</w:t>
            </w:r>
            <w:r>
              <w:rPr>
                <w:rStyle w:val="37"/>
                <w:lang w:val="en-US" w:eastAsia="zh-CN" w:bidi="ar"/>
              </w:rPr>
              <w:t>1000件，纠正监狱各类违法案件</w:t>
            </w:r>
            <w:r>
              <w:rPr>
                <w:rStyle w:val="36"/>
                <w:rFonts w:eastAsia="宋体"/>
                <w:lang w:val="en-US" w:eastAsia="zh-CN" w:bidi="ar"/>
              </w:rPr>
              <w:t>≥</w:t>
            </w:r>
            <w:r>
              <w:rPr>
                <w:rStyle w:val="37"/>
                <w:lang w:val="en-US" w:eastAsia="zh-CN" w:bidi="ar"/>
              </w:rPr>
              <w:t>40件。</w:t>
            </w:r>
          </w:p>
        </w:tc>
        <w:tc>
          <w:tcPr>
            <w:tcW w:w="481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2022年，我院不断提升对刑罚执行机关监督力度，办理减刑案件1148件，及时发现并监督纠正监管机关刑事执行违法情形50件（次），发出纠正违法（违规）通知书50份，促进了监狱监管执法水平稳步提升。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26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7854"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绕全省检察机关派驻监管场所检察室规范化等级考核评定要求，确保驻广元监狱“一级规范化检察室”达标验收；强化机构队伍建设、制度机制建设、基础设施建设“三个建设”，严格落实岗位职责、派驻职责、办案职责、“驻+巡”工作职责等“四个职责”，有效促进了派驻检察工作的规范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50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74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1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72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1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84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8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908"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96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75"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“减假暂”案件办理数</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纠正违法数量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公开听证案件</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675"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提出纠正不当率占在押人员总数比例</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5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全年任务完成时间</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预算资金控制数</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监狱整改纠正率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5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检察意见法院采纳率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社会群众满意度</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564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86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842"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2022年按照年初制定的目标计划圆满完成了各项绩效任务。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86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842"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绩效理念有待进一步提升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168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842"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提高政治站位，不断提升绩效管理意识，认真落实好预算绩效的主体责任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374"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8842"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373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5847"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373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部门项目负责人：杜玉玲</w:t>
            </w:r>
          </w:p>
        </w:tc>
        <w:tc>
          <w:tcPr>
            <w:tcW w:w="5847"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部门财务负责人：杜玉玲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270" w:hRule="atLeast"/>
        </w:trPr>
        <w:tc>
          <w:tcPr>
            <w:tcW w:w="958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40" w:hRule="atLeast"/>
        </w:trPr>
        <w:tc>
          <w:tcPr>
            <w:tcW w:w="9585" w:type="dxa"/>
            <w:gridSpan w:val="4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聘用书记员工作经费</w:t>
            </w:r>
            <w:r>
              <w:rPr>
                <w:rFonts w:hint="default" w:ascii="方正小标宋简体" w:hAnsi="方正小标宋简体" w:eastAsia="方正小标宋简体" w:cs="方正小标宋简体"/>
                <w:i w:val="0"/>
                <w:iCs w:val="0"/>
                <w:color w:val="000000"/>
                <w:kern w:val="0"/>
                <w:sz w:val="44"/>
                <w:szCs w:val="44"/>
                <w:u w:val="none"/>
                <w:lang w:val="en-US" w:eastAsia="zh-CN" w:bidi="ar"/>
              </w:rPr>
              <w:t>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40" w:hRule="atLeast"/>
        </w:trPr>
        <w:tc>
          <w:tcPr>
            <w:tcW w:w="1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323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36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四川省广元市荣山地区人民检察院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0" w:hRule="atLeast"/>
        </w:trPr>
        <w:tc>
          <w:tcPr>
            <w:tcW w:w="9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8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323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45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23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确保5名书记员工资等福利待遇足额到位</w:t>
            </w:r>
          </w:p>
        </w:tc>
        <w:tc>
          <w:tcPr>
            <w:tcW w:w="45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5名书记员工资等福利待遇顺利足额到位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6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777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2020年我院聘用书记员5名，主要配合员额检察官办理刑罚执行监督类案件，项目实施的内容主要是保障5名聘用书记员工资等福利待遇足额到位。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140" w:hRule="atLeast"/>
        </w:trPr>
        <w:tc>
          <w:tcPr>
            <w:tcW w:w="9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4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8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2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8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6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20" w:hRule="atLeast"/>
        </w:trPr>
        <w:tc>
          <w:tcPr>
            <w:tcW w:w="9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8"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聘用人员数量</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2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协助员额检察官办案率</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6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瑕疵案件率</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2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全年任务完成时间</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预算资金控制数</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2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确保聘用书记员工资等各项福利待遇足额到位</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好中差</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60" w:hRule="atLeast"/>
        </w:trPr>
        <w:tc>
          <w:tcPr>
            <w:tcW w:w="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社会群众满意度</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80" w:hRule="atLeast"/>
        </w:trPr>
        <w:tc>
          <w:tcPr>
            <w:tcW w:w="589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860" w:hRule="atLeast"/>
        </w:trPr>
        <w:tc>
          <w:tcPr>
            <w:tcW w:w="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6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2022年，5名书记员工资等福利待遇顺利足额到位，圆满完成员额检察官交办的各项工作任务。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860" w:hRule="atLeast"/>
        </w:trPr>
        <w:tc>
          <w:tcPr>
            <w:tcW w:w="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6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聘用书记员每人5万元的人头经费，低于全市最低收入标准。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860" w:hRule="atLeast"/>
        </w:trPr>
        <w:tc>
          <w:tcPr>
            <w:tcW w:w="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6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积极向市财政争取，增加书记员个人工资待遇标准。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860" w:hRule="atLeast"/>
        </w:trPr>
        <w:tc>
          <w:tcPr>
            <w:tcW w:w="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86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70" w:hRule="atLeast"/>
        </w:trPr>
        <w:tc>
          <w:tcPr>
            <w:tcW w:w="400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55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70" w:hRule="atLeast"/>
        </w:trPr>
        <w:tc>
          <w:tcPr>
            <w:tcW w:w="400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部门项目负责人：杜玉玲</w:t>
            </w:r>
          </w:p>
        </w:tc>
        <w:tc>
          <w:tcPr>
            <w:tcW w:w="55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部门财务负责人：杜玉玲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70" w:hRule="atLeast"/>
        </w:trPr>
        <w:tc>
          <w:tcPr>
            <w:tcW w:w="958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95" w:type="dxa"/>
            <w:gridSpan w:val="4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巡回检察工作经费</w:t>
            </w:r>
            <w:r>
              <w:rPr>
                <w:rFonts w:hint="default" w:ascii="方正小标宋简体" w:hAnsi="方正小标宋简体" w:eastAsia="方正小标宋简体" w:cs="方正小标宋简体"/>
                <w:i w:val="0"/>
                <w:iCs w:val="0"/>
                <w:color w:val="000000"/>
                <w:kern w:val="0"/>
                <w:sz w:val="44"/>
                <w:szCs w:val="44"/>
                <w:u w:val="none"/>
                <w:lang w:val="en-US" w:eastAsia="zh-CN" w:bidi="ar"/>
              </w:rPr>
              <w:t>项</w:t>
            </w:r>
            <w:r>
              <w:rPr>
                <w:rFonts w:hint="default" w:ascii="方正小标宋简体" w:hAnsi="方正小标宋简体" w:eastAsia="方正小标宋简体" w:cs="方正小标宋简体"/>
                <w:i w:val="0"/>
                <w:iCs w:val="0"/>
                <w:color w:val="000000"/>
                <w:kern w:val="0"/>
                <w:sz w:val="44"/>
                <w:szCs w:val="44"/>
                <w:u w:val="none"/>
                <w:lang w:val="en-US" w:eastAsia="zh-CN" w:bidi="ar"/>
              </w:rPr>
              <w:t>目支出绩效目标自评表</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321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36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四川省广元市荣山地区人民检察院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0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321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43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21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全面落实“巡回+派驻”的刑执检察新模式</w:t>
            </w:r>
          </w:p>
        </w:tc>
        <w:tc>
          <w:tcPr>
            <w:tcW w:w="43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全面落实“巡回+派驻”的刑执检察新模式，对德阳监狱、阿坝监狱开展巡回检察工作，共查找出各类问题50余个，其中，发现违纪违法问题线索7个，提出整改工作建议7个。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757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巡回+派驻”的刑执检察新模式，及时总结巡回检察好经验。对德阳监狱、阿坝监狱开展巡回检察工作，查找出各类问题50余个，其中，发现违纪违法问题线索7个，提出整改工作建议7个，其工作成效得到了省院领导的充分肯定，与此同时，及时归纳总结巡回检察工作经验，关于如何拓展线索的“889工作法”、需要重点关注的“6个方面”、善于发现问题的6个工作技巧等经验被其它市州检察机关所借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5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5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19.65</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98.25%</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5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19.65</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98.25%</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95"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交叉巡回检察</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纠正违法数量</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巡回检察工作期间向监狱提出纠正意见</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全年任务完成时间</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预算资金控制数</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19.65</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95"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监狱整改纠正率</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社会群众满意度</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9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94</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6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2022年全面落实“巡回+派驻”的刑执检察新模式，按照省检察院的工作要求，完成对阿坝、德阳监狱的巡回检察工作并及时总结巡回检察好经验。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6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资金支出的同时缺少对绩效理念的巩固提升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6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提高政治站位，不断提升绩效管理意识，认真落实好预算绩效的主体责任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86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534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部门项目负责人：杜玉玲</w:t>
            </w:r>
          </w:p>
        </w:tc>
        <w:tc>
          <w:tcPr>
            <w:tcW w:w="534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部门财务负责人：杜玉玲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95"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财政部门科室负责人：李瑾</w:t>
            </w:r>
          </w:p>
        </w:tc>
      </w:tr>
    </w:tbl>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tbl>
      <w:tblPr>
        <w:tblStyle w:val="15"/>
        <w:tblW w:w="95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44"/>
        <w:gridCol w:w="944"/>
        <w:gridCol w:w="885"/>
        <w:gridCol w:w="521"/>
        <w:gridCol w:w="555"/>
        <w:gridCol w:w="521"/>
        <w:gridCol w:w="810"/>
        <w:gridCol w:w="779"/>
        <w:gridCol w:w="824"/>
        <w:gridCol w:w="794"/>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77"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特定转移支付</w:t>
            </w:r>
            <w:r>
              <w:rPr>
                <w:rFonts w:hint="default" w:ascii="方正小标宋简体" w:hAnsi="方正小标宋简体" w:eastAsia="方正小标宋简体" w:cs="方正小标宋简体"/>
                <w:i w:val="0"/>
                <w:iCs w:val="0"/>
                <w:color w:val="000000"/>
                <w:kern w:val="0"/>
                <w:sz w:val="44"/>
                <w:szCs w:val="44"/>
                <w:u w:val="none"/>
                <w:lang w:val="en-US" w:eastAsia="zh-CN" w:bidi="ar"/>
              </w:rPr>
              <w:t>项</w:t>
            </w:r>
            <w:r>
              <w:rPr>
                <w:rFonts w:hint="default" w:ascii="方正小标宋简体" w:hAnsi="方正小标宋简体" w:eastAsia="方正小标宋简体" w:cs="方正小标宋简体"/>
                <w:i w:val="0"/>
                <w:iCs w:val="0"/>
                <w:color w:val="000000"/>
                <w:kern w:val="0"/>
                <w:sz w:val="44"/>
                <w:szCs w:val="44"/>
                <w:u w:val="none"/>
                <w:lang w:val="en-US" w:eastAsia="zh-CN" w:bidi="ar"/>
              </w:rPr>
              <w:t>目支出绩效目标自评表</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3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35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四川省广元市荣山地区人民检察院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3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全面落实“巡回+派驻”的刑执检察新模式</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全面落实“巡回+派驻”的刑执检察新模式，对德阳监狱、阿坝监狱开展巡回检察工作，共查找出各类问题50余个，其中，发现违纪违法问题线索7个，提出整改工作建议7个。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巡回+派驻”的刑执检察新模式，及时总结巡回检察好经验。对德阳监狱、阿坝监狱开展巡回检察工作，查找出各类问题50余个，其中，发现违纪违法问题线索7个，提出整改工作建议7个，其工作成效得到了省院领导的充分肯定，与此同时，及时归纳总结巡回检察工作经验，关于如何拓展线索的“889工作法”、需要重点关注的“6个方面”、善于发现问题的6个工作技巧等经验被其它市州检察机关所借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交叉巡回检察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纠正违法数量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巡回检察工作期间向监狱提出纠正意见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全年任务完成时间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预算资金控制数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监狱整改纠正率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7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2022年全面落实“巡回+派驻”的刑执检察新模式，按照省检察院的工作要求，完成对阿坝、德阳监狱的巡回检察工作并及时总结巡回检察好经验。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7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资金支出的同时缺少对绩效理念的巩固提升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7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提高政治站位，不断提升绩效管理意识，认真落实好预算绩效的主体责任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87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54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部门项目负责人：杜玉玲</w:t>
            </w:r>
          </w:p>
        </w:tc>
        <w:tc>
          <w:tcPr>
            <w:tcW w:w="54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部门财务负责人：杜玉玲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财政部门科室负责人：李瑾</w:t>
            </w:r>
          </w:p>
        </w:tc>
      </w:tr>
    </w:tbl>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p>
    <w:bookmarkEnd w:id="52"/>
    <w:p>
      <w:pPr>
        <w:spacing w:line="600" w:lineRule="exact"/>
        <w:jc w:val="center"/>
        <w:outlineLvl w:val="0"/>
        <w:rPr>
          <w:rFonts w:hint="eastAsia" w:ascii="黑体" w:hAnsi="黑体" w:eastAsia="黑体"/>
          <w:color w:val="auto"/>
          <w:sz w:val="44"/>
          <w:szCs w:val="44"/>
          <w:highlight w:val="none"/>
        </w:rPr>
      </w:pPr>
      <w:bookmarkStart w:id="53" w:name="_Toc15396619"/>
    </w:p>
    <w:p>
      <w:pPr>
        <w:spacing w:line="600" w:lineRule="exact"/>
        <w:jc w:val="center"/>
        <w:outlineLvl w:val="0"/>
        <w:rPr>
          <w:rFonts w:hint="eastAsia" w:ascii="仿宋" w:hAnsi="仿宋" w:eastAsia="仿宋"/>
          <w:b w:val="0"/>
          <w:color w:val="auto"/>
          <w:highlight w:val="none"/>
        </w:rPr>
      </w:pPr>
      <w:bookmarkStart w:id="66" w:name="_GoBack"/>
      <w:bookmarkEnd w:id="66"/>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3"/>
    </w:p>
    <w:p>
      <w:pPr>
        <w:pStyle w:val="3"/>
        <w:rPr>
          <w:rFonts w:ascii="仿宋" w:hAnsi="仿宋" w:eastAsia="仿宋"/>
          <w:color w:val="auto"/>
          <w:highlight w:val="none"/>
        </w:rPr>
      </w:pPr>
      <w:bookmarkStart w:id="54"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4"/>
    </w:p>
    <w:p>
      <w:pPr>
        <w:pStyle w:val="3"/>
        <w:rPr>
          <w:rFonts w:ascii="仿宋" w:hAnsi="仿宋" w:eastAsia="仿宋"/>
          <w:color w:val="auto"/>
          <w:highlight w:val="none"/>
        </w:rPr>
      </w:pPr>
      <w:bookmarkStart w:id="55"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55"/>
    </w:p>
    <w:p>
      <w:pPr>
        <w:pStyle w:val="3"/>
        <w:rPr>
          <w:rFonts w:ascii="仿宋" w:hAnsi="仿宋" w:eastAsia="仿宋"/>
          <w:b w:val="0"/>
          <w:color w:val="auto"/>
          <w:highlight w:val="none"/>
        </w:rPr>
      </w:pPr>
      <w:bookmarkStart w:id="56"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56"/>
    </w:p>
    <w:p>
      <w:pPr>
        <w:pStyle w:val="3"/>
        <w:rPr>
          <w:rStyle w:val="29"/>
          <w:rFonts w:ascii="仿宋" w:hAnsi="仿宋" w:eastAsia="仿宋"/>
          <w:b w:val="0"/>
          <w:bCs w:val="0"/>
          <w:color w:val="auto"/>
          <w:highlight w:val="none"/>
        </w:rPr>
      </w:pPr>
      <w:bookmarkStart w:id="57"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57"/>
      <w:bookmarkStart w:id="58" w:name="_Toc15396624"/>
    </w:p>
    <w:p>
      <w:pPr>
        <w:pStyle w:val="3"/>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58"/>
    </w:p>
    <w:p>
      <w:pPr>
        <w:pStyle w:val="3"/>
        <w:rPr>
          <w:rFonts w:ascii="仿宋" w:hAnsi="仿宋" w:eastAsia="仿宋"/>
          <w:color w:val="auto"/>
          <w:highlight w:val="none"/>
        </w:rPr>
      </w:pPr>
      <w:bookmarkStart w:id="59"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59"/>
    </w:p>
    <w:p>
      <w:pPr>
        <w:pStyle w:val="3"/>
        <w:rPr>
          <w:rFonts w:ascii="仿宋" w:hAnsi="仿宋" w:eastAsia="仿宋"/>
          <w:color w:val="auto"/>
          <w:highlight w:val="none"/>
        </w:rPr>
      </w:pPr>
      <w:bookmarkStart w:id="60"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0"/>
    </w:p>
    <w:p>
      <w:pPr>
        <w:pStyle w:val="3"/>
        <w:rPr>
          <w:rFonts w:ascii="仿宋" w:hAnsi="仿宋" w:eastAsia="仿宋"/>
          <w:color w:val="auto"/>
          <w:highlight w:val="none"/>
        </w:rPr>
      </w:pPr>
      <w:bookmarkStart w:id="61"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1"/>
    </w:p>
    <w:p>
      <w:pPr>
        <w:pStyle w:val="3"/>
        <w:rPr>
          <w:rFonts w:ascii="仿宋" w:hAnsi="仿宋" w:eastAsia="仿宋"/>
          <w:color w:val="auto"/>
          <w:highlight w:val="none"/>
        </w:rPr>
      </w:pPr>
      <w:bookmarkStart w:id="62" w:name="_Toc15396628"/>
      <w:r>
        <w:rPr>
          <w:rStyle w:val="29"/>
          <w:rFonts w:hint="eastAsia" w:ascii="仿宋" w:hAnsi="仿宋" w:eastAsia="仿宋"/>
          <w:b w:val="0"/>
          <w:bCs w:val="0"/>
          <w:color w:val="auto"/>
          <w:highlight w:val="none"/>
        </w:rPr>
        <w:t>十、</w:t>
      </w:r>
      <w:bookmarkEnd w:id="62"/>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63" w:name="_Toc15396629"/>
      <w:r>
        <w:rPr>
          <w:rStyle w:val="29"/>
          <w:rFonts w:hint="eastAsia" w:ascii="仿宋" w:hAnsi="仿宋" w:eastAsia="仿宋"/>
          <w:b w:val="0"/>
          <w:bCs w:val="0"/>
          <w:color w:val="auto"/>
          <w:highlight w:val="none"/>
        </w:rPr>
        <w:t>十一、</w:t>
      </w:r>
      <w:bookmarkEnd w:id="63"/>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64" w:name="_Toc15396630"/>
      <w:r>
        <w:rPr>
          <w:rStyle w:val="29"/>
          <w:rFonts w:hint="eastAsia" w:ascii="仿宋" w:hAnsi="仿宋" w:eastAsia="仿宋"/>
          <w:b w:val="0"/>
          <w:bCs w:val="0"/>
          <w:color w:val="auto"/>
          <w:highlight w:val="none"/>
        </w:rPr>
        <w:t>十二、</w:t>
      </w:r>
      <w:bookmarkEnd w:id="64"/>
      <w:r>
        <w:rPr>
          <w:rStyle w:val="29"/>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65" w:name="_Toc15396631"/>
      <w:r>
        <w:rPr>
          <w:rStyle w:val="29"/>
          <w:rFonts w:hint="eastAsia" w:ascii="仿宋" w:hAnsi="仿宋" w:eastAsia="仿宋"/>
          <w:b w:val="0"/>
          <w:bCs w:val="0"/>
          <w:color w:val="auto"/>
          <w:highlight w:val="none"/>
        </w:rPr>
        <w:t>十三、</w:t>
      </w:r>
      <w:bookmarkEnd w:id="65"/>
      <w:r>
        <w:rPr>
          <w:rStyle w:val="29"/>
          <w:rFonts w:hint="eastAsia" w:ascii="仿宋" w:hAnsi="仿宋" w:eastAsia="仿宋"/>
          <w:b w:val="0"/>
          <w:bCs w:val="0"/>
          <w:color w:val="auto"/>
          <w:highlight w:val="none"/>
          <w:lang w:eastAsia="zh-CN"/>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E456B"/>
    <w:multiLevelType w:val="singleLevel"/>
    <w:tmpl w:val="CCFE456B"/>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E643915"/>
    <w:multiLevelType w:val="singleLevel"/>
    <w:tmpl w:val="1E643915"/>
    <w:lvl w:ilvl="0" w:tentative="0">
      <w:start w:val="2"/>
      <w:numFmt w:val="chineseCounting"/>
      <w:suff w:val="nothing"/>
      <w:lvlText w:val="(%1）"/>
      <w:lvlJc w:val="left"/>
      <w:rPr>
        <w:rFonts w:hint="eastAsia"/>
      </w:rPr>
    </w:lvl>
  </w:abstractNum>
  <w:abstractNum w:abstractNumId="7">
    <w:nsid w:val="58D9C2F2"/>
    <w:multiLevelType w:val="singleLevel"/>
    <w:tmpl w:val="58D9C2F2"/>
    <w:lvl w:ilvl="0" w:tentative="0">
      <w:start w:val="4"/>
      <w:numFmt w:val="chineseCounting"/>
      <w:suff w:val="nothing"/>
      <w:lvlText w:val="（%1）"/>
      <w:lvlJc w:val="left"/>
      <w:rPr>
        <w:rFonts w:hint="eastAsia"/>
      </w:rPr>
    </w:lvl>
  </w:abstractNum>
  <w:abstractNum w:abstractNumId="8">
    <w:nsid w:val="71EF2E28"/>
    <w:multiLevelType w:val="singleLevel"/>
    <w:tmpl w:val="71EF2E28"/>
    <w:lvl w:ilvl="0" w:tentative="0">
      <w:start w:val="1"/>
      <w:numFmt w:val="chineseCounting"/>
      <w:suff w:val="nothing"/>
      <w:lvlText w:val="%1、"/>
      <w:lvlJc w:val="left"/>
      <w:rPr>
        <w:rFonts w:hint="eastAsia"/>
      </w:rPr>
    </w:lvl>
  </w:abstractNum>
  <w:num w:numId="1">
    <w:abstractNumId w:val="8"/>
  </w:num>
  <w:num w:numId="2">
    <w:abstractNumId w:val="5"/>
  </w:num>
  <w:num w:numId="3">
    <w:abstractNumId w:val="1"/>
  </w:num>
  <w:num w:numId="4">
    <w:abstractNumId w:val="3"/>
  </w:num>
  <w:num w:numId="5">
    <w:abstractNumId w:val="4"/>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DQ3ZWI0N2MxYTE3MDhhNGQ5NWJkYzUwNDI3ZG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5CC71A7"/>
    <w:rsid w:val="066E0107"/>
    <w:rsid w:val="07996F6E"/>
    <w:rsid w:val="0A2032A3"/>
    <w:rsid w:val="0F98263C"/>
    <w:rsid w:val="101860EC"/>
    <w:rsid w:val="108F5D13"/>
    <w:rsid w:val="10C055FF"/>
    <w:rsid w:val="118107EC"/>
    <w:rsid w:val="13D50BC4"/>
    <w:rsid w:val="15843885"/>
    <w:rsid w:val="16BB723D"/>
    <w:rsid w:val="1BE8440E"/>
    <w:rsid w:val="1D155CEE"/>
    <w:rsid w:val="1FF35744"/>
    <w:rsid w:val="23860B96"/>
    <w:rsid w:val="240371BF"/>
    <w:rsid w:val="263524F2"/>
    <w:rsid w:val="26C26CF7"/>
    <w:rsid w:val="284C4A2B"/>
    <w:rsid w:val="29FD04D3"/>
    <w:rsid w:val="2A0132DC"/>
    <w:rsid w:val="2C8A61B5"/>
    <w:rsid w:val="2DF04E50"/>
    <w:rsid w:val="2F040D46"/>
    <w:rsid w:val="306D4B10"/>
    <w:rsid w:val="319F7F4E"/>
    <w:rsid w:val="32A9493D"/>
    <w:rsid w:val="3304709D"/>
    <w:rsid w:val="3514375C"/>
    <w:rsid w:val="36AA5135"/>
    <w:rsid w:val="376D39B2"/>
    <w:rsid w:val="37E16F03"/>
    <w:rsid w:val="38D469F0"/>
    <w:rsid w:val="391F5767"/>
    <w:rsid w:val="3BED667A"/>
    <w:rsid w:val="3D98207C"/>
    <w:rsid w:val="3E78745D"/>
    <w:rsid w:val="3EED3109"/>
    <w:rsid w:val="405613EC"/>
    <w:rsid w:val="44E268DA"/>
    <w:rsid w:val="45EA20AB"/>
    <w:rsid w:val="4A627F82"/>
    <w:rsid w:val="4B0E749A"/>
    <w:rsid w:val="4B4F25DA"/>
    <w:rsid w:val="4BE068DB"/>
    <w:rsid w:val="4D577224"/>
    <w:rsid w:val="4EAB630A"/>
    <w:rsid w:val="4ECE2238"/>
    <w:rsid w:val="4F66465A"/>
    <w:rsid w:val="537E6D0A"/>
    <w:rsid w:val="5479436A"/>
    <w:rsid w:val="58AF535B"/>
    <w:rsid w:val="5AF92295"/>
    <w:rsid w:val="5BD761EA"/>
    <w:rsid w:val="5CD71FC4"/>
    <w:rsid w:val="602803B8"/>
    <w:rsid w:val="65441F33"/>
    <w:rsid w:val="6618375F"/>
    <w:rsid w:val="69BE2F2B"/>
    <w:rsid w:val="6C4A05C8"/>
    <w:rsid w:val="6E7E3605"/>
    <w:rsid w:val="6FF5CC65"/>
    <w:rsid w:val="70146D8B"/>
    <w:rsid w:val="715C0E4B"/>
    <w:rsid w:val="72734D90"/>
    <w:rsid w:val="72C232B3"/>
    <w:rsid w:val="73AD73D5"/>
    <w:rsid w:val="73B6EB34"/>
    <w:rsid w:val="744731E5"/>
    <w:rsid w:val="74925BE2"/>
    <w:rsid w:val="76E3355F"/>
    <w:rsid w:val="778769C8"/>
    <w:rsid w:val="79EE5BA4"/>
    <w:rsid w:val="7A894339"/>
    <w:rsid w:val="7A901365"/>
    <w:rsid w:val="7EEF11D3"/>
    <w:rsid w:val="7EF755D3"/>
    <w:rsid w:val="7F3D1D90"/>
    <w:rsid w:val="7FA30C79"/>
    <w:rsid w:val="7FB7269E"/>
    <w:rsid w:val="7FC96657"/>
    <w:rsid w:val="C5FE40CB"/>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常用样式（方正仿宋简）"/>
    <w:basedOn w:val="1"/>
    <w:next w:val="1"/>
    <w:qFormat/>
    <w:uiPriority w:val="0"/>
    <w:pPr>
      <w:keepNext w:val="0"/>
      <w:keepLines w:val="0"/>
      <w:widowControl w:val="0"/>
      <w:suppressLineNumbers w:val="0"/>
      <w:suppressAutoHyphens/>
      <w:spacing w:before="0" w:beforeAutospacing="0" w:after="0" w:afterAutospacing="0" w:line="560" w:lineRule="exact"/>
      <w:ind w:left="0" w:right="0" w:firstLine="640" w:firstLineChars="200"/>
      <w:jc w:val="both"/>
    </w:pPr>
    <w:rPr>
      <w:rFonts w:hint="default" w:ascii="Calibri" w:hAnsi="Calibri" w:eastAsia="宋体" w:cs="Times New Roman"/>
      <w:kern w:val="2"/>
      <w:sz w:val="32"/>
      <w:szCs w:val="32"/>
      <w:lang w:val="en-US" w:eastAsia="zh-CN" w:bidi="ar"/>
    </w:rPr>
  </w:style>
  <w:style w:type="character" w:customStyle="1" w:styleId="36">
    <w:name w:val="font71"/>
    <w:basedOn w:val="16"/>
    <w:qFormat/>
    <w:uiPriority w:val="0"/>
    <w:rPr>
      <w:rFonts w:ascii="Arial" w:hAnsi="Arial" w:cs="Arial"/>
      <w:color w:val="000000"/>
      <w:sz w:val="18"/>
      <w:szCs w:val="18"/>
      <w:u w:val="none"/>
    </w:rPr>
  </w:style>
  <w:style w:type="character" w:customStyle="1" w:styleId="37">
    <w:name w:val="font31"/>
    <w:basedOn w:val="16"/>
    <w:qFormat/>
    <w:uiPriority w:val="0"/>
    <w:rPr>
      <w:rFonts w:hint="eastAsia" w:ascii="宋体" w:hAnsi="宋体" w:eastAsia="宋体" w:cs="宋体"/>
      <w:color w:val="000000"/>
      <w:sz w:val="18"/>
      <w:szCs w:val="18"/>
      <w:u w:val="none"/>
    </w:rPr>
  </w:style>
  <w:style w:type="character" w:customStyle="1" w:styleId="38">
    <w:name w:val="font21"/>
    <w:basedOn w:val="16"/>
    <w:uiPriority w:val="0"/>
    <w:rPr>
      <w:rFonts w:hint="eastAsia" w:ascii="宋体" w:hAnsi="宋体" w:eastAsia="宋体" w:cs="宋体"/>
      <w:color w:val="000000"/>
      <w:sz w:val="20"/>
      <w:szCs w:val="20"/>
      <w:u w:val="none"/>
    </w:rPr>
  </w:style>
  <w:style w:type="character" w:customStyle="1" w:styleId="39">
    <w:name w:val="font41"/>
    <w:basedOn w:val="16"/>
    <w:uiPriority w:val="0"/>
    <w:rPr>
      <w:rFonts w:ascii="Arial" w:hAnsi="Arial" w:cs="Arial"/>
      <w:color w:val="000000"/>
      <w:sz w:val="20"/>
      <w:szCs w:val="20"/>
      <w:u w:val="none"/>
    </w:rPr>
  </w:style>
  <w:style w:type="character" w:customStyle="1" w:styleId="40">
    <w:name w:val="font51"/>
    <w:basedOn w:val="16"/>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[工作簿1]Sheet1!$B$7:$C$7</c:f>
              <c:strCache>
                <c:ptCount val="2"/>
                <c:pt idx="0">
                  <c:v>2021年收入支出总计578.13万元</c:v>
                </c:pt>
                <c:pt idx="1">
                  <c:v>2022年收入支出总计565.61万元</c:v>
                </c:pt>
              </c:strCache>
            </c:strRef>
          </c:cat>
          <c:val>
            <c:numRef>
              <c:f>[工作簿1]Sheet1!$B$8:$C$8</c:f>
              <c:numCache>
                <c:formatCode>General</c:formatCode>
                <c:ptCount val="2"/>
                <c:pt idx="0">
                  <c:v>578.13</c:v>
                </c:pt>
                <c:pt idx="1">
                  <c:v>565.61</c:v>
                </c:pt>
              </c:numCache>
            </c:numRef>
          </c:val>
        </c:ser>
        <c:dLbls>
          <c:showLegendKey val="0"/>
          <c:showVal val="0"/>
          <c:showCatName val="0"/>
          <c:showSerName val="0"/>
          <c:showPercent val="0"/>
          <c:showBubbleSize val="0"/>
        </c:dLbls>
        <c:gapWidth val="246"/>
        <c:overlap val="-28"/>
        <c:axId val="856056014"/>
        <c:axId val="238676650"/>
      </c:barChart>
      <c:catAx>
        <c:axId val="856056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676650"/>
        <c:crosses val="autoZero"/>
        <c:auto val="1"/>
        <c:lblAlgn val="ctr"/>
        <c:lblOffset val="100"/>
        <c:noMultiLvlLbl val="0"/>
      </c:catAx>
      <c:valAx>
        <c:axId val="23867665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560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[工作簿1]Sheet1!$B$7:$C$7</c:f>
              <c:strCache>
                <c:ptCount val="2"/>
                <c:pt idx="0">
                  <c:v>一般公共预算财政拨款收入506.6万元</c:v>
                </c:pt>
                <c:pt idx="1">
                  <c:v>其他收入10.88万元</c:v>
                </c:pt>
              </c:strCache>
            </c:strRef>
          </c:cat>
          <c:val>
            <c:numRef>
              <c:f>[工作簿1]Sheet1!$B$8:$C$8</c:f>
              <c:numCache>
                <c:formatCode>General</c:formatCode>
                <c:ptCount val="2"/>
                <c:pt idx="0">
                  <c:v>506.6</c:v>
                </c:pt>
                <c:pt idx="1">
                  <c:v>10.88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[工作簿1]Sheet1!$B$7:$C$7</c:f>
              <c:strCache>
                <c:ptCount val="2"/>
                <c:pt idx="0">
                  <c:v>基本支出426.17万元</c:v>
                </c:pt>
                <c:pt idx="1">
                  <c:v>项目支出138.11万元</c:v>
                </c:pt>
              </c:strCache>
            </c:strRef>
          </c:cat>
          <c:val>
            <c:numRef>
              <c:f>[工作簿1]Sheet1!$B$8:$C$8</c:f>
              <c:numCache>
                <c:formatCode>General</c:formatCode>
                <c:ptCount val="2"/>
                <c:pt idx="0">
                  <c:v>426.17</c:v>
                </c:pt>
                <c:pt idx="1">
                  <c:v>138.11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[工作簿1]Sheet1!$B$7:$C$7</c:f>
              <c:strCache>
                <c:ptCount val="2"/>
                <c:pt idx="0">
                  <c:v>2022年财政收支总计</c:v>
                </c:pt>
                <c:pt idx="1">
                  <c:v>2021年财政收支总计</c:v>
                </c:pt>
              </c:strCache>
            </c:strRef>
          </c:cat>
          <c:val>
            <c:numRef>
              <c:f>[工作簿1]Sheet1!$B$8:$C$8</c:f>
              <c:numCache>
                <c:formatCode>General</c:formatCode>
                <c:ptCount val="2"/>
                <c:pt idx="0">
                  <c:v>554.73</c:v>
                </c:pt>
                <c:pt idx="1">
                  <c:v>578.13</c:v>
                </c:pt>
              </c:numCache>
            </c:numRef>
          </c:val>
        </c:ser>
        <c:dLbls>
          <c:showLegendKey val="0"/>
          <c:showVal val="0"/>
          <c:showCatName val="0"/>
          <c:showSerName val="0"/>
          <c:showPercent val="0"/>
          <c:showBubbleSize val="0"/>
        </c:dLbls>
        <c:gapWidth val="246"/>
        <c:overlap val="-28"/>
        <c:axId val="89682173"/>
        <c:axId val="931122011"/>
      </c:barChart>
      <c:catAx>
        <c:axId val="89682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122011"/>
        <c:crosses val="autoZero"/>
        <c:auto val="1"/>
        <c:lblAlgn val="ctr"/>
        <c:lblOffset val="100"/>
        <c:noMultiLvlLbl val="0"/>
      </c:catAx>
      <c:valAx>
        <c:axId val="93112201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82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[工作簿1]Sheet1!$B$7:$C$7</c:f>
              <c:strCache>
                <c:ptCount val="2"/>
                <c:pt idx="0">
                  <c:v>2022一般公共预算财政拨款支出</c:v>
                </c:pt>
                <c:pt idx="1">
                  <c:v>2021一般公共预算财政拨款支出</c:v>
                </c:pt>
              </c:strCache>
            </c:strRef>
          </c:cat>
          <c:val>
            <c:numRef>
              <c:f>[工作簿1]Sheet1!$B$8:$C$8</c:f>
              <c:numCache>
                <c:formatCode>General</c:formatCode>
                <c:ptCount val="2"/>
                <c:pt idx="0">
                  <c:v>554.73</c:v>
                </c:pt>
                <c:pt idx="1">
                  <c:v>530</c:v>
                </c:pt>
              </c:numCache>
            </c:numRef>
          </c:val>
        </c:ser>
        <c:dLbls>
          <c:showLegendKey val="0"/>
          <c:showVal val="0"/>
          <c:showCatName val="0"/>
          <c:showSerName val="0"/>
          <c:showPercent val="0"/>
          <c:showBubbleSize val="0"/>
        </c:dLbls>
        <c:gapWidth val="246"/>
        <c:overlap val="-28"/>
        <c:axId val="89682173"/>
        <c:axId val="931122011"/>
      </c:barChart>
      <c:catAx>
        <c:axId val="89682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122011"/>
        <c:crosses val="autoZero"/>
        <c:auto val="1"/>
        <c:lblAlgn val="ctr"/>
        <c:lblOffset val="100"/>
        <c:noMultiLvlLbl val="0"/>
      </c:catAx>
      <c:valAx>
        <c:axId val="93112201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82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[工作簿1]Sheet1!$B$7:$E$7</c:f>
              <c:strCache>
                <c:ptCount val="4"/>
                <c:pt idx="0">
                  <c:v>公共安全支出</c:v>
                </c:pt>
                <c:pt idx="1">
                  <c:v>社会保障和就业支出</c:v>
                </c:pt>
                <c:pt idx="2">
                  <c:v>卫生健康支出</c:v>
                </c:pt>
                <c:pt idx="3">
                  <c:v>住房保障支出</c:v>
                </c:pt>
              </c:strCache>
            </c:strRef>
          </c:cat>
          <c:val>
            <c:numRef>
              <c:f>[工作簿1]Sheet1!$B$8:$E$8</c:f>
              <c:numCache>
                <c:formatCode>General</c:formatCode>
                <c:ptCount val="4"/>
                <c:pt idx="0">
                  <c:v>487.58</c:v>
                </c:pt>
                <c:pt idx="1">
                  <c:v>22.07</c:v>
                </c:pt>
                <c:pt idx="2">
                  <c:v>13.86</c:v>
                </c:pt>
                <c:pt idx="3">
                  <c:v>29.89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[工作簿1]Sheet1!$B$7:$C$7</c:f>
              <c:strCache>
                <c:ptCount val="2"/>
                <c:pt idx="0">
                  <c:v>公务用车购置及运行维护费支出</c:v>
                </c:pt>
                <c:pt idx="1">
                  <c:v>公务接待费支出</c:v>
                </c:pt>
              </c:strCache>
            </c:strRef>
          </c:cat>
          <c:val>
            <c:numRef>
              <c:f>[工作簿1]Sheet1!$B$8:$C$8</c:f>
              <c:numCache>
                <c:formatCode>General</c:formatCode>
                <c:ptCount val="2"/>
                <c:pt idx="0">
                  <c:v>9.36</c:v>
                </c:pt>
                <c:pt idx="1">
                  <c:v>0.92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13</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一一</cp:lastModifiedBy>
  <cp:lastPrinted>2023-07-31T18:35:00Z</cp:lastPrinted>
  <dcterms:modified xsi:type="dcterms:W3CDTF">2023-10-07T08:31:16Z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9C144DE758CD4428868596F4B17DC7CB_13</vt:lpwstr>
  </property>
</Properties>
</file>