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29061"/>
      <w:bookmarkStart w:id="2" w:name="_Toc15396475"/>
      <w:bookmarkStart w:id="3" w:name="_Toc15377193"/>
      <w:bookmarkStart w:id="4" w:name="_Toc15378441"/>
      <w:bookmarkStart w:id="5" w:name="_Toc15377425"/>
      <w:bookmarkStart w:id="6" w:name="_Toc15396597"/>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bookmarkEnd w:id="0"/>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7054"/>
      <w:r>
        <w:rPr>
          <w:rFonts w:hint="eastAsia" w:ascii="方正小标宋简体" w:hAnsi="方正小标宋简体" w:eastAsia="方正小标宋简体" w:cs="方正小标宋简体"/>
          <w:color w:val="auto"/>
          <w:sz w:val="72"/>
          <w:szCs w:val="72"/>
          <w:highlight w:val="none"/>
        </w:rPr>
        <w:t>广元市政务服务和公共资源交易中心</w:t>
      </w:r>
    </w:p>
    <w:p>
      <w:pPr>
        <w:adjustRightInd w:val="0"/>
        <w:snapToGrid w:val="0"/>
        <w:spacing w:line="360" w:lineRule="auto"/>
        <w:jc w:val="center"/>
        <w:outlineLvl w:val="0"/>
        <w:rPr>
          <w:rFonts w:ascii="黑体" w:hAnsi="黑体" w:eastAsia="黑体" w:cstheme="minorBidi"/>
          <w:color w:val="auto"/>
          <w:sz w:val="28"/>
          <w:szCs w:val="28"/>
          <w:highlight w:val="none"/>
        </w:rPr>
      </w:pPr>
      <w:r>
        <w:rPr>
          <w:rFonts w:hint="eastAsia" w:ascii="方正小标宋简体" w:hAnsi="方正小标宋简体" w:eastAsia="方正小标宋简体" w:cs="方正小标宋简体"/>
          <w:color w:val="auto"/>
          <w:sz w:val="72"/>
          <w:szCs w:val="72"/>
          <w:highlight w:val="none"/>
          <w:lang w:eastAsia="zh-CN"/>
        </w:rPr>
        <w:t>单位决算</w:t>
      </w: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bookmarkEnd w:id="7"/>
    </w:p>
    <w:p>
      <w:pPr>
        <w:pStyle w:val="12"/>
        <w:rPr>
          <w:rFonts w:hint="eastAsia" w:eastAsia="仿宋"/>
          <w:color w:val="auto"/>
          <w:highlight w:val="none"/>
          <w:lang w:val="en-US" w:eastAsia="zh-CN"/>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10</w:t>
      </w:r>
      <w:r>
        <w:rPr>
          <w:rFonts w:hint="eastAsia"/>
          <w:color w:val="auto"/>
          <w:highlight w:val="none"/>
        </w:rPr>
        <w:t>月日</w:t>
      </w:r>
    </w:p>
    <w:p>
      <w:pPr>
        <w:rPr>
          <w:color w:val="auto"/>
          <w:highlight w:val="none"/>
        </w:rPr>
      </w:pPr>
    </w:p>
    <w:sdt>
      <w:sdtPr>
        <w:rPr>
          <w:rFonts w:ascii="宋体" w:hAnsi="宋体" w:eastAsia="宋体" w:cs="Times New Roman"/>
          <w:kern w:val="2"/>
          <w:sz w:val="21"/>
          <w:szCs w:val="24"/>
          <w:lang w:val="en-US" w:eastAsia="zh-CN" w:bidi="ar-SA"/>
        </w:rPr>
        <w:id w:val="147476772"/>
        <w15:color w:val="DBDBDB"/>
        <w:docPartObj>
          <w:docPartGallery w:val="Table of Contents"/>
          <w:docPartUnique/>
        </w:docPartObj>
      </w:sdtPr>
      <w:sdtEndPr>
        <w:rPr>
          <w:rFonts w:hint="eastAsia" w:ascii="宋体" w:hAnsi="宋体" w:eastAsia="宋体" w:cs="宋体"/>
          <w:b w:val="0"/>
          <w:bCs w:val="0"/>
          <w:kern w:val="2"/>
          <w:sz w:val="24"/>
          <w:szCs w:val="24"/>
          <w:lang w:val="en-US" w:eastAsia="zh-CN" w:bidi="ar-SA"/>
        </w:rPr>
      </w:sdtEndPr>
      <w:sdtContent>
        <w:p>
          <w:pPr>
            <w:spacing w:before="0" w:beforeLines="0" w:after="0" w:afterLines="0" w:line="240" w:lineRule="auto"/>
            <w:ind w:left="0" w:leftChars="0" w:right="0" w:rightChars="0" w:firstLine="0" w:firstLineChars="0"/>
            <w:jc w:val="center"/>
            <w:rPr>
              <w:rFonts w:hint="eastAsia" w:ascii="宋体" w:hAnsi="宋体" w:eastAsia="宋体" w:cs="宋体"/>
              <w:b w:val="0"/>
              <w:bCs w:val="0"/>
              <w:sz w:val="24"/>
              <w:szCs w:val="24"/>
            </w:rPr>
          </w:pPr>
          <w:bookmarkStart w:id="8" w:name="_Toc15377196"/>
          <w:bookmarkStart w:id="9" w:name="_Toc15396599"/>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TOC \o "1-2" \h \u </w:instrText>
          </w:r>
          <w:r>
            <w:rPr>
              <w:rFonts w:hint="eastAsia" w:ascii="宋体" w:hAnsi="宋体" w:eastAsia="宋体" w:cs="宋体"/>
              <w:b w:val="0"/>
              <w:bCs w:val="0"/>
              <w:sz w:val="24"/>
              <w:szCs w:val="24"/>
            </w:rPr>
            <w:fldChar w:fldCharType="separate"/>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HYPERLINK \l _Toc15556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highlight w:val="none"/>
            </w:rPr>
            <w:t>第一部分</w:t>
          </w:r>
          <w:r>
            <w:rPr>
              <w:rFonts w:hint="eastAsia" w:ascii="仿宋" w:hAnsi="仿宋" w:eastAsia="仿宋" w:cs="仿宋"/>
              <w:b w:val="0"/>
              <w:bCs w:val="0"/>
              <w:sz w:val="24"/>
              <w:szCs w:val="24"/>
              <w:highlight w:val="none"/>
              <w:lang w:eastAsia="zh-CN"/>
            </w:rPr>
            <w:t>单位</w:t>
          </w:r>
          <w:r>
            <w:rPr>
              <w:rFonts w:hint="eastAsia" w:ascii="仿宋" w:hAnsi="仿宋" w:eastAsia="仿宋" w:cs="仿宋"/>
              <w:b w:val="0"/>
              <w:bCs w:val="0"/>
              <w:sz w:val="24"/>
              <w:szCs w:val="24"/>
              <w:highlight w:val="none"/>
            </w:rPr>
            <w:t>概况</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_Toc15556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w:t>
          </w:r>
          <w:r>
            <w:rPr>
              <w:rFonts w:hint="eastAsia" w:ascii="仿宋" w:hAnsi="仿宋" w:eastAsia="仿宋" w:cs="仿宋"/>
              <w:b w:val="0"/>
              <w:bCs w:val="0"/>
              <w:sz w:val="24"/>
              <w:szCs w:val="24"/>
            </w:rPr>
            <w:fldChar w:fldCharType="end"/>
          </w:r>
          <w:r>
            <w:rPr>
              <w:rFonts w:hint="eastAsia" w:ascii="仿宋" w:hAnsi="仿宋" w:eastAsia="仿宋" w:cs="仿宋"/>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_Toc25185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lang w:eastAsia="zh-CN"/>
            </w:rPr>
            <w:t>一、</w:t>
          </w:r>
          <w:r>
            <w:rPr>
              <w:rFonts w:hint="eastAsia" w:ascii="宋体" w:hAnsi="宋体" w:eastAsia="宋体" w:cs="宋体"/>
              <w:b w:val="0"/>
              <w:bCs w:val="0"/>
              <w:sz w:val="24"/>
              <w:szCs w:val="24"/>
              <w:highlight w:val="none"/>
              <w:lang w:eastAsia="zh-CN"/>
            </w:rPr>
            <w:t>主要职责</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_Toc25185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_Toc24634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lang w:val="en-US" w:eastAsia="zh-CN"/>
            </w:rPr>
            <w:t>二、</w:t>
          </w:r>
          <w:r>
            <w:rPr>
              <w:rFonts w:hint="eastAsia" w:ascii="宋体" w:hAnsi="宋体" w:eastAsia="宋体" w:cs="宋体"/>
              <w:b w:val="0"/>
              <w:bCs w:val="0"/>
              <w:sz w:val="24"/>
              <w:szCs w:val="24"/>
              <w:highlight w:val="none"/>
              <w:lang w:val="en-US" w:eastAsia="zh-CN"/>
            </w:rPr>
            <w:t>机构设置</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_Toc24634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2</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HYPERLINK \l _Toc15183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第二部分</w:t>
          </w:r>
          <w:r>
            <w:rPr>
              <w:rFonts w:hint="eastAsia" w:ascii="仿宋" w:hAnsi="仿宋" w:eastAsia="仿宋" w:cs="仿宋"/>
              <w:b w:val="0"/>
              <w:bCs w:val="0"/>
              <w:sz w:val="24"/>
              <w:szCs w:val="24"/>
              <w:highlight w:val="none"/>
              <w:lang w:val="en-US" w:eastAsia="zh-CN"/>
            </w:rPr>
            <w:t>2022年度</w:t>
          </w:r>
          <w:r>
            <w:rPr>
              <w:rFonts w:hint="eastAsia" w:ascii="仿宋" w:hAnsi="仿宋" w:eastAsia="仿宋" w:cs="仿宋"/>
              <w:b w:val="0"/>
              <w:bCs w:val="0"/>
              <w:sz w:val="24"/>
              <w:szCs w:val="24"/>
              <w:highlight w:val="none"/>
              <w:lang w:eastAsia="zh-CN"/>
            </w:rPr>
            <w:t>单位</w:t>
          </w:r>
          <w:r>
            <w:rPr>
              <w:rFonts w:hint="eastAsia" w:ascii="仿宋" w:hAnsi="仿宋" w:eastAsia="仿宋" w:cs="仿宋"/>
              <w:b w:val="0"/>
              <w:bCs w:val="0"/>
              <w:sz w:val="24"/>
              <w:szCs w:val="24"/>
              <w:highlight w:val="none"/>
            </w:rPr>
            <w:t>决算情况说明</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_Toc15183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sz w:val="24"/>
              <w:szCs w:val="24"/>
              <w:highlight w:val="none"/>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_Toc2597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一、</w:t>
          </w:r>
          <w:r>
            <w:rPr>
              <w:rFonts w:hint="eastAsia" w:ascii="宋体" w:hAnsi="宋体" w:eastAsia="宋体" w:cs="宋体"/>
              <w:b w:val="0"/>
              <w:bCs w:val="0"/>
              <w:sz w:val="24"/>
              <w:szCs w:val="24"/>
              <w:highlight w:val="none"/>
            </w:rPr>
            <w:t>收入支出决算总体情况说明</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_Toc2597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3</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_Toc9110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二、</w:t>
          </w:r>
          <w:r>
            <w:rPr>
              <w:rFonts w:hint="eastAsia" w:ascii="宋体" w:hAnsi="宋体" w:eastAsia="宋体" w:cs="宋体"/>
              <w:b w:val="0"/>
              <w:bCs w:val="0"/>
              <w:sz w:val="24"/>
              <w:szCs w:val="24"/>
              <w:highlight w:val="none"/>
            </w:rPr>
            <w:t>收入决算情况说明</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_Toc9110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3</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_Toc27157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三、</w:t>
          </w:r>
          <w:r>
            <w:rPr>
              <w:rFonts w:hint="eastAsia" w:ascii="宋体" w:hAnsi="宋体" w:eastAsia="宋体" w:cs="宋体"/>
              <w:b w:val="0"/>
              <w:bCs w:val="0"/>
              <w:sz w:val="24"/>
              <w:szCs w:val="24"/>
              <w:highlight w:val="none"/>
            </w:rPr>
            <w:t>支出决算情况说明</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_Toc27157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4</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_Toc6327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四、财政拨款收入支出决算总体情况说明</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_Toc6327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4</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_Toc13460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五、一般公共预算财政拨款支出决算情况说明</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_Toc13460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5</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_Toc31552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六、一般公共预算财政拨款基本支出决算情况说明</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_Toc31552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8</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_Toc31004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七、财政拨款“三公”经费支出决算情况说明</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_Toc31004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9</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_Toc1617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八、政府性基金预算支出决算情况说明</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_Toc1617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10</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_Toc22667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九、</w:t>
          </w:r>
          <w:r>
            <w:rPr>
              <w:rFonts w:hint="eastAsia" w:ascii="宋体" w:hAnsi="宋体" w:eastAsia="宋体" w:cs="宋体"/>
              <w:b w:val="0"/>
              <w:bCs w:val="0"/>
              <w:sz w:val="24"/>
              <w:szCs w:val="24"/>
              <w:highlight w:val="none"/>
            </w:rPr>
            <w:t>国有资本经营预算支出决算情况说明</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_Toc22667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10</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_Toc20440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十、</w:t>
          </w:r>
          <w:r>
            <w:rPr>
              <w:rFonts w:hint="eastAsia" w:ascii="宋体" w:hAnsi="宋体" w:eastAsia="宋体" w:cs="宋体"/>
              <w:b w:val="0"/>
              <w:bCs w:val="0"/>
              <w:sz w:val="24"/>
              <w:szCs w:val="24"/>
              <w:highlight w:val="none"/>
            </w:rPr>
            <w:t>其他重要事项的情况说明</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_Toc20440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10</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HYPERLINK \l _Toc22130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第三部分名词解释</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_Toc22130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sz w:val="24"/>
              <w:szCs w:val="24"/>
              <w:highlight w:val="none"/>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HYPERLINK \l _Toc6613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第四部分附件</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_Toc6613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16</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sz w:val="24"/>
              <w:szCs w:val="24"/>
              <w:highlight w:val="none"/>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HYPERLINK \l _Toc14992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第五部分附表</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_Toc14992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56</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sz w:val="24"/>
              <w:szCs w:val="24"/>
              <w:highlight w:val="none"/>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_Toc24838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一、收入支出决算总表</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_Toc24838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56</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_Toc21281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二、收入决算表</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_Toc21281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56</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_Toc20811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三、支出决算表</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_Toc20811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56</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_Toc2702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四、财政拨款收入支出决算总表</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_Toc2702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56</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_Toc28660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五、财政拨款支出决算明细表</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_Toc28660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56</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_Toc18148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六、一般公共预算财政拨款支出决算表</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_Toc18148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56</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_Toc15516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七、一般公共预算财政拨款支出决算明细表</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_Toc15516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56</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_Toc31761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八、一般公共预算财政拨款基本支出决算表</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_Toc31761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56</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_Toc27466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九、一般公共预算财政拨款项目支出决算表</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_Toc27466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56</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_Toc9862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十、政府性基金预算财政拨款收入支出决算表</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_Toc9862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56</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_Toc25872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十一、国有资本经营预算</w:t>
          </w:r>
          <w:r>
            <w:rPr>
              <w:rFonts w:hint="eastAsia" w:ascii="宋体" w:hAnsi="宋体" w:eastAsia="宋体" w:cs="宋体"/>
              <w:b w:val="0"/>
              <w:bCs w:val="0"/>
              <w:sz w:val="24"/>
              <w:szCs w:val="24"/>
              <w:highlight w:val="none"/>
              <w:lang w:eastAsia="zh-CN"/>
            </w:rPr>
            <w:t>财政拨款收入</w:t>
          </w:r>
          <w:r>
            <w:rPr>
              <w:rFonts w:hint="eastAsia" w:ascii="宋体" w:hAnsi="宋体" w:eastAsia="宋体" w:cs="宋体"/>
              <w:b w:val="0"/>
              <w:bCs w:val="0"/>
              <w:sz w:val="24"/>
              <w:szCs w:val="24"/>
              <w:highlight w:val="none"/>
            </w:rPr>
            <w:t>支出决算表</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_Toc25872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56</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_Toc30695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十二、</w:t>
          </w:r>
          <w:r>
            <w:rPr>
              <w:rFonts w:hint="eastAsia" w:ascii="宋体" w:hAnsi="宋体" w:eastAsia="宋体" w:cs="宋体"/>
              <w:b w:val="0"/>
              <w:bCs w:val="0"/>
              <w:sz w:val="24"/>
              <w:szCs w:val="24"/>
              <w:highlight w:val="none"/>
              <w:lang w:eastAsia="zh-CN"/>
            </w:rPr>
            <w:t>国有资本经营预算财政拨款支出决算表</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_Toc30695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56</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\l _Toc13935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highlight w:val="none"/>
            </w:rPr>
            <w:t>十三、</w:t>
          </w:r>
          <w:r>
            <w:rPr>
              <w:rFonts w:hint="eastAsia" w:ascii="宋体" w:hAnsi="宋体" w:eastAsia="宋体" w:cs="宋体"/>
              <w:b w:val="0"/>
              <w:bCs w:val="0"/>
              <w:sz w:val="24"/>
              <w:szCs w:val="24"/>
              <w:highlight w:val="none"/>
              <w:lang w:eastAsia="zh-CN"/>
            </w:rPr>
            <w:t>财政拨款“三公”经费支出决算表</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_Toc13935 \h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56</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rPr>
            <w:fldChar w:fldCharType="end"/>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fldChar w:fldCharType="end"/>
          </w:r>
        </w:p>
      </w:sdtContent>
    </w:sdt>
    <w:bookmarkEnd w:id="8"/>
    <w:bookmarkEnd w:id="9"/>
    <w:p>
      <w:pPr>
        <w:pStyle w:val="4"/>
        <w:jc w:val="center"/>
        <w:rPr>
          <w:rFonts w:hint="eastAsia" w:ascii="黑体" w:hAnsi="黑体" w:eastAsia="黑体"/>
          <w:b w:val="0"/>
          <w:color w:val="auto"/>
          <w:highlight w:val="none"/>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bookmarkStart w:id="10" w:name="_Toc15556"/>
      <w:bookmarkStart w:id="11" w:name="_Toc15396618"/>
      <w:bookmarkStart w:id="12" w:name="_Toc15377226"/>
    </w:p>
    <w:p>
      <w:pPr>
        <w:pStyle w:val="4"/>
        <w:jc w:val="center"/>
        <w:rPr>
          <w:rFonts w:ascii="黑体" w:eastAsia="黑体"/>
          <w:color w:val="auto"/>
          <w:sz w:val="32"/>
          <w:szCs w:val="32"/>
          <w:highlight w:val="none"/>
        </w:rPr>
      </w:pPr>
      <w:r>
        <w:rPr>
          <w:rFonts w:hint="eastAsia" w:ascii="黑体" w:hAnsi="黑体" w:eastAsia="黑体"/>
          <w:b w:val="0"/>
          <w:color w:val="auto"/>
          <w:highlight w:val="none"/>
        </w:rPr>
        <w:t>第一部分</w:t>
      </w:r>
      <w:r>
        <w:rPr>
          <w:rFonts w:hint="eastAsia" w:ascii="黑体" w:hAnsi="黑体" w:eastAsia="黑体"/>
          <w:b w:val="0"/>
          <w:color w:val="auto"/>
          <w:highlight w:val="none"/>
          <w:lang w:eastAsia="zh-CN"/>
        </w:rPr>
        <w:t>单位</w:t>
      </w:r>
      <w:r>
        <w:rPr>
          <w:rStyle w:val="20"/>
          <w:rFonts w:hint="eastAsia" w:ascii="黑体" w:hAnsi="黑体" w:eastAsia="黑体"/>
          <w:b w:val="0"/>
          <w:bCs w:val="0"/>
          <w:color w:val="auto"/>
          <w:highlight w:val="none"/>
        </w:rPr>
        <w:t>概况</w:t>
      </w:r>
      <w:bookmarkEnd w:id="10"/>
    </w:p>
    <w:p>
      <w:pPr>
        <w:pStyle w:val="5"/>
        <w:numPr>
          <w:ilvl w:val="0"/>
          <w:numId w:val="1"/>
        </w:numPr>
        <w:rPr>
          <w:rFonts w:hint="eastAsia"/>
          <w:lang w:eastAsia="zh-CN"/>
        </w:rPr>
      </w:pPr>
      <w:bookmarkStart w:id="13" w:name="_Toc25185"/>
      <w:bookmarkStart w:id="14" w:name="_Toc15377197"/>
      <w:bookmarkStart w:id="15" w:name="_Toc15396600"/>
      <w:r>
        <w:rPr>
          <w:rStyle w:val="21"/>
          <w:rFonts w:hint="eastAsia" w:ascii="黑体" w:hAnsi="黑体" w:eastAsia="黑体"/>
          <w:b w:val="0"/>
          <w:bCs w:val="0"/>
          <w:color w:val="auto"/>
          <w:highlight w:val="none"/>
          <w:lang w:eastAsia="zh-CN"/>
        </w:rPr>
        <w:t>主要职责</w:t>
      </w:r>
      <w:bookmarkEnd w:id="13"/>
    </w:p>
    <w:p>
      <w:pPr>
        <w:pStyle w:val="2"/>
        <w:keepNext w:val="0"/>
        <w:keepLines w:val="0"/>
        <w:pageBreakBefore w:val="0"/>
        <w:widowControl w:val="0"/>
        <w:kinsoku/>
        <w:wordWrap/>
        <w:overflowPunct/>
        <w:topLinePunct w:val="0"/>
        <w:autoSpaceDE/>
        <w:autoSpaceDN/>
        <w:bidi w:val="0"/>
        <w:adjustRightInd w:val="0"/>
        <w:snapToGrid w:val="0"/>
        <w:spacing w:beforeLines="0" w:line="576" w:lineRule="exact"/>
        <w:ind w:firstLine="672" w:firstLineChars="210"/>
        <w:textAlignment w:val="auto"/>
        <w:outlineLvl w:val="2"/>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2020年1月原广元市人民政府政务服务中心更名为广元市政务服务和公共资源交易中心，是广元市人民政府直属事业单位（参公管理），为正县级机构。主要职责：（（1）彻实施政务服务和公共资源交易服务相关法律、法规和政策，为政务服务和公共资源交易活动提供场所、设施和服务。（（2）责对进入市政务服务和公共资源交易中心的所有事项办理情况的指导监督和入驻单位窗口工作人员的日常管理。（（3）责实施市本级政务服务大厅标准化、规范化、便民化的建设和服务工作。负责入驻单位窗口服务事项清理、办事材料精简、服务流程优化、办事指南规范更新的指导和管理；负责入驻单位窗口为企业和群众开展全程代办、协办和上门服务、延时服务、预约服务；负责入驻单位窗口审批服务事项“一网办”“一门办”“一次办”的工作协调，开展优质服务。（4）.负责一体化政务服务平台的运维工作。（5）.负责广元市公共资源交易信息中心的建设和管理。（6）.负责全市12345政务服务热线的日常运行和管理。（7）.负责对各县区、经济技术开发区政务服务和公共资源交易中心的业务指导。（8）.负责全市重大投资项目联合审批的相关服务工作。（9）.完成市委、市政府交办的其他任务。</w:t>
      </w:r>
    </w:p>
    <w:p>
      <w:pPr>
        <w:pStyle w:val="5"/>
        <w:numPr>
          <w:ilvl w:val="0"/>
          <w:numId w:val="1"/>
        </w:numPr>
        <w:ind w:left="0" w:leftChars="0" w:firstLine="0" w:firstLineChars="0"/>
        <w:rPr>
          <w:rFonts w:hint="eastAsia" w:ascii="黑体" w:hAnsi="黑体" w:eastAsia="黑体"/>
          <w:b w:val="0"/>
          <w:color w:val="auto"/>
          <w:highlight w:val="none"/>
          <w:lang w:val="en-US" w:eastAsia="zh-CN"/>
        </w:rPr>
      </w:pPr>
      <w:bookmarkStart w:id="16" w:name="_Toc24634"/>
      <w:r>
        <w:rPr>
          <w:rFonts w:hint="eastAsia" w:ascii="黑体" w:hAnsi="黑体" w:eastAsia="黑体"/>
          <w:b w:val="0"/>
          <w:color w:val="auto"/>
          <w:highlight w:val="none"/>
          <w:lang w:val="en-US" w:eastAsia="zh-CN"/>
        </w:rPr>
        <w:t>机构设置</w:t>
      </w:r>
      <w:bookmarkEnd w:id="16"/>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市政务服务和公共资源交易是广元市人民政府直属事业单位（参公管理），为正县级机构，中心内设综合科、现场监督科、服务科、网管科、财务科，大数据管理科。2022年末编制总数为17个，其中参公编制15个，工勤编制2个。</w:t>
      </w:r>
    </w:p>
    <w:p>
      <w:pPr>
        <w:pStyle w:val="2"/>
        <w:rPr>
          <w:rFonts w:hint="eastAsia"/>
        </w:rPr>
      </w:pPr>
    </w:p>
    <w:p>
      <w:pPr>
        <w:pStyle w:val="3"/>
        <w:ind w:left="0" w:leftChars="0" w:firstLine="0" w:firstLineChars="0"/>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bookmarkEnd w:id="14"/>
    <w:bookmarkEnd w:id="15"/>
    <w:p>
      <w:pPr>
        <w:widowControl/>
        <w:jc w:val="center"/>
        <w:outlineLvl w:val="0"/>
        <w:rPr>
          <w:rStyle w:val="20"/>
          <w:rFonts w:ascii="黑体" w:hAnsi="黑体" w:eastAsia="黑体"/>
          <w:b w:val="0"/>
          <w:bCs/>
          <w:color w:val="auto"/>
          <w:highlight w:val="none"/>
        </w:rPr>
      </w:pPr>
      <w:bookmarkStart w:id="17" w:name="_Toc15377204"/>
      <w:bookmarkStart w:id="18" w:name="_Toc15183"/>
      <w:bookmarkStart w:id="19" w:name="_Toc15396602"/>
      <w:r>
        <w:rPr>
          <w:rStyle w:val="20"/>
          <w:rFonts w:hint="eastAsia" w:ascii="黑体" w:hAnsi="黑体" w:eastAsia="黑体"/>
          <w:b w:val="0"/>
          <w:bCs/>
          <w:color w:val="auto"/>
          <w:highlight w:val="none"/>
        </w:rPr>
        <w:t>第二部分</w:t>
      </w:r>
      <w:r>
        <w:rPr>
          <w:rStyle w:val="20"/>
          <w:rFonts w:hint="eastAsia" w:ascii="黑体" w:hAnsi="黑体" w:eastAsia="黑体"/>
          <w:b w:val="0"/>
          <w:bCs/>
          <w:color w:val="auto"/>
          <w:highlight w:val="none"/>
          <w:lang w:val="en-US" w:eastAsia="zh-CN"/>
        </w:rPr>
        <w:t>2022年度</w:t>
      </w:r>
      <w:r>
        <w:rPr>
          <w:rStyle w:val="20"/>
          <w:rFonts w:hint="eastAsia" w:ascii="黑体" w:hAnsi="黑体" w:eastAsia="黑体"/>
          <w:b w:val="0"/>
          <w:bCs/>
          <w:color w:val="auto"/>
          <w:highlight w:val="none"/>
          <w:lang w:eastAsia="zh-CN"/>
        </w:rPr>
        <w:t>单位</w:t>
      </w:r>
      <w:r>
        <w:rPr>
          <w:rStyle w:val="20"/>
          <w:rFonts w:hint="eastAsia" w:ascii="黑体" w:hAnsi="黑体" w:eastAsia="黑体"/>
          <w:b w:val="0"/>
          <w:bCs/>
          <w:color w:val="auto"/>
          <w:highlight w:val="none"/>
        </w:rPr>
        <w:t>决算情况说明</w:t>
      </w:r>
      <w:bookmarkEnd w:id="17"/>
      <w:bookmarkEnd w:id="18"/>
      <w:bookmarkEnd w:id="19"/>
    </w:p>
    <w:p>
      <w:pPr>
        <w:jc w:val="center"/>
        <w:rPr>
          <w:color w:val="auto"/>
          <w:highlight w:val="none"/>
        </w:rPr>
      </w:pPr>
    </w:p>
    <w:p>
      <w:pPr>
        <w:pStyle w:val="30"/>
        <w:numPr>
          <w:ilvl w:val="0"/>
          <w:numId w:val="2"/>
        </w:numPr>
        <w:spacing w:line="600" w:lineRule="exact"/>
        <w:ind w:firstLineChars="0"/>
        <w:outlineLvl w:val="1"/>
        <w:rPr>
          <w:rStyle w:val="21"/>
          <w:rFonts w:ascii="黑体" w:hAnsi="黑体" w:eastAsia="黑体"/>
          <w:b w:val="0"/>
          <w:color w:val="auto"/>
          <w:highlight w:val="none"/>
        </w:rPr>
      </w:pPr>
      <w:bookmarkStart w:id="20" w:name="_Toc15396603"/>
      <w:bookmarkStart w:id="21" w:name="_Toc15377205"/>
      <w:bookmarkStart w:id="22" w:name="_Toc2597"/>
      <w:r>
        <w:rPr>
          <w:rFonts w:hint="eastAsia" w:ascii="黑体" w:hAnsi="黑体" w:eastAsia="黑体"/>
          <w:color w:val="auto"/>
          <w:sz w:val="32"/>
          <w:szCs w:val="32"/>
          <w:highlight w:val="none"/>
        </w:rPr>
        <w:t>收</w:t>
      </w:r>
      <w:r>
        <w:rPr>
          <w:rStyle w:val="21"/>
          <w:rFonts w:hint="eastAsia" w:ascii="黑体" w:hAnsi="黑体" w:eastAsia="黑体"/>
          <w:b w:val="0"/>
          <w:color w:val="auto"/>
          <w:highlight w:val="none"/>
        </w:rPr>
        <w:t>入支出决算总体情况说明</w:t>
      </w:r>
      <w:bookmarkEnd w:id="20"/>
      <w:bookmarkEnd w:id="21"/>
      <w:bookmarkEnd w:id="22"/>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1553.41</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47.47</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3.15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是</w:t>
      </w:r>
      <w:r>
        <w:rPr>
          <w:rFonts w:hint="eastAsia" w:ascii="仿宋" w:hAnsi="仿宋" w:eastAsia="仿宋"/>
          <w:color w:val="auto"/>
          <w:sz w:val="32"/>
          <w:szCs w:val="32"/>
          <w:highlight w:val="none"/>
        </w:rPr>
        <w:t>本年度项目经费预算比2021年有所增加，新增了市政务服务大厅智慧化信息化管理系统建设经费及无差别综合窗口运行经费</w:t>
      </w:r>
      <w:r>
        <w:rPr>
          <w:rFonts w:hint="eastAsia" w:ascii="仿宋" w:hAnsi="仿宋" w:eastAsia="仿宋"/>
          <w:color w:val="auto"/>
          <w:sz w:val="32"/>
          <w:szCs w:val="32"/>
          <w:highlight w:val="none"/>
          <w:lang w:eastAsia="zh-CN"/>
        </w:rPr>
        <w:t>。</w:t>
      </w:r>
    </w:p>
    <w:p>
      <w:pPr>
        <w:pStyle w:val="2"/>
        <w:rPr>
          <w:rFonts w:hint="eastAsia"/>
          <w:lang w:eastAsia="zh-CN"/>
        </w:rPr>
      </w:pPr>
      <w:r>
        <w:rPr>
          <w:rFonts w:hint="eastAsia"/>
          <w:lang w:eastAsia="zh-CN"/>
        </w:rPr>
        <w:drawing>
          <wp:inline distT="0" distB="0" distL="114300" distR="114300">
            <wp:extent cx="5256530" cy="3216275"/>
            <wp:effectExtent l="4445" t="4445" r="15875" b="177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rPr>
          <w:rFonts w:ascii="仿宋_GB2312" w:eastAsia="仿宋_GB2312"/>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pStyle w:val="30"/>
        <w:numPr>
          <w:ilvl w:val="0"/>
          <w:numId w:val="2"/>
        </w:numPr>
        <w:spacing w:line="600" w:lineRule="exact"/>
        <w:ind w:firstLineChars="0"/>
        <w:outlineLvl w:val="1"/>
        <w:rPr>
          <w:rStyle w:val="21"/>
          <w:rFonts w:ascii="黑体" w:hAnsi="黑体" w:eastAsia="黑体"/>
          <w:b w:val="0"/>
          <w:color w:val="auto"/>
          <w:highlight w:val="none"/>
        </w:rPr>
      </w:pPr>
      <w:bookmarkStart w:id="23" w:name="_Toc15377206"/>
      <w:bookmarkStart w:id="24" w:name="_Toc9110"/>
      <w:bookmarkStart w:id="25" w:name="_Toc15396604"/>
      <w:r>
        <w:rPr>
          <w:rFonts w:hint="eastAsia" w:ascii="黑体" w:hAnsi="黑体" w:eastAsia="黑体"/>
          <w:color w:val="auto"/>
          <w:sz w:val="32"/>
          <w:szCs w:val="32"/>
          <w:highlight w:val="none"/>
        </w:rPr>
        <w:t>收</w:t>
      </w:r>
      <w:r>
        <w:rPr>
          <w:rStyle w:val="21"/>
          <w:rFonts w:hint="eastAsia" w:ascii="黑体" w:hAnsi="黑体" w:eastAsia="黑体"/>
          <w:b w:val="0"/>
          <w:color w:val="auto"/>
          <w:highlight w:val="none"/>
        </w:rPr>
        <w:t>入决算情况说明</w:t>
      </w:r>
      <w:bookmarkEnd w:id="23"/>
      <w:bookmarkEnd w:id="24"/>
      <w:bookmarkEnd w:id="25"/>
    </w:p>
    <w:p>
      <w:pPr>
        <w:spacing w:line="600" w:lineRule="exact"/>
        <w:ind w:firstLine="640" w:firstLineChars="200"/>
        <w:outlineLvl w:val="1"/>
        <w:rPr>
          <w:rFonts w:hint="eastAsia" w:ascii="仿宋" w:hAnsi="仿宋" w:eastAsia="仿宋"/>
          <w:color w:val="auto"/>
          <w:sz w:val="32"/>
          <w:szCs w:val="32"/>
          <w:highlight w:val="none"/>
        </w:rPr>
      </w:pPr>
      <w:bookmarkStart w:id="26" w:name="_Toc4820"/>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1453.97</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1453.97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26"/>
    </w:p>
    <w:p>
      <w:pPr>
        <w:pStyle w:val="2"/>
        <w:rPr>
          <w:rFonts w:ascii="仿宋" w:hAnsi="仿宋" w:eastAsia="仿宋"/>
          <w:color w:val="auto"/>
          <w:sz w:val="32"/>
          <w:szCs w:val="32"/>
          <w:highlight w:val="none"/>
        </w:rPr>
      </w:pPr>
      <w:r>
        <w:rPr>
          <w:rFonts w:hint="eastAsia" w:eastAsia="仿宋"/>
          <w:lang w:eastAsia="zh-CN"/>
        </w:rPr>
        <w:drawing>
          <wp:inline distT="0" distB="0" distL="114300" distR="114300">
            <wp:extent cx="5256530" cy="2988310"/>
            <wp:effectExtent l="5080" t="4445" r="15240" b="1714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（图2：收入决算结构图）（饼状图）</w:t>
      </w:r>
    </w:p>
    <w:p>
      <w:pPr>
        <w:pStyle w:val="30"/>
        <w:numPr>
          <w:ilvl w:val="0"/>
          <w:numId w:val="2"/>
        </w:numPr>
        <w:spacing w:line="600" w:lineRule="exact"/>
        <w:ind w:firstLineChars="0"/>
        <w:outlineLvl w:val="1"/>
        <w:rPr>
          <w:rStyle w:val="21"/>
          <w:rFonts w:ascii="黑体" w:hAnsi="黑体" w:eastAsia="黑体"/>
          <w:b w:val="0"/>
          <w:color w:val="auto"/>
          <w:highlight w:val="none"/>
        </w:rPr>
      </w:pPr>
      <w:bookmarkStart w:id="27" w:name="_Toc27157"/>
      <w:bookmarkStart w:id="28" w:name="_Toc15377207"/>
      <w:bookmarkStart w:id="29" w:name="_Toc15396605"/>
      <w:r>
        <w:rPr>
          <w:rFonts w:hint="eastAsia" w:ascii="黑体" w:hAnsi="黑体" w:eastAsia="黑体"/>
          <w:color w:val="auto"/>
          <w:sz w:val="32"/>
          <w:szCs w:val="32"/>
          <w:highlight w:val="none"/>
        </w:rPr>
        <w:t>支</w:t>
      </w:r>
      <w:r>
        <w:rPr>
          <w:rStyle w:val="21"/>
          <w:rFonts w:hint="eastAsia" w:ascii="黑体" w:hAnsi="黑体" w:eastAsia="黑体"/>
          <w:b w:val="0"/>
          <w:color w:val="auto"/>
          <w:highlight w:val="none"/>
        </w:rPr>
        <w:t>出决算情况说明</w:t>
      </w:r>
      <w:bookmarkEnd w:id="27"/>
      <w:bookmarkEnd w:id="28"/>
      <w:bookmarkEnd w:id="29"/>
    </w:p>
    <w:p>
      <w:pPr>
        <w:spacing w:line="600" w:lineRule="exact"/>
        <w:ind w:firstLine="640" w:firstLineChars="200"/>
        <w:outlineLvl w:val="1"/>
        <w:rPr>
          <w:rFonts w:hint="eastAsia" w:ascii="仿宋" w:hAnsi="仿宋" w:eastAsia="仿宋"/>
          <w:color w:val="auto"/>
          <w:sz w:val="32"/>
          <w:szCs w:val="32"/>
          <w:highlight w:val="none"/>
        </w:rPr>
      </w:pPr>
      <w:bookmarkStart w:id="30" w:name="_Toc11862"/>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1549.59</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358.45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23.13</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1191.14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76.87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0"/>
    </w:p>
    <w:p>
      <w:pPr>
        <w:pStyle w:val="2"/>
        <w:ind w:firstLine="535" w:firstLineChars="0"/>
        <w:rPr>
          <w:rFonts w:ascii="仿宋" w:hAnsi="仿宋" w:eastAsia="仿宋"/>
          <w:color w:val="auto"/>
          <w:sz w:val="32"/>
          <w:szCs w:val="32"/>
          <w:highlight w:val="none"/>
          <w:shd w:val="pct10" w:color="auto" w:fill="FFFFFF"/>
        </w:rPr>
      </w:pPr>
      <w:r>
        <w:rPr>
          <w:rFonts w:hint="eastAsia" w:eastAsia="仿宋"/>
          <w:lang w:eastAsia="zh-CN"/>
        </w:rPr>
        <w:drawing>
          <wp:inline distT="0" distB="0" distL="114300" distR="114300">
            <wp:extent cx="4999355" cy="3134360"/>
            <wp:effectExtent l="4445" t="4445" r="6350" b="2349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（图3：支出决算结构图）（饼状图）</w:t>
      </w:r>
    </w:p>
    <w:p>
      <w:pPr>
        <w:spacing w:line="600" w:lineRule="exact"/>
        <w:ind w:firstLine="640" w:firstLineChars="200"/>
        <w:outlineLvl w:val="1"/>
        <w:rPr>
          <w:rStyle w:val="21"/>
          <w:rFonts w:ascii="黑体" w:hAnsi="黑体" w:eastAsia="黑体"/>
          <w:b w:val="0"/>
          <w:color w:val="auto"/>
          <w:highlight w:val="none"/>
        </w:rPr>
      </w:pPr>
      <w:bookmarkStart w:id="31" w:name="_Toc15377208"/>
      <w:bookmarkStart w:id="32" w:name="_Toc15396606"/>
      <w:bookmarkStart w:id="33" w:name="_Toc6327"/>
      <w:r>
        <w:rPr>
          <w:rFonts w:hint="eastAsia" w:ascii="黑体" w:hAnsi="黑体" w:eastAsia="黑体"/>
          <w:color w:val="auto"/>
          <w:sz w:val="32"/>
          <w:szCs w:val="32"/>
          <w:highlight w:val="none"/>
        </w:rPr>
        <w:t>四、财</w:t>
      </w:r>
      <w:r>
        <w:rPr>
          <w:rStyle w:val="21"/>
          <w:rFonts w:hint="eastAsia" w:ascii="黑体" w:hAnsi="黑体" w:eastAsia="黑体"/>
          <w:b w:val="0"/>
          <w:color w:val="auto"/>
          <w:highlight w:val="none"/>
        </w:rPr>
        <w:t>政拨款收入支出决算总体情况说明</w:t>
      </w:r>
      <w:bookmarkEnd w:id="31"/>
      <w:bookmarkEnd w:id="32"/>
      <w:bookmarkEnd w:id="33"/>
    </w:p>
    <w:p>
      <w:pPr>
        <w:spacing w:line="600" w:lineRule="exact"/>
        <w:ind w:firstLine="640" w:firstLineChars="200"/>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1553.41</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47.47</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3.15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是</w:t>
      </w:r>
      <w:r>
        <w:rPr>
          <w:rFonts w:hint="eastAsia" w:ascii="仿宋" w:hAnsi="仿宋" w:eastAsia="仿宋"/>
          <w:color w:val="auto"/>
          <w:sz w:val="32"/>
          <w:szCs w:val="32"/>
          <w:highlight w:val="none"/>
        </w:rPr>
        <w:t>本年度项目经费预算比2021年有所增加，新增了市政务服务大厅智慧化信息化管理系统建设经费及无差别综合窗口运行经费</w:t>
      </w:r>
      <w:r>
        <w:rPr>
          <w:rFonts w:hint="eastAsia" w:ascii="仿宋" w:hAnsi="仿宋" w:eastAsia="仿宋"/>
          <w:color w:val="auto"/>
          <w:sz w:val="32"/>
          <w:szCs w:val="32"/>
          <w:highlight w:val="none"/>
          <w:lang w:eastAsia="zh-CN"/>
        </w:rPr>
        <w:t>。</w:t>
      </w:r>
    </w:p>
    <w:p>
      <w:pPr>
        <w:pStyle w:val="2"/>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256530" cy="3357880"/>
            <wp:effectExtent l="4445" t="4445" r="15875" b="952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spacing w:line="600" w:lineRule="exact"/>
        <w:ind w:firstLine="640"/>
        <w:rPr>
          <w:rFonts w:ascii="仿宋" w:hAnsi="仿宋" w:eastAsia="仿宋"/>
          <w:b/>
          <w:color w:val="auto"/>
          <w:sz w:val="32"/>
          <w:szCs w:val="32"/>
          <w:highlight w:val="none"/>
        </w:rPr>
      </w:pPr>
    </w:p>
    <w:p>
      <w:pPr>
        <w:spacing w:line="600" w:lineRule="exact"/>
        <w:ind w:firstLine="640" w:firstLineChars="200"/>
        <w:outlineLvl w:val="1"/>
        <w:rPr>
          <w:rStyle w:val="21"/>
          <w:rFonts w:ascii="黑体" w:hAnsi="黑体" w:eastAsia="黑体"/>
          <w:b w:val="0"/>
          <w:color w:val="auto"/>
          <w:highlight w:val="none"/>
        </w:rPr>
      </w:pPr>
      <w:bookmarkStart w:id="34" w:name="_Toc15377209"/>
      <w:bookmarkStart w:id="35" w:name="_Toc15396607"/>
      <w:bookmarkStart w:id="36" w:name="_Toc13460"/>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般公共预算财政拨款支出决算情况说明</w:t>
      </w:r>
      <w:bookmarkEnd w:id="34"/>
      <w:bookmarkEnd w:id="35"/>
      <w:bookmarkEnd w:id="36"/>
    </w:p>
    <w:p>
      <w:pPr>
        <w:spacing w:line="600" w:lineRule="exact"/>
        <w:ind w:firstLine="640" w:firstLineChars="200"/>
        <w:outlineLvl w:val="2"/>
        <w:rPr>
          <w:rFonts w:ascii="仿宋" w:hAnsi="仿宋" w:eastAsia="仿宋"/>
          <w:b/>
          <w:color w:val="auto"/>
          <w:sz w:val="32"/>
          <w:szCs w:val="32"/>
          <w:highlight w:val="none"/>
        </w:rPr>
      </w:pPr>
      <w:bookmarkStart w:id="37" w:name="_Toc15377210"/>
      <w:r>
        <w:rPr>
          <w:rFonts w:hint="eastAsia" w:ascii="仿宋" w:hAnsi="仿宋" w:eastAsia="仿宋"/>
          <w:b/>
          <w:color w:val="auto"/>
          <w:sz w:val="32"/>
          <w:szCs w:val="32"/>
          <w:highlight w:val="none"/>
        </w:rPr>
        <w:t>（一）一般公共预算财政拨款支出决算总体情况</w:t>
      </w:r>
      <w:bookmarkEnd w:id="37"/>
    </w:p>
    <w:p>
      <w:pPr>
        <w:snapToGrid w:val="0"/>
        <w:spacing w:line="640" w:lineRule="exact"/>
        <w:ind w:firstLine="640" w:firstLineChars="200"/>
        <w:contextualSpacing/>
        <w:rPr>
          <w:rFonts w:hint="eastAsia" w:ascii="宋体" w:hAnsi="宋体" w:eastAsia="宋体" w:cs="宋体"/>
          <w:sz w:val="30"/>
          <w:szCs w:val="30"/>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1549.59</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316.48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25.67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宋体" w:hAnsi="宋体" w:eastAsia="宋体" w:cs="宋体"/>
          <w:sz w:val="30"/>
          <w:szCs w:val="30"/>
        </w:rPr>
        <w:t>本年度增加无差别综合窗口运行经费45.83万元；增加天府通办广元分站点建设项目资金进度款100万元（2021年支付40万元，2022年支付140万元）；增加市政务服务大厅智慧化信息化管理系统建设进度款172.66万元</w:t>
      </w:r>
      <w:r>
        <w:rPr>
          <w:rFonts w:hint="eastAsia" w:ascii="宋体" w:hAnsi="宋体" w:cs="宋体"/>
          <w:sz w:val="30"/>
          <w:szCs w:val="30"/>
          <w:lang w:eastAsia="zh-CN"/>
        </w:rPr>
        <w:t>等</w:t>
      </w:r>
      <w:r>
        <w:rPr>
          <w:rFonts w:hint="eastAsia" w:ascii="宋体" w:hAnsi="宋体" w:eastAsia="宋体" w:cs="宋体"/>
          <w:sz w:val="30"/>
          <w:szCs w:val="30"/>
        </w:rPr>
        <w:t>。</w:t>
      </w:r>
    </w:p>
    <w:p>
      <w:pPr>
        <w:pStyle w:val="2"/>
        <w:jc w:val="center"/>
      </w:pPr>
      <w:r>
        <w:rPr>
          <w:rFonts w:hint="eastAsia" w:eastAsia="宋体"/>
          <w:lang w:eastAsia="zh-CN"/>
        </w:rPr>
        <w:drawing>
          <wp:inline distT="0" distB="0" distL="114300" distR="114300">
            <wp:extent cx="5256530" cy="2988310"/>
            <wp:effectExtent l="5080" t="4445" r="15240" b="1714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spacing w:line="600" w:lineRule="exact"/>
        <w:ind w:firstLine="640" w:firstLineChars="200"/>
        <w:rPr>
          <w:rFonts w:ascii="仿宋" w:hAnsi="仿宋" w:eastAsia="仿宋"/>
          <w:color w:val="auto"/>
          <w:sz w:val="32"/>
          <w:szCs w:val="32"/>
          <w:highlight w:val="none"/>
        </w:rPr>
      </w:pPr>
    </w:p>
    <w:p>
      <w:pPr>
        <w:spacing w:line="600" w:lineRule="exact"/>
        <w:ind w:firstLine="640" w:firstLineChars="200"/>
        <w:outlineLvl w:val="2"/>
        <w:rPr>
          <w:rFonts w:ascii="仿宋" w:hAnsi="仿宋" w:eastAsia="仿宋"/>
          <w:b/>
          <w:color w:val="auto"/>
          <w:sz w:val="32"/>
          <w:szCs w:val="32"/>
          <w:highlight w:val="none"/>
        </w:rPr>
      </w:pPr>
      <w:bookmarkStart w:id="38" w:name="_Toc15377211"/>
      <w:r>
        <w:rPr>
          <w:rFonts w:hint="eastAsia" w:ascii="仿宋" w:hAnsi="仿宋" w:eastAsia="仿宋"/>
          <w:b/>
          <w:color w:val="auto"/>
          <w:sz w:val="32"/>
          <w:szCs w:val="32"/>
          <w:highlight w:val="none"/>
        </w:rPr>
        <w:t>（二）一般公共预算财政拨款支出决算结构情况</w:t>
      </w:r>
      <w:bookmarkEnd w:id="38"/>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1549.59</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1459.76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94.20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b/>
          <w:bCs/>
          <w:color w:val="auto"/>
          <w:sz w:val="32"/>
          <w:szCs w:val="32"/>
          <w:highlight w:val="none"/>
          <w:lang w:val="en-US" w:eastAsia="zh-CN"/>
        </w:rPr>
        <w:t>58.06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3.75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9.05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0.58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22.72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1.47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rPr>
          <w:rFonts w:hint="eastAsia"/>
        </w:rPr>
      </w:pPr>
    </w:p>
    <w:p>
      <w:pPr>
        <w:pStyle w:val="2"/>
        <w:rPr>
          <w:rFonts w:hint="eastAsia"/>
        </w:rPr>
      </w:pPr>
      <w:r>
        <w:rPr>
          <w:rFonts w:hint="eastAsia" w:eastAsia="仿宋"/>
          <w:lang w:eastAsia="zh-CN"/>
        </w:rPr>
        <w:drawing>
          <wp:inline distT="0" distB="0" distL="114300" distR="114300">
            <wp:extent cx="5197475" cy="4518660"/>
            <wp:effectExtent l="4445" t="4445" r="17780" b="1079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rPr>
          <w:rFonts w:ascii="仿宋" w:hAnsi="仿宋" w:eastAsia="仿宋"/>
          <w:color w:val="auto"/>
          <w:sz w:val="32"/>
          <w:szCs w:val="32"/>
          <w:highlight w:val="none"/>
        </w:rPr>
      </w:pP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spacing w:line="600" w:lineRule="exact"/>
        <w:ind w:firstLine="640" w:firstLineChars="200"/>
        <w:outlineLvl w:val="2"/>
        <w:rPr>
          <w:rFonts w:ascii="仿宋" w:hAnsi="仿宋" w:eastAsia="仿宋"/>
          <w:b/>
          <w:color w:val="auto"/>
          <w:sz w:val="32"/>
          <w:szCs w:val="32"/>
          <w:highlight w:val="none"/>
        </w:rPr>
      </w:pPr>
      <w:bookmarkStart w:id="39" w:name="_Toc15377212"/>
      <w:r>
        <w:rPr>
          <w:rFonts w:hint="eastAsia" w:ascii="仿宋" w:hAnsi="仿宋" w:eastAsia="仿宋"/>
          <w:b/>
          <w:color w:val="auto"/>
          <w:sz w:val="32"/>
          <w:szCs w:val="32"/>
          <w:highlight w:val="none"/>
        </w:rPr>
        <w:t>（三）一般公共预算财政拨款支出决算具体情况</w:t>
      </w:r>
      <w:bookmarkEnd w:id="39"/>
    </w:p>
    <w:p>
      <w:pPr>
        <w:spacing w:line="600" w:lineRule="exact"/>
        <w:ind w:firstLine="640" w:firstLineChars="200"/>
        <w:outlineLvl w:val="1"/>
        <w:rPr>
          <w:rFonts w:ascii="仿宋" w:hAnsi="仿宋" w:eastAsia="仿宋"/>
          <w:color w:val="auto"/>
          <w:sz w:val="32"/>
          <w:szCs w:val="32"/>
          <w:highlight w:val="none"/>
        </w:rPr>
      </w:pPr>
      <w:bookmarkStart w:id="40" w:name="_Toc3758"/>
      <w:bookmarkStart w:id="41" w:name="_Toc15378460"/>
      <w:bookmarkStart w:id="42" w:name="_Toc15377213"/>
      <w:bookmarkStart w:id="43" w:name="_Toc15377444"/>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1549.59</w:t>
      </w:r>
      <w:r>
        <w:rPr>
          <w:rFonts w:hint="eastAsia" w:ascii="仿宋" w:hAnsi="仿宋" w:eastAsia="仿宋"/>
          <w:color w:val="auto"/>
          <w:sz w:val="32"/>
          <w:szCs w:val="32"/>
          <w:highlight w:val="none"/>
        </w:rPr>
        <w:t>，</w:t>
      </w:r>
      <w:r>
        <w:rPr>
          <w:rStyle w:val="18"/>
          <w:rFonts w:hint="eastAsia" w:ascii="仿宋" w:hAnsi="仿宋" w:eastAsia="仿宋"/>
          <w:bCs/>
          <w:color w:val="auto"/>
          <w:sz w:val="32"/>
          <w:szCs w:val="32"/>
          <w:highlight w:val="none"/>
        </w:rPr>
        <w:t>完成预算</w:t>
      </w:r>
      <w:r>
        <w:rPr>
          <w:rStyle w:val="18"/>
          <w:rFonts w:hint="eastAsia" w:ascii="仿宋" w:hAnsi="仿宋" w:eastAsia="仿宋"/>
          <w:bCs/>
          <w:color w:val="auto"/>
          <w:sz w:val="32"/>
          <w:szCs w:val="32"/>
          <w:highlight w:val="none"/>
          <w:lang w:val="en-US" w:eastAsia="zh-CN"/>
        </w:rPr>
        <w:t>99.75</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。其中：</w:t>
      </w:r>
      <w:bookmarkEnd w:id="40"/>
      <w:bookmarkEnd w:id="41"/>
      <w:bookmarkEnd w:id="42"/>
      <w:bookmarkEnd w:id="43"/>
    </w:p>
    <w:p>
      <w:pPr>
        <w:spacing w:line="600" w:lineRule="exact"/>
        <w:ind w:firstLine="640" w:firstLineChars="200"/>
        <w:rPr>
          <w:rFonts w:ascii="仿宋" w:hAnsi="仿宋" w:eastAsia="仿宋"/>
          <w:b/>
          <w:color w:val="auto"/>
          <w:sz w:val="32"/>
          <w:szCs w:val="32"/>
          <w:highlight w:val="none"/>
        </w:rPr>
      </w:pPr>
      <w:r>
        <w:rPr>
          <w:rStyle w:val="18"/>
          <w:rFonts w:ascii="仿宋" w:hAnsi="仿宋" w:eastAsia="仿宋"/>
          <w:bCs/>
          <w:color w:val="auto"/>
          <w:sz w:val="32"/>
          <w:szCs w:val="32"/>
          <w:highlight w:val="none"/>
        </w:rPr>
        <w:t>1</w:t>
      </w:r>
      <w:r>
        <w:rPr>
          <w:rStyle w:val="18"/>
          <w:rFonts w:hint="eastAsia" w:ascii="仿宋" w:hAnsi="仿宋" w:eastAsia="仿宋"/>
          <w:bCs/>
          <w:color w:val="auto"/>
          <w:sz w:val="32"/>
          <w:szCs w:val="32"/>
          <w:highlight w:val="none"/>
          <w:lang w:val="en-US" w:eastAsia="zh-CN"/>
        </w:rPr>
        <w:t>.一般公共服务支出（类）政府办公厅（室）及相关机构事务（款）行政运行（项）:</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268.62</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98.59</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，决算数小于预算数的主要原因是</w:t>
      </w:r>
      <w:r>
        <w:rPr>
          <w:rStyle w:val="18"/>
          <w:rFonts w:hint="eastAsia" w:ascii="仿宋" w:hAnsi="仿宋" w:eastAsia="仿宋"/>
          <w:b w:val="0"/>
          <w:bCs/>
          <w:color w:val="auto"/>
          <w:sz w:val="32"/>
          <w:szCs w:val="32"/>
          <w:highlight w:val="none"/>
          <w:lang w:eastAsia="zh-CN"/>
        </w:rPr>
        <w:t>部分库存现金及人员社保经费尚未支付完毕</w:t>
      </w:r>
      <w:r>
        <w:rPr>
          <w:rStyle w:val="18"/>
          <w:rFonts w:hint="eastAsia" w:ascii="仿宋" w:hAnsi="仿宋" w:eastAsia="仿宋"/>
          <w:b w:val="0"/>
          <w:bCs/>
          <w:color w:val="auto"/>
          <w:sz w:val="32"/>
          <w:szCs w:val="32"/>
          <w:highlight w:val="none"/>
        </w:rPr>
        <w:t>。</w:t>
      </w:r>
    </w:p>
    <w:p>
      <w:pPr>
        <w:spacing w:line="600" w:lineRule="exact"/>
        <w:ind w:firstLine="640" w:firstLineChars="200"/>
        <w:rPr>
          <w:rStyle w:val="18"/>
          <w:rFonts w:hint="eastAsia" w:ascii="仿宋" w:hAnsi="仿宋" w:eastAsia="仿宋"/>
          <w:b w:val="0"/>
          <w:bCs/>
          <w:color w:val="auto"/>
          <w:sz w:val="32"/>
          <w:szCs w:val="32"/>
          <w:highlight w:val="none"/>
          <w:lang w:eastAsia="zh-CN"/>
        </w:rPr>
      </w:pPr>
      <w:r>
        <w:rPr>
          <w:rStyle w:val="18"/>
          <w:rFonts w:ascii="仿宋" w:hAnsi="仿宋" w:eastAsia="仿宋"/>
          <w:bCs/>
          <w:color w:val="auto"/>
          <w:sz w:val="32"/>
          <w:szCs w:val="32"/>
          <w:highlight w:val="none"/>
        </w:rPr>
        <w:t>2</w:t>
      </w:r>
      <w:r>
        <w:rPr>
          <w:rStyle w:val="18"/>
          <w:rFonts w:hint="eastAsia" w:ascii="仿宋" w:hAnsi="仿宋" w:eastAsia="仿宋"/>
          <w:bCs/>
          <w:color w:val="auto"/>
          <w:sz w:val="32"/>
          <w:szCs w:val="32"/>
          <w:highlight w:val="none"/>
          <w:lang w:val="en-US" w:eastAsia="zh-CN"/>
        </w:rPr>
        <w:t>.一般公共服务支出（类）政府办公厅（室）及相关机构事务（款）一般行政管理事务（项）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1191.14</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spacing w:line="600" w:lineRule="exact"/>
        <w:ind w:firstLine="640" w:firstLineChars="200"/>
        <w:rPr>
          <w:rFonts w:hint="default"/>
          <w:lang w:val="en-US" w:eastAsia="zh-CN"/>
        </w:rPr>
      </w:pPr>
      <w:r>
        <w:rPr>
          <w:rStyle w:val="18"/>
          <w:rFonts w:hint="eastAsia" w:ascii="仿宋" w:hAnsi="仿宋" w:eastAsia="仿宋"/>
          <w:bCs/>
          <w:color w:val="auto"/>
          <w:sz w:val="32"/>
          <w:szCs w:val="32"/>
          <w:highlight w:val="none"/>
          <w:lang w:val="en-US" w:eastAsia="zh-CN"/>
        </w:rPr>
        <w:t>3</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社会保障和就业</w:t>
      </w:r>
      <w:r>
        <w:rPr>
          <w:rStyle w:val="18"/>
          <w:rFonts w:hint="eastAsia" w:ascii="仿宋" w:hAnsi="仿宋" w:eastAsia="仿宋"/>
          <w:bCs/>
          <w:color w:val="auto"/>
          <w:sz w:val="32"/>
          <w:szCs w:val="32"/>
          <w:highlight w:val="none"/>
          <w:lang w:eastAsia="zh-CN"/>
        </w:rPr>
        <w:t>支出</w:t>
      </w:r>
      <w:r>
        <w:rPr>
          <w:rStyle w:val="18"/>
          <w:rFonts w:hint="eastAsia" w:ascii="仿宋" w:hAnsi="仿宋" w:eastAsia="仿宋"/>
          <w:bCs/>
          <w:color w:val="auto"/>
          <w:sz w:val="32"/>
          <w:szCs w:val="32"/>
          <w:highlight w:val="none"/>
        </w:rPr>
        <w:t>（类）</w:t>
      </w:r>
      <w:r>
        <w:rPr>
          <w:rStyle w:val="18"/>
          <w:rFonts w:hint="eastAsia" w:ascii="仿宋" w:hAnsi="仿宋" w:eastAsia="仿宋"/>
          <w:bCs/>
          <w:color w:val="auto"/>
          <w:sz w:val="32"/>
          <w:szCs w:val="32"/>
          <w:highlight w:val="none"/>
          <w:lang w:eastAsia="zh-CN"/>
        </w:rPr>
        <w:t>行政事业单位养老支出</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行政单位离退休</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18.15</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spacing w:line="600" w:lineRule="exact"/>
        <w:ind w:firstLine="640" w:firstLineChars="200"/>
        <w:rPr>
          <w:rStyle w:val="18"/>
          <w:rFonts w:hint="eastAsia" w:ascii="仿宋" w:hAnsi="仿宋" w:eastAsia="仿宋"/>
          <w:b w:val="0"/>
          <w:bCs/>
          <w:color w:val="auto"/>
          <w:sz w:val="32"/>
          <w:szCs w:val="32"/>
          <w:highlight w:val="none"/>
        </w:rPr>
      </w:pPr>
      <w:r>
        <w:rPr>
          <w:rStyle w:val="18"/>
          <w:rFonts w:hint="eastAsia" w:ascii="仿宋" w:hAnsi="仿宋" w:eastAsia="仿宋"/>
          <w:bCs/>
          <w:color w:val="auto"/>
          <w:sz w:val="32"/>
          <w:szCs w:val="32"/>
          <w:highlight w:val="none"/>
          <w:lang w:val="en-US" w:eastAsia="zh-CN"/>
        </w:rPr>
        <w:t>4</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社会保障和就业</w:t>
      </w:r>
      <w:r>
        <w:rPr>
          <w:rStyle w:val="18"/>
          <w:rFonts w:hint="eastAsia" w:ascii="仿宋" w:hAnsi="仿宋" w:eastAsia="仿宋"/>
          <w:bCs/>
          <w:color w:val="auto"/>
          <w:sz w:val="32"/>
          <w:szCs w:val="32"/>
          <w:highlight w:val="none"/>
          <w:lang w:eastAsia="zh-CN"/>
        </w:rPr>
        <w:t>支出</w:t>
      </w:r>
      <w:r>
        <w:rPr>
          <w:rStyle w:val="18"/>
          <w:rFonts w:hint="eastAsia" w:ascii="仿宋" w:hAnsi="仿宋" w:eastAsia="仿宋"/>
          <w:bCs/>
          <w:color w:val="auto"/>
          <w:sz w:val="32"/>
          <w:szCs w:val="32"/>
          <w:highlight w:val="none"/>
        </w:rPr>
        <w:t>（类）</w:t>
      </w:r>
      <w:r>
        <w:rPr>
          <w:rStyle w:val="18"/>
          <w:rFonts w:hint="eastAsia" w:ascii="仿宋" w:hAnsi="仿宋" w:eastAsia="仿宋"/>
          <w:bCs/>
          <w:color w:val="auto"/>
          <w:sz w:val="32"/>
          <w:szCs w:val="32"/>
          <w:highlight w:val="none"/>
          <w:lang w:eastAsia="zh-CN"/>
        </w:rPr>
        <w:t>行政事业单位养老支出</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机关事业单位基本养老保险缴费支出</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17.31</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spacing w:line="600" w:lineRule="exact"/>
        <w:ind w:firstLine="640" w:firstLineChars="200"/>
      </w:pPr>
      <w:r>
        <w:rPr>
          <w:rStyle w:val="18"/>
          <w:rFonts w:ascii="仿宋" w:hAnsi="仿宋" w:eastAsia="仿宋"/>
          <w:bCs/>
          <w:color w:val="auto"/>
          <w:sz w:val="32"/>
          <w:szCs w:val="32"/>
          <w:highlight w:val="none"/>
          <w:woUserID w:val="1"/>
        </w:rPr>
        <w:t>5</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社会保障和就业</w:t>
      </w:r>
      <w:r>
        <w:rPr>
          <w:rStyle w:val="18"/>
          <w:rFonts w:hint="eastAsia" w:ascii="仿宋" w:hAnsi="仿宋" w:eastAsia="仿宋"/>
          <w:bCs/>
          <w:color w:val="auto"/>
          <w:sz w:val="32"/>
          <w:szCs w:val="32"/>
          <w:highlight w:val="none"/>
          <w:lang w:eastAsia="zh-CN"/>
        </w:rPr>
        <w:t>支出</w:t>
      </w:r>
      <w:r>
        <w:rPr>
          <w:rStyle w:val="18"/>
          <w:rFonts w:hint="eastAsia" w:ascii="仿宋" w:hAnsi="仿宋" w:eastAsia="仿宋"/>
          <w:bCs/>
          <w:color w:val="auto"/>
          <w:sz w:val="32"/>
          <w:szCs w:val="32"/>
          <w:highlight w:val="none"/>
        </w:rPr>
        <w:t>（类）</w:t>
      </w:r>
      <w:r>
        <w:rPr>
          <w:rStyle w:val="18"/>
          <w:rFonts w:hint="eastAsia" w:ascii="仿宋" w:hAnsi="仿宋" w:eastAsia="仿宋"/>
          <w:bCs/>
          <w:color w:val="auto"/>
          <w:sz w:val="32"/>
          <w:szCs w:val="32"/>
          <w:highlight w:val="none"/>
          <w:lang w:eastAsia="zh-CN"/>
        </w:rPr>
        <w:t>行政事业单位养老支出</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机关事业单位职业年金缴费支出</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22.59</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spacing w:line="600" w:lineRule="exact"/>
        <w:ind w:firstLine="640" w:firstLineChars="200"/>
        <w:rPr>
          <w:rFonts w:ascii="仿宋" w:hAnsi="仿宋" w:eastAsia="仿宋"/>
          <w:b/>
          <w:color w:val="auto"/>
          <w:sz w:val="32"/>
          <w:szCs w:val="32"/>
          <w:highlight w:val="none"/>
        </w:rPr>
      </w:pPr>
      <w:r>
        <w:rPr>
          <w:rFonts w:hint="default" w:ascii="仿宋" w:hAnsi="仿宋" w:eastAsia="仿宋"/>
          <w:b/>
          <w:bCs/>
          <w:color w:val="auto"/>
          <w:sz w:val="32"/>
          <w:szCs w:val="32"/>
          <w:highlight w:val="none"/>
          <w:woUserID w:val="1"/>
        </w:rPr>
        <w:t>6</w:t>
      </w:r>
      <w:r>
        <w:rPr>
          <w:rFonts w:hint="eastAsia" w:ascii="仿宋" w:hAnsi="仿宋" w:eastAsia="仿宋"/>
          <w:b/>
          <w:bCs/>
          <w:color w:val="auto"/>
          <w:sz w:val="32"/>
          <w:szCs w:val="32"/>
          <w:highlight w:val="none"/>
        </w:rPr>
        <w:t>卫生健康</w:t>
      </w:r>
      <w:r>
        <w:rPr>
          <w:rFonts w:hint="eastAsia" w:ascii="仿宋" w:hAnsi="仿宋" w:eastAsia="仿宋"/>
          <w:b/>
          <w:bCs/>
          <w:color w:val="auto"/>
          <w:sz w:val="32"/>
          <w:szCs w:val="32"/>
          <w:highlight w:val="none"/>
          <w:lang w:eastAsia="zh-CN"/>
        </w:rPr>
        <w:t>支出</w:t>
      </w:r>
      <w:r>
        <w:rPr>
          <w:rStyle w:val="18"/>
          <w:rFonts w:hint="eastAsia" w:ascii="仿宋" w:hAnsi="仿宋" w:eastAsia="仿宋"/>
          <w:bCs/>
          <w:color w:val="auto"/>
          <w:sz w:val="32"/>
          <w:szCs w:val="32"/>
          <w:highlight w:val="none"/>
        </w:rPr>
        <w:t>（类）</w:t>
      </w:r>
      <w:r>
        <w:rPr>
          <w:rStyle w:val="18"/>
          <w:rFonts w:hint="eastAsia" w:ascii="仿宋" w:hAnsi="仿宋" w:eastAsia="仿宋"/>
          <w:bCs/>
          <w:color w:val="auto"/>
          <w:sz w:val="32"/>
          <w:szCs w:val="32"/>
          <w:highlight w:val="none"/>
          <w:lang w:eastAsia="zh-CN"/>
        </w:rPr>
        <w:t>行政事业单位医疗</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eastAsia="zh-CN"/>
        </w:rPr>
        <w:t>行政单位医疗</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9.05</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pStyle w:val="15"/>
        <w:ind w:firstLine="640" w:firstLineChars="200"/>
        <w:rPr>
          <w:rFonts w:ascii="仿宋" w:hAnsi="仿宋" w:eastAsia="仿宋"/>
          <w:b/>
          <w:color w:val="auto"/>
          <w:sz w:val="32"/>
          <w:szCs w:val="32"/>
          <w:highlight w:val="none"/>
        </w:rPr>
      </w:pPr>
      <w:r>
        <w:rPr>
          <w:rFonts w:hint="default" w:hAnsi="微软雅黑" w:cs="宋体"/>
          <w:b/>
          <w:color w:val="030303"/>
          <w:kern w:val="0"/>
          <w:sz w:val="32"/>
          <w:szCs w:val="32"/>
          <w:lang w:eastAsia="zh-CN"/>
          <w:woUserID w:val="1"/>
        </w:rPr>
        <w:t>7</w:t>
      </w:r>
      <w:r>
        <w:rPr>
          <w:rFonts w:hint="eastAsia" w:hAnsi="微软雅黑" w:cs="宋体"/>
          <w:b/>
          <w:color w:val="030303"/>
          <w:kern w:val="0"/>
          <w:sz w:val="32"/>
          <w:szCs w:val="32"/>
          <w:lang w:val="en-US" w:eastAsia="zh-CN"/>
        </w:rPr>
        <w:t>.</w:t>
      </w:r>
      <w:r>
        <w:rPr>
          <w:rFonts w:hint="eastAsia" w:ascii="仿宋_GB2312" w:hAnsi="微软雅黑" w:eastAsia="仿宋_GB2312" w:cs="宋体"/>
          <w:b/>
          <w:color w:val="030303"/>
          <w:kern w:val="0"/>
          <w:sz w:val="32"/>
          <w:szCs w:val="32"/>
        </w:rPr>
        <w:t>住房保障支出（类）住房改革支出（款）住房公积金（项）</w:t>
      </w:r>
      <w:r>
        <w:rPr>
          <w:rFonts w:hint="eastAsia" w:hAnsi="微软雅黑" w:cs="宋体"/>
          <w:b/>
          <w:color w:val="030303"/>
          <w:kern w:val="0"/>
          <w:sz w:val="32"/>
          <w:szCs w:val="32"/>
          <w:lang w:eastAsia="zh-CN"/>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22.72</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tabs>
          <w:tab w:val="right" w:pos="8306"/>
        </w:tabs>
        <w:spacing w:line="600" w:lineRule="exact"/>
        <w:ind w:firstLine="320" w:firstLineChars="100"/>
        <w:outlineLvl w:val="1"/>
        <w:rPr>
          <w:rStyle w:val="21"/>
          <w:color w:val="auto"/>
          <w:highlight w:val="none"/>
        </w:rPr>
      </w:pPr>
      <w:bookmarkStart w:id="44" w:name="_Toc31552"/>
      <w:bookmarkStart w:id="45" w:name="_Toc15396608"/>
      <w:bookmarkStart w:id="46"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般公共预算财政拨款基本支出决算情况说明</w:t>
      </w:r>
      <w:bookmarkEnd w:id="44"/>
      <w:bookmarkEnd w:id="45"/>
      <w:bookmarkEnd w:id="46"/>
      <w:r>
        <w:rPr>
          <w:rStyle w:val="21"/>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358.45</w:t>
      </w:r>
      <w:r>
        <w:rPr>
          <w:rFonts w:hint="eastAsia" w:ascii="仿宋" w:hAnsi="仿宋" w:eastAsia="仿宋"/>
          <w:color w:val="auto"/>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 w:hAnsi="仿宋" w:eastAsia="仿宋"/>
          <w:color w:val="000000"/>
          <w:sz w:val="32"/>
          <w:szCs w:val="32"/>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285.43</w:t>
      </w:r>
      <w:r>
        <w:rPr>
          <w:rFonts w:hint="eastAsia" w:ascii="仿宋" w:hAnsi="仿宋" w:eastAsia="仿宋"/>
          <w:color w:val="auto"/>
          <w:sz w:val="32"/>
          <w:szCs w:val="32"/>
          <w:highlight w:val="none"/>
        </w:rPr>
        <w:t>万元，主要包括：</w:t>
      </w:r>
      <w:r>
        <w:rPr>
          <w:rFonts w:hint="eastAsia" w:ascii="仿宋" w:hAnsi="仿宋" w:eastAsia="仿宋"/>
          <w:color w:val="000000"/>
          <w:sz w:val="32"/>
          <w:szCs w:val="32"/>
        </w:rPr>
        <w:t>主要包括：基本工资、津贴补贴、奖金、机关事业单位基本养老保险缴费、职工基本医疗保险缴费、其他社会保障缴费、住房公积金、生活补助、</w:t>
      </w:r>
      <w:r>
        <w:rPr>
          <w:rFonts w:hint="eastAsia" w:ascii="仿宋" w:hAnsi="仿宋" w:eastAsia="仿宋"/>
          <w:color w:val="000000"/>
          <w:sz w:val="32"/>
          <w:szCs w:val="32"/>
          <w:lang w:eastAsia="zh-CN"/>
        </w:rPr>
        <w:t>医疗费补助、其他对个人和家庭的补助</w:t>
      </w:r>
      <w:r>
        <w:rPr>
          <w:rFonts w:hint="eastAsia" w:ascii="仿宋" w:hAnsi="仿宋" w:eastAsia="仿宋"/>
          <w:color w:val="000000"/>
          <w:sz w:val="32"/>
          <w:szCs w:val="32"/>
        </w:rPr>
        <w:t>。</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73.02</w:t>
      </w:r>
      <w:r>
        <w:rPr>
          <w:rFonts w:hint="eastAsia" w:ascii="仿宋" w:hAnsi="仿宋" w:eastAsia="仿宋"/>
          <w:color w:val="auto"/>
          <w:sz w:val="32"/>
          <w:szCs w:val="32"/>
          <w:highlight w:val="none"/>
        </w:rPr>
        <w:t>万元，主要包括：</w:t>
      </w:r>
      <w:r>
        <w:rPr>
          <w:rFonts w:hint="eastAsia" w:ascii="仿宋" w:hAnsi="仿宋" w:eastAsia="仿宋"/>
          <w:color w:val="000000"/>
          <w:sz w:val="32"/>
          <w:szCs w:val="32"/>
        </w:rPr>
        <w:t>主要包括：办公费、印刷费</w:t>
      </w:r>
      <w:r>
        <w:rPr>
          <w:rFonts w:hint="eastAsia" w:ascii="仿宋" w:hAnsi="仿宋" w:eastAsia="仿宋"/>
          <w:color w:val="000000"/>
          <w:sz w:val="32"/>
          <w:szCs w:val="32"/>
          <w:lang w:eastAsia="zh-CN"/>
        </w:rPr>
        <w:t>、</w:t>
      </w:r>
      <w:r>
        <w:rPr>
          <w:rFonts w:hint="eastAsia" w:ascii="仿宋" w:hAnsi="仿宋" w:eastAsia="仿宋"/>
          <w:color w:val="000000"/>
          <w:sz w:val="32"/>
          <w:szCs w:val="32"/>
        </w:rPr>
        <w:t>手续费、邮电费</w:t>
      </w:r>
      <w:r>
        <w:rPr>
          <w:rFonts w:hint="eastAsia" w:ascii="仿宋" w:hAnsi="仿宋" w:eastAsia="仿宋"/>
          <w:color w:val="000000"/>
          <w:sz w:val="32"/>
          <w:szCs w:val="32"/>
          <w:lang w:eastAsia="zh-CN"/>
        </w:rPr>
        <w:t>、差旅费、维修（护）费、租赁费、</w:t>
      </w:r>
      <w:r>
        <w:rPr>
          <w:rFonts w:hint="eastAsia" w:ascii="仿宋" w:hAnsi="仿宋" w:eastAsia="仿宋"/>
          <w:color w:val="000000"/>
          <w:sz w:val="32"/>
          <w:szCs w:val="32"/>
        </w:rPr>
        <w:t>公务接待费、劳务费</w:t>
      </w:r>
      <w:r>
        <w:rPr>
          <w:rFonts w:hint="eastAsia" w:ascii="仿宋" w:hAnsi="仿宋" w:eastAsia="仿宋"/>
          <w:color w:val="000000"/>
          <w:sz w:val="32"/>
          <w:szCs w:val="32"/>
          <w:lang w:eastAsia="zh-CN"/>
        </w:rPr>
        <w:t>、委托业务费、</w:t>
      </w:r>
      <w:r>
        <w:rPr>
          <w:rFonts w:hint="eastAsia" w:ascii="仿宋" w:hAnsi="仿宋" w:eastAsia="仿宋"/>
          <w:color w:val="000000"/>
          <w:sz w:val="32"/>
          <w:szCs w:val="32"/>
        </w:rPr>
        <w:t>工会经费、福利费、其他交通费</w:t>
      </w:r>
      <w:r>
        <w:rPr>
          <w:rFonts w:hint="eastAsia" w:ascii="仿宋" w:hAnsi="仿宋" w:eastAsia="仿宋"/>
          <w:color w:val="000000"/>
          <w:sz w:val="32"/>
          <w:szCs w:val="32"/>
          <w:lang w:eastAsia="zh-CN"/>
        </w:rPr>
        <w:t>用、其他商品和服务支出</w:t>
      </w:r>
      <w:r>
        <w:rPr>
          <w:rFonts w:hint="eastAsia" w:ascii="仿宋" w:hAnsi="仿宋" w:eastAsia="仿宋"/>
          <w:color w:val="000000"/>
          <w:sz w:val="32"/>
          <w:szCs w:val="32"/>
        </w:rPr>
        <w:t>。</w:t>
      </w:r>
    </w:p>
    <w:p>
      <w:pPr>
        <w:spacing w:line="600" w:lineRule="exact"/>
        <w:ind w:firstLine="640"/>
        <w:outlineLvl w:val="1"/>
        <w:rPr>
          <w:rStyle w:val="21"/>
          <w:rFonts w:ascii="黑体" w:hAnsi="黑体" w:eastAsia="黑体"/>
          <w:b w:val="0"/>
          <w:color w:val="auto"/>
          <w:highlight w:val="none"/>
        </w:rPr>
      </w:pPr>
      <w:bookmarkStart w:id="47" w:name="_Toc31004"/>
      <w:bookmarkStart w:id="48" w:name="_Toc15396609"/>
      <w:bookmarkStart w:id="49" w:name="_Toc15377215"/>
      <w:r>
        <w:rPr>
          <w:rFonts w:hint="eastAsia" w:ascii="黑体" w:eastAsia="黑体"/>
          <w:color w:val="auto"/>
          <w:sz w:val="32"/>
          <w:szCs w:val="32"/>
          <w:highlight w:val="none"/>
        </w:rPr>
        <w:t>七、</w:t>
      </w:r>
      <w:r>
        <w:rPr>
          <w:rStyle w:val="21"/>
          <w:rFonts w:hint="eastAsia" w:ascii="黑体" w:hAnsi="黑体" w:eastAsia="黑体"/>
          <w:b w:val="0"/>
          <w:color w:val="auto"/>
          <w:highlight w:val="none"/>
        </w:rPr>
        <w:t>财政拨款</w:t>
      </w:r>
      <w:r>
        <w:rPr>
          <w:rStyle w:val="21"/>
          <w:rFonts w:hint="eastAsia" w:ascii="黑体" w:hAnsi="黑体" w:eastAsia="黑体"/>
          <w:color w:val="auto"/>
          <w:highlight w:val="none"/>
        </w:rPr>
        <w:t>“</w:t>
      </w:r>
      <w:r>
        <w:rPr>
          <w:rStyle w:val="21"/>
          <w:rFonts w:hint="eastAsia" w:ascii="黑体" w:hAnsi="黑体" w:eastAsia="黑体"/>
          <w:b w:val="0"/>
          <w:color w:val="auto"/>
          <w:highlight w:val="none"/>
        </w:rPr>
        <w:t>三公”经费支出决算情况说明</w:t>
      </w:r>
      <w:bookmarkEnd w:id="47"/>
      <w:bookmarkEnd w:id="48"/>
      <w:bookmarkEnd w:id="49"/>
    </w:p>
    <w:p>
      <w:pPr>
        <w:spacing w:line="600" w:lineRule="exact"/>
        <w:ind w:firstLine="640"/>
        <w:outlineLvl w:val="2"/>
        <w:rPr>
          <w:rFonts w:ascii="仿宋" w:hAnsi="仿宋" w:eastAsia="仿宋"/>
          <w:b/>
          <w:color w:val="auto"/>
          <w:sz w:val="32"/>
          <w:szCs w:val="32"/>
          <w:highlight w:val="none"/>
        </w:rPr>
      </w:pPr>
      <w:bookmarkStart w:id="50" w:name="_Toc15377216"/>
      <w:r>
        <w:rPr>
          <w:rFonts w:hint="eastAsia" w:ascii="仿宋" w:hAnsi="仿宋" w:eastAsia="仿宋"/>
          <w:b/>
          <w:color w:val="auto"/>
          <w:sz w:val="32"/>
          <w:szCs w:val="32"/>
          <w:highlight w:val="none"/>
        </w:rPr>
        <w:t>（一）“三公”经费财政拨款支出决算总体情况说明</w:t>
      </w:r>
      <w:bookmarkEnd w:id="50"/>
    </w:p>
    <w:p>
      <w:pPr>
        <w:spacing w:line="600" w:lineRule="exact"/>
        <w:ind w:firstLine="640"/>
        <w:outlineLvl w:val="1"/>
        <w:rPr>
          <w:rFonts w:hint="eastAsia" w:ascii="仿宋" w:hAnsi="仿宋" w:eastAsia="仿宋"/>
          <w:color w:val="auto"/>
          <w:sz w:val="32"/>
          <w:szCs w:val="32"/>
          <w:highlight w:val="none"/>
          <w:lang w:eastAsia="zh-CN"/>
        </w:rPr>
      </w:pPr>
      <w:bookmarkStart w:id="51" w:name="_Toc22594"/>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0.97</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减少0.14万元，下降12.61%。</w:t>
      </w:r>
      <w:r>
        <w:rPr>
          <w:rFonts w:hint="eastAsia" w:ascii="仿宋" w:hAnsi="仿宋" w:eastAsia="仿宋"/>
          <w:color w:val="auto"/>
          <w:sz w:val="32"/>
          <w:szCs w:val="32"/>
          <w:highlight w:val="none"/>
        </w:rPr>
        <w:t>决算数</w:t>
      </w:r>
      <w:r>
        <w:rPr>
          <w:rFonts w:hint="eastAsia" w:ascii="仿宋" w:hAnsi="仿宋" w:eastAsia="仿宋"/>
          <w:color w:val="auto"/>
          <w:sz w:val="32"/>
          <w:szCs w:val="32"/>
          <w:highlight w:val="none"/>
          <w:lang w:eastAsia="zh-CN"/>
        </w:rPr>
        <w:t>与</w:t>
      </w:r>
      <w:r>
        <w:rPr>
          <w:rFonts w:hint="eastAsia" w:ascii="仿宋" w:hAnsi="仿宋" w:eastAsia="仿宋"/>
          <w:color w:val="auto"/>
          <w:sz w:val="32"/>
          <w:szCs w:val="32"/>
          <w:highlight w:val="none"/>
        </w:rPr>
        <w:t>预算数持平</w:t>
      </w:r>
      <w:r>
        <w:rPr>
          <w:rFonts w:hint="eastAsia" w:ascii="仿宋" w:hAnsi="仿宋" w:eastAsia="仿宋"/>
          <w:color w:val="auto"/>
          <w:sz w:val="32"/>
          <w:szCs w:val="32"/>
          <w:highlight w:val="none"/>
          <w:lang w:eastAsia="zh-CN"/>
        </w:rPr>
        <w:t>。</w:t>
      </w:r>
      <w:bookmarkEnd w:id="51"/>
    </w:p>
    <w:p>
      <w:pPr>
        <w:spacing w:line="600" w:lineRule="exact"/>
        <w:ind w:firstLine="640"/>
        <w:outlineLvl w:val="2"/>
        <w:rPr>
          <w:rFonts w:ascii="仿宋" w:hAnsi="仿宋" w:eastAsia="仿宋"/>
          <w:b/>
          <w:color w:val="auto"/>
          <w:sz w:val="32"/>
          <w:szCs w:val="32"/>
          <w:highlight w:val="none"/>
        </w:rPr>
      </w:pPr>
      <w:bookmarkStart w:id="52" w:name="_Toc15377217"/>
      <w:r>
        <w:rPr>
          <w:rFonts w:hint="eastAsia" w:ascii="仿宋" w:hAnsi="仿宋" w:eastAsia="仿宋"/>
          <w:b/>
          <w:color w:val="auto"/>
          <w:sz w:val="32"/>
          <w:szCs w:val="32"/>
          <w:highlight w:val="none"/>
        </w:rPr>
        <w:t>（二）“三公”经费财政拨款支出决算具体情况说明</w:t>
      </w:r>
      <w:bookmarkEnd w:id="52"/>
    </w:p>
    <w:p>
      <w:pPr>
        <w:spacing w:line="600" w:lineRule="exact"/>
        <w:ind w:firstLine="640"/>
        <w:rPr>
          <w:rFonts w:hint="eastAsia" w:ascii="仿宋" w:hAnsi="仿宋" w:eastAsia="仿宋"/>
          <w:color w:val="auto"/>
          <w:sz w:val="32"/>
          <w:szCs w:val="32"/>
          <w:highlight w:val="none"/>
        </w:rPr>
      </w:pPr>
      <w:r>
        <w:rPr>
          <w:rFonts w:hint="eastAsia" w:eastAsia="仿宋"/>
          <w:lang w:eastAsia="zh-CN"/>
        </w:rPr>
        <w:drawing>
          <wp:anchor distT="0" distB="0" distL="114300" distR="114300" simplePos="0" relativeHeight="251659264" behindDoc="1" locked="0" layoutInCell="1" allowOverlap="1">
            <wp:simplePos x="0" y="0"/>
            <wp:positionH relativeFrom="column">
              <wp:posOffset>672465</wp:posOffset>
            </wp:positionH>
            <wp:positionV relativeFrom="paragraph">
              <wp:posOffset>1593850</wp:posOffset>
            </wp:positionV>
            <wp:extent cx="4918710" cy="3568700"/>
            <wp:effectExtent l="4445" t="4445" r="10795" b="8255"/>
            <wp:wrapTight wrapText="bothSides">
              <wp:wrapPolygon>
                <wp:start x="-20" y="-27"/>
                <wp:lineTo x="-20" y="21592"/>
                <wp:lineTo x="21564" y="21592"/>
                <wp:lineTo x="21564" y="-27"/>
                <wp:lineTo x="-20" y="-27"/>
              </wp:wrapPolygon>
            </wp:wrapTight>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0.97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
        <w:rPr>
          <w:rFonts w:hint="eastAsia"/>
        </w:rPr>
      </w:pPr>
    </w:p>
    <w:p>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b/>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_GB2312" w:eastAsia="仿宋_GB2312"/>
          <w:color w:val="auto"/>
          <w:sz w:val="32"/>
          <w:szCs w:val="32"/>
          <w:highlight w:val="none"/>
          <w:lang w:eastAsia="zh-CN"/>
        </w:rPr>
        <w:t>，支出决算数与上年相比无变化</w:t>
      </w:r>
      <w:r>
        <w:rPr>
          <w:rFonts w:hint="eastAsia" w:ascii="仿宋_GB2312" w:eastAsia="仿宋_GB2312"/>
          <w:color w:val="auto"/>
          <w:sz w:val="32"/>
          <w:szCs w:val="32"/>
          <w:highlight w:val="none"/>
        </w:rPr>
        <w:t>。</w:t>
      </w:r>
    </w:p>
    <w:p>
      <w:pPr>
        <w:spacing w:line="600" w:lineRule="exact"/>
        <w:ind w:firstLine="640"/>
        <w:rPr>
          <w:rFonts w:hint="default" w:eastAsia="仿宋_GB2312"/>
          <w:lang w:val="en-US" w:eastAsia="zh-CN"/>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lang w:eastAsia="zh-CN"/>
        </w:rPr>
        <w:t>年初未安排预算</w:t>
      </w:r>
      <w:r>
        <w:rPr>
          <w:rStyle w:val="18"/>
          <w:rFonts w:hint="eastAsia" w:ascii="仿宋" w:hAnsi="仿宋" w:eastAsia="仿宋"/>
          <w:b w:val="0"/>
          <w:bCs/>
          <w:color w:val="auto"/>
          <w:sz w:val="32"/>
          <w:szCs w:val="32"/>
          <w:highlight w:val="none"/>
        </w:rPr>
        <w:t>。公务用车购置及运行维护费</w:t>
      </w:r>
      <w:r>
        <w:rPr>
          <w:rStyle w:val="18"/>
          <w:rFonts w:hint="eastAsia" w:ascii="仿宋" w:hAnsi="仿宋" w:eastAsia="仿宋"/>
          <w:b w:val="0"/>
          <w:bCs/>
          <w:color w:val="auto"/>
          <w:sz w:val="32"/>
          <w:szCs w:val="32"/>
          <w:highlight w:val="none"/>
          <w:lang w:val="en-US" w:eastAsia="zh-CN"/>
        </w:rPr>
        <w:t>支出决算较上年无变化。本年度无公务用车购置，截至2022年12月底单位公务用车保留量为0辆。</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0.97</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0.14</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12.61</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 w:hAnsi="仿宋" w:eastAsia="仿宋"/>
          <w:color w:val="auto"/>
          <w:sz w:val="32"/>
          <w:szCs w:val="32"/>
          <w:highlight w:val="none"/>
          <w:lang w:val="en-US" w:eastAsia="zh-CN"/>
        </w:rPr>
        <w:t>受疫情影响，外市州来我中心考察调研工作较少。</w:t>
      </w:r>
      <w:r>
        <w:rPr>
          <w:rFonts w:hint="eastAsia" w:ascii="仿宋_GB2312" w:eastAsia="仿宋_GB2312"/>
          <w:color w:val="auto"/>
          <w:sz w:val="32"/>
          <w:szCs w:val="32"/>
          <w:highlight w:val="none"/>
        </w:rPr>
        <w:t>其中：</w:t>
      </w:r>
    </w:p>
    <w:p>
      <w:pPr>
        <w:spacing w:line="600" w:lineRule="exact"/>
        <w:ind w:firstLine="640"/>
        <w:rPr>
          <w:rFonts w:hint="eastAsia" w:ascii="仿宋_GB2312" w:hAnsi="宋体" w:eastAsia="仿宋_GB2312" w:cs="宋体"/>
          <w:color w:val="000000"/>
          <w:sz w:val="32"/>
          <w:szCs w:val="32"/>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0.97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主要用于</w:t>
      </w:r>
      <w:r>
        <w:rPr>
          <w:rFonts w:hint="eastAsia" w:ascii="仿宋_GB2312" w:eastAsia="仿宋_GB2312"/>
          <w:color w:val="auto"/>
          <w:sz w:val="32"/>
          <w:szCs w:val="32"/>
          <w:highlight w:val="none"/>
        </w:rPr>
        <w:t>执行公务、开展业务活动开支的用餐费。国内公务接待</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82</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0.97</w:t>
      </w:r>
      <w:r>
        <w:rPr>
          <w:rFonts w:hint="eastAsia" w:ascii="仿宋_GB2312" w:eastAsia="仿宋_GB2312"/>
          <w:color w:val="auto"/>
          <w:sz w:val="32"/>
          <w:szCs w:val="32"/>
          <w:highlight w:val="none"/>
        </w:rPr>
        <w:t>万元，具体内容包括：</w:t>
      </w:r>
      <w:r>
        <w:rPr>
          <w:rFonts w:hint="eastAsia" w:ascii="仿宋_GB2312" w:hAnsi="宋体" w:eastAsia="仿宋_GB2312" w:cs="宋体"/>
          <w:color w:val="000000" w:themeColor="text1"/>
          <w:sz w:val="32"/>
          <w:szCs w:val="32"/>
          <w:lang w:eastAsia="zh-CN"/>
          <w14:textFill>
            <w14:solidFill>
              <w14:schemeClr w14:val="tx1"/>
            </w14:solidFill>
          </w14:textFill>
        </w:rPr>
        <w:t>接待</w:t>
      </w:r>
      <w:r>
        <w:rPr>
          <w:rFonts w:hint="eastAsia" w:ascii="仿宋_GB2312" w:hAnsi="宋体" w:eastAsia="仿宋_GB2312" w:cs="宋体"/>
          <w:color w:val="000000" w:themeColor="text1"/>
          <w:sz w:val="32"/>
          <w:szCs w:val="32"/>
          <w14:textFill>
            <w14:solidFill>
              <w14:schemeClr w14:val="tx1"/>
            </w14:solidFill>
          </w14:textFill>
        </w:rPr>
        <w:t>其他地市州及市辖县区赴广调研、学习考察</w:t>
      </w:r>
      <w:r>
        <w:rPr>
          <w:rFonts w:hint="eastAsia" w:ascii="仿宋_GB2312" w:hAnsi="宋体" w:eastAsia="仿宋_GB2312" w:cs="宋体"/>
          <w:color w:val="000000"/>
          <w:sz w:val="32"/>
          <w:szCs w:val="32"/>
        </w:rPr>
        <w:t>等公务接待活动</w:t>
      </w:r>
      <w:r>
        <w:rPr>
          <w:rFonts w:hint="eastAsia" w:ascii="仿宋_GB2312" w:hAnsi="宋体" w:eastAsia="仿宋_GB2312" w:cs="宋体"/>
          <w:color w:val="000000"/>
          <w:sz w:val="32"/>
          <w:szCs w:val="32"/>
          <w:lang w:eastAsia="zh-CN"/>
        </w:rPr>
        <w:t>发生餐费支出</w:t>
      </w:r>
      <w:r>
        <w:rPr>
          <w:rFonts w:hint="eastAsia" w:ascii="仿宋_GB2312" w:hAnsi="宋体" w:eastAsia="仿宋_GB2312" w:cs="宋体"/>
          <w:color w:val="000000"/>
          <w:sz w:val="32"/>
          <w:szCs w:val="32"/>
          <w:lang w:val="en-US" w:eastAsia="zh-CN"/>
        </w:rPr>
        <w:t>0.97万元</w:t>
      </w:r>
      <w:r>
        <w:rPr>
          <w:rFonts w:hint="eastAsia" w:ascii="仿宋_GB2312" w:hAnsi="宋体" w:eastAsia="仿宋_GB2312" w:cs="宋体"/>
          <w:color w:val="000000"/>
          <w:sz w:val="32"/>
          <w:szCs w:val="32"/>
        </w:rPr>
        <w:t>。</w:t>
      </w:r>
    </w:p>
    <w:p>
      <w:pPr>
        <w:spacing w:line="600" w:lineRule="exact"/>
        <w:ind w:firstLine="640" w:firstLineChars="200"/>
        <w:rPr>
          <w:rFonts w:hint="eastAsia"/>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spacing w:line="600" w:lineRule="exact"/>
        <w:ind w:firstLine="640"/>
        <w:outlineLvl w:val="1"/>
        <w:rPr>
          <w:rStyle w:val="21"/>
          <w:rFonts w:ascii="黑体" w:hAnsi="黑体" w:eastAsia="黑体"/>
          <w:color w:val="auto"/>
          <w:highlight w:val="none"/>
        </w:rPr>
      </w:pPr>
      <w:bookmarkStart w:id="53" w:name="_Toc15377218"/>
      <w:bookmarkStart w:id="54" w:name="_Toc1617"/>
      <w:bookmarkStart w:id="55" w:name="_Toc15396610"/>
      <w:r>
        <w:rPr>
          <w:rFonts w:hint="eastAsia" w:ascii="黑体" w:eastAsia="黑体"/>
          <w:color w:val="auto"/>
          <w:sz w:val="32"/>
          <w:szCs w:val="32"/>
          <w:highlight w:val="none"/>
        </w:rPr>
        <w:t>八、</w:t>
      </w:r>
      <w:r>
        <w:rPr>
          <w:rStyle w:val="21"/>
          <w:rFonts w:hint="eastAsia" w:ascii="黑体" w:hAnsi="黑体" w:eastAsia="黑体"/>
          <w:b w:val="0"/>
          <w:color w:val="auto"/>
          <w:highlight w:val="none"/>
        </w:rPr>
        <w:t>政府性基金预算支出决算情况说明</w:t>
      </w:r>
      <w:bookmarkEnd w:id="53"/>
      <w:bookmarkEnd w:id="54"/>
      <w:bookmarkEnd w:id="55"/>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21"/>
          <w:rFonts w:ascii="黑体" w:hAnsi="黑体" w:eastAsia="黑体"/>
          <w:b w:val="0"/>
          <w:color w:val="auto"/>
          <w:highlight w:val="none"/>
        </w:rPr>
      </w:pPr>
      <w:bookmarkStart w:id="56" w:name="_Toc15396611"/>
      <w:bookmarkStart w:id="57" w:name="_Toc22667"/>
      <w:bookmarkStart w:id="58" w:name="_Toc15377219"/>
      <w:r>
        <w:rPr>
          <w:rStyle w:val="21"/>
          <w:rFonts w:hint="eastAsia" w:ascii="黑体" w:hAnsi="黑体" w:eastAsia="黑体"/>
          <w:b w:val="0"/>
          <w:color w:val="auto"/>
          <w:highlight w:val="none"/>
        </w:rPr>
        <w:t>国有资本经营预算支出决算情况说明</w:t>
      </w:r>
      <w:bookmarkEnd w:id="56"/>
      <w:bookmarkEnd w:id="57"/>
      <w:bookmarkEnd w:id="58"/>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21"/>
          <w:rFonts w:hint="eastAsia" w:ascii="黑体" w:hAnsi="黑体" w:eastAsia="黑体"/>
          <w:b w:val="0"/>
          <w:color w:val="auto"/>
          <w:highlight w:val="none"/>
        </w:rPr>
      </w:pPr>
      <w:bookmarkStart w:id="59" w:name="_Toc15396612"/>
      <w:bookmarkStart w:id="60" w:name="_Toc15377221"/>
      <w:bookmarkStart w:id="61" w:name="_Toc20440"/>
      <w:r>
        <w:rPr>
          <w:rStyle w:val="21"/>
          <w:rFonts w:hint="eastAsia" w:ascii="黑体" w:hAnsi="黑体" w:eastAsia="黑体"/>
          <w:b w:val="0"/>
          <w:color w:val="auto"/>
          <w:highlight w:val="none"/>
        </w:rPr>
        <w:t>其他重要事项的情况说明</w:t>
      </w:r>
      <w:bookmarkEnd w:id="59"/>
      <w:bookmarkEnd w:id="60"/>
      <w:bookmarkEnd w:id="61"/>
    </w:p>
    <w:p>
      <w:pPr>
        <w:spacing w:line="600" w:lineRule="exact"/>
        <w:ind w:firstLine="640" w:firstLineChars="200"/>
        <w:outlineLvl w:val="2"/>
        <w:rPr>
          <w:rFonts w:ascii="仿宋" w:hAnsi="仿宋" w:eastAsia="仿宋"/>
          <w:color w:val="auto"/>
          <w:sz w:val="32"/>
          <w:szCs w:val="32"/>
          <w:highlight w:val="none"/>
        </w:rPr>
      </w:pPr>
      <w:bookmarkStart w:id="62" w:name="_Toc15377222"/>
      <w:r>
        <w:rPr>
          <w:rFonts w:hint="eastAsia" w:ascii="仿宋" w:hAnsi="仿宋" w:eastAsia="仿宋"/>
          <w:b/>
          <w:color w:val="auto"/>
          <w:sz w:val="32"/>
          <w:szCs w:val="32"/>
          <w:highlight w:val="none"/>
        </w:rPr>
        <w:t>（一）机关运行经费支出情况</w:t>
      </w:r>
      <w:bookmarkEnd w:id="62"/>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广元市政务服务和公共资源交易中心</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73.02</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34.91</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91.60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：一是</w:t>
      </w:r>
      <w:r>
        <w:rPr>
          <w:rFonts w:hint="eastAsia" w:ascii="仿宋_GB2312" w:eastAsia="仿宋_GB2312"/>
          <w:color w:val="auto"/>
          <w:sz w:val="32"/>
          <w:szCs w:val="32"/>
          <w:highlight w:val="none"/>
          <w:lang w:val="en-US" w:eastAsia="zh-CN"/>
        </w:rPr>
        <w:t>2022年将市联审中心17名抽调人员调整的公用经费纳入了机关运行经费统计，而2021年末纳入；二是因疫情防控需要2022年办公费、印刷费等日常运行经费增加。</w:t>
      </w:r>
    </w:p>
    <w:p>
      <w:pPr>
        <w:autoSpaceDE w:val="0"/>
        <w:autoSpaceDN w:val="0"/>
        <w:adjustRightInd w:val="0"/>
        <w:spacing w:line="600" w:lineRule="exact"/>
        <w:ind w:firstLine="640" w:firstLineChars="200"/>
        <w:jc w:val="left"/>
        <w:outlineLvl w:val="2"/>
        <w:rPr>
          <w:rFonts w:ascii="仿宋" w:hAnsi="仿宋" w:eastAsia="仿宋"/>
          <w:b/>
          <w:color w:val="auto"/>
          <w:sz w:val="32"/>
          <w:szCs w:val="32"/>
          <w:highlight w:val="none"/>
        </w:rPr>
      </w:pPr>
      <w:bookmarkStart w:id="63" w:name="_Toc15377223"/>
      <w:r>
        <w:rPr>
          <w:rFonts w:hint="eastAsia" w:ascii="仿宋" w:hAnsi="仿宋" w:eastAsia="仿宋"/>
          <w:b/>
          <w:color w:val="auto"/>
          <w:sz w:val="32"/>
          <w:szCs w:val="32"/>
          <w:highlight w:val="none"/>
        </w:rPr>
        <w:t>（二）政府采购支出情况</w:t>
      </w:r>
      <w:bookmarkEnd w:id="63"/>
    </w:p>
    <w:p>
      <w:pPr>
        <w:spacing w:line="600" w:lineRule="exact"/>
        <w:ind w:firstLine="640" w:firstLineChars="200"/>
        <w:rPr>
          <w:rFonts w:hint="default" w:ascii="仿宋_GB2312" w:eastAsia="仿宋"/>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广元市政务服务和公共资源交易中心</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439.90</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12.66</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427.24</w:t>
      </w:r>
      <w:r>
        <w:rPr>
          <w:rFonts w:hint="eastAsia" w:ascii="仿宋_GB2312" w:eastAsia="仿宋_GB2312"/>
          <w:color w:val="auto"/>
          <w:sz w:val="32"/>
          <w:szCs w:val="32"/>
          <w:highlight w:val="none"/>
        </w:rPr>
        <w:t>万元。主要用于</w:t>
      </w:r>
      <w:r>
        <w:rPr>
          <w:rFonts w:hint="eastAsia" w:ascii="仿宋" w:hAnsi="仿宋" w:eastAsia="仿宋"/>
          <w:color w:val="000000"/>
          <w:sz w:val="32"/>
          <w:szCs w:val="32"/>
        </w:rPr>
        <w:t>市政务中心综合楼物业服务采购</w:t>
      </w:r>
      <w:r>
        <w:rPr>
          <w:rFonts w:hint="eastAsia" w:ascii="仿宋" w:hAnsi="仿宋" w:eastAsia="仿宋"/>
          <w:color w:val="000000"/>
          <w:sz w:val="32"/>
          <w:szCs w:val="32"/>
          <w:lang w:val="en-US" w:eastAsia="zh-CN"/>
        </w:rPr>
        <w:t>145.07万元、市政务服务大厅智慧化信息化管理系统建设142.17万元、“天府通办</w:t>
      </w:r>
      <w:r>
        <w:rPr>
          <w:rFonts w:hint="default" w:ascii="仿宋" w:hAnsi="仿宋" w:eastAsia="仿宋"/>
          <w:color w:val="000000"/>
          <w:sz w:val="32"/>
          <w:szCs w:val="32"/>
          <w:lang w:val="en-US" w:eastAsia="zh-CN"/>
        </w:rPr>
        <w:t>”</w:t>
      </w:r>
      <w:r>
        <w:rPr>
          <w:rFonts w:hint="eastAsia" w:ascii="仿宋" w:hAnsi="仿宋" w:eastAsia="仿宋"/>
          <w:color w:val="000000"/>
          <w:sz w:val="32"/>
          <w:szCs w:val="32"/>
          <w:lang w:val="en-US" w:eastAsia="zh-CN"/>
        </w:rPr>
        <w:t>广元分站点建设项目140万元以及其他设施设备采购12.66万元。</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autoSpaceDE w:val="0"/>
        <w:autoSpaceDN w:val="0"/>
        <w:adjustRightInd w:val="0"/>
        <w:spacing w:line="600" w:lineRule="exact"/>
        <w:ind w:firstLine="640" w:firstLineChars="200"/>
        <w:jc w:val="left"/>
        <w:outlineLvl w:val="2"/>
        <w:rPr>
          <w:rFonts w:ascii="仿宋" w:hAnsi="仿宋" w:eastAsia="仿宋"/>
          <w:b/>
          <w:color w:val="auto"/>
          <w:sz w:val="32"/>
          <w:szCs w:val="32"/>
          <w:highlight w:val="none"/>
        </w:rPr>
      </w:pPr>
      <w:bookmarkStart w:id="64" w:name="_Toc15377224"/>
      <w:r>
        <w:rPr>
          <w:rFonts w:hint="eastAsia" w:ascii="仿宋" w:hAnsi="仿宋" w:eastAsia="仿宋"/>
          <w:b/>
          <w:color w:val="auto"/>
          <w:sz w:val="32"/>
          <w:szCs w:val="32"/>
          <w:highlight w:val="none"/>
        </w:rPr>
        <w:t>（三）国有资产占有使用情况</w:t>
      </w:r>
      <w:bookmarkEnd w:id="64"/>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广元市政务服务和公共资源交易中心</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bookmarkStart w:id="98" w:name="_GoBack"/>
      <w:bookmarkEnd w:id="98"/>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0"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年度预算编制阶段，组织对政务中心综合楼日常运行费等</w:t>
      </w:r>
      <w:r>
        <w:rPr>
          <w:rFonts w:hint="eastAsia" w:hAnsi="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20"/>
          <w:rFonts w:ascii="黑体" w:hAnsi="黑体" w:eastAsia="黑体"/>
          <w:b w:val="0"/>
          <w:color w:val="auto"/>
          <w:highlight w:val="none"/>
        </w:rPr>
      </w:pPr>
      <w:bookmarkStart w:id="65" w:name="_Toc15377225"/>
      <w:bookmarkStart w:id="66" w:name="_Toc15396613"/>
      <w:bookmarkStart w:id="67" w:name="_Toc22130"/>
      <w:r>
        <w:rPr>
          <w:rFonts w:hint="eastAsia" w:ascii="黑体" w:hAnsi="黑体" w:eastAsia="黑体"/>
          <w:color w:val="auto"/>
          <w:sz w:val="44"/>
          <w:szCs w:val="44"/>
          <w:highlight w:val="none"/>
        </w:rPr>
        <w:t>名</w:t>
      </w:r>
      <w:r>
        <w:rPr>
          <w:rStyle w:val="20"/>
          <w:rFonts w:hint="eastAsia" w:ascii="黑体" w:hAnsi="黑体" w:eastAsia="黑体"/>
          <w:b w:val="0"/>
          <w:color w:val="auto"/>
          <w:highlight w:val="none"/>
        </w:rPr>
        <w:t>词解释</w:t>
      </w:r>
      <w:bookmarkEnd w:id="65"/>
      <w:bookmarkEnd w:id="66"/>
      <w:bookmarkEnd w:id="67"/>
    </w:p>
    <w:p>
      <w:pPr>
        <w:spacing w:line="600" w:lineRule="exact"/>
        <w:jc w:val="left"/>
        <w:rPr>
          <w:rFonts w:ascii="宋体"/>
          <w:b/>
          <w:color w:val="auto"/>
          <w:sz w:val="44"/>
          <w:szCs w:val="44"/>
          <w:highlight w:val="none"/>
        </w:rPr>
      </w:pPr>
    </w:p>
    <w:p>
      <w:pPr>
        <w:pStyle w:val="2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9"/>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p>
    <w:p>
      <w:pPr>
        <w:pStyle w:val="29"/>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年末结转和结余：指单位按有关规定结转到下年或以后年度继续使用的资金。</w:t>
      </w:r>
    </w:p>
    <w:p>
      <w:pPr>
        <w:pStyle w:val="14"/>
        <w:keepNext w:val="0"/>
        <w:keepLines w:val="0"/>
        <w:widowControl/>
        <w:suppressLineNumbers w:val="0"/>
        <w:spacing w:before="75" w:beforeAutospacing="0" w:after="75" w:afterAutospacing="0"/>
        <w:ind w:right="0" w:firstLine="640" w:firstLineChars="200"/>
        <w:jc w:val="both"/>
        <w:rPr>
          <w:rFonts w:hint="eastAsia" w:ascii="仿宋" w:hAnsi="仿宋" w:eastAsia="仿宋" w:cs="仿宋"/>
          <w:i w:val="0"/>
          <w:caps w:val="0"/>
          <w:color w:val="000000"/>
          <w:spacing w:val="0"/>
          <w:kern w:val="0"/>
          <w:sz w:val="32"/>
          <w:szCs w:val="32"/>
          <w:lang w:val="en-US" w:eastAsia="zh-CN" w:bidi="ar"/>
        </w:rPr>
      </w:pPr>
      <w:r>
        <w:rPr>
          <w:rFonts w:hint="eastAsia" w:ascii="仿宋" w:hAnsi="仿宋" w:eastAsia="仿宋" w:cs="仿宋"/>
          <w:i w:val="0"/>
          <w:caps w:val="0"/>
          <w:color w:val="000000"/>
          <w:spacing w:val="0"/>
          <w:kern w:val="0"/>
          <w:sz w:val="32"/>
          <w:szCs w:val="32"/>
          <w:lang w:val="en-US" w:eastAsia="zh-CN" w:bidi="ar"/>
        </w:rPr>
        <w:t>4.一般公共服务支出（类）政府办公厅（室）及相关机构事务（款）行政运行（项）：反映行政单位（包括事项公务员管理的事业单位）的基本支出。</w:t>
      </w:r>
    </w:p>
    <w:p>
      <w:pPr>
        <w:pStyle w:val="14"/>
        <w:keepNext w:val="0"/>
        <w:keepLines w:val="0"/>
        <w:widowControl/>
        <w:suppressLineNumbers w:val="0"/>
        <w:spacing w:before="75" w:beforeAutospacing="0" w:after="75" w:afterAutospacing="0"/>
        <w:ind w:right="0" w:firstLine="640" w:firstLineChars="200"/>
        <w:jc w:val="both"/>
        <w:rPr>
          <w:rFonts w:hint="eastAsia" w:ascii="仿宋" w:hAnsi="仿宋" w:eastAsia="仿宋" w:cs="仿宋"/>
          <w:i w:val="0"/>
          <w:caps w:val="0"/>
          <w:color w:val="000000"/>
          <w:spacing w:val="0"/>
          <w:kern w:val="0"/>
          <w:sz w:val="32"/>
          <w:szCs w:val="32"/>
          <w:lang w:val="en-US" w:eastAsia="zh-CN" w:bidi="ar"/>
        </w:rPr>
      </w:pPr>
      <w:r>
        <w:rPr>
          <w:rFonts w:hint="eastAsia" w:ascii="仿宋" w:hAnsi="仿宋" w:eastAsia="仿宋" w:cs="仿宋"/>
          <w:i w:val="0"/>
          <w:caps w:val="0"/>
          <w:color w:val="000000"/>
          <w:spacing w:val="0"/>
          <w:kern w:val="0"/>
          <w:sz w:val="32"/>
          <w:szCs w:val="32"/>
          <w:lang w:val="en-US" w:eastAsia="zh-CN" w:bidi="ar"/>
        </w:rPr>
        <w:t>5.一般公共服务支出（类）政府办公厅（室）及相关机构事务（款）一般行政管理事务（项）：反映行政单位（包括实行公务员管理的事业单位）未单独设置项级科目的其他项目支出。</w:t>
      </w:r>
    </w:p>
    <w:p>
      <w:pPr>
        <w:pStyle w:val="14"/>
        <w:keepNext w:val="0"/>
        <w:keepLines w:val="0"/>
        <w:widowControl/>
        <w:suppressLineNumbers w:val="0"/>
        <w:spacing w:before="75" w:beforeAutospacing="0" w:after="75" w:afterAutospacing="0"/>
        <w:ind w:right="0" w:firstLine="640" w:firstLineChars="200"/>
        <w:jc w:val="both"/>
        <w:rPr>
          <w:rFonts w:hint="default" w:ascii="仿宋" w:hAnsi="仿宋" w:eastAsia="仿宋" w:cs="仿宋"/>
          <w:i w:val="0"/>
          <w:caps w:val="0"/>
          <w:color w:val="000000"/>
          <w:spacing w:val="0"/>
          <w:kern w:val="0"/>
          <w:sz w:val="32"/>
          <w:szCs w:val="32"/>
          <w:lang w:val="en-US" w:eastAsia="zh-CN" w:bidi="ar"/>
        </w:rPr>
      </w:pPr>
      <w:r>
        <w:rPr>
          <w:rFonts w:hint="eastAsia" w:ascii="仿宋" w:hAnsi="仿宋" w:eastAsia="仿宋" w:cs="仿宋"/>
          <w:i w:val="0"/>
          <w:caps w:val="0"/>
          <w:color w:val="000000"/>
          <w:spacing w:val="0"/>
          <w:kern w:val="0"/>
          <w:sz w:val="32"/>
          <w:szCs w:val="32"/>
          <w:lang w:val="en-US" w:eastAsia="zh-CN" w:bidi="ar"/>
        </w:rPr>
        <w:t>6.社会保障和就业支出（类）行政事业单位养老支出（款）行政单位离退休（项）：反映行政单位（包括事项公务员管理的事业单位）</w:t>
      </w:r>
      <w:r>
        <w:rPr>
          <w:rFonts w:hint="eastAsia" w:ascii="仿宋_GB2312" w:hAnsi="仿宋_GB2312" w:eastAsia="仿宋_GB2312" w:cs="仿宋_GB2312"/>
          <w:i w:val="0"/>
          <w:caps w:val="0"/>
          <w:smallCaps w:val="0"/>
          <w:color w:val="000000"/>
          <w:spacing w:val="0"/>
          <w:kern w:val="0"/>
          <w:sz w:val="32"/>
          <w:szCs w:val="32"/>
          <w:lang w:val="en-US" w:eastAsia="zh-CN"/>
        </w:rPr>
        <w:t>退休人员相关支出。</w:t>
      </w:r>
    </w:p>
    <w:p>
      <w:pPr>
        <w:pStyle w:val="14"/>
        <w:keepNext w:val="0"/>
        <w:keepLines w:val="0"/>
        <w:widowControl/>
        <w:suppressLineNumbers w:val="0"/>
        <w:spacing w:before="75" w:beforeAutospacing="0" w:after="75" w:afterAutospacing="0"/>
        <w:ind w:right="0" w:firstLine="640" w:firstLineChars="200"/>
        <w:jc w:val="both"/>
        <w:rPr>
          <w:rFonts w:hint="eastAsia" w:ascii="仿宋" w:hAnsi="仿宋" w:eastAsia="仿宋" w:cs="仿宋"/>
          <w:i w:val="0"/>
          <w:caps w:val="0"/>
          <w:color w:val="000000"/>
          <w:spacing w:val="0"/>
          <w:kern w:val="0"/>
          <w:sz w:val="32"/>
          <w:szCs w:val="32"/>
          <w:lang w:val="en-US" w:eastAsia="zh-CN" w:bidi="ar"/>
        </w:rPr>
      </w:pPr>
      <w:r>
        <w:rPr>
          <w:rFonts w:hint="eastAsia" w:ascii="仿宋" w:hAnsi="仿宋" w:eastAsia="仿宋" w:cs="仿宋"/>
          <w:i w:val="0"/>
          <w:caps w:val="0"/>
          <w:color w:val="000000"/>
          <w:spacing w:val="0"/>
          <w:kern w:val="0"/>
          <w:sz w:val="32"/>
          <w:szCs w:val="32"/>
          <w:lang w:val="en-US" w:eastAsia="zh-CN" w:bidi="ar"/>
        </w:rPr>
        <w:t>7.社会保障和就业支出（类）行政事业单位养老支出（款）机关事业单位基本养老保险缴费支出（项）：反映机关事业单位实施养老保险制度由单位实际缴纳的基本养老保险支出。</w:t>
      </w:r>
    </w:p>
    <w:p>
      <w:pPr>
        <w:pStyle w:val="14"/>
        <w:keepNext w:val="0"/>
        <w:keepLines w:val="0"/>
        <w:widowControl/>
        <w:numPr>
          <w:ilvl w:val="0"/>
          <w:numId w:val="0"/>
        </w:numPr>
        <w:suppressLineNumbers w:val="0"/>
        <w:shd w:val="clear"/>
        <w:spacing w:before="75" w:beforeAutospacing="0" w:after="75" w:afterAutospacing="0"/>
        <w:ind w:right="0" w:rightChars="0" w:firstLine="640" w:firstLineChars="200"/>
        <w:jc w:val="both"/>
        <w:rPr>
          <w:rFonts w:hint="eastAsia" w:ascii="仿宋" w:hAnsi="仿宋" w:eastAsia="仿宋" w:cs="仿宋"/>
          <w:i w:val="0"/>
          <w:caps w:val="0"/>
          <w:color w:val="000000"/>
          <w:spacing w:val="0"/>
          <w:kern w:val="0"/>
          <w:sz w:val="32"/>
          <w:szCs w:val="32"/>
          <w:lang w:val="en-US" w:eastAsia="zh-CN" w:bidi="ar"/>
        </w:rPr>
      </w:pPr>
      <w:r>
        <w:rPr>
          <w:rFonts w:hint="eastAsia" w:ascii="仿宋" w:hAnsi="仿宋" w:eastAsia="仿宋" w:cs="仿宋"/>
          <w:i w:val="0"/>
          <w:caps w:val="0"/>
          <w:color w:val="auto"/>
          <w:spacing w:val="0"/>
          <w:kern w:val="0"/>
          <w:sz w:val="32"/>
          <w:szCs w:val="32"/>
          <w:highlight w:val="none"/>
          <w:lang w:val="en-US" w:eastAsia="zh-CN" w:bidi="ar"/>
        </w:rPr>
        <w:t>8.社会保障和就业支出（类）行政事业单位养老支出（款）机关事业单位职业年金缴费支出（项）：反映机关事业单位实施养老保险制度由单位缴纳的职业年金支出。</w:t>
      </w:r>
    </w:p>
    <w:p>
      <w:pPr>
        <w:pStyle w:val="14"/>
        <w:keepNext w:val="0"/>
        <w:keepLines w:val="0"/>
        <w:widowControl/>
        <w:suppressLineNumbers w:val="0"/>
        <w:spacing w:before="75" w:beforeAutospacing="0" w:after="75" w:afterAutospacing="0"/>
        <w:ind w:right="0" w:firstLine="640" w:firstLineChars="200"/>
        <w:jc w:val="both"/>
        <w:rPr>
          <w:rFonts w:hint="eastAsia" w:ascii="仿宋" w:hAnsi="仿宋" w:eastAsia="仿宋" w:cs="仿宋"/>
          <w:i w:val="0"/>
          <w:caps w:val="0"/>
          <w:color w:val="000000"/>
          <w:spacing w:val="0"/>
          <w:kern w:val="0"/>
          <w:sz w:val="32"/>
          <w:szCs w:val="32"/>
          <w:lang w:val="en-US" w:eastAsia="zh-CN" w:bidi="ar"/>
        </w:rPr>
      </w:pPr>
      <w:r>
        <w:rPr>
          <w:rFonts w:hint="eastAsia" w:ascii="仿宋" w:hAnsi="仿宋" w:eastAsia="仿宋" w:cs="仿宋"/>
          <w:i w:val="0"/>
          <w:caps w:val="0"/>
          <w:color w:val="000000"/>
          <w:spacing w:val="0"/>
          <w:kern w:val="0"/>
          <w:sz w:val="32"/>
          <w:szCs w:val="32"/>
          <w:lang w:val="en-US" w:eastAsia="zh-CN" w:bidi="ar"/>
        </w:rPr>
        <w:t>9.卫生健康支出（类）行政事业单位医疗（款）行政单位医疗（项）：反映财政部门安排的行政单位（包括实行公务员管理的事业单位）基本医疗保险缴费经费，未参加医疗</w:t>
      </w:r>
      <w:r>
        <w:rPr>
          <w:rFonts w:hint="eastAsia" w:ascii="仿宋_GB2312" w:eastAsia="仿宋_GB2312"/>
          <w:color w:val="auto"/>
          <w:sz w:val="32"/>
          <w:szCs w:val="32"/>
          <w:highlight w:val="none"/>
        </w:rPr>
        <w:t>。</w:t>
      </w:r>
      <w:r>
        <w:rPr>
          <w:rFonts w:hint="eastAsia" w:ascii="仿宋" w:hAnsi="仿宋" w:eastAsia="仿宋" w:cs="仿宋"/>
          <w:i w:val="0"/>
          <w:caps w:val="0"/>
          <w:color w:val="000000"/>
          <w:spacing w:val="0"/>
          <w:kern w:val="0"/>
          <w:sz w:val="32"/>
          <w:szCs w:val="32"/>
          <w:lang w:val="en-US" w:eastAsia="zh-CN" w:bidi="ar"/>
        </w:rPr>
        <w:t>红军老战士待遇人员的医疗经费。</w:t>
      </w:r>
    </w:p>
    <w:p>
      <w:pPr>
        <w:pStyle w:val="14"/>
        <w:keepNext w:val="0"/>
        <w:keepLines w:val="0"/>
        <w:widowControl/>
        <w:suppressLineNumbers w:val="0"/>
        <w:spacing w:before="75" w:beforeAutospacing="0" w:after="75" w:afterAutospacing="0"/>
        <w:ind w:right="0" w:firstLine="640" w:firstLineChars="200"/>
        <w:jc w:val="both"/>
        <w:rPr>
          <w:rFonts w:hint="eastAsia" w:ascii="仿宋" w:hAnsi="仿宋" w:eastAsia="仿宋" w:cs="仿宋"/>
          <w:i w:val="0"/>
          <w:caps w:val="0"/>
          <w:color w:val="000000"/>
          <w:spacing w:val="0"/>
          <w:kern w:val="0"/>
          <w:sz w:val="32"/>
          <w:szCs w:val="32"/>
          <w:lang w:val="en-US" w:eastAsia="zh-CN" w:bidi="ar"/>
        </w:rPr>
      </w:pPr>
      <w:r>
        <w:rPr>
          <w:rFonts w:hint="eastAsia" w:ascii="仿宋" w:hAnsi="仿宋" w:eastAsia="仿宋" w:cs="仿宋"/>
          <w:i w:val="0"/>
          <w:caps w:val="0"/>
          <w:color w:val="000000"/>
          <w:spacing w:val="0"/>
          <w:kern w:val="0"/>
          <w:sz w:val="32"/>
          <w:szCs w:val="32"/>
          <w:lang w:val="en-US" w:eastAsia="zh-CN" w:bidi="ar"/>
        </w:rPr>
        <w:t>10.住房保障支出（类）住房改革支出（款）住房公积金（项）：反映行政事业单位按人力资源和社会保障部、财政部规定的基本工资和津贴补贴以及规定比例为职工缴纳的住房公积金。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1</w:t>
      </w: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p>
    <w:p>
      <w:pPr>
        <w:pStyle w:val="29"/>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5"/>
      </w:pPr>
      <w:r>
        <w:rPr>
          <w:rFonts w:hint="eastAsia" w:ascii="仿宋_GB2312" w:eastAsia="仿宋_GB2312"/>
          <w:color w:val="auto"/>
          <w:sz w:val="32"/>
          <w:szCs w:val="32"/>
          <w:highlight w:val="none"/>
          <w:lang w:val="en-US" w:eastAsia="zh-CN"/>
        </w:rPr>
        <w:t>1</w:t>
      </w:r>
      <w:r>
        <w:rPr>
          <w:rFonts w:hint="eastAsia"/>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pStyle w:val="14"/>
        <w:keepNext w:val="0"/>
        <w:keepLines w:val="0"/>
        <w:widowControl/>
        <w:suppressLineNumbers w:val="0"/>
        <w:spacing w:before="75" w:beforeAutospacing="0" w:after="75" w:afterAutospacing="0"/>
        <w:ind w:right="0" w:firstLine="320" w:firstLineChars="100"/>
        <w:jc w:val="both"/>
        <w:rPr>
          <w:rFonts w:hint="eastAsia" w:ascii="仿宋" w:hAnsi="仿宋" w:eastAsia="仿宋" w:cs="仿宋"/>
          <w:i w:val="0"/>
          <w:caps w:val="0"/>
          <w:color w:val="000000"/>
          <w:spacing w:val="0"/>
          <w:kern w:val="0"/>
          <w:sz w:val="32"/>
          <w:szCs w:val="32"/>
          <w:lang w:val="en-US" w:eastAsia="zh-CN" w:bidi="ar"/>
        </w:rPr>
      </w:pPr>
    </w:p>
    <w:p>
      <w:pPr>
        <w:spacing w:line="600" w:lineRule="exact"/>
        <w:ind w:firstLine="640"/>
        <w:rPr>
          <w:rFonts w:hint="eastAsia" w:ascii="仿宋" w:hAnsi="仿宋" w:eastAsia="仿宋"/>
          <w:b/>
          <w:color w:val="auto"/>
          <w:sz w:val="32"/>
          <w:szCs w:val="32"/>
          <w:highlight w:val="none"/>
        </w:rPr>
      </w:pPr>
    </w:p>
    <w:p>
      <w:pPr>
        <w:spacing w:line="600" w:lineRule="exact"/>
        <w:jc w:val="center"/>
        <w:outlineLvl w:val="0"/>
        <w:rPr>
          <w:rStyle w:val="20"/>
          <w:rFonts w:ascii="黑体" w:hAnsi="黑体" w:eastAsia="黑体"/>
          <w:b w:val="0"/>
          <w:color w:val="auto"/>
          <w:highlight w:val="none"/>
        </w:rPr>
      </w:pPr>
      <w:r>
        <w:rPr>
          <w:rFonts w:ascii="宋体"/>
          <w:b/>
          <w:color w:val="auto"/>
          <w:sz w:val="44"/>
          <w:szCs w:val="44"/>
          <w:highlight w:val="none"/>
        </w:rPr>
        <w:br w:type="page"/>
      </w:r>
      <w:bookmarkStart w:id="68" w:name="_Toc15396614"/>
      <w:bookmarkStart w:id="69" w:name="_Toc6613"/>
      <w:r>
        <w:rPr>
          <w:rFonts w:hint="eastAsia" w:ascii="黑体" w:hAnsi="黑体" w:eastAsia="黑体"/>
          <w:color w:val="auto"/>
          <w:sz w:val="44"/>
          <w:szCs w:val="44"/>
          <w:highlight w:val="none"/>
        </w:rPr>
        <w:t>第</w:t>
      </w:r>
      <w:r>
        <w:rPr>
          <w:rStyle w:val="20"/>
          <w:rFonts w:hint="eastAsia" w:ascii="黑体" w:hAnsi="黑体" w:eastAsia="黑体"/>
          <w:b w:val="0"/>
          <w:color w:val="auto"/>
          <w:highlight w:val="none"/>
        </w:rPr>
        <w:t>四部分附件</w:t>
      </w:r>
      <w:bookmarkEnd w:id="68"/>
      <w:bookmarkEnd w:id="69"/>
    </w:p>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pPr>
        <w:spacing w:line="600" w:lineRule="exact"/>
        <w:jc w:val="center"/>
        <w:outlineLvl w:val="1"/>
        <w:rPr>
          <w:rFonts w:hint="eastAsia" w:ascii="宋体" w:hAnsi="宋体" w:eastAsia="宋体" w:cs="宋体"/>
          <w:color w:val="auto"/>
          <w:kern w:val="0"/>
          <w:sz w:val="32"/>
          <w:szCs w:val="32"/>
          <w:highlight w:val="none"/>
          <w:lang w:val="en-US" w:eastAsia="zh-CN" w:bidi="ar-SA"/>
        </w:rPr>
      </w:pPr>
      <w:bookmarkStart w:id="70" w:name="_Toc13319"/>
      <w:r>
        <w:rPr>
          <w:rFonts w:hint="eastAsia" w:ascii="宋体" w:hAnsi="宋体" w:eastAsia="宋体" w:cs="宋体"/>
          <w:color w:val="auto"/>
          <w:kern w:val="0"/>
          <w:sz w:val="32"/>
          <w:szCs w:val="32"/>
          <w:highlight w:val="none"/>
          <w:lang w:val="en-US" w:eastAsia="zh-CN" w:bidi="ar-SA"/>
        </w:rPr>
        <w:t>部门预算项目支出绩效自评表（2022年度）</w:t>
      </w:r>
      <w:bookmarkEnd w:id="70"/>
    </w:p>
    <w:p>
      <w:pPr>
        <w:spacing w:line="600" w:lineRule="exact"/>
        <w:jc w:val="left"/>
        <w:outlineLvl w:val="9"/>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pPr>
    </w:p>
    <w:tbl>
      <w:tblPr>
        <w:tblStyle w:val="16"/>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7"/>
        <w:gridCol w:w="2012"/>
        <w:gridCol w:w="1740"/>
        <w:gridCol w:w="2221"/>
        <w:gridCol w:w="521"/>
        <w:gridCol w:w="1645"/>
        <w:gridCol w:w="521"/>
        <w:gridCol w:w="1085"/>
        <w:gridCol w:w="576"/>
        <w:gridCol w:w="606"/>
        <w:gridCol w:w="25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6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41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26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66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w:t>
            </w:r>
          </w:p>
        </w:tc>
        <w:tc>
          <w:tcPr>
            <w:tcW w:w="36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20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66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47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47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严格执行相关政策，保障职工工资及时发放、足额发放。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1141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按月及时、足额发放职工工资。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2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215.58</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263.81</w:t>
            </w:r>
          </w:p>
        </w:tc>
        <w:tc>
          <w:tcPr>
            <w:tcW w:w="2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259.65</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98.43%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w:t>
            </w:r>
          </w:p>
        </w:tc>
        <w:tc>
          <w:tcPr>
            <w:tcW w:w="25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215.58</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263.81</w:t>
            </w:r>
          </w:p>
        </w:tc>
        <w:tc>
          <w:tcPr>
            <w:tcW w:w="2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259.65</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98.43%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5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5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按时发放率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5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结余率（计算方法为：结余数/预算数）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5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年末调整追加的目标绩效奖保险部分尚未支付。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43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180" w:firstLineChars="100"/>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97</w:t>
            </w:r>
          </w:p>
        </w:tc>
        <w:tc>
          <w:tcPr>
            <w:tcW w:w="25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134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该项目自评总分97分，该项目顺利实施，保障了职工的合法权益，调动了职工的工作积极性。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134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年末调整追加的目标绩效奖保险部分尚未支付。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1342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及时支付职工保险费用。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1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项目负责人：袁玲</w:t>
            </w:r>
          </w:p>
        </w:tc>
        <w:tc>
          <w:tcPr>
            <w:tcW w:w="693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财务负责人：陈榕</w:t>
            </w:r>
          </w:p>
        </w:tc>
      </w:tr>
    </w:tbl>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3"/>
        <w:rPr>
          <w:rFonts w:hint="eastAsia" w:ascii="宋体" w:hAnsi="宋体" w:eastAsia="宋体" w:cs="宋体"/>
          <w:color w:val="auto"/>
          <w:kern w:val="0"/>
          <w:sz w:val="32"/>
          <w:szCs w:val="32"/>
          <w:highlight w:val="none"/>
          <w:lang w:val="en-US" w:eastAsia="zh-CN" w:bidi="ar-SA"/>
        </w:rPr>
      </w:pPr>
    </w:p>
    <w:p>
      <w:pPr>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lang w:val="en-US" w:eastAsia="zh-CN"/>
        </w:rPr>
      </w:pPr>
    </w:p>
    <w:tbl>
      <w:tblPr>
        <w:tblStyle w:val="16"/>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6"/>
        <w:gridCol w:w="2028"/>
        <w:gridCol w:w="1748"/>
        <w:gridCol w:w="2234"/>
        <w:gridCol w:w="523"/>
        <w:gridCol w:w="1658"/>
        <w:gridCol w:w="523"/>
        <w:gridCol w:w="1090"/>
        <w:gridCol w:w="576"/>
        <w:gridCol w:w="531"/>
        <w:gridCol w:w="25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38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27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67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广元市政务服务和公共资源交易中心部门</w:t>
            </w:r>
          </w:p>
        </w:tc>
        <w:tc>
          <w:tcPr>
            <w:tcW w:w="109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w:t>
            </w:r>
          </w:p>
        </w:tc>
        <w:tc>
          <w:tcPr>
            <w:tcW w:w="3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67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46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46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严格执行相关政策，保障退休人员目标绩效奖及时发放、足额发放。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1138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按时、足额发放退休人员目标绩效奖。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2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w:t>
            </w:r>
          </w:p>
        </w:tc>
        <w:tc>
          <w:tcPr>
            <w:tcW w:w="2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w:t>
            </w:r>
          </w:p>
        </w:tc>
        <w:tc>
          <w:tcPr>
            <w:tcW w:w="2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科目调整次数</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足额保障率</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按时发放率</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2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结余率（计算方法为：结余数/预算数）</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55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1342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该项目自评总分100分，该项目顺利实施，保障了退休职工的合法权益。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1342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1342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2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项目负责人：袁玲</w:t>
            </w:r>
          </w:p>
        </w:tc>
        <w:tc>
          <w:tcPr>
            <w:tcW w:w="684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财务负责人：陈榕</w:t>
            </w:r>
          </w:p>
        </w:tc>
      </w:tr>
    </w:tbl>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tabs>
          <w:tab w:val="left" w:pos="1279"/>
        </w:tabs>
        <w:rPr>
          <w:rFonts w:hint="eastAsia" w:ascii="宋体" w:hAnsi="宋体" w:eastAsia="宋体" w:cs="宋体"/>
          <w:color w:val="auto"/>
          <w:kern w:val="0"/>
          <w:sz w:val="32"/>
          <w:szCs w:val="32"/>
          <w:highlight w:val="none"/>
          <w:lang w:val="en-US" w:eastAsia="zh-CN" w:bidi="ar-SA"/>
        </w:rPr>
      </w:pPr>
      <w:r>
        <w:rPr>
          <w:rFonts w:hint="eastAsia" w:ascii="宋体" w:hAnsi="宋体" w:eastAsia="宋体" w:cs="宋体"/>
          <w:color w:val="auto"/>
          <w:kern w:val="0"/>
          <w:sz w:val="32"/>
          <w:szCs w:val="32"/>
          <w:highlight w:val="none"/>
          <w:lang w:val="en-US" w:eastAsia="zh-CN" w:bidi="ar-SA"/>
        </w:rPr>
        <w:tab/>
      </w:r>
    </w:p>
    <w:tbl>
      <w:tblPr>
        <w:tblStyle w:val="16"/>
        <w:tblW w:w="139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9"/>
        <w:gridCol w:w="2048"/>
        <w:gridCol w:w="1765"/>
        <w:gridCol w:w="2257"/>
        <w:gridCol w:w="524"/>
        <w:gridCol w:w="1674"/>
        <w:gridCol w:w="524"/>
        <w:gridCol w:w="1094"/>
        <w:gridCol w:w="510"/>
        <w:gridCol w:w="487"/>
        <w:gridCol w:w="24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399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26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51080022R000006850233-财政全额供养“退休中人”一次性补贴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2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67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广元市政务服务和公共资源交易中心部门</w:t>
            </w:r>
          </w:p>
        </w:tc>
        <w:tc>
          <w:tcPr>
            <w:tcW w:w="109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w:t>
            </w:r>
          </w:p>
        </w:tc>
        <w:tc>
          <w:tcPr>
            <w:tcW w:w="34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20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67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45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严格执行相关政策，保障“退休中人”一次性补贴及时发放、足额发放。</w:t>
            </w:r>
          </w:p>
        </w:tc>
        <w:tc>
          <w:tcPr>
            <w:tcW w:w="45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“退休中人”一次性补及时发放、足额发放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1126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及时发放、足额发放“退休中人”一次性补。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w:t>
            </w: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4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w:t>
            </w: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57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13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该项目自评总分100分，该项目顺利实施，保障了退休职工的合法权益。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13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133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2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项目负责人：袁玲</w:t>
            </w:r>
          </w:p>
        </w:tc>
        <w:tc>
          <w:tcPr>
            <w:tcW w:w="671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财务负责人：陈榕</w:t>
            </w:r>
          </w:p>
        </w:tc>
      </w:tr>
    </w:tbl>
    <w:p>
      <w:pPr>
        <w:pStyle w:val="2"/>
        <w:tabs>
          <w:tab w:val="left" w:pos="1279"/>
        </w:tabs>
        <w:rPr>
          <w:rFonts w:hint="eastAsia" w:ascii="宋体" w:hAnsi="宋体" w:eastAsia="宋体" w:cs="宋体"/>
          <w:color w:val="auto"/>
          <w:kern w:val="0"/>
          <w:sz w:val="32"/>
          <w:szCs w:val="32"/>
          <w:highlight w:val="none"/>
          <w:lang w:val="en-US" w:eastAsia="zh-CN" w:bidi="ar-SA"/>
        </w:rPr>
      </w:pPr>
    </w:p>
    <w:p>
      <w:pPr>
        <w:pStyle w:val="3"/>
        <w:ind w:left="0" w:leftChars="0" w:firstLine="0" w:firstLineChars="0"/>
        <w:rPr>
          <w:rFonts w:hint="eastAsia" w:ascii="宋体" w:hAnsi="宋体" w:eastAsia="宋体" w:cs="宋体"/>
          <w:color w:val="auto"/>
          <w:kern w:val="0"/>
          <w:sz w:val="32"/>
          <w:szCs w:val="32"/>
          <w:highlight w:val="none"/>
          <w:lang w:val="en-US" w:eastAsia="zh-CN" w:bidi="ar-SA"/>
        </w:rPr>
      </w:pPr>
    </w:p>
    <w:p>
      <w:pPr>
        <w:pStyle w:val="2"/>
        <w:tabs>
          <w:tab w:val="left" w:pos="1279"/>
        </w:tabs>
        <w:rPr>
          <w:rFonts w:hint="eastAsia" w:ascii="宋体" w:hAnsi="宋体" w:eastAsia="宋体" w:cs="宋体"/>
          <w:color w:val="auto"/>
          <w:kern w:val="0"/>
          <w:sz w:val="32"/>
          <w:szCs w:val="32"/>
          <w:highlight w:val="none"/>
          <w:lang w:val="en-US" w:eastAsia="zh-CN" w:bidi="ar-SA"/>
        </w:rPr>
      </w:pPr>
    </w:p>
    <w:tbl>
      <w:tblPr>
        <w:tblStyle w:val="16"/>
        <w:tblW w:w="1404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9"/>
        <w:gridCol w:w="2048"/>
        <w:gridCol w:w="1765"/>
        <w:gridCol w:w="2257"/>
        <w:gridCol w:w="524"/>
        <w:gridCol w:w="1674"/>
        <w:gridCol w:w="524"/>
        <w:gridCol w:w="1094"/>
        <w:gridCol w:w="510"/>
        <w:gridCol w:w="487"/>
        <w:gridCol w:w="24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04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3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51080022T000005875668-目标绩效奖（政务中心）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2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67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广元市政务服务和公共资源交易中心部门</w:t>
            </w:r>
          </w:p>
        </w:tc>
        <w:tc>
          <w:tcPr>
            <w:tcW w:w="109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w:t>
            </w:r>
          </w:p>
        </w:tc>
        <w:tc>
          <w:tcPr>
            <w:tcW w:w="34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20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67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45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严格执行相关政策，保障目标绩效奖及时发放、足额发放，预算编制科学合理，减少结余资金。</w:t>
            </w:r>
          </w:p>
        </w:tc>
        <w:tc>
          <w:tcPr>
            <w:tcW w:w="45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标绩效奖及时发放、足额发放。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113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及时发放、足额发放障目标绩效奖。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1.68</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1.68</w:t>
            </w: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1.68</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4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1.68</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1.68</w:t>
            </w: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1.68</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4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4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4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4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57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133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133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133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2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项目负责人：袁玲</w:t>
            </w:r>
          </w:p>
        </w:tc>
        <w:tc>
          <w:tcPr>
            <w:tcW w:w="676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财务负责人：陈榕</w:t>
            </w:r>
          </w:p>
        </w:tc>
      </w:tr>
    </w:tbl>
    <w:p>
      <w:pPr>
        <w:pStyle w:val="2"/>
        <w:tabs>
          <w:tab w:val="left" w:pos="1279"/>
        </w:tabs>
        <w:rPr>
          <w:rFonts w:hint="eastAsia" w:ascii="宋体" w:hAnsi="宋体" w:eastAsia="宋体" w:cs="宋体"/>
          <w:color w:val="auto"/>
          <w:kern w:val="0"/>
          <w:sz w:val="32"/>
          <w:szCs w:val="32"/>
          <w:highlight w:val="none"/>
          <w:lang w:val="en-US" w:eastAsia="zh-CN" w:bidi="ar-SA"/>
        </w:rPr>
      </w:pPr>
    </w:p>
    <w:tbl>
      <w:tblPr>
        <w:tblStyle w:val="16"/>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9"/>
        <w:gridCol w:w="2048"/>
        <w:gridCol w:w="1765"/>
        <w:gridCol w:w="2258"/>
        <w:gridCol w:w="524"/>
        <w:gridCol w:w="1674"/>
        <w:gridCol w:w="524"/>
        <w:gridCol w:w="1093"/>
        <w:gridCol w:w="510"/>
        <w:gridCol w:w="487"/>
        <w:gridCol w:w="25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37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2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67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广元市政务服务和公共资源交易中心部门</w:t>
            </w:r>
          </w:p>
        </w:tc>
        <w:tc>
          <w:tcPr>
            <w:tcW w:w="109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20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67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463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严格执行相关政策，保障基础绩效奖及生活补助及时发放、足额发放，预算编制科学合理，减少结余资金。</w:t>
            </w:r>
          </w:p>
        </w:tc>
        <w:tc>
          <w:tcPr>
            <w:tcW w:w="463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基础绩效奖及生活补助及时发放、足额发放。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1137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及时发放、足额发放基础绩效奖及生活补助。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18.00</w:t>
            </w: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16.20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18.00</w:t>
            </w: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16.20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57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1342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1342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1342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2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项目负责人：袁玲</w:t>
            </w:r>
          </w:p>
        </w:tc>
        <w:tc>
          <w:tcPr>
            <w:tcW w:w="68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财务负责人：陈榕</w:t>
            </w:r>
          </w:p>
        </w:tc>
      </w:tr>
    </w:tbl>
    <w:p>
      <w:pPr>
        <w:pStyle w:val="2"/>
        <w:tabs>
          <w:tab w:val="left" w:pos="4999"/>
        </w:tabs>
        <w:rPr>
          <w:rFonts w:hint="eastAsia" w:ascii="宋体" w:hAnsi="宋体" w:eastAsia="宋体" w:cs="宋体"/>
          <w:color w:val="auto"/>
          <w:kern w:val="0"/>
          <w:sz w:val="32"/>
          <w:szCs w:val="32"/>
          <w:highlight w:val="none"/>
          <w:lang w:val="en-US" w:eastAsia="zh-CN" w:bidi="ar-SA"/>
        </w:rPr>
      </w:pPr>
      <w:r>
        <w:rPr>
          <w:rFonts w:hint="eastAsia" w:ascii="宋体" w:hAnsi="宋体" w:eastAsia="宋体" w:cs="宋体"/>
          <w:color w:val="auto"/>
          <w:kern w:val="0"/>
          <w:sz w:val="32"/>
          <w:szCs w:val="32"/>
          <w:highlight w:val="none"/>
          <w:lang w:val="en-US" w:eastAsia="zh-CN" w:bidi="ar-SA"/>
        </w:rPr>
        <w:tab/>
      </w:r>
    </w:p>
    <w:p>
      <w:pPr>
        <w:pStyle w:val="2"/>
        <w:tabs>
          <w:tab w:val="left" w:pos="4999"/>
        </w:tabs>
        <w:rPr>
          <w:rFonts w:hint="eastAsia" w:ascii="宋体" w:hAnsi="宋体" w:eastAsia="宋体" w:cs="宋体"/>
          <w:color w:val="auto"/>
          <w:kern w:val="0"/>
          <w:sz w:val="32"/>
          <w:szCs w:val="32"/>
          <w:highlight w:val="none"/>
          <w:lang w:val="en-US" w:eastAsia="zh-CN" w:bidi="ar-SA"/>
        </w:rPr>
      </w:pPr>
    </w:p>
    <w:tbl>
      <w:tblPr>
        <w:tblStyle w:val="16"/>
        <w:tblW w:w="1395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6"/>
        <w:gridCol w:w="2016"/>
        <w:gridCol w:w="1741"/>
        <w:gridCol w:w="2237"/>
        <w:gridCol w:w="522"/>
        <w:gridCol w:w="1648"/>
        <w:gridCol w:w="522"/>
        <w:gridCol w:w="1086"/>
        <w:gridCol w:w="576"/>
        <w:gridCol w:w="576"/>
        <w:gridCol w:w="23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395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2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51000021Y000000011490-定额公用经费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27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66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广元市政务服务和公共资源交易中心部门</w:t>
            </w:r>
          </w:p>
        </w:tc>
        <w:tc>
          <w:tcPr>
            <w:tcW w:w="108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w:t>
            </w:r>
          </w:p>
        </w:tc>
        <w:tc>
          <w:tcPr>
            <w:tcW w:w="34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66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45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保障单位日常运转，提高预算编制质量，严格执行预算</w:t>
            </w:r>
          </w:p>
        </w:tc>
        <w:tc>
          <w:tcPr>
            <w:tcW w:w="45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合理编制预算，严格执行预算，保障了单位日常运转。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112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合理编制预算，严格执行预算，保障了单位日常运转。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26.15</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25.34</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96.91%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9.9</w:t>
            </w:r>
          </w:p>
        </w:tc>
        <w:tc>
          <w:tcPr>
            <w:tcW w:w="2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26.15</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25.34</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96.91%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科目调整次数</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预算编制准确率（计算方法为：∣（执行数-预算数）/预算数∣）</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运转保障率</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45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99.9</w:t>
            </w: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132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该项目自评总分99.9分，该项目顺利实施，保障了单位的日常运转。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132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132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2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项目负责人：袁玲</w:t>
            </w:r>
          </w:p>
        </w:tc>
        <w:tc>
          <w:tcPr>
            <w:tcW w:w="67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财务负责人：陈榕</w:t>
            </w:r>
          </w:p>
        </w:tc>
      </w:tr>
    </w:tbl>
    <w:p>
      <w:pPr>
        <w:pStyle w:val="2"/>
        <w:tabs>
          <w:tab w:val="left" w:pos="4999"/>
        </w:tabs>
        <w:rPr>
          <w:rFonts w:hint="eastAsia" w:ascii="宋体" w:hAnsi="宋体" w:eastAsia="宋体" w:cs="宋体"/>
          <w:color w:val="auto"/>
          <w:kern w:val="0"/>
          <w:sz w:val="32"/>
          <w:szCs w:val="32"/>
          <w:highlight w:val="none"/>
          <w:lang w:val="en-US" w:eastAsia="zh-CN" w:bidi="ar-SA"/>
        </w:rPr>
      </w:pPr>
    </w:p>
    <w:p>
      <w:pPr>
        <w:pStyle w:val="2"/>
        <w:tabs>
          <w:tab w:val="left" w:pos="4999"/>
        </w:tabs>
        <w:rPr>
          <w:rFonts w:hint="eastAsia" w:ascii="宋体" w:hAnsi="宋体" w:eastAsia="宋体" w:cs="宋体"/>
          <w:color w:val="auto"/>
          <w:kern w:val="0"/>
          <w:sz w:val="32"/>
          <w:szCs w:val="32"/>
          <w:highlight w:val="none"/>
          <w:lang w:val="en-US" w:eastAsia="zh-CN" w:bidi="ar-SA"/>
        </w:rPr>
      </w:pPr>
    </w:p>
    <w:p>
      <w:pPr>
        <w:pStyle w:val="2"/>
        <w:tabs>
          <w:tab w:val="left" w:pos="4999"/>
        </w:tabs>
        <w:rPr>
          <w:rFonts w:hint="eastAsia" w:ascii="宋体" w:hAnsi="宋体" w:eastAsia="宋体" w:cs="宋体"/>
          <w:color w:val="auto"/>
          <w:kern w:val="0"/>
          <w:sz w:val="32"/>
          <w:szCs w:val="32"/>
          <w:highlight w:val="none"/>
          <w:lang w:val="en-US" w:eastAsia="zh-CN" w:bidi="ar-SA"/>
        </w:rPr>
      </w:pPr>
    </w:p>
    <w:tbl>
      <w:tblPr>
        <w:tblStyle w:val="16"/>
        <w:tblW w:w="139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6"/>
        <w:gridCol w:w="2015"/>
        <w:gridCol w:w="1741"/>
        <w:gridCol w:w="2236"/>
        <w:gridCol w:w="522"/>
        <w:gridCol w:w="1648"/>
        <w:gridCol w:w="522"/>
        <w:gridCol w:w="1089"/>
        <w:gridCol w:w="576"/>
        <w:gridCol w:w="576"/>
        <w:gridCol w:w="23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399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29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27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66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广元市政务服务和公共资源交易中心部门</w:t>
            </w:r>
          </w:p>
        </w:tc>
        <w:tc>
          <w:tcPr>
            <w:tcW w:w="108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20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66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46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保障单位日常运转，提高预算编制质量，严格执行预算</w:t>
            </w:r>
          </w:p>
        </w:tc>
        <w:tc>
          <w:tcPr>
            <w:tcW w:w="46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合理编制预算，严格执行预算，保障了单位日常运转。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1129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合理编制预算，严格执行预算，保障了单位日常运转。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22.45</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22.45</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22.45</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3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22.45</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22.45</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22.45</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科目调整次数</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预算编制准确率（计算方法为：∣（执行数-预算数）/预算数∣）</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运转保障率</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4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133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133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133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2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项目负责人：袁玲</w:t>
            </w:r>
          </w:p>
        </w:tc>
        <w:tc>
          <w:tcPr>
            <w:tcW w:w="67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财务负责人：陈榕</w:t>
            </w:r>
          </w:p>
        </w:tc>
      </w:tr>
    </w:tbl>
    <w:p>
      <w:pPr>
        <w:pStyle w:val="2"/>
        <w:tabs>
          <w:tab w:val="left" w:pos="1279"/>
        </w:tabs>
        <w:rPr>
          <w:rFonts w:hint="eastAsia" w:ascii="宋体" w:hAnsi="宋体" w:eastAsia="宋体" w:cs="宋体"/>
          <w:color w:val="auto"/>
          <w:kern w:val="0"/>
          <w:sz w:val="32"/>
          <w:szCs w:val="32"/>
          <w:highlight w:val="none"/>
          <w:lang w:val="en-US" w:eastAsia="zh-CN" w:bidi="ar-SA"/>
        </w:rPr>
      </w:pPr>
    </w:p>
    <w:p>
      <w:pPr>
        <w:pStyle w:val="2"/>
        <w:tabs>
          <w:tab w:val="left" w:pos="1279"/>
        </w:tabs>
        <w:rPr>
          <w:rFonts w:hint="eastAsia" w:ascii="宋体" w:hAnsi="宋体" w:eastAsia="宋体" w:cs="宋体"/>
          <w:color w:val="auto"/>
          <w:kern w:val="0"/>
          <w:sz w:val="32"/>
          <w:szCs w:val="32"/>
          <w:highlight w:val="none"/>
          <w:lang w:val="en-US" w:eastAsia="zh-CN" w:bidi="ar-SA"/>
        </w:rPr>
      </w:pPr>
    </w:p>
    <w:p>
      <w:pPr>
        <w:pStyle w:val="2"/>
        <w:tabs>
          <w:tab w:val="left" w:pos="1279"/>
        </w:tabs>
        <w:rPr>
          <w:rFonts w:hint="eastAsia" w:ascii="宋体" w:hAnsi="宋体" w:eastAsia="宋体" w:cs="宋体"/>
          <w:color w:val="auto"/>
          <w:kern w:val="0"/>
          <w:sz w:val="32"/>
          <w:szCs w:val="32"/>
          <w:highlight w:val="none"/>
          <w:lang w:val="en-US" w:eastAsia="zh-CN" w:bidi="ar-SA"/>
        </w:rPr>
      </w:pPr>
    </w:p>
    <w:tbl>
      <w:tblPr>
        <w:tblStyle w:val="16"/>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6"/>
        <w:gridCol w:w="2025"/>
        <w:gridCol w:w="1746"/>
        <w:gridCol w:w="2245"/>
        <w:gridCol w:w="523"/>
        <w:gridCol w:w="1656"/>
        <w:gridCol w:w="523"/>
        <w:gridCol w:w="1088"/>
        <w:gridCol w:w="576"/>
        <w:gridCol w:w="531"/>
        <w:gridCol w:w="25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3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67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广元市政务服务和公共资源交易中心部门</w:t>
            </w:r>
          </w:p>
        </w:tc>
        <w:tc>
          <w:tcPr>
            <w:tcW w:w="109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w:t>
            </w:r>
          </w:p>
        </w:tc>
        <w:tc>
          <w:tcPr>
            <w:tcW w:w="35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20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67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46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保障单位日常运转，提高预算编制质量，严格执行预算</w:t>
            </w:r>
          </w:p>
        </w:tc>
        <w:tc>
          <w:tcPr>
            <w:tcW w:w="46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合理编制预算，严格执行预算，保障了单位日常运转。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113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合理编制预算，严格执行预算，保障了单位日常运转。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2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21.50</w:t>
            </w:r>
          </w:p>
        </w:tc>
        <w:tc>
          <w:tcPr>
            <w:tcW w:w="2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21.44</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99.73%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21.50</w:t>
            </w:r>
          </w:p>
        </w:tc>
        <w:tc>
          <w:tcPr>
            <w:tcW w:w="2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21.44</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99.73%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科目调整次数</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预算编制准确率（计算方法为：∣（执行数-预算数）/预算数∣）</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7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运转保障率</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55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1342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1342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1342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项目负责人：袁玲</w:t>
            </w:r>
          </w:p>
        </w:tc>
        <w:tc>
          <w:tcPr>
            <w:tcW w:w="68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财务负责人：陈榕</w:t>
            </w:r>
          </w:p>
        </w:tc>
      </w:tr>
    </w:tbl>
    <w:p>
      <w:pPr>
        <w:pStyle w:val="2"/>
        <w:tabs>
          <w:tab w:val="left" w:pos="1279"/>
        </w:tabs>
        <w:rPr>
          <w:rFonts w:hint="eastAsia" w:ascii="宋体" w:hAnsi="宋体" w:eastAsia="宋体" w:cs="宋体"/>
          <w:color w:val="auto"/>
          <w:kern w:val="0"/>
          <w:sz w:val="32"/>
          <w:szCs w:val="32"/>
          <w:highlight w:val="none"/>
          <w:lang w:val="en-US" w:eastAsia="zh-CN" w:bidi="ar-SA"/>
        </w:rPr>
      </w:pPr>
    </w:p>
    <w:p>
      <w:pPr>
        <w:pStyle w:val="2"/>
        <w:tabs>
          <w:tab w:val="left" w:pos="1279"/>
        </w:tabs>
        <w:rPr>
          <w:rFonts w:hint="eastAsia" w:ascii="宋体" w:hAnsi="宋体" w:eastAsia="宋体" w:cs="宋体"/>
          <w:color w:val="auto"/>
          <w:kern w:val="0"/>
          <w:sz w:val="32"/>
          <w:szCs w:val="32"/>
          <w:highlight w:val="none"/>
          <w:lang w:val="en-US" w:eastAsia="zh-CN" w:bidi="ar-SA"/>
        </w:rPr>
      </w:pPr>
    </w:p>
    <w:p>
      <w:pPr>
        <w:pStyle w:val="2"/>
        <w:tabs>
          <w:tab w:val="left" w:pos="1279"/>
        </w:tabs>
        <w:rPr>
          <w:rFonts w:hint="eastAsia" w:ascii="宋体" w:hAnsi="宋体" w:eastAsia="宋体" w:cs="宋体"/>
          <w:color w:val="auto"/>
          <w:kern w:val="0"/>
          <w:sz w:val="32"/>
          <w:szCs w:val="32"/>
          <w:highlight w:val="none"/>
          <w:lang w:val="en-US" w:eastAsia="zh-CN" w:bidi="ar-SA"/>
        </w:rPr>
      </w:pPr>
    </w:p>
    <w:tbl>
      <w:tblPr>
        <w:tblStyle w:val="16"/>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0"/>
        <w:gridCol w:w="2055"/>
        <w:gridCol w:w="1770"/>
        <w:gridCol w:w="2265"/>
        <w:gridCol w:w="525"/>
        <w:gridCol w:w="1680"/>
        <w:gridCol w:w="525"/>
        <w:gridCol w:w="1095"/>
        <w:gridCol w:w="510"/>
        <w:gridCol w:w="450"/>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51080021T000000052140-政府采购工作经费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广元市政务服务和公共资源交易中心部门</w:t>
            </w:r>
          </w:p>
        </w:tc>
        <w:tc>
          <w:tcPr>
            <w:tcW w:w="10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大力推行政务服务中心标准化建设，加强工作人员纪律管理，政务服务中心大楼物业管理正常运转及网络系统安全防护。</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rPr>
              <w:t>政务服务中心大楼得到了正常运转，物业服务质量较好，为办事群众提供了良好的办事环境。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rPr>
              <w:t>通过按月支付物业管理费，物业公司提供了优质高效的服务，政务大厅干净整洁、井然有序，办事群众满意度高。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148.64</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148.64</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145.07</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97.59%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148.64</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148.64</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145.07</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97.59%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服务大厅工作人员数量</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物业服务面积</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32300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平方米</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物业服务合格率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服务期限</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物业费按时支付率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物业服务费、临时工作（疫情防控等）劳务费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1460000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元/年</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服务民生大众便民度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好坏</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90%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481"/>
              </w:tabs>
              <w:jc w:val="left"/>
              <w:rPr>
                <w:rFonts w:hint="eastAsia" w:ascii="宋体" w:hAnsi="宋体" w:eastAsia="宋体" w:cs="宋体"/>
                <w:i w:val="0"/>
                <w:iCs w:val="0"/>
                <w:color w:val="000000"/>
                <w:sz w:val="16"/>
                <w:szCs w:val="16"/>
                <w:u w:val="none"/>
                <w:lang w:eastAsia="zh-CN"/>
              </w:rPr>
            </w:pPr>
            <w:r>
              <w:rPr>
                <w:rFonts w:hint="eastAsia" w:ascii="宋体" w:hAnsi="宋体" w:eastAsia="宋体" w:cs="宋体"/>
                <w:i w:val="0"/>
                <w:iCs w:val="0"/>
                <w:color w:val="000000"/>
                <w:sz w:val="16"/>
                <w:szCs w:val="16"/>
                <w:u w:val="none"/>
                <w:lang w:eastAsia="zh-CN"/>
              </w:rPr>
              <w:t>便民服务水平还有提升空间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政务服务环境改善度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优良中低差</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能耗节约率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物业服务质量满意度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90%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rPr>
              <w:t>极个别服务人员处理应急事件时间较长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98</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rPr>
              <w:t>该项目自评总分100分，通过该项目的实施政务服务中心大楼得到了正常运转，保障了网络系统安全，为办事群众提供了良好的办事环境。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物业人员的服务水平还需培训、服务质量还可进一步提升。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加强对物业公司的管理，建议物业公司加强内部人员培训。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3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项目负责人：程阳</w:t>
            </w:r>
          </w:p>
        </w:tc>
        <w:tc>
          <w:tcPr>
            <w:tcW w:w="6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财务负责人：陈榕</w:t>
            </w:r>
          </w:p>
        </w:tc>
      </w:tr>
    </w:tbl>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tbl>
      <w:tblPr>
        <w:tblStyle w:val="16"/>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0"/>
        <w:gridCol w:w="2055"/>
        <w:gridCol w:w="1770"/>
        <w:gridCol w:w="2265"/>
        <w:gridCol w:w="525"/>
        <w:gridCol w:w="1680"/>
        <w:gridCol w:w="525"/>
        <w:gridCol w:w="1095"/>
        <w:gridCol w:w="510"/>
        <w:gridCol w:w="450"/>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51080021T000000052151-政务中心综合楼日常运行经费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广元市政务服务和公共资源交易中心部门</w:t>
            </w:r>
          </w:p>
        </w:tc>
        <w:tc>
          <w:tcPr>
            <w:tcW w:w="10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确保各项设施、设备正常运行，维护有序的秩序，为政务服务和公共资源交易顺利开展提供支撑和保障。"</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2022年度政务大厅各项设施设备得到了及时修缮和维护，均正常运行，政务大厅的各项工作顺利开展，为群众办理各项业务提供了有利的保障。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综合楼日常运转发生的水电气费用、空调电梯消防维保费及部件更换、聘用协警、日常维修及食堂运行、办公耗材、广告宣传以及大厅零星小额设施设备购置维修费等支出。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232.63</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232.63</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232.21</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232.63</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232.63</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232.21</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消防维保及零部件更换服务面积</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32300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平方米</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电梯维保数量</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水电气服务面积</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32300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平方米</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聘用协警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设施设备维修维护服务面积</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32300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平方米</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空调维保服务面积</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32300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平方米</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设施完好率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设备故障率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完成周期</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年度日常维修、垃圾清运费、绿化、化粪池清洁、食堂运行等费用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63.63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年度空调维保费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年度消防维保及零部件更换费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年度协警聘用费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年度电梯维保费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年度水费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年度气费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年度电费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90%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rPr>
              <w:t>部分电费由财政代管资金支付，其余资金用于日常维修、广告宣传及其他零星支出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政务服务水平提升度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高中低</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80%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12</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rPr>
              <w:t>政务服务能力及水平还需不断提高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能耗节约率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人民群众对政务服务环境满意度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大厅工作人员满意度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96</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该项目自评总分96分，通过该项目的实施2022年度政务大厅各项设施、设备均正常运行，政务服务环境优美，为政务服务和公共资源交易顺利开展提供支撑和保障。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由于综合大楼人员、环境复杂，费用支付覆盖面广，突发情况较多（如疫情防控支出、技能大赛支出等），绩效指标设置不够全面。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进一步优化绩效指标设置，进一步提升政务服务环境质量。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3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项目负责人：程阳</w:t>
            </w:r>
          </w:p>
        </w:tc>
        <w:tc>
          <w:tcPr>
            <w:tcW w:w="6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财务负责人：陈榕</w:t>
            </w:r>
          </w:p>
        </w:tc>
      </w:tr>
    </w:tbl>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tbl>
      <w:tblPr>
        <w:tblStyle w:val="16"/>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0"/>
        <w:gridCol w:w="2055"/>
        <w:gridCol w:w="1770"/>
        <w:gridCol w:w="2265"/>
        <w:gridCol w:w="525"/>
        <w:gridCol w:w="1680"/>
        <w:gridCol w:w="525"/>
        <w:gridCol w:w="1095"/>
        <w:gridCol w:w="510"/>
        <w:gridCol w:w="450"/>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51080021T000000052188-网络及信息系统运维费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广元市政务服务和公共资源交易中心部门</w:t>
            </w:r>
          </w:p>
        </w:tc>
        <w:tc>
          <w:tcPr>
            <w:tcW w:w="10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确保中心（含大厅）触摸屏、评价仪、电脑等各类设备设施及党政务网、政务外网等网络正常运行，保障一体化政务服务平台、四川省工程建设项目审批管理系统2.0版稳定运行。　</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中心（含大厅）触摸屏、评价仪、电脑等各类设备设施及党政务网、政务外网等网络正常运行；一体化政务服务平台、四川省工程建设项目审批管理系统2.0版稳定运行。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1111"/>
              </w:tabs>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对中心（含大厅）触摸屏、评价仪、电脑等各类设备设施进行日常维修维护；根据合同约定，及时支付网络费用，保障中心网络及各项系统平台正常运行。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100.72</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100.72</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100.72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100.72</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100.72</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100.72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维护的互联网专线个数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维护的平台个数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外包需维护的大厅计算机台数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维护的LED（控制卡）个数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维护的座机个数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维护的大厅wifi个数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外包需维护的打印机台数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维护的视频会议线路个数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平台正常运行率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网络及设备正常运行率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平台维护及时率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网络维护及时率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年度网络使用费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软件硬件升级及运维费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68.34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政务服务质量水平提升度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高中低</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90%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28</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rPr>
              <w:t>政务服务能力及水平还需不断提高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工作人员对网络使用满意度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平台使用者满意度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98</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该项目自评总分96分，通过该项目的实施确保了政务中心（含大厅）触摸屏、评价仪、电脑等各类设备设施及党政务网、政务外网等网络正常运行，保障了一体化政务服务平台、四川省工程建设项目审批管理系统2.0版等网络系统的稳定运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由于网络信息系统更新换代较快，部分工作人员或办事群众对系统应用不熟悉，政务服务能力及水平还需不断提高。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加强学习，加强对工作人员及办事群众的网络系统培训，不断提高政务服务能力及水平。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3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项目负责人：王春桃</w:t>
            </w:r>
          </w:p>
        </w:tc>
        <w:tc>
          <w:tcPr>
            <w:tcW w:w="6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财务负责人：陈榕</w:t>
            </w:r>
          </w:p>
        </w:tc>
      </w:tr>
    </w:tbl>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tbl>
      <w:tblPr>
        <w:tblStyle w:val="16"/>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9"/>
        <w:gridCol w:w="2048"/>
        <w:gridCol w:w="1765"/>
        <w:gridCol w:w="2258"/>
        <w:gridCol w:w="524"/>
        <w:gridCol w:w="1675"/>
        <w:gridCol w:w="524"/>
        <w:gridCol w:w="1094"/>
        <w:gridCol w:w="510"/>
        <w:gridCol w:w="486"/>
        <w:gridCol w:w="25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51080021T000000052224-工程建设项目审批制度改革和审批提速经费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广元市政务服务和公共资源交易中心部门</w:t>
            </w:r>
          </w:p>
        </w:tc>
        <w:tc>
          <w:tcPr>
            <w:tcW w:w="10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3"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将“工程建设项目全事项全流程审批时间控制在50个工作日内”机制化。市投资项目联合审批服务中心和市工程建设项目审批制度改革领导小组办公室合署同址办公。对工程建设项目审批制度进行全流程、全覆盖、全事项改革，努力构建科学、便捷、高效的工程建设项目审批体系。实现助推我市工程建设项目快速落实投产，极大地改善广元营商环境，创造可复制的工程建设项目审批提速“广元经验”（通过“一窗一网一次”，工程建设项目审批50个工作日内办结）。</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通过“一窗一网一次”，工程建设项目审批50个工作日内办结，对工程建设项目审批制度进行全流程、全覆盖、全事项改革，努力构建科学、便捷、高效的工程建设项目审批体系。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976"/>
              </w:tabs>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通过全程代办、上门服务、联合勘验、并联审批等服务，对工程建设项目审批制度进行全流程、全覆盖、全事项改革，努力构建科学、便捷、高效的工程建设项目审批体系。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全程代办、联合勘验、上门服务租用车次</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服务指南种类</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类</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自助服务区（便民设施设备及耗材）服务人数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举报培训会议次数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到县区督导工作次数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全程代办、联合勘验、上门服务完成率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服务指南准确率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培训合格率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自助服务设备便民度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服务指南更新完成时间</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月</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县区督导工作时限</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单次培训完成时间</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全程代办、上门服务、联合勘验完成时间</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会议培训费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便民设施设备及耗材费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车辆租赁费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服务指南印制费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优化营商环境程度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优良中低差</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并联审批服务工作长效机制健全度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好坏</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项目业主对并联审批服务工作满意度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并联审批服务管理部门满意度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该项目自评总分100分，通过该项目的实施工程建设项目审批制度进行全流程、全覆盖、全事项改革，努力构建科学、便捷、高效的工程建设项目审批体系。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由于审批事项增多，为营造良好的营商环境，上门服务次数增多，经费预算略有不足。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为进一步优化营商环境，提高并联审批服务质量，加大市场主体满意度，建议增加该项目预算资金。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3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项目负责人：赵憬</w:t>
            </w:r>
          </w:p>
        </w:tc>
        <w:tc>
          <w:tcPr>
            <w:tcW w:w="6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财务负责人：陈榕</w:t>
            </w:r>
          </w:p>
        </w:tc>
      </w:tr>
    </w:tbl>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tbl>
      <w:tblPr>
        <w:tblStyle w:val="16"/>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0"/>
        <w:gridCol w:w="2055"/>
        <w:gridCol w:w="1770"/>
        <w:gridCol w:w="2265"/>
        <w:gridCol w:w="525"/>
        <w:gridCol w:w="1680"/>
        <w:gridCol w:w="525"/>
        <w:gridCol w:w="1095"/>
        <w:gridCol w:w="510"/>
        <w:gridCol w:w="450"/>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51080022T000004931072-乡村振兴工作经费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广元市政务服务和公共资源交易中心部门</w:t>
            </w:r>
          </w:p>
        </w:tc>
        <w:tc>
          <w:tcPr>
            <w:tcW w:w="10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高质量推进乡村振兴各项工作取得明显成效。</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完满完成2022年度乡村振兴各项工作任务。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通过对第一书记及驻村工作队员的后勤保障，高质量推进乡村振兴各项工作，圆满完成2022年度乡村振兴各项工作任务。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驻村工作队员人数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帮扶村数量</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县区排名情况</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驻村时间</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月</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驻村工作队经费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驻村工作队员生活补助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农民增收情况</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好坏</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落实国家农村经济发展政策情况</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好坏</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农村生产生活条件改善度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优良中低差</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90%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rPr>
              <w:t>帮扶村生活质量还有待进一步提升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村民对驻村工作满意度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99</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该项目自评总分99分，通过该项目的实施使驻村工作队员后勤等到保障，积极落实国家乡村振兴政策，高质量推进乡村振兴各项工作，圆满完成2022年度乡村振兴各项工作任务。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由于帮扶村乡村产业发展较为滞后、乡村便民环境还有待改善，希望得到帮扶单位的支持，该项目资金存在缺口。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建议增加该项目工作经费，用于支持帮扶村产业等方面的发展。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3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项目负责人：刘博</w:t>
            </w:r>
          </w:p>
        </w:tc>
        <w:tc>
          <w:tcPr>
            <w:tcW w:w="6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财务负责人：陈榕</w:t>
            </w:r>
          </w:p>
        </w:tc>
      </w:tr>
    </w:tbl>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tbl>
      <w:tblPr>
        <w:tblStyle w:val="16"/>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7"/>
        <w:gridCol w:w="2037"/>
        <w:gridCol w:w="1755"/>
        <w:gridCol w:w="2246"/>
        <w:gridCol w:w="523"/>
        <w:gridCol w:w="1665"/>
        <w:gridCol w:w="621"/>
        <w:gridCol w:w="1092"/>
        <w:gridCol w:w="509"/>
        <w:gridCol w:w="450"/>
        <w:gridCol w:w="25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38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51080022T000005617542-“天府通办”广元分站点建设项目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67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广元市政务服务和公共资源交易中心部门</w:t>
            </w:r>
          </w:p>
        </w:tc>
        <w:tc>
          <w:tcPr>
            <w:tcW w:w="109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w:t>
            </w:r>
          </w:p>
        </w:tc>
        <w:tc>
          <w:tcPr>
            <w:tcW w:w="34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67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45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推进和完善一体化政务服务平台的应用，实现广元市委市政府对基层社会治理与完善为民服务的相关要求，建设广元市天府通办分站点，实现“省级统筹、部门协调、整体联动、分级负责”模式，有效提升政务和公共服务水平。</w:t>
            </w:r>
          </w:p>
        </w:tc>
        <w:tc>
          <w:tcPr>
            <w:tcW w:w="45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1066"/>
              </w:tabs>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“天府通办”广元分站点建设系统建设完成并通过验收，按合同约定支付项目进度款140万元。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1138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1066"/>
              </w:tabs>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项目建设包括“天府通办”APP广元市分站点定制改造（天府通办分站建设），“天府通办”APP端、四川政务服务网广元分站点网页端便民应用接入，四川政务服务网广元市分站点建设（政务服务广元旗舰店建设），便民服务专区建设、创新智能化应用场景等内容，通过广元分站点建设，实现政务服务类移动应用资源集约化整合，打造广元特色服务专区，推动政务服务事项“网上办”“掌上办”“一网通办”能力全面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2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2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140.00</w:t>
            </w:r>
          </w:p>
        </w:tc>
        <w:tc>
          <w:tcPr>
            <w:tcW w:w="2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140.00</w:t>
            </w:r>
          </w:p>
        </w:tc>
        <w:tc>
          <w:tcPr>
            <w:tcW w:w="2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8"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4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76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2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升级改造APP</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4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62"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301"/>
              </w:tabs>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ab/>
            </w:r>
            <w:r>
              <w:rPr>
                <w:rFonts w:hint="eastAsia" w:ascii="宋体" w:hAnsi="宋体" w:eastAsia="宋体" w:cs="宋体"/>
                <w:i w:val="0"/>
                <w:iCs w:val="0"/>
                <w:color w:val="000000"/>
                <w:kern w:val="0"/>
                <w:sz w:val="18"/>
                <w:szCs w:val="18"/>
                <w:u w:val="none"/>
                <w:lang w:val="en-US" w:eastAsia="zh-CN" w:bidi="ar"/>
              </w:rPr>
              <w:t>接入的服务应用个数</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9" w:hRule="atLeast"/>
        </w:trPr>
        <w:tc>
          <w:tcPr>
            <w:tcW w:w="68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4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6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“一件事”主题集成梳理个数</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4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6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2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系统验收合格率</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4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6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平台正常运行率</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4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2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支付项目进度款</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万元</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4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时效指标</w:t>
            </w:r>
          </w:p>
        </w:tc>
        <w:tc>
          <w:tcPr>
            <w:tcW w:w="2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项目完成时间</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年</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2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营商环境优化程度</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定性</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288"/>
              </w:tabs>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ab/>
            </w:r>
            <w:r>
              <w:rPr>
                <w:rFonts w:hint="eastAsia" w:ascii="宋体" w:hAnsi="宋体" w:eastAsia="宋体" w:cs="宋体"/>
                <w:i w:val="0"/>
                <w:iCs w:val="0"/>
                <w:color w:val="000000"/>
                <w:kern w:val="0"/>
                <w:sz w:val="18"/>
                <w:szCs w:val="18"/>
                <w:u w:val="none"/>
                <w:lang w:val="en-US" w:eastAsia="zh-CN" w:bidi="ar"/>
              </w:rPr>
              <w:t>80%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2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系统建设需要就一步完善，营商环境优化程度还需进一步提高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4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服务对象满意度</w:t>
            </w:r>
          </w:p>
        </w:tc>
        <w:tc>
          <w:tcPr>
            <w:tcW w:w="2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平台使用者满意度</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333"/>
              </w:tabs>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ab/>
            </w:r>
            <w:r>
              <w:rPr>
                <w:rFonts w:hint="eastAsia" w:ascii="宋体" w:hAnsi="宋体" w:eastAsia="宋体" w:cs="宋体"/>
                <w:i w:val="0"/>
                <w:iCs w:val="0"/>
                <w:color w:val="000000"/>
                <w:kern w:val="0"/>
                <w:sz w:val="18"/>
                <w:szCs w:val="18"/>
                <w:u w:val="none"/>
                <w:lang w:val="en-US" w:eastAsia="zh-CN" w:bidi="ar"/>
              </w:rPr>
              <w:t>100%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275"/>
              </w:tabs>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ab/>
            </w: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2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4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服务对象满意度</w:t>
            </w:r>
          </w:p>
        </w:tc>
        <w:tc>
          <w:tcPr>
            <w:tcW w:w="2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人民群众满意度</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2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89" w:type="dxa"/>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927" w:type="dxa"/>
            <w:gridSpan w:val="7"/>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98</w:t>
            </w:r>
          </w:p>
        </w:tc>
        <w:tc>
          <w:tcPr>
            <w:tcW w:w="2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1342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该项目自评总分98分，通过该项目得的实施，打造广元政务服务品牌，提升政务服务影响力，大力提高了政务服务中心标准化建设质量及政务服务工作水平，提升办事群众满意度。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1342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rPr>
              <w:t>该项目资金跨度较大、支付周期较长（2020年末下达指标，2021年支付第一批，2022年支付第二批，2023年支付第三批）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1342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以后针对建设周期较长的项目，前期做好调查研究，积极与财政部门沟通协调，尽量压缩资金支付周期。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2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项目负责人：王春桃</w:t>
            </w:r>
          </w:p>
        </w:tc>
        <w:tc>
          <w:tcPr>
            <w:tcW w:w="68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财务负责人：陈榕</w:t>
            </w:r>
          </w:p>
        </w:tc>
      </w:tr>
    </w:tbl>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tbl>
      <w:tblPr>
        <w:tblStyle w:val="16"/>
        <w:tblW w:w="1409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8"/>
        <w:gridCol w:w="1294"/>
        <w:gridCol w:w="1836"/>
        <w:gridCol w:w="1416"/>
        <w:gridCol w:w="576"/>
        <w:gridCol w:w="1201"/>
        <w:gridCol w:w="576"/>
        <w:gridCol w:w="1058"/>
        <w:gridCol w:w="757"/>
        <w:gridCol w:w="926"/>
        <w:gridCol w:w="35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4094"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44"/>
                <w:szCs w:val="44"/>
                <w:u w:val="none"/>
              </w:rPr>
            </w:pPr>
            <w:r>
              <w:rPr>
                <w:rFonts w:hint="eastAsia" w:ascii="宋体" w:hAnsi="宋体" w:eastAsia="宋体" w:cs="宋体"/>
                <w:b/>
                <w:bCs/>
                <w:i w:val="0"/>
                <w:iCs w:val="0"/>
                <w:color w:val="000000"/>
                <w:kern w:val="0"/>
                <w:sz w:val="30"/>
                <w:szCs w:val="30"/>
                <w:u w:val="none"/>
                <w:lang w:val="en-US" w:eastAsia="zh-CN" w:bidi="ar"/>
              </w:rPr>
              <w:t>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22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187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12345政务服务热线运行经费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2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56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实施单位（盖章）</w:t>
            </w:r>
          </w:p>
        </w:tc>
        <w:tc>
          <w:tcPr>
            <w:tcW w:w="52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12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56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62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0" w:hRule="atLeast"/>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56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进一步规范12345政务服务热线平台管理。健全承办工作机制，按时办结率达100%，群众满意度达95%以上，持续推动热线规范化、法制化、智能化建设。在畅通民意诉求渠道。推动提升政府工作效能、促进社会和谐稳定等方面发挥重要作用，12345热线成为党委政府与群众的“连心桥”社情民意、“晴雨表”政风行风“监督仪”、社会稳定“减压阀”和广元形象“展示窗”。</w:t>
            </w:r>
          </w:p>
        </w:tc>
        <w:tc>
          <w:tcPr>
            <w:tcW w:w="62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12345政务服务热线平台稳定通畅运行，话务接通率达90%以上，按时办结率达100%，群众满意度达95%以上。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1187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通过保障40名话务工作人员的工作经费以及平台运行经费，使12345热线稳定通畅运行，人民群众满意度提高。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9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预算执行情况（10分）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年度预算数（万元）</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23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c>
          <w:tcPr>
            <w:tcW w:w="3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85.50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258.50</w:t>
            </w:r>
          </w:p>
        </w:tc>
        <w:tc>
          <w:tcPr>
            <w:tcW w:w="23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258.50</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5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85.50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258.50</w:t>
            </w:r>
          </w:p>
        </w:tc>
        <w:tc>
          <w:tcPr>
            <w:tcW w:w="23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258.50</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3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23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3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23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3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3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3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c>
          <w:tcPr>
            <w:tcW w:w="3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聘用话务员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9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5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热线知识库建设数量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9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5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话务及时响应率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7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9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疫情封控期间话务量增大，话务员人手紧张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话务接通率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7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9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疫情封控期间话务量增大，话务员人手紧张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平台运维周期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9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5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诉求办理时限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9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5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话务人员工资及社保、公积金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9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5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电信业务使用费、短信使用及平台运维费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9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5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服务民生大众情况</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5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人民群众对话务质量满意度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7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3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人民群众对话务质量满意度还有待进一步提升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8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w:t>
            </w:r>
          </w:p>
        </w:tc>
        <w:tc>
          <w:tcPr>
            <w:tcW w:w="352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评价结论</w:t>
            </w:r>
          </w:p>
        </w:tc>
        <w:tc>
          <w:tcPr>
            <w:tcW w:w="1316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该项目自评总分97分，通过该项目得的实施，保障了12345政务服务热线人民群众诉求畅通，平台稳定运行，人民群众满意度提升。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存在问题</w:t>
            </w:r>
          </w:p>
        </w:tc>
        <w:tc>
          <w:tcPr>
            <w:tcW w:w="1316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由于特殊原因，疫情封控期间，话务量增加，话务员人手不够导致电话占线等问题，人民群众的诉求可能存在不能及时响应的问题。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改进措施</w:t>
            </w:r>
          </w:p>
        </w:tc>
        <w:tc>
          <w:tcPr>
            <w:tcW w:w="1316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建议增加话务员数量及响应的配套设备；加大对话务人员的考核、培训机制。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0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项目负责人：冯晓琴</w:t>
            </w:r>
          </w:p>
        </w:tc>
        <w:tc>
          <w:tcPr>
            <w:tcW w:w="804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单位财务负责人：陈榕</w:t>
            </w:r>
          </w:p>
        </w:tc>
      </w:tr>
    </w:tbl>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tbl>
      <w:tblPr>
        <w:tblStyle w:val="16"/>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9"/>
        <w:gridCol w:w="2047"/>
        <w:gridCol w:w="1763"/>
        <w:gridCol w:w="2259"/>
        <w:gridCol w:w="524"/>
        <w:gridCol w:w="1678"/>
        <w:gridCol w:w="524"/>
        <w:gridCol w:w="1093"/>
        <w:gridCol w:w="510"/>
        <w:gridCol w:w="487"/>
        <w:gridCol w:w="25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专项资金预算项目支出绩效自评表（2022年度）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51080022T000006960150-市政务服务大厅智慧化信息化管理系统建设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广元市政务服务和公共资源交易中心部门</w:t>
            </w:r>
          </w:p>
        </w:tc>
        <w:tc>
          <w:tcPr>
            <w:tcW w:w="10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建设以智慧大厅运行管理平台、智慧大厅引导管理平台、智慧大厅业务辅助平台、自助服务区等多功能为一体的政务服务大厅智慧化信息化管理系统，实现大厅集成化管理。</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成功搭建市政务服务大厅智慧化信息化管理系统，提高了政务大厅提高管理效率和服务质效，增强企业群众对政务服务的满意度和获得感。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市政务服务大厅智慧化信息化管理系统建设项目建设以智慧大厅运行管理平台、智慧大厅引导管理平台、智慧大厅业务辅助平台、自助服务区，升级大厅网络及安防系统改造升级等，实现大厅集成化管理，提高管理效率和服务质效，增强企业群众对政务服务的满意度和获得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395.84</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172.66</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43.62%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该项目为年度中途（7月份）追加项目，根据建设方案，一次性下达全部建设资金。招标成功后，根据合同约定，该项目按进度分三次付款，2022年度支付第一次，为合同总价的40%。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395.84</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172.66</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43.62%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77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大厅综合管理系统</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511"/>
              </w:tabs>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ab/>
            </w: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331"/>
              </w:tabs>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ab/>
            </w: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7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大厅绩效考核系统</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301"/>
              </w:tabs>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7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rPr>
              <w:t>触摸一体机</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7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枪击摄像头</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7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广元一事通系统</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7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智能排队取号机</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7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窗口显示终端</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7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等候区叫号显示屏</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7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政务信息宣传屏</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7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346"/>
              </w:tabs>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窗口数字业务辅助终端</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7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540" w:firstLineChars="30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LED大屏</w:t>
            </w:r>
          </w:p>
          <w:p>
            <w:pPr>
              <w:bidi w:val="0"/>
              <w:jc w:val="both"/>
              <w:rPr>
                <w:rFonts w:hint="eastAsia" w:ascii="宋体" w:hAnsi="宋体" w:eastAsia="宋体" w:cs="宋体"/>
                <w:i w:val="0"/>
                <w:iCs w:val="0"/>
                <w:kern w:val="2"/>
                <w:sz w:val="21"/>
                <w:szCs w:val="24"/>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720" w:firstLineChars="40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平方米</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7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rPr>
              <w:t>自助复印打印一体机</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时效指标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完成时间</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年</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完成安装调试设备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541"/>
              </w:tabs>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ab/>
            </w: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226"/>
              </w:tabs>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设备购置及实施安装</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可持续影响指标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rPr>
              <w:t>办事群众享受优质、高效、便捷的服务</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办事群众、窗口工作人员使用相关设备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9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设备使用满意度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该项目自评总分95分，通过本项目实施，市政务服务大厅信息化程度进一步增强，群众办事更加方便，满意度进一步增强。通过本项目实施，市政务服务大厅信息化程度进一步增强，群众办事更加方便，满意度进一步增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由于信息化建设项目前置审批流程多，建设完毕后又必须经过至少3个月的试运行才能申请验收，导致项目验收进度滞后，从而导致资金支付进度过缓。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建议减少信息化项目前置审批流程，信息化项目实施方案审查和技术方案审查结合在一起，统一开展，不再单独进行实施方案和技术方案审查。优化资金支付流程，签订合同开工后支付40%，项目建设完毕完成初验后支付30%，项目通过终验后支付20%，质保期后支付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3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项目负责人：王春桃</w:t>
            </w:r>
          </w:p>
        </w:tc>
        <w:tc>
          <w:tcPr>
            <w:tcW w:w="6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财务负责人：陈榕</w:t>
            </w:r>
          </w:p>
        </w:tc>
      </w:tr>
    </w:tbl>
    <w:p>
      <w:pPr>
        <w:pStyle w:val="2"/>
        <w:tabs>
          <w:tab w:val="left" w:pos="904"/>
        </w:tabs>
        <w:rPr>
          <w:rFonts w:hint="eastAsia" w:ascii="宋体" w:hAnsi="宋体" w:eastAsia="宋体" w:cs="宋体"/>
          <w:color w:val="auto"/>
          <w:kern w:val="0"/>
          <w:sz w:val="32"/>
          <w:szCs w:val="32"/>
          <w:highlight w:val="none"/>
          <w:lang w:val="en-US" w:eastAsia="zh-CN" w:bidi="ar-SA"/>
        </w:rPr>
      </w:pPr>
      <w:r>
        <w:rPr>
          <w:rFonts w:hint="eastAsia" w:ascii="宋体" w:hAnsi="宋体" w:eastAsia="宋体" w:cs="宋体"/>
          <w:color w:val="auto"/>
          <w:kern w:val="0"/>
          <w:sz w:val="32"/>
          <w:szCs w:val="32"/>
          <w:highlight w:val="none"/>
          <w:lang w:val="en-US" w:eastAsia="zh-CN" w:bidi="ar-SA"/>
        </w:rPr>
        <w:tab/>
      </w:r>
    </w:p>
    <w:p>
      <w:pPr>
        <w:pStyle w:val="2"/>
        <w:tabs>
          <w:tab w:val="left" w:pos="904"/>
        </w:tabs>
        <w:rPr>
          <w:rFonts w:hint="eastAsia" w:ascii="宋体" w:hAnsi="宋体" w:eastAsia="宋体" w:cs="宋体"/>
          <w:color w:val="auto"/>
          <w:kern w:val="0"/>
          <w:sz w:val="32"/>
          <w:szCs w:val="32"/>
          <w:highlight w:val="none"/>
          <w:lang w:val="en-US" w:eastAsia="zh-CN" w:bidi="ar-SA"/>
        </w:rPr>
      </w:pPr>
    </w:p>
    <w:tbl>
      <w:tblPr>
        <w:tblStyle w:val="16"/>
        <w:tblW w:w="1378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45"/>
        <w:gridCol w:w="1440"/>
        <w:gridCol w:w="1296"/>
        <w:gridCol w:w="1470"/>
        <w:gridCol w:w="576"/>
        <w:gridCol w:w="735"/>
        <w:gridCol w:w="576"/>
        <w:gridCol w:w="846"/>
        <w:gridCol w:w="570"/>
        <w:gridCol w:w="690"/>
        <w:gridCol w:w="46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3789"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44"/>
                <w:szCs w:val="44"/>
                <w:u w:val="none"/>
              </w:rPr>
            </w:pPr>
            <w:r>
              <w:rPr>
                <w:rFonts w:hint="eastAsia" w:ascii="宋体" w:hAnsi="宋体" w:eastAsia="宋体" w:cs="宋体"/>
                <w:b/>
                <w:bCs/>
                <w:i w:val="0"/>
                <w:iCs w:val="0"/>
                <w:color w:val="000000"/>
                <w:kern w:val="0"/>
                <w:sz w:val="30"/>
                <w:szCs w:val="30"/>
                <w:u w:val="none"/>
                <w:lang w:val="en-US" w:eastAsia="zh-CN" w:bidi="ar"/>
              </w:rPr>
              <w:t>专项资金预算项目支出绩效目标自评表（2022年度</w:t>
            </w:r>
            <w:r>
              <w:rPr>
                <w:rFonts w:hint="eastAsia" w:ascii="宋体" w:hAnsi="宋体" w:eastAsia="宋体" w:cs="宋体"/>
                <w:i w:val="0"/>
                <w:iCs w:val="0"/>
                <w:color w:val="000000"/>
                <w:kern w:val="0"/>
                <w:sz w:val="44"/>
                <w:szCs w:val="4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2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140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无差别综合窗口运行经费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46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广元市政务服务和公共资源交易中心部门</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实施单位（盖章）</w:t>
            </w:r>
          </w:p>
        </w:tc>
        <w:tc>
          <w:tcPr>
            <w:tcW w:w="59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广元市政务服务和公共资源交易中心部门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项目基本情况</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1.项目年度目标完成情况</w:t>
            </w:r>
          </w:p>
        </w:tc>
        <w:tc>
          <w:tcPr>
            <w:tcW w:w="46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项目年度目标</w:t>
            </w:r>
          </w:p>
        </w:tc>
        <w:tc>
          <w:tcPr>
            <w:tcW w:w="67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46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2022年，在市政务大厅增设无差别综合窗口，完成35个市本级部门依申请政务服务事项1140项（动态调整）的高效受理，实现“前台综合受理、后台分类审批、综合窗口出件”的工作模式。</w:t>
            </w:r>
          </w:p>
        </w:tc>
        <w:tc>
          <w:tcPr>
            <w:tcW w:w="67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在市政务大厅增设无差别综合窗口，聘用工作人员20名，完成35个市本级部门依申请政务服务事项。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2.项目实施内容及过程概述</w:t>
            </w:r>
          </w:p>
        </w:tc>
        <w:tc>
          <w:tcPr>
            <w:tcW w:w="1140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通过保障20名工作人员工作经费，保障无差别综合窗口高效运行，完成35个市本级部门依申请政务服务事项1140项（动态调整）的高效受理，实现“前台综合受理、后台分类审批、综合窗口出件”的工作模式。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预算执行情况（10分）</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18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预算执行率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自评得分</w:t>
            </w:r>
          </w:p>
        </w:tc>
        <w:tc>
          <w:tcPr>
            <w:tcW w:w="4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45.80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45.80</w:t>
            </w:r>
          </w:p>
        </w:tc>
        <w:tc>
          <w:tcPr>
            <w:tcW w:w="18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45.80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45.80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45.80</w:t>
            </w:r>
          </w:p>
        </w:tc>
        <w:tc>
          <w:tcPr>
            <w:tcW w:w="18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45.80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4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18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4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18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4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6"/>
                <w:szCs w:val="16"/>
                <w:u w:val="none"/>
                <w:lang w:val="en-US" w:eastAsia="zh-CN" w:bidi="ar-SA"/>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6"/>
                <w:szCs w:val="16"/>
                <w:u w:val="none"/>
                <w:lang w:val="en-US" w:eastAsia="zh-CN" w:bidi="ar-SA"/>
              </w:rPr>
            </w:pPr>
          </w:p>
        </w:tc>
        <w:tc>
          <w:tcPr>
            <w:tcW w:w="18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6"/>
                <w:szCs w:val="16"/>
                <w:u w:val="none"/>
                <w:lang w:val="en-US" w:eastAsia="zh-CN" w:bidi="ar-SA"/>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6"/>
                <w:szCs w:val="16"/>
                <w:u w:val="none"/>
                <w:lang w:val="en-US" w:eastAsia="zh-CN" w:bidi="ar-SA"/>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4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绩效指标（90分）</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指标性质</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完成值</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自评得分</w:t>
            </w:r>
          </w:p>
        </w:tc>
        <w:tc>
          <w:tcPr>
            <w:tcW w:w="4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窗口工作人员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服务部门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受理事项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1140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业务办件准确率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人员考核合格率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聘用人员工资发放周期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受理事项按时办结率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受理事项复杂、繁多，新进人员业务熟悉度有待提升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聘用人员工资及五险一金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服务民生大众情况</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市级事项申请部门满意度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人民群众满意度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88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6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自评结论</w:t>
            </w:r>
          </w:p>
        </w:tc>
        <w:tc>
          <w:tcPr>
            <w:tcW w:w="128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该项目自评总分98分，通过该项目得的实施，保障了35个市本级部门依申请政务服务事项高效受理，实现了“前台综合受理、后台分类审批、综合窗口出件”的工作模式。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存在问题</w:t>
            </w:r>
          </w:p>
        </w:tc>
        <w:tc>
          <w:tcPr>
            <w:tcW w:w="128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由于受理事项复杂、繁多，受理事项按时办结率有待提升。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改进措施</w:t>
            </w:r>
          </w:p>
        </w:tc>
        <w:tc>
          <w:tcPr>
            <w:tcW w:w="128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加大工作人员的业务培训，加大对窗口工作人员的考核激励机制。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7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项目负责人：王娅</w:t>
            </w:r>
          </w:p>
        </w:tc>
        <w:tc>
          <w:tcPr>
            <w:tcW w:w="80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单位财务负责人：陈榕</w:t>
            </w:r>
          </w:p>
        </w:tc>
      </w:tr>
    </w:tbl>
    <w:p>
      <w:pPr>
        <w:pStyle w:val="2"/>
        <w:tabs>
          <w:tab w:val="left" w:pos="904"/>
        </w:tabs>
        <w:rPr>
          <w:rFonts w:hint="eastAsia" w:ascii="宋体" w:hAnsi="宋体" w:eastAsia="宋体" w:cs="宋体"/>
          <w:color w:val="auto"/>
          <w:kern w:val="0"/>
          <w:sz w:val="32"/>
          <w:szCs w:val="32"/>
          <w:highlight w:val="none"/>
          <w:lang w:val="en-US" w:eastAsia="zh-CN" w:bidi="ar-SA"/>
        </w:rPr>
      </w:pPr>
    </w:p>
    <w:p>
      <w:pPr>
        <w:pStyle w:val="2"/>
        <w:tabs>
          <w:tab w:val="left" w:pos="904"/>
        </w:tabs>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pStyle w:val="3"/>
        <w:rPr>
          <w:rFonts w:hint="eastAsia" w:ascii="宋体" w:hAnsi="宋体" w:eastAsia="宋体" w:cs="宋体"/>
          <w:color w:val="auto"/>
          <w:kern w:val="0"/>
          <w:sz w:val="32"/>
          <w:szCs w:val="32"/>
          <w:highlight w:val="none"/>
          <w:lang w:val="en-US" w:eastAsia="zh-CN" w:bidi="ar-SA"/>
        </w:rPr>
      </w:pPr>
    </w:p>
    <w:p>
      <w:pPr>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lang w:val="en-US" w:eastAsia="zh-CN"/>
        </w:rPr>
      </w:pPr>
    </w:p>
    <w:p>
      <w:pPr>
        <w:pStyle w:val="2"/>
        <w:rPr>
          <w:rFonts w:hint="eastAsia" w:ascii="仿宋_GB2312" w:hAnsi="Calibri" w:eastAsia="仿宋_GB2312" w:cs="仿宋"/>
          <w:color w:val="auto"/>
          <w:kern w:val="0"/>
          <w:sz w:val="32"/>
          <w:szCs w:val="32"/>
          <w:highlight w:val="none"/>
          <w:lang w:val="en-US" w:eastAsia="zh-CN" w:bidi="ar-SA"/>
        </w:rPr>
        <w:sectPr>
          <w:pgSz w:w="16838" w:h="11906" w:orient="landscape"/>
          <w:pgMar w:top="1800" w:right="1440" w:bottom="1800" w:left="1440" w:header="851" w:footer="992" w:gutter="0"/>
          <w:pgNumType w:fmt="decimal"/>
          <w:cols w:space="425" w:num="1"/>
          <w:titlePg/>
          <w:docGrid w:type="lines" w:linePitch="312" w:charSpace="0"/>
        </w:sectPr>
      </w:pPr>
    </w:p>
    <w:p>
      <w:pPr>
        <w:pStyle w:val="3"/>
        <w:rPr>
          <w:rFonts w:hint="eastAsia"/>
          <w:lang w:val="en-US" w:eastAsia="zh-CN"/>
        </w:rPr>
      </w:pPr>
    </w:p>
    <w:p>
      <w:pPr>
        <w:spacing w:line="600" w:lineRule="exact"/>
        <w:jc w:val="center"/>
        <w:outlineLvl w:val="0"/>
        <w:rPr>
          <w:rFonts w:hint="eastAsia" w:ascii="仿宋" w:hAnsi="仿宋" w:eastAsia="仿宋"/>
          <w:b w:val="0"/>
          <w:color w:val="auto"/>
          <w:highlight w:val="none"/>
        </w:rPr>
      </w:pPr>
      <w:bookmarkStart w:id="71" w:name="_Toc14992"/>
      <w:r>
        <w:rPr>
          <w:rFonts w:hint="eastAsia" w:ascii="黑体" w:hAnsi="黑体" w:eastAsia="黑体"/>
          <w:color w:val="auto"/>
          <w:sz w:val="44"/>
          <w:szCs w:val="44"/>
          <w:highlight w:val="none"/>
        </w:rPr>
        <w:t>第</w:t>
      </w:r>
      <w:r>
        <w:rPr>
          <w:rStyle w:val="20"/>
          <w:rFonts w:hint="eastAsia" w:ascii="黑体" w:hAnsi="黑体" w:eastAsia="黑体"/>
          <w:b w:val="0"/>
          <w:color w:val="auto"/>
          <w:highlight w:val="none"/>
        </w:rPr>
        <w:t>五部分附表</w:t>
      </w:r>
      <w:bookmarkEnd w:id="11"/>
      <w:bookmarkEnd w:id="12"/>
      <w:bookmarkEnd w:id="71"/>
      <w:bookmarkStart w:id="72" w:name="_Toc15396619"/>
    </w:p>
    <w:p>
      <w:pPr>
        <w:pStyle w:val="5"/>
        <w:rPr>
          <w:rFonts w:ascii="仿宋" w:hAnsi="仿宋" w:eastAsia="仿宋"/>
          <w:color w:val="auto"/>
          <w:highlight w:val="none"/>
        </w:rPr>
      </w:pPr>
      <w:bookmarkStart w:id="73" w:name="_Toc24838"/>
      <w:r>
        <w:rPr>
          <w:rFonts w:hint="eastAsia" w:ascii="仿宋" w:hAnsi="仿宋" w:eastAsia="仿宋"/>
          <w:b w:val="0"/>
          <w:color w:val="auto"/>
          <w:highlight w:val="none"/>
        </w:rPr>
        <w:t>一、收</w:t>
      </w:r>
      <w:r>
        <w:rPr>
          <w:rStyle w:val="21"/>
          <w:rFonts w:hint="eastAsia" w:ascii="仿宋" w:hAnsi="仿宋" w:eastAsia="仿宋"/>
          <w:b w:val="0"/>
          <w:bCs w:val="0"/>
          <w:color w:val="auto"/>
          <w:highlight w:val="none"/>
        </w:rPr>
        <w:t>入支出决算总表</w:t>
      </w:r>
      <w:bookmarkEnd w:id="72"/>
      <w:bookmarkEnd w:id="73"/>
    </w:p>
    <w:p>
      <w:pPr>
        <w:pStyle w:val="5"/>
        <w:rPr>
          <w:rFonts w:ascii="仿宋" w:hAnsi="仿宋" w:eastAsia="仿宋"/>
          <w:color w:val="auto"/>
          <w:highlight w:val="none"/>
        </w:rPr>
      </w:pPr>
      <w:bookmarkStart w:id="74" w:name="_Toc15396620"/>
      <w:bookmarkStart w:id="75" w:name="_Toc21281"/>
      <w:r>
        <w:rPr>
          <w:rFonts w:hint="eastAsia" w:ascii="仿宋" w:hAnsi="仿宋" w:eastAsia="仿宋"/>
          <w:b w:val="0"/>
          <w:color w:val="auto"/>
          <w:highlight w:val="none"/>
        </w:rPr>
        <w:t>二、收</w:t>
      </w:r>
      <w:r>
        <w:rPr>
          <w:rStyle w:val="21"/>
          <w:rFonts w:hint="eastAsia" w:ascii="仿宋" w:hAnsi="仿宋" w:eastAsia="仿宋"/>
          <w:b w:val="0"/>
          <w:bCs w:val="0"/>
          <w:color w:val="auto"/>
          <w:highlight w:val="none"/>
        </w:rPr>
        <w:t>入决算表</w:t>
      </w:r>
      <w:bookmarkEnd w:id="74"/>
      <w:bookmarkEnd w:id="75"/>
    </w:p>
    <w:p>
      <w:pPr>
        <w:pStyle w:val="5"/>
        <w:rPr>
          <w:rFonts w:ascii="仿宋" w:hAnsi="仿宋" w:eastAsia="仿宋"/>
          <w:color w:val="auto"/>
          <w:highlight w:val="none"/>
        </w:rPr>
      </w:pPr>
      <w:bookmarkStart w:id="76" w:name="_Toc20811"/>
      <w:bookmarkStart w:id="77" w:name="_Toc15396621"/>
      <w:r>
        <w:rPr>
          <w:rStyle w:val="21"/>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1"/>
          <w:rFonts w:hint="eastAsia" w:ascii="仿宋" w:hAnsi="仿宋" w:eastAsia="仿宋"/>
          <w:b w:val="0"/>
          <w:bCs w:val="0"/>
          <w:color w:val="auto"/>
          <w:highlight w:val="none"/>
        </w:rPr>
        <w:t>出决算表</w:t>
      </w:r>
      <w:bookmarkEnd w:id="76"/>
      <w:bookmarkEnd w:id="77"/>
    </w:p>
    <w:p>
      <w:pPr>
        <w:pStyle w:val="5"/>
        <w:rPr>
          <w:rFonts w:ascii="仿宋" w:hAnsi="仿宋" w:eastAsia="仿宋"/>
          <w:b w:val="0"/>
          <w:color w:val="auto"/>
          <w:highlight w:val="none"/>
        </w:rPr>
      </w:pPr>
      <w:bookmarkStart w:id="78" w:name="_Toc2702"/>
      <w:bookmarkStart w:id="79" w:name="_Toc15396622"/>
      <w:r>
        <w:rPr>
          <w:rStyle w:val="21"/>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1"/>
          <w:rFonts w:hint="eastAsia" w:ascii="仿宋" w:hAnsi="仿宋" w:eastAsia="仿宋"/>
          <w:b w:val="0"/>
          <w:bCs w:val="0"/>
          <w:color w:val="auto"/>
          <w:highlight w:val="none"/>
        </w:rPr>
        <w:t>政拨款收入支出决算总表</w:t>
      </w:r>
      <w:bookmarkEnd w:id="78"/>
      <w:bookmarkEnd w:id="79"/>
    </w:p>
    <w:p>
      <w:pPr>
        <w:pStyle w:val="5"/>
        <w:rPr>
          <w:rStyle w:val="21"/>
          <w:rFonts w:ascii="仿宋" w:hAnsi="仿宋" w:eastAsia="仿宋"/>
          <w:b w:val="0"/>
          <w:bCs w:val="0"/>
          <w:color w:val="auto"/>
          <w:highlight w:val="none"/>
        </w:rPr>
      </w:pPr>
      <w:bookmarkStart w:id="80" w:name="_Toc28660"/>
      <w:bookmarkStart w:id="81" w:name="_Toc15396623"/>
      <w:r>
        <w:rPr>
          <w:rStyle w:val="21"/>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1"/>
          <w:rFonts w:hint="eastAsia" w:ascii="仿宋" w:hAnsi="仿宋" w:eastAsia="仿宋"/>
          <w:b w:val="0"/>
          <w:bCs w:val="0"/>
          <w:color w:val="auto"/>
          <w:highlight w:val="none"/>
        </w:rPr>
        <w:t>政拨款支出决算明细表</w:t>
      </w:r>
      <w:bookmarkEnd w:id="80"/>
      <w:bookmarkEnd w:id="81"/>
      <w:bookmarkStart w:id="82" w:name="_Toc15396624"/>
    </w:p>
    <w:p>
      <w:pPr>
        <w:pStyle w:val="5"/>
        <w:rPr>
          <w:rFonts w:ascii="仿宋" w:hAnsi="仿宋" w:eastAsia="仿宋"/>
          <w:color w:val="auto"/>
          <w:highlight w:val="none"/>
        </w:rPr>
      </w:pPr>
      <w:bookmarkStart w:id="83" w:name="_Toc18148"/>
      <w:r>
        <w:rPr>
          <w:rStyle w:val="21"/>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般公共预算财政拨款支出决算表</w:t>
      </w:r>
      <w:bookmarkEnd w:id="82"/>
      <w:bookmarkEnd w:id="83"/>
    </w:p>
    <w:p>
      <w:pPr>
        <w:pStyle w:val="5"/>
        <w:rPr>
          <w:rFonts w:ascii="仿宋" w:hAnsi="仿宋" w:eastAsia="仿宋"/>
          <w:color w:val="auto"/>
          <w:highlight w:val="none"/>
        </w:rPr>
      </w:pPr>
      <w:bookmarkStart w:id="84" w:name="_Toc15396625"/>
      <w:bookmarkStart w:id="85" w:name="_Toc15516"/>
      <w:r>
        <w:rPr>
          <w:rStyle w:val="21"/>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般公共预算财政拨款支出决算明细表</w:t>
      </w:r>
      <w:bookmarkEnd w:id="84"/>
      <w:bookmarkEnd w:id="85"/>
    </w:p>
    <w:p>
      <w:pPr>
        <w:pStyle w:val="5"/>
        <w:rPr>
          <w:rFonts w:ascii="仿宋" w:hAnsi="仿宋" w:eastAsia="仿宋"/>
          <w:color w:val="auto"/>
          <w:highlight w:val="none"/>
        </w:rPr>
      </w:pPr>
      <w:bookmarkStart w:id="86" w:name="_Toc31761"/>
      <w:bookmarkStart w:id="87" w:name="_Toc15396626"/>
      <w:r>
        <w:rPr>
          <w:rStyle w:val="21"/>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般公共预算财政拨款基本支出决算表</w:t>
      </w:r>
      <w:bookmarkEnd w:id="86"/>
      <w:bookmarkEnd w:id="87"/>
    </w:p>
    <w:p>
      <w:pPr>
        <w:pStyle w:val="5"/>
        <w:rPr>
          <w:rFonts w:ascii="仿宋" w:hAnsi="仿宋" w:eastAsia="仿宋"/>
          <w:color w:val="auto"/>
          <w:highlight w:val="none"/>
        </w:rPr>
      </w:pPr>
      <w:bookmarkStart w:id="88" w:name="_Toc15396627"/>
      <w:bookmarkStart w:id="89" w:name="_Toc27466"/>
      <w:r>
        <w:rPr>
          <w:rStyle w:val="21"/>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般公共预算财政拨款项目支出决算表</w:t>
      </w:r>
      <w:bookmarkEnd w:id="88"/>
      <w:bookmarkEnd w:id="89"/>
    </w:p>
    <w:p>
      <w:pPr>
        <w:pStyle w:val="5"/>
        <w:rPr>
          <w:rFonts w:ascii="仿宋" w:hAnsi="仿宋" w:eastAsia="仿宋"/>
          <w:color w:val="auto"/>
          <w:highlight w:val="none"/>
        </w:rPr>
      </w:pPr>
      <w:bookmarkStart w:id="90" w:name="_Toc15396628"/>
      <w:bookmarkStart w:id="91" w:name="_Toc9862"/>
      <w:r>
        <w:rPr>
          <w:rStyle w:val="21"/>
          <w:rFonts w:hint="eastAsia" w:ascii="仿宋" w:hAnsi="仿宋" w:eastAsia="仿宋"/>
          <w:b w:val="0"/>
          <w:bCs w:val="0"/>
          <w:color w:val="auto"/>
          <w:highlight w:val="none"/>
        </w:rPr>
        <w:t>十、</w:t>
      </w:r>
      <w:bookmarkEnd w:id="90"/>
      <w:r>
        <w:rPr>
          <w:rFonts w:hint="eastAsia" w:ascii="仿宋" w:hAnsi="仿宋" w:eastAsia="仿宋"/>
          <w:b w:val="0"/>
          <w:color w:val="auto"/>
          <w:highlight w:val="none"/>
        </w:rPr>
        <w:t>政</w:t>
      </w:r>
      <w:r>
        <w:rPr>
          <w:rStyle w:val="21"/>
          <w:rFonts w:hint="eastAsia" w:ascii="仿宋" w:hAnsi="仿宋" w:eastAsia="仿宋"/>
          <w:b w:val="0"/>
          <w:bCs w:val="0"/>
          <w:color w:val="auto"/>
          <w:highlight w:val="none"/>
        </w:rPr>
        <w:t>府性基金预算财政拨款收入支出决算表</w:t>
      </w:r>
      <w:bookmarkEnd w:id="91"/>
    </w:p>
    <w:p>
      <w:pPr>
        <w:pStyle w:val="5"/>
        <w:rPr>
          <w:rFonts w:ascii="仿宋" w:hAnsi="仿宋" w:eastAsia="仿宋"/>
          <w:color w:val="auto"/>
          <w:highlight w:val="none"/>
        </w:rPr>
      </w:pPr>
      <w:bookmarkStart w:id="92" w:name="_Toc15396629"/>
      <w:bookmarkStart w:id="93" w:name="_Toc25872"/>
      <w:r>
        <w:rPr>
          <w:rStyle w:val="21"/>
          <w:rFonts w:hint="eastAsia" w:ascii="仿宋" w:hAnsi="仿宋" w:eastAsia="仿宋"/>
          <w:b w:val="0"/>
          <w:bCs w:val="0"/>
          <w:color w:val="auto"/>
          <w:highlight w:val="none"/>
        </w:rPr>
        <w:t>十一、</w:t>
      </w:r>
      <w:bookmarkEnd w:id="92"/>
      <w:r>
        <w:rPr>
          <w:rFonts w:hint="eastAsia" w:ascii="仿宋" w:hAnsi="仿宋" w:eastAsia="仿宋"/>
          <w:b w:val="0"/>
          <w:color w:val="auto"/>
          <w:highlight w:val="none"/>
        </w:rPr>
        <w:t>国</w:t>
      </w:r>
      <w:r>
        <w:rPr>
          <w:rStyle w:val="21"/>
          <w:rFonts w:hint="eastAsia" w:ascii="仿宋" w:hAnsi="仿宋" w:eastAsia="仿宋"/>
          <w:b w:val="0"/>
          <w:bCs w:val="0"/>
          <w:color w:val="auto"/>
          <w:highlight w:val="none"/>
        </w:rPr>
        <w:t>有资本经营预算</w:t>
      </w:r>
      <w:r>
        <w:rPr>
          <w:rStyle w:val="21"/>
          <w:rFonts w:hint="eastAsia" w:ascii="仿宋" w:hAnsi="仿宋" w:eastAsia="仿宋"/>
          <w:b w:val="0"/>
          <w:bCs w:val="0"/>
          <w:color w:val="auto"/>
          <w:highlight w:val="none"/>
          <w:lang w:eastAsia="zh-CN"/>
        </w:rPr>
        <w:t>财政拨款收入</w:t>
      </w:r>
      <w:r>
        <w:rPr>
          <w:rStyle w:val="21"/>
          <w:rFonts w:hint="eastAsia" w:ascii="仿宋" w:hAnsi="仿宋" w:eastAsia="仿宋"/>
          <w:b w:val="0"/>
          <w:bCs w:val="0"/>
          <w:color w:val="auto"/>
          <w:highlight w:val="none"/>
        </w:rPr>
        <w:t>支出决算表</w:t>
      </w:r>
      <w:bookmarkEnd w:id="93"/>
    </w:p>
    <w:p>
      <w:pPr>
        <w:pStyle w:val="5"/>
        <w:rPr>
          <w:rFonts w:ascii="仿宋" w:hAnsi="仿宋" w:eastAsia="仿宋"/>
          <w:color w:val="auto"/>
          <w:highlight w:val="none"/>
        </w:rPr>
      </w:pPr>
      <w:bookmarkStart w:id="94" w:name="_Toc15396630"/>
      <w:bookmarkStart w:id="95" w:name="_Toc30695"/>
      <w:r>
        <w:rPr>
          <w:rStyle w:val="21"/>
          <w:rFonts w:hint="eastAsia" w:ascii="仿宋" w:hAnsi="仿宋" w:eastAsia="仿宋"/>
          <w:b w:val="0"/>
          <w:bCs w:val="0"/>
          <w:color w:val="auto"/>
          <w:highlight w:val="none"/>
        </w:rPr>
        <w:t>十二、</w:t>
      </w:r>
      <w:bookmarkEnd w:id="94"/>
      <w:r>
        <w:rPr>
          <w:rStyle w:val="21"/>
          <w:rFonts w:hint="eastAsia" w:ascii="仿宋" w:hAnsi="仿宋" w:eastAsia="仿宋"/>
          <w:b w:val="0"/>
          <w:bCs w:val="0"/>
          <w:color w:val="auto"/>
          <w:highlight w:val="none"/>
          <w:lang w:eastAsia="zh-CN"/>
        </w:rPr>
        <w:t>国有资本经营预算财政拨款支出决算表</w:t>
      </w:r>
      <w:bookmarkEnd w:id="95"/>
    </w:p>
    <w:p>
      <w:pPr>
        <w:pStyle w:val="5"/>
        <w:rPr>
          <w:rFonts w:hint="eastAsia" w:eastAsia="仿宋"/>
          <w:color w:val="auto"/>
          <w:highlight w:val="none"/>
          <w:lang w:eastAsia="zh-CN"/>
        </w:rPr>
      </w:pPr>
      <w:bookmarkStart w:id="96" w:name="_Toc15396631"/>
      <w:bookmarkStart w:id="97" w:name="_Toc13935"/>
      <w:r>
        <w:rPr>
          <w:rStyle w:val="21"/>
          <w:rFonts w:hint="eastAsia" w:ascii="仿宋" w:hAnsi="仿宋" w:eastAsia="仿宋"/>
          <w:b w:val="0"/>
          <w:bCs w:val="0"/>
          <w:color w:val="auto"/>
          <w:highlight w:val="none"/>
        </w:rPr>
        <w:t>十三、</w:t>
      </w:r>
      <w:bookmarkEnd w:id="96"/>
      <w:r>
        <w:rPr>
          <w:rStyle w:val="21"/>
          <w:rFonts w:hint="eastAsia" w:ascii="仿宋" w:hAnsi="仿宋" w:eastAsia="仿宋"/>
          <w:b w:val="0"/>
          <w:bCs w:val="0"/>
          <w:color w:val="auto"/>
          <w:highlight w:val="none"/>
          <w:lang w:eastAsia="zh-CN"/>
        </w:rPr>
        <w:t>财政拨款“三公”经费支出决算表</w:t>
      </w:r>
      <w:bookmarkEnd w:id="97"/>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Cambria">
    <w:altName w:val="Georgia"/>
    <w:panose1 w:val="02040503050406030204"/>
    <w:charset w:val="00"/>
    <w:family w:val="roman"/>
    <w:pitch w:val="default"/>
    <w:sig w:usb0="00000000" w:usb1="00000000" w:usb2="02000000" w:usb3="00000000" w:csb0="2000019F" w:csb1="00000000"/>
  </w:font>
  <w:font w:name="仿宋_GB2312">
    <w:altName w:val="Times New Roman"/>
    <w:panose1 w:val="02010609030101010101"/>
    <w:charset w:val="86"/>
    <w:family w:val="modern"/>
    <w:pitch w:val="default"/>
    <w:sig w:usb0="00000000" w:usb1="00000000" w:usb2="00000010" w:usb3="00000000" w:csb0="00040000" w:csb1="00000000"/>
  </w:font>
  <w:font w:name="仿宋">
    <w:altName w:val="Times New Roman"/>
    <w:panose1 w:val="02010609060101010101"/>
    <w:charset w:val="86"/>
    <w:family w:val="auto"/>
    <w:pitch w:val="default"/>
    <w:sig w:usb0="00000000" w:usb1="00000000" w:usb2="00000016" w:usb3="00000000" w:csb0="00040001" w:csb1="00000000"/>
  </w:font>
  <w:font w:name="方正小标宋简体">
    <w:altName w:val="Times New Roman"/>
    <w:panose1 w:val="02000000000000000000"/>
    <w:charset w:val="86"/>
    <w:family w:val="script"/>
    <w:pitch w:val="default"/>
    <w:sig w:usb0="00000000" w:usb1="00000000" w:usb2="00000000" w:usb3="00000000" w:csb0="00040000" w:csb1="00000000"/>
  </w:font>
  <w:font w:name="微软雅黑">
    <w:altName w:val="汉仪旗黑KW 55S"/>
    <w:panose1 w:val="020B0503020204020204"/>
    <w:charset w:val="86"/>
    <w:family w:val="auto"/>
    <w:pitch w:val="default"/>
    <w:sig w:usb0="00000000" w:usb1="00000000" w:usb2="00000016" w:usb3="00000000" w:csb0="0004001F" w:csb1="00000000"/>
  </w:font>
  <w:font w:name="Georgia">
    <w:panose1 w:val="02040502050405020303"/>
    <w:charset w:val="00"/>
    <w:family w:val="auto"/>
    <w:pitch w:val="default"/>
    <w:sig w:usb0="00000287" w:usb1="00000000" w:usb2="00000000" w:usb3="00000000" w:csb0="2000009F" w:csb1="00000000"/>
  </w:font>
  <w:font w:name="方正仿宋_GBK">
    <w:altName w:val="Times New Roman"/>
    <w:panose1 w:val="00000000000000000000"/>
    <w:charset w:val="00"/>
    <w:family w:val="auto"/>
    <w:pitch w:val="default"/>
    <w:sig w:usb0="00000000" w:usb1="00000000" w:usb2="00000000" w:usb3="00000000" w:csb0="00000000" w:csb1="00000000"/>
  </w:font>
  <w:font w:name="方正小标宋_GBK">
    <w:altName w:val="Times New Roman"/>
    <w:panose1 w:val="00000000000000000000"/>
    <w:charset w:val="00"/>
    <w:family w:val="auto"/>
    <w:pitch w:val="default"/>
    <w:sig w:usb0="00000000" w:usb1="00000000" w:usb2="00000000" w:usb3="00000000" w:csb0="00000000" w:csb1="00000000"/>
  </w:font>
  <w:font w:name="汉仪旗黑KW 55S">
    <w:panose1 w:val="00020600040101010101"/>
    <w:charset w:val="86"/>
    <w:family w:val="auto"/>
    <w:pitch w:val="default"/>
    <w:sig w:usb0="A00002BF" w:usb1="3ACF7CFA" w:usb2="00000016" w:usb3="00000000" w:csb0="0004009F" w:csb1="DFD70000"/>
  </w:font>
  <w:font w:name="乐见体">
    <w:panose1 w:val="02020400000000000000"/>
    <w:charset w:val="86"/>
    <w:family w:val="auto"/>
    <w:pitch w:val="default"/>
    <w:sig w:usb0="80000003" w:usb1="08012000" w:usb2="00000012" w:usb3="00000000" w:csb0="00040001" w:csb1="00000000"/>
  </w:font>
  <w:font w:name="华文中宋">
    <w:panose1 w:val="02010600040101010101"/>
    <w:charset w:val="86"/>
    <w:family w:val="auto"/>
    <w:pitch w:val="default"/>
    <w:sig w:usb0="00000287" w:usb1="080F0000" w:usb2="00000000" w:usb3="00000000" w:csb0="0004009F" w:csb1="DFD70000"/>
  </w:font>
  <w:font w:name="黑体">
    <w:altName w:val="汉仪中黑K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zSVjuCgEAAAUBAAAPAAAAAAAAAAEAIAAAACIAAABkcnMvZG93bnJldi54bWxQSwECFAAU&#10;AAAACACHTuJA6wA4ejECAABjBAAADgAAAAAAAAABACAAAABZAQAAZHJzL2Uyb0RvYy54bWxQSwUG&#10;AAAAAAYABgBZAQAA/A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4ED8"/>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118B"/>
    <w:rsid w:val="00F754A1"/>
    <w:rsid w:val="00F81FD9"/>
    <w:rsid w:val="00F841AA"/>
    <w:rsid w:val="00F84A94"/>
    <w:rsid w:val="00F87E96"/>
    <w:rsid w:val="00FA23E8"/>
    <w:rsid w:val="00FD3CC1"/>
    <w:rsid w:val="00FF1E02"/>
    <w:rsid w:val="00FF30B4"/>
    <w:rsid w:val="014F6641"/>
    <w:rsid w:val="01AE15BA"/>
    <w:rsid w:val="01EC20E2"/>
    <w:rsid w:val="02742B6F"/>
    <w:rsid w:val="02BA2F21"/>
    <w:rsid w:val="02C95F7F"/>
    <w:rsid w:val="034D4E02"/>
    <w:rsid w:val="03822654"/>
    <w:rsid w:val="03E868D9"/>
    <w:rsid w:val="04367644"/>
    <w:rsid w:val="053A62B5"/>
    <w:rsid w:val="056D52E8"/>
    <w:rsid w:val="06534584"/>
    <w:rsid w:val="079364BB"/>
    <w:rsid w:val="09336848"/>
    <w:rsid w:val="0A2032A3"/>
    <w:rsid w:val="0A9926DB"/>
    <w:rsid w:val="0AEE6ECB"/>
    <w:rsid w:val="0B3D750A"/>
    <w:rsid w:val="0B8A37D8"/>
    <w:rsid w:val="0B9335CE"/>
    <w:rsid w:val="0BA20E1B"/>
    <w:rsid w:val="0BDE7C6B"/>
    <w:rsid w:val="0C965124"/>
    <w:rsid w:val="0EDC703A"/>
    <w:rsid w:val="0FC621C4"/>
    <w:rsid w:val="0FF7237E"/>
    <w:rsid w:val="106A4559"/>
    <w:rsid w:val="109C2F25"/>
    <w:rsid w:val="10B71B0D"/>
    <w:rsid w:val="10C055FF"/>
    <w:rsid w:val="118107EC"/>
    <w:rsid w:val="11DD6519"/>
    <w:rsid w:val="12A32349"/>
    <w:rsid w:val="12DE15D3"/>
    <w:rsid w:val="12EF37E0"/>
    <w:rsid w:val="13783CA1"/>
    <w:rsid w:val="141B23B3"/>
    <w:rsid w:val="1424570B"/>
    <w:rsid w:val="158F3058"/>
    <w:rsid w:val="16031B1C"/>
    <w:rsid w:val="16105F47"/>
    <w:rsid w:val="162B4B2F"/>
    <w:rsid w:val="16897AA8"/>
    <w:rsid w:val="16BB723D"/>
    <w:rsid w:val="16DE2D51"/>
    <w:rsid w:val="17CC63EC"/>
    <w:rsid w:val="18015F3F"/>
    <w:rsid w:val="18E50431"/>
    <w:rsid w:val="191A70DD"/>
    <w:rsid w:val="19AC41D9"/>
    <w:rsid w:val="1B2304CB"/>
    <w:rsid w:val="1B2B55D1"/>
    <w:rsid w:val="1B5543FC"/>
    <w:rsid w:val="1BE8440E"/>
    <w:rsid w:val="1C5D17BA"/>
    <w:rsid w:val="1C672639"/>
    <w:rsid w:val="1D155CEE"/>
    <w:rsid w:val="1D221BFA"/>
    <w:rsid w:val="1D2247B2"/>
    <w:rsid w:val="1D44171B"/>
    <w:rsid w:val="1D782E82"/>
    <w:rsid w:val="1DB01DBE"/>
    <w:rsid w:val="1E5B61CE"/>
    <w:rsid w:val="1FF02C39"/>
    <w:rsid w:val="2091237A"/>
    <w:rsid w:val="20F57F95"/>
    <w:rsid w:val="210A48F8"/>
    <w:rsid w:val="23452CCB"/>
    <w:rsid w:val="23D962DB"/>
    <w:rsid w:val="240371BF"/>
    <w:rsid w:val="24096C3E"/>
    <w:rsid w:val="246758CC"/>
    <w:rsid w:val="254167F7"/>
    <w:rsid w:val="25711CC6"/>
    <w:rsid w:val="25C741E6"/>
    <w:rsid w:val="27842671"/>
    <w:rsid w:val="27A44741"/>
    <w:rsid w:val="281F36F5"/>
    <w:rsid w:val="283327B3"/>
    <w:rsid w:val="28537916"/>
    <w:rsid w:val="28A349F9"/>
    <w:rsid w:val="28F045E6"/>
    <w:rsid w:val="29530E5A"/>
    <w:rsid w:val="29A547A1"/>
    <w:rsid w:val="29FD04D3"/>
    <w:rsid w:val="2ABE7A3E"/>
    <w:rsid w:val="2AF4778E"/>
    <w:rsid w:val="2B9845BD"/>
    <w:rsid w:val="2BA80578"/>
    <w:rsid w:val="2C2E6CCF"/>
    <w:rsid w:val="2C3D33B6"/>
    <w:rsid w:val="2C583D4C"/>
    <w:rsid w:val="2C757AA2"/>
    <w:rsid w:val="2CA234A8"/>
    <w:rsid w:val="2CAE0372"/>
    <w:rsid w:val="2CB35427"/>
    <w:rsid w:val="2D930E1E"/>
    <w:rsid w:val="2E755089"/>
    <w:rsid w:val="2EFA178C"/>
    <w:rsid w:val="303F76FD"/>
    <w:rsid w:val="30B46D73"/>
    <w:rsid w:val="31264419"/>
    <w:rsid w:val="315E0FCA"/>
    <w:rsid w:val="319F7F4E"/>
    <w:rsid w:val="32D87995"/>
    <w:rsid w:val="33FD087B"/>
    <w:rsid w:val="34037C6B"/>
    <w:rsid w:val="3482405C"/>
    <w:rsid w:val="348953EB"/>
    <w:rsid w:val="35FC1BEC"/>
    <w:rsid w:val="383D272C"/>
    <w:rsid w:val="391069BB"/>
    <w:rsid w:val="395D22F1"/>
    <w:rsid w:val="39AE70AB"/>
    <w:rsid w:val="3A523949"/>
    <w:rsid w:val="3B351E28"/>
    <w:rsid w:val="3C0C0783"/>
    <w:rsid w:val="3C814590"/>
    <w:rsid w:val="3CC72F54"/>
    <w:rsid w:val="3D3954D4"/>
    <w:rsid w:val="3D4C3213"/>
    <w:rsid w:val="3D5C511E"/>
    <w:rsid w:val="3E2111B4"/>
    <w:rsid w:val="3F9F3A96"/>
    <w:rsid w:val="40F43AD5"/>
    <w:rsid w:val="41085755"/>
    <w:rsid w:val="419671B8"/>
    <w:rsid w:val="42D526D9"/>
    <w:rsid w:val="43686B13"/>
    <w:rsid w:val="43747266"/>
    <w:rsid w:val="43F959BD"/>
    <w:rsid w:val="44110F59"/>
    <w:rsid w:val="443D3A45"/>
    <w:rsid w:val="46454EEA"/>
    <w:rsid w:val="47185634"/>
    <w:rsid w:val="47574ED5"/>
    <w:rsid w:val="48086994"/>
    <w:rsid w:val="48BF60AB"/>
    <w:rsid w:val="493C27E9"/>
    <w:rsid w:val="49423962"/>
    <w:rsid w:val="496F39ED"/>
    <w:rsid w:val="499F6A5A"/>
    <w:rsid w:val="49EA64D4"/>
    <w:rsid w:val="49FF41D3"/>
    <w:rsid w:val="4ADB5E1D"/>
    <w:rsid w:val="4ADF6B8D"/>
    <w:rsid w:val="4B906C07"/>
    <w:rsid w:val="4BB45964"/>
    <w:rsid w:val="4BE068DB"/>
    <w:rsid w:val="4BEA27BB"/>
    <w:rsid w:val="4BF6002B"/>
    <w:rsid w:val="4E445944"/>
    <w:rsid w:val="4EAA7FE0"/>
    <w:rsid w:val="4ECE2238"/>
    <w:rsid w:val="4F0B3174"/>
    <w:rsid w:val="4F11658F"/>
    <w:rsid w:val="50B87CEA"/>
    <w:rsid w:val="50E36EE4"/>
    <w:rsid w:val="51825244"/>
    <w:rsid w:val="51DB4B86"/>
    <w:rsid w:val="521340EE"/>
    <w:rsid w:val="52EF6909"/>
    <w:rsid w:val="539B083F"/>
    <w:rsid w:val="53D1600F"/>
    <w:rsid w:val="548E19F2"/>
    <w:rsid w:val="550B6631"/>
    <w:rsid w:val="55333C3E"/>
    <w:rsid w:val="55B654BC"/>
    <w:rsid w:val="560E70A6"/>
    <w:rsid w:val="571C4694"/>
    <w:rsid w:val="574B60D8"/>
    <w:rsid w:val="5794182D"/>
    <w:rsid w:val="57A2219C"/>
    <w:rsid w:val="582F7144"/>
    <w:rsid w:val="58461090"/>
    <w:rsid w:val="58AC5AC8"/>
    <w:rsid w:val="596A4F3B"/>
    <w:rsid w:val="599B50F5"/>
    <w:rsid w:val="5ADE41AD"/>
    <w:rsid w:val="5BD90156"/>
    <w:rsid w:val="5C221AFD"/>
    <w:rsid w:val="5C2F7D76"/>
    <w:rsid w:val="5CC2508E"/>
    <w:rsid w:val="5E7A79CF"/>
    <w:rsid w:val="5F2142EE"/>
    <w:rsid w:val="5FA82319"/>
    <w:rsid w:val="60820DBC"/>
    <w:rsid w:val="611F485D"/>
    <w:rsid w:val="616109D2"/>
    <w:rsid w:val="621243C2"/>
    <w:rsid w:val="62D92AD1"/>
    <w:rsid w:val="62FF62D2"/>
    <w:rsid w:val="6381535B"/>
    <w:rsid w:val="63E91153"/>
    <w:rsid w:val="63FA6EBC"/>
    <w:rsid w:val="64224BC7"/>
    <w:rsid w:val="64370594"/>
    <w:rsid w:val="646D1D84"/>
    <w:rsid w:val="649D0E83"/>
    <w:rsid w:val="64CA39A1"/>
    <w:rsid w:val="650224CC"/>
    <w:rsid w:val="65B23EF2"/>
    <w:rsid w:val="65D5373C"/>
    <w:rsid w:val="665C3E5E"/>
    <w:rsid w:val="676B07FC"/>
    <w:rsid w:val="68116085"/>
    <w:rsid w:val="68CD528B"/>
    <w:rsid w:val="69630ADE"/>
    <w:rsid w:val="69CD2CE5"/>
    <w:rsid w:val="6AF74155"/>
    <w:rsid w:val="6B6A2B79"/>
    <w:rsid w:val="6BC04E8F"/>
    <w:rsid w:val="6BCB5BCC"/>
    <w:rsid w:val="6C4A05C8"/>
    <w:rsid w:val="6D3B1A89"/>
    <w:rsid w:val="6D8311C9"/>
    <w:rsid w:val="6F321C00"/>
    <w:rsid w:val="6FC54822"/>
    <w:rsid w:val="70814BED"/>
    <w:rsid w:val="70B12FF8"/>
    <w:rsid w:val="71110CB3"/>
    <w:rsid w:val="71BF4EC2"/>
    <w:rsid w:val="72734D90"/>
    <w:rsid w:val="72B1108D"/>
    <w:rsid w:val="733028FA"/>
    <w:rsid w:val="73A9715C"/>
    <w:rsid w:val="7412278C"/>
    <w:rsid w:val="7447614D"/>
    <w:rsid w:val="745D7787"/>
    <w:rsid w:val="74CC6652"/>
    <w:rsid w:val="75622B13"/>
    <w:rsid w:val="762A3631"/>
    <w:rsid w:val="773D7394"/>
    <w:rsid w:val="77626DFA"/>
    <w:rsid w:val="779771C0"/>
    <w:rsid w:val="78393BDC"/>
    <w:rsid w:val="784E4410"/>
    <w:rsid w:val="7904082E"/>
    <w:rsid w:val="79102FB2"/>
    <w:rsid w:val="79E7B28D"/>
    <w:rsid w:val="7A025967"/>
    <w:rsid w:val="7A3647F1"/>
    <w:rsid w:val="7AB12572"/>
    <w:rsid w:val="7C1728A9"/>
    <w:rsid w:val="7CAA69A0"/>
    <w:rsid w:val="7D6F1C00"/>
    <w:rsid w:val="7D737166"/>
    <w:rsid w:val="7E8D6E52"/>
    <w:rsid w:val="7F2F7F0A"/>
    <w:rsid w:val="7F62208D"/>
    <w:rsid w:val="7F9F20EE"/>
    <w:rsid w:val="9E3A10E2"/>
    <w:rsid w:val="EFEEEF48"/>
    <w:rsid w:val="F2E1F9D4"/>
    <w:rsid w:val="F7880819"/>
    <w:rsid w:val="FE6AAA2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22"/>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8"/>
    <w:qFormat/>
    <w:uiPriority w:val="99"/>
    <w:pPr>
      <w:spacing w:beforeLines="30"/>
    </w:pPr>
    <w:rPr>
      <w:rFonts w:ascii="仿宋_GB2312" w:eastAsia="仿宋_GB2312"/>
      <w:kern w:val="0"/>
      <w:sz w:val="30"/>
    </w:rPr>
  </w:style>
  <w:style w:type="paragraph" w:styleId="3">
    <w:name w:val="index 8"/>
    <w:basedOn w:val="1"/>
    <w:next w:val="1"/>
    <w:qFormat/>
    <w:uiPriority w:val="0"/>
    <w:pPr>
      <w:ind w:left="2940"/>
    </w:pPr>
  </w:style>
  <w:style w:type="paragraph" w:styleId="7">
    <w:name w:val="annotation text"/>
    <w:basedOn w:val="1"/>
    <w:semiHidden/>
    <w:unhideWhenUsed/>
    <w:qFormat/>
    <w:uiPriority w:val="99"/>
    <w:pPr>
      <w:jc w:val="left"/>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5">
    <w:name w:val="Body Text First Indent"/>
    <w:basedOn w:val="2"/>
    <w:qFormat/>
    <w:uiPriority w:val="0"/>
    <w:pPr>
      <w:spacing w:after="120"/>
      <w:ind w:firstLine="100" w:firstLineChars="1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标题 1 Char"/>
    <w:basedOn w:val="17"/>
    <w:link w:val="4"/>
    <w:qFormat/>
    <w:uiPriority w:val="9"/>
    <w:rPr>
      <w:rFonts w:ascii="Times New Roman" w:hAnsi="Times New Roman"/>
      <w:b/>
      <w:bCs/>
      <w:kern w:val="44"/>
      <w:sz w:val="44"/>
      <w:szCs w:val="44"/>
    </w:rPr>
  </w:style>
  <w:style w:type="character" w:customStyle="1" w:styleId="21">
    <w:name w:val="标题 2 Char"/>
    <w:basedOn w:val="17"/>
    <w:link w:val="5"/>
    <w:qFormat/>
    <w:uiPriority w:val="9"/>
    <w:rPr>
      <w:rFonts w:asciiTheme="majorHAnsi" w:hAnsiTheme="majorHAnsi" w:eastAsiaTheme="majorEastAsia" w:cstheme="majorBidi"/>
      <w:b/>
      <w:bCs/>
      <w:kern w:val="2"/>
      <w:sz w:val="32"/>
      <w:szCs w:val="32"/>
    </w:rPr>
  </w:style>
  <w:style w:type="character" w:customStyle="1" w:styleId="22">
    <w:name w:val="标题 3 Char"/>
    <w:basedOn w:val="17"/>
    <w:link w:val="6"/>
    <w:qFormat/>
    <w:uiPriority w:val="9"/>
    <w:rPr>
      <w:rFonts w:ascii="Times New Roman" w:hAnsi="Times New Roman"/>
      <w:b/>
      <w:bCs/>
      <w:kern w:val="2"/>
      <w:sz w:val="32"/>
      <w:szCs w:val="32"/>
    </w:rPr>
  </w:style>
  <w:style w:type="character" w:customStyle="1" w:styleId="23">
    <w:name w:val="Header Char"/>
    <w:basedOn w:val="17"/>
    <w:semiHidden/>
    <w:qFormat/>
    <w:uiPriority w:val="99"/>
    <w:rPr>
      <w:rFonts w:ascii="Times New Roman" w:hAnsi="Times New Roman"/>
      <w:sz w:val="18"/>
      <w:szCs w:val="18"/>
    </w:rPr>
  </w:style>
  <w:style w:type="character" w:customStyle="1" w:styleId="24">
    <w:name w:val="页眉 Char"/>
    <w:link w:val="11"/>
    <w:semiHidden/>
    <w:qFormat/>
    <w:locked/>
    <w:uiPriority w:val="99"/>
    <w:rPr>
      <w:sz w:val="18"/>
    </w:rPr>
  </w:style>
  <w:style w:type="character" w:customStyle="1" w:styleId="25">
    <w:name w:val="Footer Char"/>
    <w:basedOn w:val="17"/>
    <w:semiHidden/>
    <w:qFormat/>
    <w:uiPriority w:val="99"/>
    <w:rPr>
      <w:rFonts w:ascii="Times New Roman" w:hAnsi="Times New Roman"/>
      <w:sz w:val="18"/>
      <w:szCs w:val="18"/>
    </w:rPr>
  </w:style>
  <w:style w:type="character" w:customStyle="1" w:styleId="26">
    <w:name w:val="页脚 Char"/>
    <w:link w:val="10"/>
    <w:qFormat/>
    <w:locked/>
    <w:uiPriority w:val="99"/>
    <w:rPr>
      <w:sz w:val="18"/>
    </w:rPr>
  </w:style>
  <w:style w:type="character" w:customStyle="1" w:styleId="27">
    <w:name w:val="Body Text Char"/>
    <w:basedOn w:val="17"/>
    <w:semiHidden/>
    <w:qFormat/>
    <w:uiPriority w:val="99"/>
    <w:rPr>
      <w:rFonts w:ascii="Times New Roman" w:hAnsi="Times New Roman"/>
      <w:szCs w:val="24"/>
    </w:rPr>
  </w:style>
  <w:style w:type="character" w:customStyle="1" w:styleId="28">
    <w:name w:val="正文文本 Char"/>
    <w:link w:val="2"/>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9"/>
    <w:semiHidden/>
    <w:qFormat/>
    <w:uiPriority w:val="99"/>
    <w:rPr>
      <w:rFonts w:ascii="Times New Roman" w:hAnsi="Times New Roman"/>
      <w:kern w:val="2"/>
      <w:sz w:val="18"/>
      <w:szCs w:val="18"/>
    </w:rPr>
  </w:style>
  <w:style w:type="paragraph" w:customStyle="1" w:styleId="33">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60570186035274"/>
          <c:y val="0.0285362348593718"/>
          <c:w val="0.89736651365064"/>
          <c:h val="0.886553069184972"/>
        </c:manualLayout>
      </c:layout>
      <c:barChart>
        <c:barDir val="col"/>
        <c:grouping val="clustered"/>
        <c:varyColors val="0"/>
        <c:ser>
          <c:idx val="0"/>
          <c:order val="0"/>
          <c:tx>
            <c:strRef>
              <c:f>Sheet1!#REF!</c:f>
              <c:strCache>
                <c:ptCount val="1"/>
                <c:pt idx="0">
                  <c:v/>
                </c:pt>
              </c:strCache>
            </c:strRef>
          </c:tx>
          <c:spPr>
            <a:solidFill>
              <a:schemeClr val="accent1"/>
            </a:solidFill>
            <a:ln>
              <a:noFill/>
            </a:ln>
            <a:effectLst/>
          </c:spPr>
          <c:invertIfNegative val="0"/>
          <c:dLbls>
            <c:delete val="1"/>
          </c:dLbls>
          <c:cat>
            <c:strRef>
              <c:f>Sheet1!$A$2:$A$3</c:f>
              <c:strCache>
                <c:ptCount val="2"/>
                <c:pt idx="0">
                  <c:v>2021年收、支总计</c:v>
                </c:pt>
                <c:pt idx="1">
                  <c:v>2022年收、支总计</c:v>
                </c:pt>
              </c:strCache>
            </c:strRef>
          </c:cat>
          <c:val>
            <c:numRef>
              <c:f>Sheet1!#REF!</c:f>
              <c:numCache>
                <c:formatCode>General</c:formatCode>
                <c:ptCount val="1"/>
                <c:pt idx="0">
                  <c:v>1</c:v>
                </c:pt>
              </c:numCache>
            </c:numRef>
          </c:val>
        </c:ser>
        <c:ser>
          <c:idx val="1"/>
          <c:order val="1"/>
          <c:tx>
            <c:strRef>
              <c:f>Sheet1!$B$1</c:f>
              <c:strCache>
                <c:ptCount val="1"/>
                <c:pt idx="0">
                  <c:v>系列 2</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2021年收、支总计</c:v>
                </c:pt>
                <c:pt idx="1">
                  <c:v>2022年收、支总计</c:v>
                </c:pt>
              </c:strCache>
            </c:strRef>
          </c:cat>
          <c:val>
            <c:numRef>
              <c:f>Sheet1!$B$2:$B$3</c:f>
              <c:numCache>
                <c:formatCode>General</c:formatCode>
                <c:ptCount val="2"/>
                <c:pt idx="0">
                  <c:v>1505.94</c:v>
                </c:pt>
                <c:pt idx="1">
                  <c:v>1553.41</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2021年收、支总计</c:v>
                </c:pt>
                <c:pt idx="1">
                  <c:v>2022年收、支总计</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246"/>
        <c:overlap val="-28"/>
        <c:axId val="691059743"/>
        <c:axId val="54899907"/>
      </c:barChart>
      <c:catAx>
        <c:axId val="69105974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4899907"/>
        <c:crosses val="autoZero"/>
        <c:auto val="1"/>
        <c:lblAlgn val="ctr"/>
        <c:lblOffset val="100"/>
        <c:noMultiLvlLbl val="0"/>
      </c:catAx>
      <c:valAx>
        <c:axId val="54899907"/>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105974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rPr lang="en-US" altLang="zh-CN"/>
              <a:t>2022</a:t>
            </a:r>
            <a:r>
              <a:rPr altLang="zh-CN"/>
              <a:t>年</a:t>
            </a:r>
            <a:r>
              <a:rPr altLang="en-US"/>
              <a:t>收入合计</a:t>
            </a:r>
            <a:endParaRPr altLang="en-US"/>
          </a:p>
        </c:rich>
      </c:tx>
      <c:layout>
        <c:manualLayout>
          <c:xMode val="edge"/>
          <c:yMode val="edge"/>
          <c:x val="0.369171297414835"/>
          <c:y val="0.0773480662983422"/>
        </c:manualLayout>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Lbls>
            <c:dLbl>
              <c:idx val="0"/>
              <c:layout>
                <c:manualLayout>
                  <c:x val="-0.108843409551058"/>
                  <c:y val="-0.46701722415318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General</c:formatCode>
                <c:ptCount val="1"/>
                <c:pt idx="0">
                  <c:v>1453.97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manualLayout>
          <c:xMode val="edge"/>
          <c:yMode val="edge"/>
          <c:x val="0.360352742208263"/>
          <c:y val="0.21100722481937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2022年支出合计</a:t>
            </a:r>
          </a:p>
        </c:rich>
      </c:tx>
      <c:layout>
        <c:manualLayout>
          <c:xMode val="edge"/>
          <c:yMode val="edge"/>
          <c:x val="0.343561246677942"/>
          <c:y val="0.00883354513584246"/>
        </c:manualLayout>
      </c:layout>
      <c:overlay val="0"/>
      <c:spPr>
        <a:noFill/>
        <a:ln>
          <a:noFill/>
        </a:ln>
        <a:effectLst/>
      </c:spPr>
    </c:title>
    <c:autoTitleDeleted val="0"/>
    <c:plotArea>
      <c:layout>
        <c:manualLayout>
          <c:layoutTarget val="inner"/>
          <c:xMode val="edge"/>
          <c:yMode val="edge"/>
          <c:x val="0.267274704034791"/>
          <c:y val="0.12970881694156"/>
          <c:w val="0.419545784005799"/>
          <c:h val="0.70718794542863"/>
        </c:manualLayout>
      </c:layout>
      <c:pieChart>
        <c:varyColors val="1"/>
        <c:ser>
          <c:idx val="0"/>
          <c:order val="0"/>
          <c:tx>
            <c:strRef>
              <c:f>Sheet1!$B$1</c:f>
              <c:strCache>
                <c:ptCount val="1"/>
                <c:pt idx="0">
                  <c:v>2022年</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358.45</c:v>
                </c:pt>
                <c:pt idx="1">
                  <c:v>1191.14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manualLayout>
          <c:xMode val="edge"/>
          <c:yMode val="edge"/>
          <c:x val="0.365124426189901"/>
          <c:y val="0.094045378406227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Sheet1!#REF!</c:f>
              <c:strCache>
                <c:ptCount val="1"/>
                <c:pt idx="0">
                  <c:v/>
                </c:pt>
              </c:strCache>
            </c:strRef>
          </c:tx>
          <c:spPr>
            <a:solidFill>
              <a:schemeClr val="accent1"/>
            </a:solidFill>
            <a:ln>
              <a:noFill/>
            </a:ln>
            <a:effectLst/>
          </c:spPr>
          <c:invertIfNegative val="0"/>
          <c:dLbls>
            <c:delete val="1"/>
          </c:dLbls>
          <c:cat>
            <c:strRef>
              <c:f>Sheet1!$A$2:$A$3</c:f>
              <c:strCache>
                <c:ptCount val="2"/>
                <c:pt idx="0">
                  <c:v>2021年财政拨款收、支总计</c:v>
                </c:pt>
                <c:pt idx="1">
                  <c:v>2022年财政拨款收、支总计</c:v>
                </c:pt>
              </c:strCache>
            </c:strRef>
          </c:cat>
          <c:val>
            <c:numRef>
              <c:f>Sheet1!#REF!</c:f>
              <c:numCache>
                <c:formatCode>General</c:formatCode>
                <c:ptCount val="1"/>
                <c:pt idx="0">
                  <c:v>1</c:v>
                </c:pt>
              </c:numCache>
            </c:numRef>
          </c:val>
        </c:ser>
        <c:ser>
          <c:idx val="1"/>
          <c:order val="1"/>
          <c:tx>
            <c:strRef>
              <c:f>Sheet1!$B$1</c:f>
              <c:strCache>
                <c:ptCount val="1"/>
                <c:pt idx="0">
                  <c:v>系列 2</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2021年财政拨款收、支总计</c:v>
                </c:pt>
                <c:pt idx="1">
                  <c:v>2022年财政拨款收、支总计</c:v>
                </c:pt>
              </c:strCache>
            </c:strRef>
          </c:cat>
          <c:val>
            <c:numRef>
              <c:f>Sheet1!$B$2:$B$3</c:f>
              <c:numCache>
                <c:formatCode>General</c:formatCode>
                <c:ptCount val="2"/>
                <c:pt idx="0">
                  <c:v>1505.94</c:v>
                </c:pt>
                <c:pt idx="1">
                  <c:v>1553.41</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2021年财政拨款收、支总计</c:v>
                </c:pt>
                <c:pt idx="1">
                  <c:v>2022年财政拨款收、支总计</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246"/>
        <c:overlap val="-28"/>
        <c:axId val="796601316"/>
        <c:axId val="444592482"/>
      </c:barChart>
      <c:catAx>
        <c:axId val="79660131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44592482"/>
        <c:crosses val="autoZero"/>
        <c:auto val="1"/>
        <c:lblAlgn val="ctr"/>
        <c:lblOffset val="100"/>
        <c:noMultiLvlLbl val="0"/>
      </c:catAx>
      <c:valAx>
        <c:axId val="444592482"/>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966013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56366272046388"/>
          <c:y val="0.165958351041224"/>
          <c:w val="0.919352500604011"/>
          <c:h val="0.638631534211645"/>
        </c:manualLayout>
      </c:layout>
      <c:barChart>
        <c:barDir val="col"/>
        <c:grouping val="stacked"/>
        <c:varyColors val="0"/>
        <c:ser>
          <c:idx val="0"/>
          <c:order val="0"/>
          <c:tx>
            <c:strRef>
              <c:f>Sheet1!$B$1</c:f>
              <c:strCache>
                <c:ptCount val="1"/>
                <c:pt idx="0">
                  <c:v>系列 1</c:v>
                </c:pt>
              </c:strCache>
            </c:strRef>
          </c:tx>
          <c:spPr>
            <a:solidFill>
              <a:schemeClr val="accent1"/>
            </a:solidFill>
            <a:ln>
              <a:solidFill>
                <a:schemeClr val="bg1"/>
              </a:solid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2021年一般公共预算财政拨款支出</c:v>
                </c:pt>
                <c:pt idx="1">
                  <c:v>2022年一般公共预算财政拨款支出</c:v>
                </c:pt>
              </c:strCache>
            </c:strRef>
          </c:cat>
          <c:val>
            <c:numRef>
              <c:f>Sheet1!$B$2:$B$3</c:f>
              <c:numCache>
                <c:formatCode>General</c:formatCode>
                <c:ptCount val="2"/>
                <c:pt idx="0">
                  <c:v>1233.11</c:v>
                </c:pt>
                <c:pt idx="1">
                  <c:v>1549.94</c:v>
                </c:pt>
              </c:numCache>
            </c:numRef>
          </c:val>
        </c:ser>
        <c:ser>
          <c:idx val="1"/>
          <c:order val="1"/>
          <c:tx>
            <c:strRef>
              <c:f>Sheet1!#REF!</c:f>
              <c:strCache>
                <c:ptCount val="1"/>
                <c:pt idx="0">
                  <c:v/>
                </c:pt>
              </c:strCache>
            </c:strRef>
          </c:tx>
          <c:spPr>
            <a:solidFill>
              <a:schemeClr val="accent2"/>
            </a:solidFill>
            <a:ln>
              <a:solidFill>
                <a:schemeClr val="bg1"/>
              </a:solidFill>
            </a:ln>
            <a:effectLst/>
          </c:spPr>
          <c:invertIfNegative val="0"/>
          <c:dLbls>
            <c:delete val="1"/>
          </c:dLbls>
          <c:cat>
            <c:strRef>
              <c:f>Sheet1!$A$2:$A$3</c:f>
              <c:strCache>
                <c:ptCount val="2"/>
                <c:pt idx="0">
                  <c:v>2021年一般公共预算财政拨款支出</c:v>
                </c:pt>
                <c:pt idx="1">
                  <c:v>2022年一般公共预算财政拨款支出</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solidFill>
                <a:schemeClr val="bg1"/>
              </a:solidFill>
            </a:ln>
            <a:effectLst/>
          </c:spPr>
          <c:invertIfNegative val="0"/>
          <c:dLbls>
            <c:delete val="1"/>
          </c:dLbls>
          <c:cat>
            <c:strRef>
              <c:f>Sheet1!$A$2:$A$3</c:f>
              <c:strCache>
                <c:ptCount val="2"/>
                <c:pt idx="0">
                  <c:v>2021年一般公共预算财政拨款支出</c:v>
                </c:pt>
                <c:pt idx="1">
                  <c:v>2022年一般公共预算财政拨款支出</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246"/>
        <c:overlap val="100"/>
        <c:axId val="618951983"/>
        <c:axId val="930657537"/>
      </c:barChart>
      <c:catAx>
        <c:axId val="61895198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30657537"/>
        <c:crosses val="autoZero"/>
        <c:auto val="1"/>
        <c:lblAlgn val="ctr"/>
        <c:lblOffset val="100"/>
        <c:noMultiLvlLbl val="0"/>
      </c:catAx>
      <c:valAx>
        <c:axId val="930657537"/>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1895198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rPr lang="en-US" altLang="zh-CN"/>
              <a:t>2022</a:t>
            </a:r>
            <a:r>
              <a:rPr altLang="en-US"/>
              <a:t>年一般公共预算财政拨款支出</a:t>
            </a:r>
            <a:endParaRPr altLang="en-US"/>
          </a:p>
        </c:rich>
      </c:tx>
      <c:layout>
        <c:manualLayout>
          <c:xMode val="edge"/>
          <c:yMode val="edge"/>
          <c:x val="0.231221502279818"/>
          <c:y val="0.0681110358835477"/>
        </c:manualLayout>
      </c:layout>
      <c:overlay val="0"/>
      <c:spPr>
        <a:noFill/>
        <a:ln>
          <a:noFill/>
        </a:ln>
        <a:effectLst/>
      </c:spPr>
    </c:title>
    <c:autoTitleDeleted val="0"/>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833534670210196"/>
          <c:y val="0.203782405439864"/>
          <c:w val="0.870379318676009"/>
          <c:h val="0.789842753931152"/>
        </c:manualLayout>
      </c:layout>
      <c:pie3DChart>
        <c:varyColors val="1"/>
        <c:ser>
          <c:idx val="0"/>
          <c:order val="0"/>
          <c:tx>
            <c:strRef>
              <c:f>Sheet1!$B$1</c:f>
              <c:strCache>
                <c:ptCount val="1"/>
                <c:pt idx="0">
                  <c:v>销售额</c:v>
                </c:pt>
              </c:strCache>
            </c:strRef>
          </c:tx>
          <c:spPr>
            <a:scene3d>
              <a:camera prst="orthographicFront"/>
              <a:lightRig rig="threePt" dir="t"/>
            </a:scene3d>
            <a:sp3d contourW="9525"/>
          </c:spPr>
          <c:explosion val="0"/>
          <c:dPt>
            <c:idx val="0"/>
            <c:bubble3D val="0"/>
            <c:spPr>
              <a:solidFill>
                <a:schemeClr val="accent1"/>
              </a:solidFill>
              <a:ln>
                <a:solidFill>
                  <a:schemeClr val="bg1"/>
                </a:solidFill>
              </a:ln>
              <a:effectLst/>
              <a:scene3d>
                <a:camera prst="orthographicFront"/>
                <a:lightRig rig="threePt" dir="t"/>
              </a:scene3d>
              <a:sp3d contourW="9525"/>
            </c:spPr>
          </c:dPt>
          <c:dPt>
            <c:idx val="1"/>
            <c:bubble3D val="0"/>
            <c:spPr>
              <a:solidFill>
                <a:schemeClr val="accent2"/>
              </a:solidFill>
              <a:ln>
                <a:solidFill>
                  <a:schemeClr val="bg1"/>
                </a:solidFill>
              </a:ln>
              <a:effectLst/>
              <a:scene3d>
                <a:camera prst="orthographicFront"/>
                <a:lightRig rig="threePt" dir="t"/>
              </a:scene3d>
              <a:sp3d contourW="9525"/>
            </c:spPr>
          </c:dPt>
          <c:dPt>
            <c:idx val="2"/>
            <c:bubble3D val="0"/>
            <c:spPr>
              <a:solidFill>
                <a:schemeClr val="accent3"/>
              </a:solidFill>
              <a:ln>
                <a:solidFill>
                  <a:schemeClr val="bg1"/>
                </a:solidFill>
              </a:ln>
              <a:effectLst/>
              <a:scene3d>
                <a:camera prst="orthographicFront"/>
                <a:lightRig rig="threePt" dir="t"/>
              </a:scene3d>
              <a:sp3d contourW="9525"/>
            </c:spPr>
          </c:dPt>
          <c:dPt>
            <c:idx val="3"/>
            <c:bubble3D val="0"/>
            <c:spPr>
              <a:solidFill>
                <a:schemeClr val="accent4"/>
              </a:solidFill>
              <a:ln>
                <a:solidFill>
                  <a:schemeClr val="bg1"/>
                </a:solidFill>
              </a:ln>
              <a:effectLst/>
              <a:scene3d>
                <a:camera prst="orthographicFront"/>
                <a:lightRig rig="threePt" dir="t"/>
              </a:scene3d>
              <a:sp3d contourW="9525"/>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一般公共服务类支出</c:v>
                </c:pt>
                <c:pt idx="1">
                  <c:v>社会保障和就业类支出</c:v>
                </c:pt>
                <c:pt idx="2">
                  <c:v>卫生健康支出</c:v>
                </c:pt>
                <c:pt idx="3">
                  <c:v>住房保障类支出</c:v>
                </c:pt>
              </c:strCache>
            </c:strRef>
          </c:cat>
          <c:val>
            <c:numRef>
              <c:f>Sheet1!$B$2:$B$5</c:f>
              <c:numCache>
                <c:formatCode>General</c:formatCode>
                <c:ptCount val="4"/>
                <c:pt idx="0">
                  <c:v>1459.76</c:v>
                </c:pt>
                <c:pt idx="1">
                  <c:v>58.06</c:v>
                </c:pt>
                <c:pt idx="2">
                  <c:v>9.05</c:v>
                </c:pt>
                <c:pt idx="3">
                  <c:v>22.72</c:v>
                </c:pt>
              </c:numCache>
            </c:numRef>
          </c:val>
        </c:ser>
        <c:dLbls>
          <c:showLegendKey val="0"/>
          <c:showVal val="1"/>
          <c:showCatName val="0"/>
          <c:showSerName val="0"/>
          <c:showPercent val="0"/>
          <c:showBubbleSize val="0"/>
        </c:dLbls>
      </c:pie3DChart>
      <c:spPr>
        <a:noFill/>
        <a:ln>
          <a:noFill/>
        </a:ln>
        <a:effectLst/>
      </c:spPr>
    </c:plotArea>
    <c:legend>
      <c:legendPos val="t"/>
      <c:layout>
        <c:manualLayout>
          <c:xMode val="edge"/>
          <c:yMode val="edge"/>
          <c:x val="0.133766816702103"/>
          <c:y val="0.17333434566347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rPr lang="en-US" altLang="zh-CN"/>
              <a:t>2022</a:t>
            </a:r>
            <a:r>
              <a:rPr altLang="zh-CN"/>
              <a:t>年</a:t>
            </a:r>
            <a:r>
              <a:rPr lang="en-US" altLang="zh-CN"/>
              <a:t>“</a:t>
            </a:r>
            <a:r>
              <a:rPr altLang="en-US"/>
              <a:t>三公</a:t>
            </a:r>
            <a:r>
              <a:rPr lang="en-US" altLang="zh-CN"/>
              <a:t>”</a:t>
            </a:r>
            <a:r>
              <a:rPr altLang="en-US"/>
              <a:t>经费财政拨款支出</a:t>
            </a:r>
            <a:endParaRPr lang="en-US" altLang="zh-CN"/>
          </a:p>
        </c:rich>
      </c:tx>
      <c:layout/>
      <c:overlay val="1"/>
      <c:spPr>
        <a:noFill/>
        <a:ln>
          <a:noFill/>
        </a:ln>
        <a:effectLst/>
      </c:spPr>
    </c:title>
    <c:autoTitleDeleted val="0"/>
    <c:plotArea>
      <c:layout>
        <c:manualLayout>
          <c:layoutTarget val="inner"/>
          <c:xMode val="edge"/>
          <c:yMode val="edge"/>
          <c:x val="0.303194008214545"/>
          <c:y val="0.202647459606774"/>
          <c:w val="0.441410968833051"/>
          <c:h val="0.711310103173058"/>
        </c:manualLayout>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1"/>
              <c:layout>
                <c:manualLayout>
                  <c:x val="-0.0543609567528388"/>
                  <c:y val="-0.021997274673934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c:v>
                </c:pt>
              </c:strCache>
            </c:strRef>
          </c:cat>
          <c:val>
            <c:numRef>
              <c:f>Sheet1!$B$2:$B$4</c:f>
              <c:numCache>
                <c:formatCode>General</c:formatCode>
                <c:ptCount val="3"/>
                <c:pt idx="0">
                  <c:v>0</c:v>
                </c:pt>
                <c:pt idx="1">
                  <c:v>0</c:v>
                </c:pt>
                <c:pt idx="2">
                  <c:v>0.97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manualLayout>
          <c:xMode val="edge"/>
          <c:yMode val="edge"/>
          <c:x val="0.107599273906128"/>
          <c:y val="0.11907452877868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1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9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styleClr val="auto"/>
    </cs:lnRef>
    <cs:fillRef idx="1">
      <cs:styleClr val="auto"/>
    </cs:fillRef>
    <cs:effectRef idx="0"/>
    <cs:fontRef idx="minor">
      <a:schemeClr val="dk1"/>
    </cs:fontRef>
    <cs:spPr>
      <a:ln>
        <a:solidFill>
          <a:schemeClr val="bg1"/>
        </a:solidFill>
      </a:ln>
      <a:effectLst/>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6</TotalTime>
  <ScaleCrop>false</ScaleCrop>
  <LinksUpToDate>false</LinksUpToDate>
  <CharactersWithSpaces>8692</CharactersWithSpaces>
  <Application>WPS Office WWO_wpscloud_20231012195754-4d22959191</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2020-08-05T09:49:00Z</dcterms:created>
  <dc:creator>曹颖</dc:creator>
  <cp:lastModifiedBy>玖千余为春秋</cp:lastModifiedBy>
  <cp:lastPrinted>2023-07-31T10:35:00Z</cp:lastPrinted>
  <dcterms:modified xsi:type="dcterms:W3CDTF">2023-10-16T14:43:22Z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6B70361D626A4593B4A9C4A901EC4F63</vt:lpwstr>
  </property>
</Properties>
</file>