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hAnsi="宋体" w:eastAsia="方正小标宋简体"/>
          <w:color w:val="auto"/>
          <w:sz w:val="21"/>
          <w:szCs w:val="21"/>
          <w:highlight w:val="none"/>
        </w:rPr>
      </w:pPr>
      <w:bookmarkStart w:id="0" w:name="_Toc15306267"/>
    </w:p>
    <w:p>
      <w:pPr>
        <w:spacing w:line="600" w:lineRule="exact"/>
        <w:jc w:val="center"/>
        <w:outlineLvl w:val="9"/>
        <w:rPr>
          <w:rFonts w:ascii="方正小标宋简体" w:hAnsi="宋体" w:eastAsia="方正小标宋简体"/>
          <w:color w:val="auto"/>
          <w:sz w:val="72"/>
          <w:szCs w:val="72"/>
          <w:highlight w:val="none"/>
        </w:rPr>
      </w:pPr>
    </w:p>
    <w:p>
      <w:pPr>
        <w:spacing w:line="600" w:lineRule="exact"/>
        <w:jc w:val="center"/>
        <w:outlineLvl w:val="9"/>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 w:name="_Toc15377193"/>
      <w:bookmarkStart w:id="2" w:name="_Toc15396597"/>
      <w:bookmarkStart w:id="3" w:name="_Toc13969"/>
      <w:bookmarkStart w:id="4" w:name="_Toc15377425"/>
      <w:bookmarkStart w:id="5" w:name="_Toc31254"/>
      <w:bookmarkStart w:id="6" w:name="_Toc15378441"/>
      <w:bookmarkStart w:id="7" w:name="_Toc5464"/>
      <w:bookmarkStart w:id="8" w:name="_Toc15396475"/>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1"/>
      <w:bookmarkEnd w:id="2"/>
      <w:bookmarkEnd w:id="3"/>
      <w:bookmarkEnd w:id="4"/>
      <w:bookmarkEnd w:id="5"/>
      <w:bookmarkEnd w:id="6"/>
      <w:bookmarkEnd w:id="7"/>
      <w:bookmarkEnd w:id="8"/>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9" w:name="_Toc7656"/>
      <w:bookmarkStart w:id="10" w:name="_Toc15396476"/>
      <w:bookmarkStart w:id="11" w:name="_Toc15377194"/>
      <w:bookmarkStart w:id="12" w:name="_Toc6920"/>
      <w:bookmarkStart w:id="13" w:name="_Toc15378442"/>
      <w:bookmarkStart w:id="14" w:name="_Toc15396598"/>
      <w:bookmarkStart w:id="15" w:name="_Toc30430"/>
      <w:bookmarkStart w:id="16" w:name="_Toc15377426"/>
      <w:r>
        <w:rPr>
          <w:rFonts w:hint="eastAsia" w:ascii="方正小标宋简体" w:hAnsi="方正小标宋简体" w:eastAsia="方正小标宋简体" w:cs="方正小标宋简体"/>
          <w:color w:val="auto"/>
          <w:sz w:val="72"/>
          <w:szCs w:val="72"/>
          <w:highlight w:val="none"/>
          <w:lang w:eastAsia="zh-CN"/>
        </w:rPr>
        <w:t>广元市</w:t>
      </w:r>
      <w:bookmarkEnd w:id="0"/>
      <w:bookmarkStart w:id="17" w:name="_Toc15306268"/>
      <w:r>
        <w:rPr>
          <w:rFonts w:hint="eastAsia" w:ascii="方正小标宋简体" w:hAnsi="方正小标宋简体" w:eastAsia="方正小标宋简体" w:cs="方正小标宋简体"/>
          <w:color w:val="auto"/>
          <w:sz w:val="72"/>
          <w:szCs w:val="72"/>
          <w:highlight w:val="none"/>
          <w:lang w:eastAsia="zh-CN"/>
        </w:rPr>
        <w:t>社会保险事务中心单位</w:t>
      </w:r>
      <w:r>
        <w:rPr>
          <w:rFonts w:hint="eastAsia" w:ascii="方正小标宋简体" w:hAnsi="方正小标宋简体" w:eastAsia="方正小标宋简体" w:cs="方正小标宋简体"/>
          <w:color w:val="auto"/>
          <w:sz w:val="72"/>
          <w:szCs w:val="72"/>
          <w:highlight w:val="none"/>
        </w:rPr>
        <w:t>决算</w:t>
      </w:r>
      <w:bookmarkEnd w:id="9"/>
      <w:bookmarkEnd w:id="10"/>
      <w:bookmarkEnd w:id="11"/>
      <w:bookmarkEnd w:id="12"/>
      <w:bookmarkEnd w:id="13"/>
      <w:bookmarkEnd w:id="14"/>
      <w:bookmarkEnd w:id="15"/>
      <w:bookmarkEnd w:id="16"/>
      <w:bookmarkEnd w:id="17"/>
    </w:p>
    <w:p>
      <w:pPr>
        <w:widowControl/>
        <w:jc w:val="center"/>
        <w:rPr>
          <w:rFonts w:ascii="黑体" w:hAnsi="黑体" w:eastAsia="黑体" w:cstheme="minorBidi"/>
          <w:color w:val="auto"/>
          <w:sz w:val="28"/>
          <w:szCs w:val="2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pPr>
        <w:pStyle w:val="11"/>
        <w:rPr>
          <w:color w:val="auto"/>
          <w:highlight w:val="none"/>
        </w:rPr>
      </w:pP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 xml:space="preserve">10 </w:t>
      </w:r>
      <w:r>
        <w:rPr>
          <w:rFonts w:hint="eastAsia"/>
          <w:color w:val="auto"/>
          <w:highlight w:val="none"/>
        </w:rPr>
        <w:t>月</w:t>
      </w:r>
      <w:r>
        <w:rPr>
          <w:rFonts w:hint="eastAsia"/>
          <w:color w:val="auto"/>
          <w:highlight w:val="none"/>
          <w:lang w:val="en-US" w:eastAsia="zh-CN"/>
        </w:rPr>
        <w:t>16</w:t>
      </w:r>
      <w:r>
        <w:rPr>
          <w:rFonts w:hint="eastAsia"/>
          <w:color w:val="auto"/>
          <w:highlight w:val="none"/>
        </w:rPr>
        <w:t>日</w:t>
      </w:r>
    </w:p>
    <w:sdt>
      <w:sdtPr>
        <w:rPr>
          <w:rFonts w:ascii="宋体" w:hAnsi="宋体" w:eastAsia="宋体" w:cs="Times New Roman"/>
          <w:kern w:val="2"/>
          <w:sz w:val="21"/>
          <w:szCs w:val="24"/>
          <w:lang w:val="en-US" w:eastAsia="zh-CN" w:bidi="ar-SA"/>
        </w:rPr>
        <w:id w:val="147468113"/>
        <w15:color w:val="DBDBDB"/>
        <w:docPartObj>
          <w:docPartGallery w:val="Table of Contents"/>
          <w:docPartUnique/>
        </w:docPartObj>
      </w:sdtPr>
      <w:sdtEndPr>
        <w:rPr>
          <w:rFonts w:ascii="宋体" w:hAnsi="宋体" w:eastAsia="宋体" w:cs="Times New Roman"/>
          <w:b/>
          <w:kern w:val="2"/>
          <w:sz w:val="21"/>
          <w:szCs w:val="24"/>
          <w:lang w:val="en-US" w:eastAsia="zh-CN" w:bidi="ar-SA"/>
        </w:rPr>
      </w:sdtEndPr>
      <w:sdtContent>
        <w:p>
          <w:pPr>
            <w:spacing w:before="0" w:beforeLines="0" w:after="0" w:afterLines="0" w:line="240" w:lineRule="auto"/>
            <w:ind w:left="0" w:leftChars="0" w:right="0" w:rightChars="0" w:firstLine="0" w:firstLineChars="0"/>
            <w:jc w:val="center"/>
            <w:rPr>
              <w:rFonts w:ascii="Times New Roman" w:hAnsi="Times New Roman" w:eastAsia="宋体" w:cs="Times New Roman"/>
              <w:kern w:val="2"/>
              <w:sz w:val="21"/>
              <w:szCs w:val="24"/>
              <w:lang w:val="en-US" w:eastAsia="zh-CN" w:bidi="ar-SA"/>
            </w:rPr>
          </w:pPr>
          <w:bookmarkStart w:id="18" w:name="_Toc15377196"/>
          <w:bookmarkStart w:id="19" w:name="_Toc15396599"/>
          <w:r>
            <w:fldChar w:fldCharType="begin"/>
          </w:r>
          <w:r>
            <w:instrText xml:space="preserve">TOC \o "1-2" \h \u </w:instrText>
          </w:r>
          <w:r>
            <w:fldChar w:fldCharType="separate"/>
          </w:r>
        </w:p>
        <w:p>
          <w:pPr>
            <w:pStyle w:val="11"/>
            <w:tabs>
              <w:tab w:val="right" w:leader="dot" w:pos="8306"/>
              <w:tab w:val="clear" w:pos="8296"/>
            </w:tabs>
          </w:pPr>
          <w:r>
            <w:fldChar w:fldCharType="begin"/>
          </w:r>
          <w:r>
            <w:instrText xml:space="preserve"> HYPERLINK \l _Toc7406 </w:instrText>
          </w:r>
          <w:r>
            <w:fldChar w:fldCharType="separate"/>
          </w:r>
          <w:r>
            <w:rPr>
              <w:rFonts w:hint="eastAsia" w:ascii="黑体" w:hAnsi="黑体" w:eastAsia="黑体"/>
              <w:highlight w:val="none"/>
            </w:rPr>
            <w:t xml:space="preserve">第一部分 </w:t>
          </w:r>
          <w:r>
            <w:rPr>
              <w:rFonts w:hint="eastAsia" w:ascii="黑体" w:hAnsi="黑体" w:eastAsia="黑体"/>
              <w:highlight w:val="none"/>
              <w:lang w:eastAsia="zh-CN"/>
            </w:rPr>
            <w:t>单位</w:t>
          </w:r>
          <w:r>
            <w:rPr>
              <w:rFonts w:hint="eastAsia" w:ascii="黑体" w:hAnsi="黑体" w:eastAsia="黑体"/>
              <w:bCs w:val="0"/>
              <w:highlight w:val="none"/>
            </w:rPr>
            <w:t>概况</w:t>
          </w:r>
          <w:r>
            <w:tab/>
          </w:r>
          <w:r>
            <w:fldChar w:fldCharType="begin"/>
          </w:r>
          <w:r>
            <w:instrText xml:space="preserve"> PAGEREF _Toc7406 \h </w:instrText>
          </w:r>
          <w:r>
            <w:fldChar w:fldCharType="separate"/>
          </w:r>
          <w:r>
            <w:t>1</w:t>
          </w:r>
          <w:r>
            <w:fldChar w:fldCharType="end"/>
          </w:r>
          <w:r>
            <w:fldChar w:fldCharType="end"/>
          </w:r>
        </w:p>
        <w:p>
          <w:pPr>
            <w:pStyle w:val="12"/>
            <w:tabs>
              <w:tab w:val="right" w:leader="dot" w:pos="8306"/>
              <w:tab w:val="clear" w:pos="8296"/>
            </w:tabs>
          </w:pPr>
          <w:r>
            <w:fldChar w:fldCharType="begin"/>
          </w:r>
          <w:r>
            <w:instrText xml:space="preserve"> HYPERLINK \l _Toc30771 </w:instrText>
          </w:r>
          <w:r>
            <w:fldChar w:fldCharType="separate"/>
          </w:r>
          <w:r>
            <w:rPr>
              <w:rFonts w:hint="eastAsia" w:ascii="黑体" w:hAnsi="黑体" w:eastAsia="黑体"/>
              <w:bCs w:val="0"/>
              <w:highlight w:val="none"/>
              <w:lang w:eastAsia="zh-CN"/>
            </w:rPr>
            <w:t>一．主要职责</w:t>
          </w:r>
          <w:r>
            <w:tab/>
          </w:r>
          <w:r>
            <w:fldChar w:fldCharType="begin"/>
          </w:r>
          <w:r>
            <w:instrText xml:space="preserve"> PAGEREF _Toc30771 \h </w:instrText>
          </w:r>
          <w:r>
            <w:fldChar w:fldCharType="separate"/>
          </w:r>
          <w:r>
            <w:t>1</w:t>
          </w:r>
          <w:r>
            <w:fldChar w:fldCharType="end"/>
          </w:r>
          <w:r>
            <w:fldChar w:fldCharType="end"/>
          </w:r>
        </w:p>
        <w:p>
          <w:pPr>
            <w:pStyle w:val="12"/>
            <w:tabs>
              <w:tab w:val="right" w:leader="dot" w:pos="8306"/>
              <w:tab w:val="clear" w:pos="8296"/>
            </w:tabs>
          </w:pPr>
          <w:r>
            <w:fldChar w:fldCharType="begin"/>
          </w:r>
          <w:r>
            <w:instrText xml:space="preserve"> HYPERLINK \l _Toc22004 </w:instrText>
          </w:r>
          <w:r>
            <w:fldChar w:fldCharType="separate"/>
          </w:r>
          <w:r>
            <w:rPr>
              <w:rFonts w:hint="eastAsia" w:ascii="黑体" w:hAnsi="黑体" w:eastAsia="黑体"/>
              <w:highlight w:val="none"/>
              <w:lang w:val="en-US" w:eastAsia="zh-CN"/>
            </w:rPr>
            <w:t>二、机构设置</w:t>
          </w:r>
          <w:r>
            <w:tab/>
          </w:r>
          <w:r>
            <w:fldChar w:fldCharType="begin"/>
          </w:r>
          <w:r>
            <w:instrText xml:space="preserve"> PAGEREF _Toc22004 \h </w:instrText>
          </w:r>
          <w:r>
            <w:fldChar w:fldCharType="separate"/>
          </w:r>
          <w:r>
            <w:t>1</w:t>
          </w:r>
          <w:r>
            <w:fldChar w:fldCharType="end"/>
          </w:r>
          <w:r>
            <w:fldChar w:fldCharType="end"/>
          </w:r>
        </w:p>
        <w:p>
          <w:pPr>
            <w:pStyle w:val="11"/>
            <w:tabs>
              <w:tab w:val="right" w:leader="dot" w:pos="8306"/>
              <w:tab w:val="clear" w:pos="8296"/>
            </w:tabs>
          </w:pPr>
          <w:r>
            <w:fldChar w:fldCharType="begin"/>
          </w:r>
          <w:r>
            <w:instrText xml:space="preserve"> HYPERLINK \l _Toc9777 </w:instrText>
          </w:r>
          <w:r>
            <w:fldChar w:fldCharType="separate"/>
          </w:r>
          <w:r>
            <w:rPr>
              <w:rFonts w:hint="eastAsia" w:ascii="黑体" w:hAnsi="黑体" w:eastAsia="黑体"/>
              <w:bCs/>
              <w:highlight w:val="none"/>
            </w:rPr>
            <w:t xml:space="preserve">第二部分 </w:t>
          </w:r>
          <w:r>
            <w:rPr>
              <w:rFonts w:hint="eastAsia" w:ascii="黑体" w:hAnsi="黑体" w:eastAsia="黑体"/>
              <w:bCs/>
              <w:highlight w:val="none"/>
              <w:lang w:val="en-US" w:eastAsia="zh-CN"/>
            </w:rPr>
            <w:t>2022年度</w:t>
          </w:r>
          <w:r>
            <w:rPr>
              <w:rFonts w:hint="eastAsia" w:ascii="黑体" w:hAnsi="黑体" w:eastAsia="黑体"/>
              <w:bCs/>
              <w:highlight w:val="none"/>
              <w:lang w:eastAsia="zh-CN"/>
            </w:rPr>
            <w:t>单位</w:t>
          </w:r>
          <w:r>
            <w:rPr>
              <w:rFonts w:hint="eastAsia" w:ascii="黑体" w:hAnsi="黑体" w:eastAsia="黑体"/>
              <w:bCs/>
              <w:highlight w:val="none"/>
            </w:rPr>
            <w:t>决算情况说明</w:t>
          </w:r>
          <w:r>
            <w:tab/>
          </w:r>
          <w:r>
            <w:fldChar w:fldCharType="begin"/>
          </w:r>
          <w:r>
            <w:instrText xml:space="preserve"> PAGEREF _Toc9777 \h </w:instrText>
          </w:r>
          <w:r>
            <w:fldChar w:fldCharType="separate"/>
          </w:r>
          <w:r>
            <w:t>2</w:t>
          </w:r>
          <w:r>
            <w:fldChar w:fldCharType="end"/>
          </w:r>
          <w:r>
            <w:fldChar w:fldCharType="end"/>
          </w:r>
        </w:p>
        <w:p>
          <w:pPr>
            <w:pStyle w:val="12"/>
            <w:tabs>
              <w:tab w:val="right" w:leader="dot" w:pos="8306"/>
              <w:tab w:val="clear" w:pos="8296"/>
            </w:tabs>
          </w:pPr>
          <w:r>
            <w:fldChar w:fldCharType="begin"/>
          </w:r>
          <w:r>
            <w:instrText xml:space="preserve"> HYPERLINK \l _Toc4205 </w:instrText>
          </w:r>
          <w:r>
            <w:fldChar w:fldCharType="separate"/>
          </w:r>
          <w:r>
            <w:rPr>
              <w:rFonts w:hint="default" w:ascii="黑体" w:hAnsi="黑体" w:eastAsia="黑体"/>
            </w:rPr>
            <w:t xml:space="preserve">一、 </w:t>
          </w:r>
          <w:r>
            <w:rPr>
              <w:rFonts w:hint="eastAsia" w:ascii="黑体" w:hAnsi="黑体" w:eastAsia="黑体"/>
              <w:szCs w:val="32"/>
              <w:highlight w:val="none"/>
            </w:rPr>
            <w:t>收</w:t>
          </w:r>
          <w:r>
            <w:rPr>
              <w:rFonts w:hint="eastAsia" w:ascii="黑体" w:hAnsi="黑体" w:eastAsia="黑体"/>
              <w:highlight w:val="none"/>
            </w:rPr>
            <w:t>入支出决算总体情况说明</w:t>
          </w:r>
          <w:r>
            <w:tab/>
          </w:r>
          <w:r>
            <w:fldChar w:fldCharType="begin"/>
          </w:r>
          <w:r>
            <w:instrText xml:space="preserve"> PAGEREF _Toc4205 \h </w:instrText>
          </w:r>
          <w:r>
            <w:fldChar w:fldCharType="separate"/>
          </w:r>
          <w:r>
            <w:t>2</w:t>
          </w:r>
          <w:r>
            <w:fldChar w:fldCharType="end"/>
          </w:r>
          <w:r>
            <w:fldChar w:fldCharType="end"/>
          </w:r>
        </w:p>
        <w:p>
          <w:pPr>
            <w:pStyle w:val="12"/>
            <w:tabs>
              <w:tab w:val="right" w:leader="dot" w:pos="8306"/>
              <w:tab w:val="clear" w:pos="8296"/>
            </w:tabs>
          </w:pPr>
          <w:r>
            <w:fldChar w:fldCharType="begin"/>
          </w:r>
          <w:r>
            <w:instrText xml:space="preserve"> HYPERLINK \l _Toc14993 </w:instrText>
          </w:r>
          <w:r>
            <w:fldChar w:fldCharType="separate"/>
          </w:r>
          <w:r>
            <w:rPr>
              <w:rFonts w:hint="default" w:ascii="黑体" w:hAnsi="黑体" w:eastAsia="黑体"/>
            </w:rPr>
            <w:t xml:space="preserve">二、 </w:t>
          </w:r>
          <w:r>
            <w:rPr>
              <w:rFonts w:hint="eastAsia" w:ascii="黑体" w:hAnsi="黑体" w:eastAsia="黑体"/>
              <w:szCs w:val="32"/>
              <w:highlight w:val="none"/>
            </w:rPr>
            <w:t>收</w:t>
          </w:r>
          <w:r>
            <w:rPr>
              <w:rFonts w:hint="eastAsia" w:ascii="黑体" w:hAnsi="黑体" w:eastAsia="黑体"/>
              <w:highlight w:val="none"/>
            </w:rPr>
            <w:t>入决算情况说明</w:t>
          </w:r>
          <w:r>
            <w:tab/>
          </w:r>
          <w:r>
            <w:fldChar w:fldCharType="begin"/>
          </w:r>
          <w:r>
            <w:instrText xml:space="preserve"> PAGEREF _Toc14993 \h </w:instrText>
          </w:r>
          <w:r>
            <w:fldChar w:fldCharType="separate"/>
          </w:r>
          <w:r>
            <w:t>2</w:t>
          </w:r>
          <w:r>
            <w:fldChar w:fldCharType="end"/>
          </w:r>
          <w:r>
            <w:fldChar w:fldCharType="end"/>
          </w:r>
        </w:p>
        <w:p>
          <w:pPr>
            <w:pStyle w:val="12"/>
            <w:tabs>
              <w:tab w:val="right" w:leader="dot" w:pos="8306"/>
              <w:tab w:val="clear" w:pos="8296"/>
            </w:tabs>
          </w:pPr>
          <w:r>
            <w:fldChar w:fldCharType="begin"/>
          </w:r>
          <w:r>
            <w:instrText xml:space="preserve"> HYPERLINK \l _Toc21645 </w:instrText>
          </w:r>
          <w:r>
            <w:fldChar w:fldCharType="separate"/>
          </w:r>
          <w:r>
            <w:rPr>
              <w:rFonts w:hint="default" w:ascii="黑体" w:hAnsi="黑体" w:eastAsia="黑体"/>
            </w:rPr>
            <w:t xml:space="preserve">三、 </w:t>
          </w:r>
          <w:r>
            <w:rPr>
              <w:rFonts w:hint="eastAsia" w:ascii="黑体" w:hAnsi="黑体" w:eastAsia="黑体"/>
              <w:szCs w:val="32"/>
              <w:highlight w:val="none"/>
            </w:rPr>
            <w:t>支</w:t>
          </w:r>
          <w:r>
            <w:rPr>
              <w:rFonts w:hint="eastAsia" w:ascii="黑体" w:hAnsi="黑体" w:eastAsia="黑体"/>
              <w:highlight w:val="none"/>
            </w:rPr>
            <w:t>出决算情况说明</w:t>
          </w:r>
          <w:r>
            <w:tab/>
          </w:r>
          <w:r>
            <w:fldChar w:fldCharType="begin"/>
          </w:r>
          <w:r>
            <w:instrText xml:space="preserve"> PAGEREF _Toc21645 \h </w:instrText>
          </w:r>
          <w:r>
            <w:fldChar w:fldCharType="separate"/>
          </w:r>
          <w:r>
            <w:t>3</w:t>
          </w:r>
          <w:r>
            <w:fldChar w:fldCharType="end"/>
          </w:r>
          <w:r>
            <w:fldChar w:fldCharType="end"/>
          </w:r>
        </w:p>
        <w:p>
          <w:pPr>
            <w:pStyle w:val="12"/>
            <w:tabs>
              <w:tab w:val="right" w:leader="dot" w:pos="8306"/>
              <w:tab w:val="clear" w:pos="8296"/>
            </w:tabs>
          </w:pPr>
          <w:r>
            <w:fldChar w:fldCharType="begin"/>
          </w:r>
          <w:r>
            <w:instrText xml:space="preserve"> HYPERLINK \l _Toc1169 </w:instrText>
          </w:r>
          <w:r>
            <w:fldChar w:fldCharType="separate"/>
          </w:r>
          <w:r>
            <w:rPr>
              <w:rFonts w:hint="eastAsia" w:ascii="黑体" w:hAnsi="黑体" w:eastAsia="黑体"/>
              <w:szCs w:val="32"/>
              <w:highlight w:val="none"/>
            </w:rPr>
            <w:t>四、财</w:t>
          </w:r>
          <w:r>
            <w:rPr>
              <w:rFonts w:hint="eastAsia" w:ascii="黑体" w:hAnsi="黑体" w:eastAsia="黑体"/>
              <w:highlight w:val="none"/>
            </w:rPr>
            <w:t>政拨款收入支出决算总体情况说明</w:t>
          </w:r>
          <w:r>
            <w:tab/>
          </w:r>
          <w:r>
            <w:fldChar w:fldCharType="begin"/>
          </w:r>
          <w:r>
            <w:instrText xml:space="preserve"> PAGEREF _Toc1169 \h </w:instrText>
          </w:r>
          <w:r>
            <w:fldChar w:fldCharType="separate"/>
          </w:r>
          <w:r>
            <w:t>3</w:t>
          </w:r>
          <w:r>
            <w:fldChar w:fldCharType="end"/>
          </w:r>
          <w:r>
            <w:fldChar w:fldCharType="end"/>
          </w:r>
        </w:p>
        <w:p>
          <w:pPr>
            <w:pStyle w:val="12"/>
            <w:tabs>
              <w:tab w:val="right" w:leader="dot" w:pos="8306"/>
              <w:tab w:val="clear" w:pos="8296"/>
            </w:tabs>
          </w:pPr>
          <w:r>
            <w:fldChar w:fldCharType="begin"/>
          </w:r>
          <w:r>
            <w:instrText xml:space="preserve"> HYPERLINK \l _Toc25870 </w:instrText>
          </w:r>
          <w:r>
            <w:fldChar w:fldCharType="separate"/>
          </w:r>
          <w:r>
            <w:rPr>
              <w:rFonts w:hint="eastAsia" w:ascii="黑体" w:hAnsi="黑体" w:eastAsia="黑体"/>
              <w:szCs w:val="32"/>
              <w:highlight w:val="none"/>
            </w:rPr>
            <w:t>五、一</w:t>
          </w:r>
          <w:r>
            <w:rPr>
              <w:rFonts w:hint="eastAsia" w:ascii="黑体" w:hAnsi="黑体" w:eastAsia="黑体"/>
              <w:highlight w:val="none"/>
            </w:rPr>
            <w:t>般公共预算财政拨款支出决算情况说明</w:t>
          </w:r>
          <w:r>
            <w:tab/>
          </w:r>
          <w:r>
            <w:fldChar w:fldCharType="begin"/>
          </w:r>
          <w:r>
            <w:instrText xml:space="preserve"> PAGEREF _Toc25870 \h </w:instrText>
          </w:r>
          <w:r>
            <w:fldChar w:fldCharType="separate"/>
          </w:r>
          <w:r>
            <w:t>4</w:t>
          </w:r>
          <w:r>
            <w:fldChar w:fldCharType="end"/>
          </w:r>
          <w:r>
            <w:fldChar w:fldCharType="end"/>
          </w:r>
        </w:p>
        <w:p>
          <w:pPr>
            <w:pStyle w:val="12"/>
            <w:tabs>
              <w:tab w:val="right" w:leader="dot" w:pos="8306"/>
              <w:tab w:val="clear" w:pos="8296"/>
            </w:tabs>
          </w:pPr>
          <w:r>
            <w:fldChar w:fldCharType="begin"/>
          </w:r>
          <w:r>
            <w:instrText xml:space="preserve"> HYPERLINK \l _Toc29358 </w:instrText>
          </w:r>
          <w:r>
            <w:fldChar w:fldCharType="separate"/>
          </w:r>
          <w:r>
            <w:rPr>
              <w:rFonts w:hint="eastAsia" w:ascii="黑体" w:eastAsia="黑体"/>
              <w:szCs w:val="32"/>
              <w:highlight w:val="none"/>
            </w:rPr>
            <w:t>六、</w:t>
          </w:r>
          <w:r>
            <w:rPr>
              <w:rFonts w:hint="eastAsia" w:ascii="黑体" w:hAnsi="黑体" w:eastAsia="黑体"/>
              <w:szCs w:val="32"/>
              <w:highlight w:val="none"/>
            </w:rPr>
            <w:t>一</w:t>
          </w:r>
          <w:r>
            <w:rPr>
              <w:rFonts w:hint="eastAsia" w:ascii="黑体" w:hAnsi="黑体" w:eastAsia="黑体"/>
              <w:highlight w:val="none"/>
            </w:rPr>
            <w:t>般公共预算财政拨款基本支出决算情况说明</w:t>
          </w:r>
          <w:r>
            <w:tab/>
          </w:r>
          <w:r>
            <w:fldChar w:fldCharType="begin"/>
          </w:r>
          <w:r>
            <w:instrText xml:space="preserve"> PAGEREF _Toc29358 \h </w:instrText>
          </w:r>
          <w:r>
            <w:fldChar w:fldCharType="separate"/>
          </w:r>
          <w:r>
            <w:t>6</w:t>
          </w:r>
          <w:r>
            <w:fldChar w:fldCharType="end"/>
          </w:r>
          <w:r>
            <w:fldChar w:fldCharType="end"/>
          </w:r>
        </w:p>
        <w:p>
          <w:pPr>
            <w:pStyle w:val="12"/>
            <w:tabs>
              <w:tab w:val="right" w:leader="dot" w:pos="8306"/>
              <w:tab w:val="clear" w:pos="8296"/>
            </w:tabs>
          </w:pPr>
          <w:r>
            <w:fldChar w:fldCharType="begin"/>
          </w:r>
          <w:r>
            <w:instrText xml:space="preserve"> HYPERLINK \l _Toc31354 </w:instrText>
          </w:r>
          <w:r>
            <w:fldChar w:fldCharType="separate"/>
          </w:r>
          <w:r>
            <w:rPr>
              <w:rFonts w:hint="eastAsia" w:ascii="黑体" w:eastAsia="黑体"/>
              <w:szCs w:val="32"/>
              <w:highlight w:val="none"/>
            </w:rPr>
            <w:t>七、</w:t>
          </w:r>
          <w:r>
            <w:rPr>
              <w:rFonts w:hint="eastAsia" w:ascii="黑体" w:hAnsi="黑体" w:eastAsia="黑体"/>
              <w:highlight w:val="none"/>
            </w:rPr>
            <w:t>财政拨款“三公”经费支出决算情况说明</w:t>
          </w:r>
          <w:r>
            <w:tab/>
          </w:r>
          <w:r>
            <w:fldChar w:fldCharType="begin"/>
          </w:r>
          <w:r>
            <w:instrText xml:space="preserve"> PAGEREF _Toc31354 \h </w:instrText>
          </w:r>
          <w:r>
            <w:fldChar w:fldCharType="separate"/>
          </w:r>
          <w:r>
            <w:t>6</w:t>
          </w:r>
          <w:r>
            <w:fldChar w:fldCharType="end"/>
          </w:r>
          <w:r>
            <w:fldChar w:fldCharType="end"/>
          </w:r>
        </w:p>
        <w:p>
          <w:pPr>
            <w:pStyle w:val="12"/>
            <w:tabs>
              <w:tab w:val="right" w:leader="dot" w:pos="8306"/>
              <w:tab w:val="clear" w:pos="8296"/>
            </w:tabs>
          </w:pPr>
          <w:r>
            <w:fldChar w:fldCharType="begin"/>
          </w:r>
          <w:r>
            <w:instrText xml:space="preserve"> HYPERLINK \l _Toc22337 </w:instrText>
          </w:r>
          <w:r>
            <w:fldChar w:fldCharType="separate"/>
          </w:r>
          <w:r>
            <w:rPr>
              <w:rFonts w:hint="eastAsia" w:ascii="黑体" w:eastAsia="黑体"/>
              <w:szCs w:val="32"/>
              <w:highlight w:val="none"/>
            </w:rPr>
            <w:t>八、</w:t>
          </w:r>
          <w:r>
            <w:rPr>
              <w:rFonts w:hint="eastAsia" w:ascii="黑体" w:hAnsi="黑体" w:eastAsia="黑体"/>
              <w:highlight w:val="none"/>
            </w:rPr>
            <w:t>政府性基金预算支出决算情况说明</w:t>
          </w:r>
          <w:r>
            <w:tab/>
          </w:r>
          <w:r>
            <w:fldChar w:fldCharType="begin"/>
          </w:r>
          <w:r>
            <w:instrText xml:space="preserve"> PAGEREF _Toc22337 \h </w:instrText>
          </w:r>
          <w:r>
            <w:fldChar w:fldCharType="separate"/>
          </w:r>
          <w:r>
            <w:t>8</w:t>
          </w:r>
          <w:r>
            <w:fldChar w:fldCharType="end"/>
          </w:r>
          <w:r>
            <w:fldChar w:fldCharType="end"/>
          </w:r>
        </w:p>
        <w:p>
          <w:pPr>
            <w:pStyle w:val="12"/>
            <w:tabs>
              <w:tab w:val="right" w:leader="dot" w:pos="8306"/>
              <w:tab w:val="clear" w:pos="8296"/>
            </w:tabs>
          </w:pPr>
          <w:r>
            <w:fldChar w:fldCharType="begin"/>
          </w:r>
          <w:r>
            <w:instrText xml:space="preserve"> HYPERLINK \l _Toc4566 </w:instrText>
          </w:r>
          <w:r>
            <w:fldChar w:fldCharType="separate"/>
          </w:r>
          <w:r>
            <w:rPr>
              <w:rFonts w:hint="eastAsia" w:ascii="黑体" w:hAnsi="黑体" w:eastAsia="黑体"/>
            </w:rPr>
            <w:t xml:space="preserve">九、 </w:t>
          </w:r>
          <w:r>
            <w:rPr>
              <w:rFonts w:hint="eastAsia" w:ascii="黑体" w:hAnsi="黑体" w:eastAsia="黑体"/>
              <w:highlight w:val="none"/>
            </w:rPr>
            <w:t>国有资本经营预算支出决算情况说明</w:t>
          </w:r>
          <w:r>
            <w:tab/>
          </w:r>
          <w:r>
            <w:fldChar w:fldCharType="begin"/>
          </w:r>
          <w:r>
            <w:instrText xml:space="preserve"> PAGEREF _Toc4566 \h </w:instrText>
          </w:r>
          <w:r>
            <w:fldChar w:fldCharType="separate"/>
          </w:r>
          <w:r>
            <w:t>8</w:t>
          </w:r>
          <w:r>
            <w:fldChar w:fldCharType="end"/>
          </w:r>
          <w:r>
            <w:fldChar w:fldCharType="end"/>
          </w:r>
        </w:p>
        <w:p>
          <w:pPr>
            <w:pStyle w:val="12"/>
            <w:tabs>
              <w:tab w:val="right" w:leader="dot" w:pos="8306"/>
              <w:tab w:val="clear" w:pos="8296"/>
            </w:tabs>
          </w:pPr>
          <w:r>
            <w:fldChar w:fldCharType="begin"/>
          </w:r>
          <w:r>
            <w:instrText xml:space="preserve"> HYPERLINK \l _Toc9992 </w:instrText>
          </w:r>
          <w:r>
            <w:fldChar w:fldCharType="separate"/>
          </w:r>
          <w:r>
            <w:rPr>
              <w:rFonts w:hint="eastAsia" w:ascii="黑体" w:hAnsi="黑体" w:eastAsia="黑体"/>
            </w:rPr>
            <w:t xml:space="preserve">十、 </w:t>
          </w:r>
          <w:r>
            <w:rPr>
              <w:rFonts w:hint="eastAsia" w:ascii="黑体" w:hAnsi="黑体" w:eastAsia="黑体"/>
              <w:highlight w:val="none"/>
            </w:rPr>
            <w:t>其他重要事项的情况说明</w:t>
          </w:r>
          <w:r>
            <w:tab/>
          </w:r>
          <w:r>
            <w:fldChar w:fldCharType="begin"/>
          </w:r>
          <w:r>
            <w:instrText xml:space="preserve"> PAGEREF _Toc9992 \h </w:instrText>
          </w:r>
          <w:r>
            <w:fldChar w:fldCharType="separate"/>
          </w:r>
          <w:r>
            <w:t>8</w:t>
          </w:r>
          <w:r>
            <w:fldChar w:fldCharType="end"/>
          </w:r>
          <w:r>
            <w:fldChar w:fldCharType="end"/>
          </w:r>
        </w:p>
        <w:p>
          <w:pPr>
            <w:pStyle w:val="11"/>
            <w:tabs>
              <w:tab w:val="right" w:leader="dot" w:pos="8306"/>
              <w:tab w:val="clear" w:pos="8296"/>
            </w:tabs>
          </w:pPr>
          <w:r>
            <w:fldChar w:fldCharType="begin"/>
          </w:r>
          <w:r>
            <w:instrText xml:space="preserve"> HYPERLINK \l _Toc12686 </w:instrText>
          </w:r>
          <w:r>
            <w:fldChar w:fldCharType="separate"/>
          </w:r>
          <w:r>
            <w:rPr>
              <w:rFonts w:hint="eastAsia" w:ascii="黑体" w:hAnsi="黑体" w:eastAsia="黑体" w:cs="黑体"/>
              <w:szCs w:val="44"/>
            </w:rPr>
            <w:t xml:space="preserve">第三部分 </w:t>
          </w:r>
          <w:r>
            <w:rPr>
              <w:rFonts w:hint="eastAsia" w:ascii="黑体" w:hAnsi="黑体" w:eastAsia="黑体"/>
              <w:szCs w:val="44"/>
              <w:highlight w:val="none"/>
            </w:rPr>
            <w:t>名</w:t>
          </w:r>
          <w:r>
            <w:rPr>
              <w:rFonts w:hint="eastAsia" w:ascii="黑体" w:hAnsi="黑体" w:eastAsia="黑体"/>
              <w:highlight w:val="none"/>
            </w:rPr>
            <w:t>词解释</w:t>
          </w:r>
          <w:r>
            <w:tab/>
          </w:r>
          <w:r>
            <w:fldChar w:fldCharType="begin"/>
          </w:r>
          <w:r>
            <w:instrText xml:space="preserve"> PAGEREF _Toc12686 \h </w:instrText>
          </w:r>
          <w:r>
            <w:fldChar w:fldCharType="separate"/>
          </w:r>
          <w:r>
            <w:t>10</w:t>
          </w:r>
          <w:r>
            <w:fldChar w:fldCharType="end"/>
          </w:r>
          <w:r>
            <w:fldChar w:fldCharType="end"/>
          </w:r>
        </w:p>
        <w:p>
          <w:pPr>
            <w:pStyle w:val="11"/>
            <w:tabs>
              <w:tab w:val="right" w:leader="dot" w:pos="8306"/>
              <w:tab w:val="clear" w:pos="8296"/>
            </w:tabs>
          </w:pPr>
          <w:r>
            <w:fldChar w:fldCharType="begin"/>
          </w:r>
          <w:r>
            <w:instrText xml:space="preserve"> HYPERLINK \l _Toc10457 </w:instrText>
          </w:r>
          <w:r>
            <w:fldChar w:fldCharType="separate"/>
          </w:r>
          <w:r>
            <w:rPr>
              <w:rFonts w:hint="eastAsia" w:ascii="黑体" w:hAnsi="黑体" w:eastAsia="黑体"/>
              <w:szCs w:val="44"/>
              <w:highlight w:val="none"/>
            </w:rPr>
            <w:t>第</w:t>
          </w:r>
          <w:r>
            <w:rPr>
              <w:rFonts w:hint="eastAsia" w:ascii="黑体" w:hAnsi="黑体" w:eastAsia="黑体"/>
              <w:highlight w:val="none"/>
            </w:rPr>
            <w:t>四部分 附件</w:t>
          </w:r>
          <w:r>
            <w:tab/>
          </w:r>
          <w:r>
            <w:fldChar w:fldCharType="begin"/>
          </w:r>
          <w:r>
            <w:instrText xml:space="preserve"> PAGEREF _Toc10457 \h </w:instrText>
          </w:r>
          <w:r>
            <w:fldChar w:fldCharType="separate"/>
          </w:r>
          <w:r>
            <w:t>12</w:t>
          </w:r>
          <w:r>
            <w:fldChar w:fldCharType="end"/>
          </w:r>
          <w:r>
            <w:fldChar w:fldCharType="end"/>
          </w:r>
        </w:p>
        <w:p>
          <w:pPr>
            <w:pStyle w:val="12"/>
            <w:tabs>
              <w:tab w:val="right" w:leader="dot" w:pos="8306"/>
              <w:tab w:val="clear" w:pos="8296"/>
            </w:tabs>
          </w:pPr>
          <w:r>
            <w:fldChar w:fldCharType="begin"/>
          </w:r>
          <w:r>
            <w:instrText xml:space="preserve"> HYPERLINK \l _Toc24271 </w:instrText>
          </w:r>
          <w:r>
            <w:fldChar w:fldCharType="separate"/>
          </w:r>
          <w:r>
            <w:rPr>
              <w:rFonts w:hint="eastAsia" w:ascii="宋体" w:hAnsi="宋体" w:eastAsia="宋体" w:cs="宋体"/>
              <w:kern w:val="0"/>
              <w:szCs w:val="32"/>
              <w:highlight w:val="none"/>
              <w:lang w:val="en-US" w:eastAsia="zh-CN" w:bidi="ar-SA"/>
            </w:rPr>
            <w:t>部门预算项目支出绩效自评表（2022年度）</w:t>
          </w:r>
          <w:r>
            <w:tab/>
          </w:r>
          <w:r>
            <w:fldChar w:fldCharType="begin"/>
          </w:r>
          <w:r>
            <w:instrText xml:space="preserve"> PAGEREF _Toc24271 \h </w:instrText>
          </w:r>
          <w:r>
            <w:fldChar w:fldCharType="separate"/>
          </w:r>
          <w:r>
            <w:t>12</w:t>
          </w:r>
          <w:r>
            <w:fldChar w:fldCharType="end"/>
          </w:r>
          <w:r>
            <w:fldChar w:fldCharType="end"/>
          </w:r>
        </w:p>
        <w:p>
          <w:pPr>
            <w:pStyle w:val="11"/>
            <w:tabs>
              <w:tab w:val="right" w:leader="dot" w:pos="8306"/>
              <w:tab w:val="clear" w:pos="8296"/>
            </w:tabs>
          </w:pPr>
          <w:r>
            <w:fldChar w:fldCharType="begin"/>
          </w:r>
          <w:r>
            <w:instrText xml:space="preserve"> HYPERLINK \l _Toc2070 </w:instrText>
          </w:r>
          <w:r>
            <w:fldChar w:fldCharType="separate"/>
          </w:r>
          <w:r>
            <w:rPr>
              <w:rFonts w:hint="eastAsia" w:ascii="黑体" w:hAnsi="黑体" w:eastAsia="黑体"/>
              <w:szCs w:val="44"/>
              <w:highlight w:val="none"/>
            </w:rPr>
            <w:t>第</w:t>
          </w:r>
          <w:r>
            <w:rPr>
              <w:rFonts w:hint="eastAsia" w:ascii="黑体" w:hAnsi="黑体" w:eastAsia="黑体"/>
              <w:highlight w:val="none"/>
            </w:rPr>
            <w:t>五部分 附表</w:t>
          </w:r>
          <w:r>
            <w:tab/>
          </w:r>
          <w:r>
            <w:fldChar w:fldCharType="begin"/>
          </w:r>
          <w:r>
            <w:instrText xml:space="preserve"> PAGEREF _Toc2070 \h </w:instrText>
          </w:r>
          <w:r>
            <w:fldChar w:fldCharType="separate"/>
          </w:r>
          <w:r>
            <w:t>28</w:t>
          </w:r>
          <w:r>
            <w:fldChar w:fldCharType="end"/>
          </w:r>
          <w:r>
            <w:fldChar w:fldCharType="end"/>
          </w:r>
        </w:p>
        <w:p>
          <w:pPr>
            <w:pStyle w:val="12"/>
            <w:tabs>
              <w:tab w:val="right" w:leader="dot" w:pos="8306"/>
              <w:tab w:val="clear" w:pos="8296"/>
            </w:tabs>
          </w:pPr>
          <w:r>
            <w:fldChar w:fldCharType="begin"/>
          </w:r>
          <w:r>
            <w:instrText xml:space="preserve"> HYPERLINK \l _Toc3769 </w:instrText>
          </w:r>
          <w:r>
            <w:fldChar w:fldCharType="separate"/>
          </w:r>
          <w:r>
            <w:rPr>
              <w:rFonts w:hint="eastAsia" w:ascii="仿宋" w:hAnsi="仿宋" w:eastAsia="仿宋"/>
              <w:highlight w:val="none"/>
            </w:rPr>
            <w:t>一、收</w:t>
          </w:r>
          <w:r>
            <w:rPr>
              <w:rFonts w:hint="eastAsia" w:ascii="仿宋" w:hAnsi="仿宋" w:eastAsia="仿宋"/>
              <w:bCs w:val="0"/>
              <w:highlight w:val="none"/>
            </w:rPr>
            <w:t>入支出决算总表</w:t>
          </w:r>
          <w:r>
            <w:tab/>
          </w:r>
          <w:r>
            <w:fldChar w:fldCharType="begin"/>
          </w:r>
          <w:r>
            <w:instrText xml:space="preserve"> PAGEREF _Toc3769 \h </w:instrText>
          </w:r>
          <w:r>
            <w:fldChar w:fldCharType="separate"/>
          </w:r>
          <w:r>
            <w:t>28</w:t>
          </w:r>
          <w:r>
            <w:fldChar w:fldCharType="end"/>
          </w:r>
          <w:r>
            <w:fldChar w:fldCharType="end"/>
          </w:r>
        </w:p>
        <w:p>
          <w:pPr>
            <w:pStyle w:val="12"/>
            <w:tabs>
              <w:tab w:val="right" w:leader="dot" w:pos="8306"/>
              <w:tab w:val="clear" w:pos="8296"/>
            </w:tabs>
          </w:pPr>
          <w:r>
            <w:fldChar w:fldCharType="begin"/>
          </w:r>
          <w:r>
            <w:instrText xml:space="preserve"> HYPERLINK \l _Toc1946 </w:instrText>
          </w:r>
          <w:r>
            <w:fldChar w:fldCharType="separate"/>
          </w:r>
          <w:r>
            <w:rPr>
              <w:rFonts w:hint="eastAsia" w:ascii="仿宋" w:hAnsi="仿宋" w:eastAsia="仿宋"/>
              <w:highlight w:val="none"/>
            </w:rPr>
            <w:t>二、收</w:t>
          </w:r>
          <w:r>
            <w:rPr>
              <w:rFonts w:hint="eastAsia" w:ascii="仿宋" w:hAnsi="仿宋" w:eastAsia="仿宋"/>
              <w:bCs w:val="0"/>
              <w:highlight w:val="none"/>
            </w:rPr>
            <w:t>入决算表</w:t>
          </w:r>
          <w:r>
            <w:tab/>
          </w:r>
          <w:r>
            <w:fldChar w:fldCharType="begin"/>
          </w:r>
          <w:r>
            <w:instrText xml:space="preserve"> PAGEREF _Toc1946 \h </w:instrText>
          </w:r>
          <w:r>
            <w:fldChar w:fldCharType="separate"/>
          </w:r>
          <w:r>
            <w:t>28</w:t>
          </w:r>
          <w:r>
            <w:fldChar w:fldCharType="end"/>
          </w:r>
          <w:r>
            <w:fldChar w:fldCharType="end"/>
          </w:r>
        </w:p>
        <w:p>
          <w:pPr>
            <w:pStyle w:val="12"/>
            <w:tabs>
              <w:tab w:val="right" w:leader="dot" w:pos="8306"/>
              <w:tab w:val="clear" w:pos="8296"/>
            </w:tabs>
          </w:pPr>
          <w:r>
            <w:fldChar w:fldCharType="begin"/>
          </w:r>
          <w:r>
            <w:instrText xml:space="preserve"> HYPERLINK \l _Toc31241 </w:instrText>
          </w:r>
          <w:r>
            <w:fldChar w:fldCharType="separate"/>
          </w:r>
          <w:r>
            <w:rPr>
              <w:rFonts w:hint="eastAsia" w:ascii="仿宋" w:hAnsi="仿宋" w:eastAsia="仿宋"/>
              <w:bCs w:val="0"/>
              <w:highlight w:val="none"/>
            </w:rPr>
            <w:t>三、</w:t>
          </w:r>
          <w:r>
            <w:rPr>
              <w:rFonts w:hint="eastAsia" w:ascii="仿宋" w:hAnsi="仿宋" w:eastAsia="仿宋"/>
              <w:highlight w:val="none"/>
            </w:rPr>
            <w:t>支</w:t>
          </w:r>
          <w:r>
            <w:rPr>
              <w:rFonts w:hint="eastAsia" w:ascii="仿宋" w:hAnsi="仿宋" w:eastAsia="仿宋"/>
              <w:bCs w:val="0"/>
              <w:highlight w:val="none"/>
            </w:rPr>
            <w:t>出决算表</w:t>
          </w:r>
          <w:r>
            <w:tab/>
          </w:r>
          <w:r>
            <w:fldChar w:fldCharType="begin"/>
          </w:r>
          <w:r>
            <w:instrText xml:space="preserve"> PAGEREF _Toc31241 \h </w:instrText>
          </w:r>
          <w:r>
            <w:fldChar w:fldCharType="separate"/>
          </w:r>
          <w:r>
            <w:t>28</w:t>
          </w:r>
          <w:r>
            <w:fldChar w:fldCharType="end"/>
          </w:r>
          <w:r>
            <w:fldChar w:fldCharType="end"/>
          </w:r>
        </w:p>
        <w:p>
          <w:pPr>
            <w:pStyle w:val="12"/>
            <w:tabs>
              <w:tab w:val="right" w:leader="dot" w:pos="8306"/>
              <w:tab w:val="clear" w:pos="8296"/>
            </w:tabs>
          </w:pPr>
          <w:r>
            <w:fldChar w:fldCharType="begin"/>
          </w:r>
          <w:r>
            <w:instrText xml:space="preserve"> HYPERLINK \l _Toc16695 </w:instrText>
          </w:r>
          <w:r>
            <w:fldChar w:fldCharType="separate"/>
          </w:r>
          <w:r>
            <w:rPr>
              <w:rFonts w:hint="eastAsia" w:ascii="仿宋" w:hAnsi="仿宋" w:eastAsia="仿宋"/>
              <w:bCs w:val="0"/>
              <w:highlight w:val="none"/>
            </w:rPr>
            <w:t>四、</w:t>
          </w:r>
          <w:r>
            <w:rPr>
              <w:rFonts w:hint="eastAsia" w:ascii="仿宋" w:hAnsi="仿宋" w:eastAsia="仿宋"/>
              <w:highlight w:val="none"/>
            </w:rPr>
            <w:t>财</w:t>
          </w:r>
          <w:r>
            <w:rPr>
              <w:rFonts w:hint="eastAsia" w:ascii="仿宋" w:hAnsi="仿宋" w:eastAsia="仿宋"/>
              <w:bCs w:val="0"/>
              <w:highlight w:val="none"/>
            </w:rPr>
            <w:t>政拨款收入支出决算总表</w:t>
          </w:r>
          <w:r>
            <w:tab/>
          </w:r>
          <w:r>
            <w:fldChar w:fldCharType="begin"/>
          </w:r>
          <w:r>
            <w:instrText xml:space="preserve"> PAGEREF _Toc16695 \h </w:instrText>
          </w:r>
          <w:r>
            <w:fldChar w:fldCharType="separate"/>
          </w:r>
          <w:r>
            <w:t>28</w:t>
          </w:r>
          <w:r>
            <w:fldChar w:fldCharType="end"/>
          </w:r>
          <w:r>
            <w:fldChar w:fldCharType="end"/>
          </w:r>
        </w:p>
        <w:p>
          <w:pPr>
            <w:pStyle w:val="12"/>
            <w:tabs>
              <w:tab w:val="right" w:leader="dot" w:pos="8306"/>
              <w:tab w:val="clear" w:pos="8296"/>
            </w:tabs>
          </w:pPr>
          <w:r>
            <w:fldChar w:fldCharType="begin"/>
          </w:r>
          <w:r>
            <w:instrText xml:space="preserve"> HYPERLINK \l _Toc12076 </w:instrText>
          </w:r>
          <w:r>
            <w:fldChar w:fldCharType="separate"/>
          </w:r>
          <w:r>
            <w:rPr>
              <w:rFonts w:hint="eastAsia" w:ascii="仿宋" w:hAnsi="仿宋" w:eastAsia="仿宋"/>
              <w:bCs w:val="0"/>
              <w:highlight w:val="none"/>
            </w:rPr>
            <w:t>五、</w:t>
          </w:r>
          <w:r>
            <w:rPr>
              <w:rFonts w:hint="eastAsia" w:ascii="仿宋" w:hAnsi="仿宋" w:eastAsia="仿宋"/>
              <w:highlight w:val="none"/>
            </w:rPr>
            <w:t>财</w:t>
          </w:r>
          <w:r>
            <w:rPr>
              <w:rFonts w:hint="eastAsia" w:ascii="仿宋" w:hAnsi="仿宋" w:eastAsia="仿宋"/>
              <w:bCs w:val="0"/>
              <w:highlight w:val="none"/>
            </w:rPr>
            <w:t>政拨款支出决算明细表</w:t>
          </w:r>
          <w:r>
            <w:tab/>
          </w:r>
          <w:r>
            <w:fldChar w:fldCharType="begin"/>
          </w:r>
          <w:r>
            <w:instrText xml:space="preserve"> PAGEREF _Toc12076 \h </w:instrText>
          </w:r>
          <w:r>
            <w:fldChar w:fldCharType="separate"/>
          </w:r>
          <w:r>
            <w:t>28</w:t>
          </w:r>
          <w:r>
            <w:fldChar w:fldCharType="end"/>
          </w:r>
          <w:r>
            <w:fldChar w:fldCharType="end"/>
          </w:r>
        </w:p>
        <w:p>
          <w:pPr>
            <w:pStyle w:val="12"/>
            <w:tabs>
              <w:tab w:val="right" w:leader="dot" w:pos="8306"/>
              <w:tab w:val="clear" w:pos="8296"/>
            </w:tabs>
          </w:pPr>
          <w:r>
            <w:fldChar w:fldCharType="begin"/>
          </w:r>
          <w:r>
            <w:instrText xml:space="preserve"> HYPERLINK \l _Toc32255 </w:instrText>
          </w:r>
          <w:r>
            <w:fldChar w:fldCharType="separate"/>
          </w:r>
          <w:r>
            <w:rPr>
              <w:rFonts w:hint="eastAsia" w:ascii="仿宋" w:hAnsi="仿宋" w:eastAsia="仿宋"/>
              <w:bCs w:val="0"/>
              <w:highlight w:val="none"/>
            </w:rPr>
            <w:t>六、</w:t>
          </w:r>
          <w:r>
            <w:rPr>
              <w:rFonts w:hint="eastAsia" w:ascii="仿宋" w:hAnsi="仿宋" w:eastAsia="仿宋"/>
              <w:highlight w:val="none"/>
            </w:rPr>
            <w:t>一</w:t>
          </w:r>
          <w:r>
            <w:rPr>
              <w:rFonts w:hint="eastAsia" w:ascii="仿宋" w:hAnsi="仿宋" w:eastAsia="仿宋"/>
              <w:bCs w:val="0"/>
              <w:highlight w:val="none"/>
            </w:rPr>
            <w:t>般公共预算财政拨款支出决算表</w:t>
          </w:r>
          <w:r>
            <w:tab/>
          </w:r>
          <w:r>
            <w:fldChar w:fldCharType="begin"/>
          </w:r>
          <w:r>
            <w:instrText xml:space="preserve"> PAGEREF _Toc32255 \h </w:instrText>
          </w:r>
          <w:r>
            <w:fldChar w:fldCharType="separate"/>
          </w:r>
          <w:r>
            <w:t>28</w:t>
          </w:r>
          <w:r>
            <w:fldChar w:fldCharType="end"/>
          </w:r>
          <w:r>
            <w:fldChar w:fldCharType="end"/>
          </w:r>
        </w:p>
        <w:p>
          <w:pPr>
            <w:pStyle w:val="12"/>
            <w:tabs>
              <w:tab w:val="right" w:leader="dot" w:pos="8306"/>
              <w:tab w:val="clear" w:pos="8296"/>
            </w:tabs>
          </w:pPr>
          <w:r>
            <w:fldChar w:fldCharType="begin"/>
          </w:r>
          <w:r>
            <w:instrText xml:space="preserve"> HYPERLINK \l _Toc24031 </w:instrText>
          </w:r>
          <w:r>
            <w:fldChar w:fldCharType="separate"/>
          </w:r>
          <w:r>
            <w:rPr>
              <w:rFonts w:hint="eastAsia" w:ascii="仿宋" w:hAnsi="仿宋" w:eastAsia="仿宋"/>
              <w:bCs w:val="0"/>
              <w:highlight w:val="none"/>
            </w:rPr>
            <w:t>七、</w:t>
          </w:r>
          <w:r>
            <w:rPr>
              <w:rFonts w:hint="eastAsia" w:ascii="仿宋" w:hAnsi="仿宋" w:eastAsia="仿宋"/>
              <w:highlight w:val="none"/>
            </w:rPr>
            <w:t>一</w:t>
          </w:r>
          <w:r>
            <w:rPr>
              <w:rFonts w:hint="eastAsia" w:ascii="仿宋" w:hAnsi="仿宋" w:eastAsia="仿宋"/>
              <w:bCs w:val="0"/>
              <w:highlight w:val="none"/>
            </w:rPr>
            <w:t>般公共预算财政拨款支出决算明细表</w:t>
          </w:r>
          <w:r>
            <w:tab/>
          </w:r>
          <w:bookmarkStart w:id="104" w:name="_GoBack"/>
          <w:bookmarkEnd w:id="104"/>
          <w:r>
            <w:fldChar w:fldCharType="begin"/>
          </w:r>
          <w:r>
            <w:instrText xml:space="preserve"> PAGEREF _Toc24031 \h </w:instrText>
          </w:r>
          <w:r>
            <w:fldChar w:fldCharType="separate"/>
          </w:r>
          <w:r>
            <w:t>28</w:t>
          </w:r>
          <w:r>
            <w:fldChar w:fldCharType="end"/>
          </w:r>
          <w:r>
            <w:fldChar w:fldCharType="end"/>
          </w:r>
        </w:p>
        <w:p>
          <w:pPr>
            <w:pStyle w:val="12"/>
            <w:tabs>
              <w:tab w:val="right" w:leader="dot" w:pos="8306"/>
              <w:tab w:val="clear" w:pos="8296"/>
            </w:tabs>
          </w:pPr>
          <w:r>
            <w:fldChar w:fldCharType="begin"/>
          </w:r>
          <w:r>
            <w:instrText xml:space="preserve"> HYPERLINK \l _Toc21993 </w:instrText>
          </w:r>
          <w:r>
            <w:fldChar w:fldCharType="separate"/>
          </w:r>
          <w:r>
            <w:rPr>
              <w:rFonts w:hint="eastAsia" w:ascii="仿宋" w:hAnsi="仿宋" w:eastAsia="仿宋"/>
              <w:bCs w:val="0"/>
              <w:highlight w:val="none"/>
            </w:rPr>
            <w:t>八、</w:t>
          </w:r>
          <w:r>
            <w:rPr>
              <w:rFonts w:hint="eastAsia" w:ascii="仿宋" w:hAnsi="仿宋" w:eastAsia="仿宋"/>
              <w:highlight w:val="none"/>
            </w:rPr>
            <w:t>一</w:t>
          </w:r>
          <w:r>
            <w:rPr>
              <w:rFonts w:hint="eastAsia" w:ascii="仿宋" w:hAnsi="仿宋" w:eastAsia="仿宋"/>
              <w:bCs w:val="0"/>
              <w:highlight w:val="none"/>
            </w:rPr>
            <w:t>般公共预算财政拨款基本支出决算表</w:t>
          </w:r>
          <w:r>
            <w:tab/>
          </w:r>
          <w:r>
            <w:fldChar w:fldCharType="begin"/>
          </w:r>
          <w:r>
            <w:instrText xml:space="preserve"> PAGEREF _Toc21993 \h </w:instrText>
          </w:r>
          <w:r>
            <w:fldChar w:fldCharType="separate"/>
          </w:r>
          <w:r>
            <w:t>28</w:t>
          </w:r>
          <w:r>
            <w:fldChar w:fldCharType="end"/>
          </w:r>
          <w:r>
            <w:fldChar w:fldCharType="end"/>
          </w:r>
        </w:p>
        <w:p>
          <w:pPr>
            <w:pStyle w:val="12"/>
            <w:tabs>
              <w:tab w:val="right" w:leader="dot" w:pos="8306"/>
              <w:tab w:val="clear" w:pos="8296"/>
            </w:tabs>
          </w:pPr>
          <w:r>
            <w:fldChar w:fldCharType="begin"/>
          </w:r>
          <w:r>
            <w:instrText xml:space="preserve"> HYPERLINK \l _Toc28862 </w:instrText>
          </w:r>
          <w:r>
            <w:fldChar w:fldCharType="separate"/>
          </w:r>
          <w:r>
            <w:rPr>
              <w:rFonts w:hint="eastAsia" w:ascii="仿宋" w:hAnsi="仿宋" w:eastAsia="仿宋"/>
              <w:bCs w:val="0"/>
              <w:highlight w:val="none"/>
            </w:rPr>
            <w:t>九、</w:t>
          </w:r>
          <w:r>
            <w:rPr>
              <w:rFonts w:hint="eastAsia" w:ascii="仿宋" w:hAnsi="仿宋" w:eastAsia="仿宋"/>
              <w:highlight w:val="none"/>
            </w:rPr>
            <w:t>一</w:t>
          </w:r>
          <w:r>
            <w:rPr>
              <w:rFonts w:hint="eastAsia" w:ascii="仿宋" w:hAnsi="仿宋" w:eastAsia="仿宋"/>
              <w:bCs w:val="0"/>
              <w:highlight w:val="none"/>
            </w:rPr>
            <w:t>般公共预算财政拨款项目支出决算表</w:t>
          </w:r>
          <w:r>
            <w:tab/>
          </w:r>
          <w:r>
            <w:fldChar w:fldCharType="begin"/>
          </w:r>
          <w:r>
            <w:instrText xml:space="preserve"> PAGEREF _Toc28862 \h </w:instrText>
          </w:r>
          <w:r>
            <w:fldChar w:fldCharType="separate"/>
          </w:r>
          <w:r>
            <w:t>28</w:t>
          </w:r>
          <w:r>
            <w:fldChar w:fldCharType="end"/>
          </w:r>
          <w:r>
            <w:fldChar w:fldCharType="end"/>
          </w:r>
        </w:p>
        <w:p>
          <w:pPr>
            <w:pStyle w:val="12"/>
            <w:tabs>
              <w:tab w:val="right" w:leader="dot" w:pos="8306"/>
              <w:tab w:val="clear" w:pos="8296"/>
            </w:tabs>
          </w:pPr>
          <w:r>
            <w:fldChar w:fldCharType="begin"/>
          </w:r>
          <w:r>
            <w:instrText xml:space="preserve"> HYPERLINK \l _Toc31124 </w:instrText>
          </w:r>
          <w:r>
            <w:fldChar w:fldCharType="separate"/>
          </w:r>
          <w:r>
            <w:rPr>
              <w:rFonts w:hint="eastAsia" w:ascii="仿宋" w:hAnsi="仿宋" w:eastAsia="仿宋"/>
              <w:bCs w:val="0"/>
              <w:highlight w:val="none"/>
            </w:rPr>
            <w:t>十、</w:t>
          </w:r>
          <w:r>
            <w:rPr>
              <w:rFonts w:hint="eastAsia" w:ascii="仿宋" w:hAnsi="仿宋" w:eastAsia="仿宋"/>
              <w:highlight w:val="none"/>
            </w:rPr>
            <w:t>政</w:t>
          </w:r>
          <w:r>
            <w:rPr>
              <w:rFonts w:hint="eastAsia" w:ascii="仿宋" w:hAnsi="仿宋" w:eastAsia="仿宋"/>
              <w:bCs w:val="0"/>
              <w:highlight w:val="none"/>
            </w:rPr>
            <w:t>府性基金预算财政拨款收入支出决算表</w:t>
          </w:r>
          <w:r>
            <w:tab/>
          </w:r>
          <w:r>
            <w:fldChar w:fldCharType="begin"/>
          </w:r>
          <w:r>
            <w:instrText xml:space="preserve"> PAGEREF _Toc31124 \h </w:instrText>
          </w:r>
          <w:r>
            <w:fldChar w:fldCharType="separate"/>
          </w:r>
          <w:r>
            <w:t>28</w:t>
          </w:r>
          <w:r>
            <w:fldChar w:fldCharType="end"/>
          </w:r>
          <w:r>
            <w:fldChar w:fldCharType="end"/>
          </w:r>
        </w:p>
        <w:p>
          <w:pPr>
            <w:pStyle w:val="12"/>
            <w:tabs>
              <w:tab w:val="right" w:leader="dot" w:pos="8306"/>
              <w:tab w:val="clear" w:pos="8296"/>
            </w:tabs>
          </w:pPr>
          <w:r>
            <w:fldChar w:fldCharType="begin"/>
          </w:r>
          <w:r>
            <w:instrText xml:space="preserve"> HYPERLINK \l _Toc27771 </w:instrText>
          </w:r>
          <w:r>
            <w:fldChar w:fldCharType="separate"/>
          </w:r>
          <w:r>
            <w:rPr>
              <w:rFonts w:hint="eastAsia" w:ascii="仿宋" w:hAnsi="仿宋" w:eastAsia="仿宋"/>
              <w:bCs w:val="0"/>
              <w:highlight w:val="none"/>
            </w:rPr>
            <w:t>十一、</w:t>
          </w:r>
          <w:r>
            <w:rPr>
              <w:rFonts w:hint="eastAsia" w:ascii="仿宋" w:hAnsi="仿宋" w:eastAsia="仿宋"/>
              <w:highlight w:val="none"/>
            </w:rPr>
            <w:t>国</w:t>
          </w:r>
          <w:r>
            <w:rPr>
              <w:rFonts w:hint="eastAsia" w:ascii="仿宋" w:hAnsi="仿宋" w:eastAsia="仿宋"/>
              <w:bCs w:val="0"/>
              <w:highlight w:val="none"/>
            </w:rPr>
            <w:t>有资本经营预算</w:t>
          </w:r>
          <w:r>
            <w:rPr>
              <w:rFonts w:hint="eastAsia" w:ascii="仿宋" w:hAnsi="仿宋" w:eastAsia="仿宋"/>
              <w:bCs w:val="0"/>
              <w:highlight w:val="none"/>
              <w:lang w:eastAsia="zh-CN"/>
            </w:rPr>
            <w:t>财政拨款收入</w:t>
          </w:r>
          <w:r>
            <w:rPr>
              <w:rFonts w:hint="eastAsia" w:ascii="仿宋" w:hAnsi="仿宋" w:eastAsia="仿宋"/>
              <w:bCs w:val="0"/>
              <w:highlight w:val="none"/>
            </w:rPr>
            <w:t>支出决算表</w:t>
          </w:r>
          <w:r>
            <w:tab/>
          </w:r>
          <w:r>
            <w:fldChar w:fldCharType="begin"/>
          </w:r>
          <w:r>
            <w:instrText xml:space="preserve"> PAGEREF _Toc27771 \h </w:instrText>
          </w:r>
          <w:r>
            <w:fldChar w:fldCharType="separate"/>
          </w:r>
          <w:r>
            <w:t>28</w:t>
          </w:r>
          <w:r>
            <w:fldChar w:fldCharType="end"/>
          </w:r>
          <w:r>
            <w:fldChar w:fldCharType="end"/>
          </w:r>
        </w:p>
        <w:p>
          <w:pPr>
            <w:pStyle w:val="12"/>
            <w:tabs>
              <w:tab w:val="right" w:leader="dot" w:pos="8306"/>
              <w:tab w:val="clear" w:pos="8296"/>
            </w:tabs>
          </w:pPr>
          <w:r>
            <w:fldChar w:fldCharType="begin"/>
          </w:r>
          <w:r>
            <w:instrText xml:space="preserve"> HYPERLINK \l _Toc24379 </w:instrText>
          </w:r>
          <w:r>
            <w:fldChar w:fldCharType="separate"/>
          </w:r>
          <w:r>
            <w:rPr>
              <w:rFonts w:hint="eastAsia" w:ascii="仿宋" w:hAnsi="仿宋" w:eastAsia="仿宋"/>
              <w:bCs w:val="0"/>
              <w:highlight w:val="none"/>
            </w:rPr>
            <w:t>十二、</w:t>
          </w:r>
          <w:r>
            <w:rPr>
              <w:rFonts w:hint="eastAsia" w:ascii="仿宋" w:hAnsi="仿宋" w:eastAsia="仿宋"/>
              <w:bCs w:val="0"/>
              <w:highlight w:val="none"/>
              <w:lang w:eastAsia="zh-CN"/>
            </w:rPr>
            <w:t>国有资本经营预算财政拨款支出决算表</w:t>
          </w:r>
          <w:r>
            <w:tab/>
          </w:r>
          <w:r>
            <w:fldChar w:fldCharType="begin"/>
          </w:r>
          <w:r>
            <w:instrText xml:space="preserve"> PAGEREF _Toc24379 \h </w:instrText>
          </w:r>
          <w:r>
            <w:fldChar w:fldCharType="separate"/>
          </w:r>
          <w:r>
            <w:t>28</w:t>
          </w:r>
          <w:r>
            <w:fldChar w:fldCharType="end"/>
          </w:r>
          <w:r>
            <w:fldChar w:fldCharType="end"/>
          </w:r>
        </w:p>
        <w:p>
          <w:pPr>
            <w:pStyle w:val="12"/>
            <w:tabs>
              <w:tab w:val="right" w:leader="dot" w:pos="8306"/>
              <w:tab w:val="clear" w:pos="8296"/>
            </w:tabs>
          </w:pPr>
          <w:r>
            <w:fldChar w:fldCharType="begin"/>
          </w:r>
          <w:r>
            <w:instrText xml:space="preserve"> HYPERLINK \l _Toc2447 </w:instrText>
          </w:r>
          <w:r>
            <w:fldChar w:fldCharType="separate"/>
          </w:r>
          <w:r>
            <w:rPr>
              <w:rFonts w:hint="eastAsia" w:ascii="仿宋" w:hAnsi="仿宋" w:eastAsia="仿宋"/>
              <w:bCs w:val="0"/>
              <w:highlight w:val="none"/>
            </w:rPr>
            <w:t>十三、</w:t>
          </w:r>
          <w:r>
            <w:rPr>
              <w:rFonts w:hint="eastAsia" w:ascii="仿宋" w:hAnsi="仿宋" w:eastAsia="仿宋"/>
              <w:bCs w:val="0"/>
              <w:highlight w:val="none"/>
              <w:lang w:eastAsia="zh-CN"/>
            </w:rPr>
            <w:t>财政拨款“三公”经费支出决算表</w:t>
          </w:r>
          <w:r>
            <w:tab/>
          </w:r>
          <w:r>
            <w:fldChar w:fldCharType="begin"/>
          </w:r>
          <w:r>
            <w:instrText xml:space="preserve"> PAGEREF _Toc2447 \h </w:instrText>
          </w:r>
          <w:r>
            <w:fldChar w:fldCharType="separate"/>
          </w:r>
          <w:r>
            <w:t>28</w:t>
          </w:r>
          <w:r>
            <w:fldChar w:fldCharType="end"/>
          </w:r>
          <w:r>
            <w:fldChar w:fldCharType="end"/>
          </w:r>
        </w:p>
        <w:p>
          <w:pPr>
            <w:widowControl/>
            <w:spacing w:line="440" w:lineRule="exact"/>
            <w:jc w:val="left"/>
            <w:sectPr>
              <w:headerReference r:id="rId3" w:type="default"/>
              <w:pgSz w:w="11906" w:h="16838"/>
              <w:pgMar w:top="1440" w:right="1800" w:bottom="1440" w:left="1800" w:header="851" w:footer="992" w:gutter="0"/>
              <w:pgNumType w:start="1"/>
              <w:cols w:space="425" w:num="1"/>
              <w:titlePg/>
              <w:docGrid w:type="lines" w:linePitch="312" w:charSpace="0"/>
            </w:sectPr>
          </w:pPr>
        </w:p>
        <w:p>
          <w:pPr>
            <w:widowControl/>
            <w:spacing w:line="440" w:lineRule="exact"/>
            <w:jc w:val="left"/>
          </w:pPr>
          <w:r>
            <w:fldChar w:fldCharType="end"/>
          </w:r>
          <w:bookmarkStart w:id="20" w:name="_Toc7406"/>
        </w:p>
      </w:sdtContent>
    </w:sdt>
    <w:p>
      <w:pPr>
        <w:widowControl/>
        <w:numPr>
          <w:ilvl w:val="0"/>
          <w:numId w:val="1"/>
        </w:numPr>
        <w:spacing w:line="440" w:lineRule="exact"/>
        <w:jc w:val="center"/>
        <w:rPr>
          <w:rStyle w:val="17"/>
          <w:rFonts w:hint="eastAsia" w:ascii="黑体" w:hAnsi="黑体" w:eastAsia="黑体"/>
          <w:b w:val="0"/>
          <w:bCs w:val="0"/>
          <w:color w:val="auto"/>
          <w:highlight w:val="none"/>
        </w:rPr>
      </w:pPr>
      <w:r>
        <w:rPr>
          <w:rStyle w:val="17"/>
          <w:rFonts w:hint="eastAsia" w:ascii="黑体" w:hAnsi="黑体" w:eastAsia="黑体"/>
          <w:b w:val="0"/>
          <w:bCs w:val="0"/>
          <w:color w:val="auto"/>
          <w:highlight w:val="none"/>
          <w:lang w:eastAsia="zh-CN"/>
        </w:rPr>
        <w:t>单位</w:t>
      </w:r>
      <w:r>
        <w:rPr>
          <w:rStyle w:val="17"/>
          <w:rFonts w:hint="eastAsia" w:ascii="黑体" w:hAnsi="黑体" w:eastAsia="黑体"/>
          <w:b w:val="0"/>
          <w:bCs w:val="0"/>
          <w:color w:val="auto"/>
          <w:highlight w:val="none"/>
        </w:rPr>
        <w:t>概况</w:t>
      </w:r>
      <w:bookmarkEnd w:id="18"/>
      <w:bookmarkEnd w:id="19"/>
      <w:bookmarkEnd w:id="20"/>
    </w:p>
    <w:p>
      <w:pPr>
        <w:pStyle w:val="2"/>
        <w:numPr>
          <w:ilvl w:val="0"/>
          <w:numId w:val="0"/>
        </w:numPr>
        <w:rPr>
          <w:rFonts w:hint="eastAsia"/>
        </w:rPr>
      </w:pPr>
    </w:p>
    <w:p>
      <w:pPr>
        <w:pStyle w:val="4"/>
        <w:numPr>
          <w:ilvl w:val="0"/>
          <w:numId w:val="0"/>
        </w:numPr>
        <w:ind w:firstLine="640" w:firstLineChars="200"/>
        <w:rPr>
          <w:rStyle w:val="18"/>
          <w:rFonts w:hint="eastAsia" w:ascii="黑体" w:hAnsi="黑体" w:eastAsia="黑体"/>
          <w:b w:val="0"/>
          <w:bCs w:val="0"/>
          <w:color w:val="auto"/>
          <w:highlight w:val="none"/>
          <w:lang w:eastAsia="zh-CN"/>
        </w:rPr>
      </w:pPr>
      <w:bookmarkStart w:id="21" w:name="_Toc30771"/>
      <w:bookmarkStart w:id="22" w:name="_Toc15377197"/>
      <w:bookmarkStart w:id="23" w:name="_Toc15396600"/>
      <w:r>
        <w:rPr>
          <w:rStyle w:val="18"/>
          <w:rFonts w:hint="eastAsia" w:ascii="黑体" w:hAnsi="黑体" w:eastAsia="黑体"/>
          <w:b w:val="0"/>
          <w:bCs w:val="0"/>
          <w:color w:val="auto"/>
          <w:highlight w:val="none"/>
          <w:lang w:eastAsia="zh-CN"/>
        </w:rPr>
        <w:t>一．主要职责</w:t>
      </w:r>
      <w:bookmarkEnd w:id="21"/>
    </w:p>
    <w:p>
      <w:pPr>
        <w:widowControl/>
        <w:ind w:firstLine="640" w:firstLineChars="200"/>
        <w:jc w:val="left"/>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贯彻执行养老、失业、工伤保险工作相关法律、法规、规章和政策；负责全市企业职工养老保险、机关事业单位养老保险、城乡居民养老保险、工伤保险的参保登记、扩面征缴、稽核、关系转移接续、权益记录、待遇发放及调整、综合指导和管理工作;；负责全市失业保险的参保登记、社会保险费征收及征缴稽核工作；承担市本级企业职工基本养老保险、机关事业单位养老保险、失业保险、工伤保险的相关经办工作，承担职业年金经办工作；负责全市社会保险基金管理和预、决算工作；指导县（区）依法开展社会保险经办服务工作；完成市人力资源社会保障局交办的其他任务。</w:t>
      </w:r>
    </w:p>
    <w:p>
      <w:pPr>
        <w:pStyle w:val="4"/>
        <w:numPr>
          <w:ilvl w:val="0"/>
          <w:numId w:val="0"/>
        </w:numPr>
        <w:ind w:firstLine="640" w:firstLineChars="200"/>
        <w:rPr>
          <w:rFonts w:hint="eastAsia" w:ascii="黑体" w:hAnsi="黑体" w:eastAsia="黑体"/>
          <w:b w:val="0"/>
          <w:color w:val="auto"/>
          <w:highlight w:val="none"/>
          <w:lang w:val="en-US" w:eastAsia="zh-CN"/>
        </w:rPr>
      </w:pPr>
      <w:bookmarkStart w:id="24" w:name="_Toc22004"/>
      <w:r>
        <w:rPr>
          <w:rFonts w:hint="eastAsia" w:ascii="黑体" w:hAnsi="黑体" w:eastAsia="黑体"/>
          <w:b w:val="0"/>
          <w:color w:val="auto"/>
          <w:highlight w:val="none"/>
          <w:lang w:val="en-US" w:eastAsia="zh-CN"/>
        </w:rPr>
        <w:t>二、机构设置</w:t>
      </w:r>
      <w:bookmarkEnd w:id="24"/>
    </w:p>
    <w:bookmarkEnd w:id="22"/>
    <w:bookmarkEnd w:id="23"/>
    <w:p>
      <w:pPr>
        <w:widowControl/>
        <w:ind w:firstLine="640" w:firstLineChars="200"/>
        <w:jc w:val="left"/>
        <w:rPr>
          <w:rFonts w:ascii="仿宋" w:hAnsi="仿宋" w:eastAsia="仿宋"/>
          <w:color w:val="auto"/>
          <w:kern w:val="0"/>
          <w:sz w:val="32"/>
          <w:szCs w:val="32"/>
          <w:highlight w:val="none"/>
        </w:rPr>
      </w:pPr>
      <w:r>
        <w:rPr>
          <w:rFonts w:hint="eastAsia" w:ascii="仿宋_GB2312" w:hAnsi="仿宋_GB2312" w:eastAsia="仿宋_GB2312" w:cs="仿宋_GB2312"/>
          <w:b w:val="0"/>
          <w:bCs w:val="0"/>
          <w:color w:val="auto"/>
          <w:kern w:val="2"/>
          <w:sz w:val="32"/>
          <w:szCs w:val="32"/>
          <w:lang w:val="en-US" w:eastAsia="zh-CN" w:bidi="ar-SA"/>
        </w:rPr>
        <w:t>广元市社会保险事务中心是广元市人力资源社会保障局下属参照公务员管理的公益一类事业单位。</w:t>
      </w:r>
      <w:r>
        <w:rPr>
          <w:rFonts w:ascii="仿宋" w:hAnsi="仿宋" w:eastAsia="仿宋"/>
          <w:color w:val="auto"/>
          <w:sz w:val="32"/>
          <w:szCs w:val="32"/>
          <w:highlight w:val="none"/>
        </w:rPr>
        <w:br w:type="page"/>
      </w:r>
    </w:p>
    <w:p>
      <w:pPr>
        <w:pStyle w:val="3"/>
        <w:ind w:right="440"/>
        <w:jc w:val="center"/>
        <w:rPr>
          <w:rStyle w:val="17"/>
          <w:rFonts w:ascii="黑体" w:hAnsi="黑体" w:eastAsia="黑体"/>
          <w:b w:val="0"/>
          <w:bCs/>
          <w:color w:val="auto"/>
          <w:highlight w:val="none"/>
        </w:rPr>
      </w:pPr>
      <w:bookmarkStart w:id="25" w:name="_Toc15396602"/>
      <w:bookmarkStart w:id="26" w:name="_Toc15377204"/>
      <w:bookmarkStart w:id="27" w:name="_Toc9777"/>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2022年度</w:t>
      </w:r>
      <w:r>
        <w:rPr>
          <w:rStyle w:val="17"/>
          <w:rFonts w:hint="eastAsia" w:ascii="黑体" w:hAnsi="黑体" w:eastAsia="黑体"/>
          <w:b w:val="0"/>
          <w:bCs/>
          <w:color w:val="auto"/>
          <w:highlight w:val="none"/>
          <w:lang w:eastAsia="zh-CN"/>
        </w:rPr>
        <w:t>单位</w:t>
      </w:r>
      <w:r>
        <w:rPr>
          <w:rStyle w:val="17"/>
          <w:rFonts w:hint="eastAsia" w:ascii="黑体" w:hAnsi="黑体" w:eastAsia="黑体"/>
          <w:b w:val="0"/>
          <w:bCs/>
          <w:color w:val="auto"/>
          <w:highlight w:val="none"/>
        </w:rPr>
        <w:t>决算情况说明</w:t>
      </w:r>
      <w:bookmarkEnd w:id="25"/>
      <w:bookmarkEnd w:id="26"/>
      <w:bookmarkEnd w:id="27"/>
    </w:p>
    <w:p>
      <w:pPr>
        <w:rPr>
          <w:color w:val="auto"/>
          <w:highlight w:val="none"/>
        </w:rPr>
      </w:pPr>
    </w:p>
    <w:p>
      <w:pPr>
        <w:pStyle w:val="27"/>
        <w:numPr>
          <w:ilvl w:val="0"/>
          <w:numId w:val="2"/>
        </w:numPr>
        <w:spacing w:line="600" w:lineRule="exact"/>
        <w:ind w:firstLineChars="0"/>
        <w:outlineLvl w:val="1"/>
        <w:rPr>
          <w:rStyle w:val="18"/>
          <w:rFonts w:ascii="黑体" w:hAnsi="黑体" w:eastAsia="黑体"/>
          <w:b w:val="0"/>
          <w:color w:val="auto"/>
          <w:highlight w:val="none"/>
        </w:rPr>
      </w:pPr>
      <w:bookmarkStart w:id="28" w:name="_Toc15396603"/>
      <w:bookmarkStart w:id="29" w:name="_Toc4205"/>
      <w:bookmarkStart w:id="30" w:name="_Toc15377205"/>
      <w:r>
        <w:rPr>
          <w:rFonts w:hint="eastAsia" w:ascii="黑体" w:hAnsi="黑体" w:eastAsia="黑体"/>
          <w:color w:val="auto"/>
          <w:sz w:val="32"/>
          <w:szCs w:val="32"/>
          <w:highlight w:val="none"/>
        </w:rPr>
        <w:t>收</w:t>
      </w:r>
      <w:r>
        <w:rPr>
          <w:rStyle w:val="18"/>
          <w:rFonts w:hint="eastAsia" w:ascii="黑体" w:hAnsi="黑体" w:eastAsia="黑体"/>
          <w:b w:val="0"/>
          <w:color w:val="auto"/>
          <w:highlight w:val="none"/>
        </w:rPr>
        <w:t>入支出决算总体情况说明</w:t>
      </w:r>
      <w:bookmarkEnd w:id="28"/>
      <w:bookmarkEnd w:id="29"/>
      <w:bookmarkEnd w:id="30"/>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年度收、支总计</w:t>
      </w:r>
      <w:r>
        <w:rPr>
          <w:rFonts w:hint="eastAsia" w:ascii="仿宋" w:hAnsi="仿宋" w:eastAsia="仿宋"/>
          <w:color w:val="auto"/>
          <w:sz w:val="32"/>
          <w:szCs w:val="32"/>
          <w:highlight w:val="none"/>
          <w:lang w:val="en-US" w:eastAsia="zh-CN"/>
        </w:rPr>
        <w:t>2191.23</w:t>
      </w:r>
      <w:r>
        <w:rPr>
          <w:rFonts w:hint="eastAsia" w:ascii="仿宋" w:hAnsi="仿宋" w:eastAsia="仿宋"/>
          <w:color w:val="auto"/>
          <w:sz w:val="32"/>
          <w:szCs w:val="32"/>
          <w:highlight w:val="none"/>
        </w:rPr>
        <w:t>万元。与20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年相比，收、支总计各减少</w:t>
      </w:r>
      <w:r>
        <w:rPr>
          <w:rFonts w:hint="eastAsia" w:ascii="仿宋" w:hAnsi="仿宋" w:eastAsia="仿宋"/>
          <w:color w:val="auto"/>
          <w:sz w:val="32"/>
          <w:szCs w:val="32"/>
          <w:highlight w:val="none"/>
          <w:lang w:val="en-US" w:eastAsia="zh-CN"/>
        </w:rPr>
        <w:t>1390.35</w:t>
      </w:r>
      <w:r>
        <w:rPr>
          <w:rFonts w:hint="eastAsia" w:ascii="仿宋" w:hAnsi="仿宋" w:eastAsia="仿宋"/>
          <w:color w:val="auto"/>
          <w:sz w:val="32"/>
          <w:szCs w:val="32"/>
          <w:highlight w:val="none"/>
        </w:rPr>
        <w:t>万元，下降</w:t>
      </w:r>
      <w:r>
        <w:rPr>
          <w:rFonts w:hint="eastAsia" w:ascii="仿宋" w:hAnsi="仿宋" w:eastAsia="仿宋"/>
          <w:color w:val="auto"/>
          <w:sz w:val="32"/>
          <w:szCs w:val="32"/>
          <w:highlight w:val="none"/>
          <w:lang w:val="en-US" w:eastAsia="zh-CN"/>
        </w:rPr>
        <w:t>38.82</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w:t>
      </w:r>
      <w:r>
        <w:rPr>
          <w:rFonts w:hint="eastAsia" w:ascii="仿宋" w:hAnsi="仿宋" w:eastAsia="仿宋"/>
          <w:color w:val="auto"/>
          <w:sz w:val="32"/>
          <w:szCs w:val="32"/>
          <w:highlight w:val="none"/>
          <w:lang w:eastAsia="zh-CN"/>
        </w:rPr>
        <w:t>：一</w:t>
      </w:r>
      <w:r>
        <w:rPr>
          <w:rFonts w:hint="eastAsia" w:ascii="仿宋" w:hAnsi="仿宋" w:eastAsia="仿宋"/>
          <w:color w:val="auto"/>
          <w:sz w:val="32"/>
          <w:szCs w:val="32"/>
          <w:highlight w:val="none"/>
        </w:rPr>
        <w:t>是</w:t>
      </w:r>
      <w:r>
        <w:rPr>
          <w:rFonts w:hint="eastAsia" w:ascii="仿宋" w:hAnsi="仿宋" w:eastAsia="仿宋"/>
          <w:color w:val="auto"/>
          <w:sz w:val="32"/>
          <w:szCs w:val="32"/>
          <w:highlight w:val="none"/>
          <w:lang w:val="en-US" w:eastAsia="zh-CN"/>
        </w:rPr>
        <w:t>2021年新增职业年金贴息指标1218.26万元；二是2022年在职人员较上年减少5人，人员经费和公用经费相对应较少</w:t>
      </w:r>
      <w:r>
        <w:rPr>
          <w:rFonts w:hint="eastAsia" w:ascii="仿宋" w:hAnsi="仿宋" w:eastAsia="仿宋"/>
          <w:color w:val="auto"/>
          <w:sz w:val="32"/>
          <w:szCs w:val="32"/>
          <w:highlight w:val="none"/>
          <w:lang w:eastAsia="zh-CN"/>
        </w:rPr>
        <w:t>。</w:t>
      </w:r>
    </w:p>
    <w:p>
      <w:pPr>
        <w:spacing w:line="600" w:lineRule="exact"/>
        <w:ind w:firstLine="640" w:firstLineChars="200"/>
        <w:jc w:val="center"/>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drawing>
          <wp:anchor distT="0" distB="0" distL="114300" distR="114300" simplePos="0" relativeHeight="251660288" behindDoc="0" locked="0" layoutInCell="1" allowOverlap="1">
            <wp:simplePos x="0" y="0"/>
            <wp:positionH relativeFrom="column">
              <wp:posOffset>299720</wp:posOffset>
            </wp:positionH>
            <wp:positionV relativeFrom="paragraph">
              <wp:posOffset>165735</wp:posOffset>
            </wp:positionV>
            <wp:extent cx="4781550" cy="2940050"/>
            <wp:effectExtent l="4445" t="4445" r="14605" b="8255"/>
            <wp:wrapSquare wrapText="bothSides"/>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w:t>
      </w:r>
    </w:p>
    <w:p>
      <w:pPr>
        <w:pStyle w:val="27"/>
        <w:numPr>
          <w:ilvl w:val="0"/>
          <w:numId w:val="2"/>
        </w:numPr>
        <w:spacing w:line="600" w:lineRule="exact"/>
        <w:ind w:firstLineChars="0"/>
        <w:outlineLvl w:val="1"/>
        <w:rPr>
          <w:rStyle w:val="18"/>
          <w:rFonts w:ascii="黑体" w:hAnsi="黑体" w:eastAsia="黑体"/>
          <w:b w:val="0"/>
          <w:color w:val="auto"/>
          <w:highlight w:val="none"/>
        </w:rPr>
      </w:pPr>
      <w:bookmarkStart w:id="31" w:name="_Toc14993"/>
      <w:bookmarkStart w:id="32" w:name="_Toc15396604"/>
      <w:bookmarkStart w:id="33" w:name="_Toc15377206"/>
      <w:r>
        <w:rPr>
          <w:rFonts w:hint="eastAsia" w:ascii="黑体" w:hAnsi="黑体" w:eastAsia="黑体"/>
          <w:color w:val="auto"/>
          <w:sz w:val="32"/>
          <w:szCs w:val="32"/>
          <w:highlight w:val="none"/>
        </w:rPr>
        <w:t>收</w:t>
      </w:r>
      <w:r>
        <w:rPr>
          <w:rStyle w:val="18"/>
          <w:rFonts w:hint="eastAsia" w:ascii="黑体" w:hAnsi="黑体" w:eastAsia="黑体"/>
          <w:b w:val="0"/>
          <w:color w:val="auto"/>
          <w:highlight w:val="none"/>
        </w:rPr>
        <w:t>入决算情况说明</w:t>
      </w:r>
      <w:bookmarkEnd w:id="31"/>
      <w:bookmarkEnd w:id="32"/>
      <w:bookmarkEnd w:id="33"/>
    </w:p>
    <w:p>
      <w:pPr>
        <w:spacing w:line="600" w:lineRule="exact"/>
        <w:ind w:firstLine="640" w:firstLineChars="200"/>
        <w:rPr>
          <w:rFonts w:hint="eastAsia" w:ascii="仿宋" w:hAnsi="仿宋" w:eastAsia="仿宋" w:cs="Times New Roman"/>
          <w:color w:val="auto"/>
          <w:sz w:val="32"/>
          <w:szCs w:val="32"/>
          <w:highlight w:val="none"/>
        </w:rPr>
      </w:pPr>
      <w:r>
        <w:rPr>
          <w:rFonts w:hint="eastAsia" w:ascii="仿宋" w:hAnsi="仿宋" w:eastAsia="仿宋" w:cs="Times New Roman"/>
          <w:color w:val="auto"/>
          <w:sz w:val="32"/>
          <w:szCs w:val="32"/>
          <w:highlight w:val="none"/>
        </w:rPr>
        <w:t>20</w:t>
      </w:r>
      <w:r>
        <w:rPr>
          <w:rFonts w:hint="eastAsia" w:ascii="仿宋" w:hAnsi="仿宋" w:eastAsia="仿宋" w:cs="Times New Roman"/>
          <w:color w:val="auto"/>
          <w:sz w:val="32"/>
          <w:szCs w:val="32"/>
          <w:highlight w:val="none"/>
          <w:lang w:val="en-US" w:eastAsia="zh-CN"/>
        </w:rPr>
        <w:t>22</w:t>
      </w:r>
      <w:r>
        <w:rPr>
          <w:rFonts w:hint="eastAsia" w:ascii="仿宋" w:hAnsi="仿宋" w:eastAsia="仿宋" w:cs="Times New Roman"/>
          <w:color w:val="auto"/>
          <w:sz w:val="32"/>
          <w:szCs w:val="32"/>
          <w:highlight w:val="none"/>
        </w:rPr>
        <w:t>年本年收入合计</w:t>
      </w:r>
      <w:r>
        <w:rPr>
          <w:rFonts w:hint="eastAsia" w:ascii="仿宋" w:hAnsi="仿宋" w:eastAsia="仿宋" w:cs="Times New Roman"/>
          <w:color w:val="auto"/>
          <w:sz w:val="32"/>
          <w:szCs w:val="32"/>
          <w:highlight w:val="none"/>
          <w:lang w:val="en-US" w:eastAsia="zh-CN"/>
        </w:rPr>
        <w:t>2166.77</w:t>
      </w:r>
      <w:r>
        <w:rPr>
          <w:rFonts w:hint="eastAsia" w:ascii="仿宋" w:hAnsi="仿宋" w:eastAsia="仿宋" w:cs="Times New Roman"/>
          <w:color w:val="auto"/>
          <w:sz w:val="32"/>
          <w:szCs w:val="32"/>
          <w:highlight w:val="none"/>
        </w:rPr>
        <w:t>万元，其中：一般公共预算财政拨款收入</w:t>
      </w:r>
      <w:r>
        <w:rPr>
          <w:rFonts w:hint="eastAsia" w:ascii="仿宋" w:hAnsi="仿宋" w:eastAsia="仿宋" w:cs="Times New Roman"/>
          <w:color w:val="auto"/>
          <w:sz w:val="32"/>
          <w:szCs w:val="32"/>
          <w:highlight w:val="none"/>
          <w:lang w:val="en-US" w:eastAsia="zh-CN"/>
        </w:rPr>
        <w:t>2166.77</w:t>
      </w:r>
      <w:r>
        <w:rPr>
          <w:rFonts w:hint="eastAsia" w:ascii="仿宋" w:hAnsi="仿宋" w:eastAsia="仿宋" w:cs="Times New Roman"/>
          <w:color w:val="auto"/>
          <w:sz w:val="32"/>
          <w:szCs w:val="32"/>
          <w:highlight w:val="none"/>
        </w:rPr>
        <w:t>万元，占</w:t>
      </w:r>
      <w:r>
        <w:rPr>
          <w:rFonts w:hint="eastAsia" w:ascii="仿宋" w:hAnsi="仿宋" w:eastAsia="仿宋" w:cs="Times New Roman"/>
          <w:color w:val="auto"/>
          <w:sz w:val="32"/>
          <w:szCs w:val="32"/>
          <w:highlight w:val="none"/>
          <w:lang w:val="en-US" w:eastAsia="zh-CN"/>
        </w:rPr>
        <w:t>100</w:t>
      </w:r>
      <w:r>
        <w:rPr>
          <w:rFonts w:hint="eastAsia" w:ascii="仿宋" w:hAnsi="仿宋" w:eastAsia="仿宋" w:cs="Times New Roman"/>
          <w:color w:val="auto"/>
          <w:sz w:val="32"/>
          <w:szCs w:val="32"/>
          <w:highlight w:val="none"/>
        </w:rPr>
        <w:t>%。</w:t>
      </w:r>
    </w:p>
    <w:p>
      <w:pPr>
        <w:spacing w:line="600" w:lineRule="exact"/>
        <w:ind w:firstLine="640" w:firstLineChars="200"/>
        <w:jc w:val="center"/>
        <w:rPr>
          <w:rFonts w:ascii="仿宋_GB2312" w:eastAsia="仿宋_GB2312"/>
          <w:color w:val="auto"/>
          <w:sz w:val="32"/>
          <w:szCs w:val="32"/>
          <w:highlight w:val="none"/>
        </w:rPr>
      </w:pPr>
      <w:r>
        <w:rPr>
          <w:rFonts w:hint="eastAsia" w:ascii="仿宋" w:hAnsi="仿宋" w:eastAsia="仿宋"/>
          <w:color w:val="auto"/>
          <w:sz w:val="32"/>
          <w:szCs w:val="32"/>
          <w:highlight w:val="none"/>
        </w:rPr>
        <w:t>（图2：收入决算结构图）</w:t>
      </w:r>
      <w:r>
        <w:rPr>
          <w:rFonts w:hint="eastAsia" w:ascii="仿宋_GB2312" w:eastAsia="仿宋_GB2312"/>
          <w:color w:val="auto"/>
          <w:sz w:val="32"/>
          <w:szCs w:val="32"/>
          <w:highlight w:val="none"/>
          <w:lang w:eastAsia="zh-CN"/>
        </w:rPr>
        <w:drawing>
          <wp:anchor distT="0" distB="0" distL="114300" distR="114300" simplePos="0" relativeHeight="251661312" behindDoc="0" locked="0" layoutInCell="1" allowOverlap="1">
            <wp:simplePos x="0" y="0"/>
            <wp:positionH relativeFrom="column">
              <wp:posOffset>49530</wp:posOffset>
            </wp:positionH>
            <wp:positionV relativeFrom="paragraph">
              <wp:posOffset>99695</wp:posOffset>
            </wp:positionV>
            <wp:extent cx="5180965" cy="1998345"/>
            <wp:effectExtent l="5080" t="4445" r="14605" b="16510"/>
            <wp:wrapSquare wrapText="bothSides"/>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pPr>
        <w:pStyle w:val="27"/>
        <w:numPr>
          <w:ilvl w:val="0"/>
          <w:numId w:val="2"/>
        </w:numPr>
        <w:spacing w:line="600" w:lineRule="exact"/>
        <w:ind w:firstLineChars="0"/>
        <w:outlineLvl w:val="1"/>
        <w:rPr>
          <w:rStyle w:val="18"/>
          <w:rFonts w:ascii="黑体" w:hAnsi="黑体" w:eastAsia="黑体"/>
          <w:b w:val="0"/>
          <w:color w:val="auto"/>
          <w:highlight w:val="none"/>
        </w:rPr>
      </w:pPr>
      <w:bookmarkStart w:id="34" w:name="_Toc15396605"/>
      <w:bookmarkStart w:id="35" w:name="_Toc21645"/>
      <w:bookmarkStart w:id="36" w:name="_Toc15377207"/>
      <w:r>
        <w:rPr>
          <w:rFonts w:hint="eastAsia" w:ascii="黑体" w:hAnsi="黑体" w:eastAsia="黑体"/>
          <w:color w:val="auto"/>
          <w:sz w:val="32"/>
          <w:szCs w:val="32"/>
          <w:highlight w:val="none"/>
        </w:rPr>
        <w:t>支</w:t>
      </w:r>
      <w:r>
        <w:rPr>
          <w:rStyle w:val="18"/>
          <w:rFonts w:hint="eastAsia" w:ascii="黑体" w:hAnsi="黑体" w:eastAsia="黑体"/>
          <w:b w:val="0"/>
          <w:color w:val="auto"/>
          <w:highlight w:val="none"/>
        </w:rPr>
        <w:t>出决算情况说明</w:t>
      </w:r>
      <w:bookmarkEnd w:id="34"/>
      <w:bookmarkEnd w:id="35"/>
      <w:bookmarkEnd w:id="36"/>
    </w:p>
    <w:p>
      <w:pPr>
        <w:spacing w:line="600" w:lineRule="exact"/>
        <w:ind w:firstLine="640" w:firstLineChars="200"/>
        <w:rPr>
          <w:rFonts w:hint="eastAsia" w:ascii="仿宋" w:hAnsi="仿宋" w:eastAsia="仿宋" w:cs="Times New Roman"/>
          <w:color w:val="auto"/>
          <w:sz w:val="32"/>
          <w:szCs w:val="32"/>
          <w:highlight w:val="none"/>
          <w:lang w:eastAsia="zh-CN"/>
        </w:rPr>
      </w:pPr>
      <w:r>
        <w:rPr>
          <w:rFonts w:hint="eastAsia" w:ascii="仿宋" w:hAnsi="仿宋" w:eastAsia="仿宋" w:cs="Times New Roman"/>
          <w:color w:val="auto"/>
          <w:sz w:val="32"/>
          <w:szCs w:val="32"/>
          <w:highlight w:val="none"/>
        </w:rPr>
        <w:t>20</w:t>
      </w:r>
      <w:r>
        <w:rPr>
          <w:rFonts w:hint="eastAsia" w:ascii="仿宋" w:hAnsi="仿宋" w:eastAsia="仿宋" w:cs="Times New Roman"/>
          <w:color w:val="auto"/>
          <w:sz w:val="32"/>
          <w:szCs w:val="32"/>
          <w:highlight w:val="none"/>
          <w:lang w:val="en-US" w:eastAsia="zh-CN"/>
        </w:rPr>
        <w:t>22</w:t>
      </w:r>
      <w:r>
        <w:rPr>
          <w:rFonts w:hint="eastAsia" w:ascii="仿宋" w:hAnsi="仿宋" w:eastAsia="仿宋" w:cs="Times New Roman"/>
          <w:color w:val="auto"/>
          <w:sz w:val="32"/>
          <w:szCs w:val="32"/>
          <w:highlight w:val="none"/>
        </w:rPr>
        <w:t>年本年支出合计</w:t>
      </w:r>
      <w:r>
        <w:rPr>
          <w:rFonts w:hint="eastAsia" w:ascii="仿宋" w:hAnsi="仿宋" w:eastAsia="仿宋" w:cs="Times New Roman"/>
          <w:color w:val="auto"/>
          <w:sz w:val="32"/>
          <w:szCs w:val="32"/>
          <w:highlight w:val="none"/>
          <w:lang w:val="en-US" w:eastAsia="zh-CN"/>
        </w:rPr>
        <w:t>2157.06</w:t>
      </w:r>
      <w:r>
        <w:rPr>
          <w:rFonts w:hint="eastAsia" w:ascii="仿宋" w:hAnsi="仿宋" w:eastAsia="仿宋" w:cs="Times New Roman"/>
          <w:color w:val="auto"/>
          <w:sz w:val="32"/>
          <w:szCs w:val="32"/>
          <w:highlight w:val="none"/>
        </w:rPr>
        <w:t>万元，其中：基本支出</w:t>
      </w:r>
      <w:r>
        <w:rPr>
          <w:rFonts w:hint="eastAsia" w:ascii="仿宋" w:hAnsi="仿宋" w:eastAsia="仿宋" w:cs="Times New Roman"/>
          <w:color w:val="auto"/>
          <w:sz w:val="32"/>
          <w:szCs w:val="32"/>
          <w:highlight w:val="none"/>
          <w:lang w:val="en-US" w:eastAsia="zh-CN"/>
        </w:rPr>
        <w:t>2014.91</w:t>
      </w:r>
      <w:r>
        <w:rPr>
          <w:rFonts w:hint="eastAsia" w:ascii="仿宋" w:hAnsi="仿宋" w:eastAsia="仿宋" w:cs="Times New Roman"/>
          <w:color w:val="auto"/>
          <w:sz w:val="32"/>
          <w:szCs w:val="32"/>
          <w:highlight w:val="none"/>
        </w:rPr>
        <w:t>万元，占</w:t>
      </w:r>
      <w:r>
        <w:rPr>
          <w:rFonts w:hint="eastAsia" w:ascii="仿宋" w:hAnsi="仿宋" w:eastAsia="仿宋" w:cs="Times New Roman"/>
          <w:color w:val="auto"/>
          <w:sz w:val="32"/>
          <w:szCs w:val="32"/>
          <w:highlight w:val="none"/>
          <w:lang w:val="en-US" w:eastAsia="zh-CN"/>
        </w:rPr>
        <w:t>93</w:t>
      </w:r>
      <w:r>
        <w:rPr>
          <w:rFonts w:hint="eastAsia" w:ascii="仿宋" w:hAnsi="仿宋" w:eastAsia="仿宋" w:cs="Times New Roman"/>
          <w:color w:val="auto"/>
          <w:sz w:val="32"/>
          <w:szCs w:val="32"/>
          <w:highlight w:val="none"/>
        </w:rPr>
        <w:t>%；项目支出</w:t>
      </w:r>
      <w:r>
        <w:rPr>
          <w:rFonts w:hint="eastAsia" w:ascii="仿宋" w:hAnsi="仿宋" w:eastAsia="仿宋" w:cs="Times New Roman"/>
          <w:color w:val="auto"/>
          <w:sz w:val="32"/>
          <w:szCs w:val="32"/>
          <w:highlight w:val="none"/>
          <w:lang w:val="en-US" w:eastAsia="zh-CN"/>
        </w:rPr>
        <w:t>142.15</w:t>
      </w:r>
      <w:r>
        <w:rPr>
          <w:rFonts w:hint="eastAsia" w:ascii="仿宋" w:hAnsi="仿宋" w:eastAsia="仿宋" w:cs="Times New Roman"/>
          <w:color w:val="auto"/>
          <w:sz w:val="32"/>
          <w:szCs w:val="32"/>
          <w:highlight w:val="none"/>
        </w:rPr>
        <w:t>万元，占</w:t>
      </w:r>
      <w:r>
        <w:rPr>
          <w:rFonts w:hint="eastAsia" w:ascii="仿宋" w:hAnsi="仿宋" w:eastAsia="仿宋" w:cs="Times New Roman"/>
          <w:color w:val="auto"/>
          <w:sz w:val="32"/>
          <w:szCs w:val="32"/>
          <w:highlight w:val="none"/>
          <w:lang w:val="en-US" w:eastAsia="zh-CN"/>
        </w:rPr>
        <w:t>7</w:t>
      </w:r>
      <w:r>
        <w:rPr>
          <w:rFonts w:hint="eastAsia" w:ascii="仿宋" w:hAnsi="仿宋" w:eastAsia="仿宋" w:cs="Times New Roman"/>
          <w:color w:val="auto"/>
          <w:sz w:val="32"/>
          <w:szCs w:val="32"/>
          <w:highlight w:val="none"/>
        </w:rPr>
        <w:t>%</w:t>
      </w:r>
      <w:r>
        <w:rPr>
          <w:rFonts w:hint="eastAsia" w:ascii="仿宋" w:hAnsi="仿宋" w:eastAsia="仿宋" w:cs="Times New Roman"/>
          <w:color w:val="auto"/>
          <w:sz w:val="32"/>
          <w:szCs w:val="32"/>
          <w:highlight w:val="none"/>
          <w:lang w:eastAsia="zh-CN"/>
        </w:rPr>
        <w:t>。</w:t>
      </w:r>
    </w:p>
    <w:p>
      <w:pPr>
        <w:spacing w:line="600" w:lineRule="exact"/>
        <w:ind w:firstLine="640" w:firstLineChars="20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drawing>
          <wp:anchor distT="0" distB="0" distL="114300" distR="114300" simplePos="0" relativeHeight="251662336" behindDoc="0" locked="0" layoutInCell="1" allowOverlap="1">
            <wp:simplePos x="0" y="0"/>
            <wp:positionH relativeFrom="column">
              <wp:posOffset>410845</wp:posOffset>
            </wp:positionH>
            <wp:positionV relativeFrom="paragraph">
              <wp:posOffset>71120</wp:posOffset>
            </wp:positionV>
            <wp:extent cx="4666615" cy="2303145"/>
            <wp:effectExtent l="4445" t="5080" r="15240" b="15875"/>
            <wp:wrapSquare wrapText="bothSides"/>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spacing w:line="600" w:lineRule="exact"/>
        <w:ind w:firstLine="640" w:firstLineChars="200"/>
        <w:rPr>
          <w:rFonts w:ascii="仿宋_GB2312" w:eastAsia="仿宋_GB2312"/>
          <w:color w:val="auto"/>
          <w:sz w:val="32"/>
          <w:szCs w:val="32"/>
          <w:highlight w:val="none"/>
        </w:rPr>
      </w:pPr>
    </w:p>
    <w:p>
      <w:pPr>
        <w:spacing w:line="600" w:lineRule="exact"/>
        <w:ind w:firstLine="640" w:firstLineChars="200"/>
        <w:rPr>
          <w:rFonts w:ascii="仿宋_GB2312" w:eastAsia="仿宋_GB2312"/>
          <w:color w:val="auto"/>
          <w:sz w:val="32"/>
          <w:szCs w:val="32"/>
          <w:highlight w:val="none"/>
        </w:rPr>
      </w:pPr>
    </w:p>
    <w:p>
      <w:pPr>
        <w:spacing w:line="600" w:lineRule="exact"/>
        <w:ind w:firstLine="640" w:firstLineChars="200"/>
        <w:rPr>
          <w:rFonts w:ascii="仿宋_GB2312" w:eastAsia="仿宋_GB2312"/>
          <w:color w:val="auto"/>
          <w:sz w:val="32"/>
          <w:szCs w:val="32"/>
          <w:highlight w:val="none"/>
        </w:rPr>
      </w:pPr>
    </w:p>
    <w:p>
      <w:pPr>
        <w:spacing w:line="600" w:lineRule="exact"/>
        <w:ind w:firstLine="640" w:firstLineChars="200"/>
        <w:rPr>
          <w:rFonts w:ascii="仿宋_GB2312" w:eastAsia="仿宋_GB2312"/>
          <w:color w:val="auto"/>
          <w:sz w:val="32"/>
          <w:szCs w:val="32"/>
          <w:highlight w:val="none"/>
        </w:rPr>
      </w:pPr>
    </w:p>
    <w:p>
      <w:pPr>
        <w:spacing w:line="600" w:lineRule="exact"/>
        <w:ind w:firstLine="640" w:firstLineChars="200"/>
        <w:rPr>
          <w:rFonts w:ascii="仿宋_GB2312" w:eastAsia="仿宋_GB2312"/>
          <w:color w:val="auto"/>
          <w:sz w:val="32"/>
          <w:szCs w:val="32"/>
          <w:highlight w:val="none"/>
        </w:rPr>
      </w:pPr>
    </w:p>
    <w:p>
      <w:pPr>
        <w:spacing w:line="600" w:lineRule="exact"/>
        <w:outlineLvl w:val="1"/>
        <w:rPr>
          <w:rFonts w:hint="eastAsia" w:ascii="黑体" w:hAnsi="黑体" w:eastAsia="黑体"/>
          <w:color w:val="auto"/>
          <w:sz w:val="32"/>
          <w:szCs w:val="32"/>
          <w:highlight w:val="none"/>
        </w:rPr>
      </w:pPr>
      <w:bookmarkStart w:id="37" w:name="_Toc1169"/>
      <w:bookmarkStart w:id="38" w:name="_Toc15396606"/>
      <w:bookmarkStart w:id="39" w:name="_Toc15377208"/>
    </w:p>
    <w:p>
      <w:pPr>
        <w:spacing w:line="600" w:lineRule="exact"/>
        <w:ind w:firstLine="2560" w:firstLineChars="800"/>
        <w:rPr>
          <w:rFonts w:ascii="仿宋" w:hAnsi="仿宋" w:eastAsia="仿宋"/>
          <w:color w:val="auto"/>
          <w:sz w:val="32"/>
          <w:szCs w:val="32"/>
          <w:highlight w:val="none"/>
        </w:rPr>
      </w:pPr>
      <w:r>
        <w:rPr>
          <w:rFonts w:hint="eastAsia" w:ascii="仿宋" w:hAnsi="仿宋" w:eastAsia="仿宋"/>
          <w:color w:val="auto"/>
          <w:sz w:val="32"/>
          <w:szCs w:val="32"/>
          <w:highlight w:val="none"/>
        </w:rPr>
        <w:t>（图3：支出决算结构图）</w:t>
      </w:r>
    </w:p>
    <w:p>
      <w:pPr>
        <w:spacing w:line="600" w:lineRule="exact"/>
        <w:ind w:firstLine="640" w:firstLineChars="200"/>
        <w:outlineLvl w:val="1"/>
        <w:rPr>
          <w:rStyle w:val="18"/>
          <w:rFonts w:ascii="黑体" w:hAnsi="黑体" w:eastAsia="黑体"/>
          <w:b w:val="0"/>
          <w:color w:val="auto"/>
          <w:highlight w:val="none"/>
        </w:rPr>
      </w:pPr>
      <w:r>
        <w:rPr>
          <w:rFonts w:hint="eastAsia" w:ascii="黑体" w:hAnsi="黑体" w:eastAsia="黑体"/>
          <w:color w:val="auto"/>
          <w:sz w:val="32"/>
          <w:szCs w:val="32"/>
          <w:highlight w:val="none"/>
          <w:lang w:val="en-US" w:eastAsia="zh-CN"/>
        </w:rPr>
        <w:t>四</w:t>
      </w:r>
      <w:r>
        <w:rPr>
          <w:rFonts w:hint="eastAsia" w:ascii="黑体" w:hAnsi="黑体" w:eastAsia="黑体"/>
          <w:color w:val="auto"/>
          <w:sz w:val="32"/>
          <w:szCs w:val="32"/>
          <w:highlight w:val="none"/>
        </w:rPr>
        <w:t>、财</w:t>
      </w:r>
      <w:r>
        <w:rPr>
          <w:rStyle w:val="18"/>
          <w:rFonts w:hint="eastAsia" w:ascii="黑体" w:hAnsi="黑体" w:eastAsia="黑体"/>
          <w:b w:val="0"/>
          <w:color w:val="auto"/>
          <w:highlight w:val="none"/>
        </w:rPr>
        <w:t>政拨款收入支出决算总体情况说明</w:t>
      </w:r>
      <w:bookmarkEnd w:id="37"/>
      <w:bookmarkEnd w:id="38"/>
      <w:bookmarkEnd w:id="39"/>
    </w:p>
    <w:p>
      <w:pPr>
        <w:spacing w:line="600" w:lineRule="exact"/>
        <w:ind w:firstLine="640" w:firstLineChars="200"/>
        <w:rPr>
          <w:rFonts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年财政拨款收、支总计</w:t>
      </w:r>
      <w:r>
        <w:rPr>
          <w:rFonts w:hint="eastAsia" w:ascii="仿宋" w:hAnsi="仿宋" w:eastAsia="仿宋"/>
          <w:color w:val="auto"/>
          <w:sz w:val="32"/>
          <w:szCs w:val="32"/>
          <w:highlight w:val="none"/>
          <w:lang w:val="en-US" w:eastAsia="zh-CN"/>
        </w:rPr>
        <w:t>2191.23</w:t>
      </w:r>
      <w:r>
        <w:rPr>
          <w:rFonts w:hint="eastAsia" w:ascii="仿宋" w:hAnsi="仿宋" w:eastAsia="仿宋"/>
          <w:color w:val="auto"/>
          <w:sz w:val="32"/>
          <w:szCs w:val="32"/>
          <w:highlight w:val="none"/>
        </w:rPr>
        <w:t>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年相比，财政拨款收、支总计各减少</w:t>
      </w:r>
      <w:r>
        <w:rPr>
          <w:rFonts w:hint="eastAsia" w:ascii="仿宋" w:hAnsi="仿宋" w:eastAsia="仿宋"/>
          <w:color w:val="auto"/>
          <w:sz w:val="32"/>
          <w:szCs w:val="32"/>
          <w:highlight w:val="none"/>
          <w:lang w:val="en-US" w:eastAsia="zh-CN"/>
        </w:rPr>
        <w:t>1390.35</w:t>
      </w:r>
      <w:r>
        <w:rPr>
          <w:rFonts w:hint="eastAsia" w:ascii="仿宋" w:hAnsi="仿宋" w:eastAsia="仿宋"/>
          <w:color w:val="auto"/>
          <w:sz w:val="32"/>
          <w:szCs w:val="32"/>
          <w:highlight w:val="none"/>
        </w:rPr>
        <w:t>万元，下降</w:t>
      </w:r>
      <w:r>
        <w:rPr>
          <w:rFonts w:hint="eastAsia" w:ascii="仿宋" w:hAnsi="仿宋" w:eastAsia="仿宋"/>
          <w:color w:val="auto"/>
          <w:sz w:val="32"/>
          <w:szCs w:val="32"/>
          <w:highlight w:val="none"/>
          <w:lang w:val="en-US" w:eastAsia="zh-CN"/>
        </w:rPr>
        <w:t>38.82</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w:t>
      </w:r>
      <w:r>
        <w:rPr>
          <w:rFonts w:hint="eastAsia" w:ascii="仿宋" w:hAnsi="仿宋" w:eastAsia="仿宋"/>
          <w:color w:val="auto"/>
          <w:sz w:val="32"/>
          <w:szCs w:val="32"/>
          <w:highlight w:val="none"/>
          <w:lang w:eastAsia="zh-CN"/>
        </w:rPr>
        <w:t>：一</w:t>
      </w:r>
      <w:r>
        <w:rPr>
          <w:rFonts w:hint="eastAsia" w:ascii="仿宋" w:hAnsi="仿宋" w:eastAsia="仿宋"/>
          <w:color w:val="auto"/>
          <w:sz w:val="32"/>
          <w:szCs w:val="32"/>
          <w:highlight w:val="none"/>
        </w:rPr>
        <w:t>是</w:t>
      </w:r>
      <w:r>
        <w:rPr>
          <w:rFonts w:hint="eastAsia" w:ascii="仿宋" w:hAnsi="仿宋" w:eastAsia="仿宋"/>
          <w:color w:val="auto"/>
          <w:sz w:val="32"/>
          <w:szCs w:val="32"/>
          <w:highlight w:val="none"/>
          <w:lang w:val="en-US" w:eastAsia="zh-CN"/>
        </w:rPr>
        <w:t>2021年新增职业年金贴息指标1218.26万元；二是2022年在职人员较上年减少5人，人员经费和公用经费相对应较少</w:t>
      </w:r>
      <w:r>
        <w:rPr>
          <w:rFonts w:hint="eastAsia" w:ascii="仿宋" w:hAnsi="仿宋" w:eastAsia="仿宋"/>
          <w:color w:val="auto"/>
          <w:sz w:val="32"/>
          <w:szCs w:val="32"/>
          <w:highlight w:val="none"/>
          <w:lang w:eastAsia="zh-CN"/>
        </w:rPr>
        <w:t>。</w:t>
      </w:r>
      <w:r>
        <w:rPr>
          <w:rFonts w:hint="eastAsia" w:ascii="仿宋" w:hAnsi="仿宋" w:eastAsia="仿宋"/>
          <w:b/>
          <w:color w:val="auto"/>
          <w:sz w:val="32"/>
          <w:szCs w:val="32"/>
          <w:highlight w:val="none"/>
          <w:lang w:eastAsia="zh-CN"/>
        </w:rPr>
        <w:drawing>
          <wp:anchor distT="0" distB="0" distL="114300" distR="114300" simplePos="0" relativeHeight="251665408" behindDoc="0" locked="0" layoutInCell="1" allowOverlap="1">
            <wp:simplePos x="0" y="0"/>
            <wp:positionH relativeFrom="column">
              <wp:posOffset>135255</wp:posOffset>
            </wp:positionH>
            <wp:positionV relativeFrom="paragraph">
              <wp:posOffset>209550</wp:posOffset>
            </wp:positionV>
            <wp:extent cx="5036820" cy="2301240"/>
            <wp:effectExtent l="5080" t="4445" r="6350" b="18415"/>
            <wp:wrapSquare wrapText="bothSides"/>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pStyle w:val="2"/>
        <w:ind w:left="0" w:leftChars="0" w:firstLine="0" w:firstLineChars="0"/>
        <w:jc w:val="center"/>
        <w:rPr>
          <w:rFonts w:hint="eastAsia" w:ascii="黑体" w:hAnsi="黑体" w:eastAsia="黑体"/>
          <w:color w:val="auto"/>
          <w:sz w:val="32"/>
          <w:szCs w:val="32"/>
          <w:highlight w:val="none"/>
        </w:rPr>
      </w:pPr>
      <w:r>
        <w:rPr>
          <w:rFonts w:hint="eastAsia" w:ascii="仿宋" w:hAnsi="仿宋" w:eastAsia="仿宋"/>
          <w:color w:val="auto"/>
          <w:sz w:val="32"/>
          <w:szCs w:val="32"/>
          <w:highlight w:val="none"/>
        </w:rPr>
        <w:t>（图4：财政拨款收、支决算总计变动情况）</w:t>
      </w:r>
      <w:bookmarkStart w:id="40" w:name="_Toc15377209"/>
      <w:bookmarkStart w:id="41" w:name="_Toc15396607"/>
    </w:p>
    <w:p>
      <w:pPr>
        <w:spacing w:line="600" w:lineRule="exact"/>
        <w:ind w:firstLine="640" w:firstLineChars="200"/>
        <w:outlineLvl w:val="1"/>
        <w:rPr>
          <w:rStyle w:val="18"/>
          <w:rFonts w:ascii="黑体" w:hAnsi="黑体" w:eastAsia="黑体"/>
          <w:b w:val="0"/>
          <w:color w:val="auto"/>
          <w:highlight w:val="none"/>
        </w:rPr>
      </w:pPr>
      <w:bookmarkStart w:id="42" w:name="_Toc25870"/>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18"/>
          <w:rFonts w:hint="eastAsia" w:ascii="黑体" w:hAnsi="黑体" w:eastAsia="黑体"/>
          <w:b w:val="0"/>
          <w:color w:val="auto"/>
          <w:highlight w:val="none"/>
        </w:rPr>
        <w:t>般公共预算财政拨款支出决算情况说明</w:t>
      </w:r>
      <w:bookmarkEnd w:id="40"/>
      <w:bookmarkEnd w:id="41"/>
      <w:bookmarkEnd w:id="42"/>
    </w:p>
    <w:p>
      <w:pPr>
        <w:spacing w:line="600" w:lineRule="exact"/>
        <w:ind w:firstLine="643" w:firstLineChars="200"/>
        <w:outlineLvl w:val="2"/>
        <w:rPr>
          <w:rFonts w:hint="eastAsia" w:ascii="仿宋" w:hAnsi="仿宋" w:eastAsia="仿宋"/>
          <w:b/>
          <w:color w:val="auto"/>
          <w:sz w:val="32"/>
          <w:szCs w:val="32"/>
          <w:highlight w:val="none"/>
        </w:rPr>
      </w:pPr>
      <w:bookmarkStart w:id="43" w:name="_Toc15377210"/>
      <w:r>
        <w:rPr>
          <w:rFonts w:hint="eastAsia" w:ascii="仿宋" w:hAnsi="仿宋" w:eastAsia="仿宋"/>
          <w:b/>
          <w:color w:val="auto"/>
          <w:sz w:val="32"/>
          <w:szCs w:val="32"/>
          <w:highlight w:val="none"/>
        </w:rPr>
        <w:t>（一）一般公共预算财政拨款支出决算总体情况</w:t>
      </w:r>
      <w:bookmarkEnd w:id="43"/>
    </w:p>
    <w:p>
      <w:pPr>
        <w:spacing w:line="600" w:lineRule="exact"/>
        <w:ind w:firstLine="640" w:firstLineChars="200"/>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2157.06</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减少</w:t>
      </w:r>
      <w:r>
        <w:rPr>
          <w:rFonts w:hint="eastAsia" w:ascii="仿宋" w:hAnsi="仿宋" w:eastAsia="仿宋"/>
          <w:color w:val="auto"/>
          <w:sz w:val="32"/>
          <w:szCs w:val="32"/>
          <w:highlight w:val="none"/>
          <w:lang w:val="en-US" w:eastAsia="zh-CN"/>
        </w:rPr>
        <w:t>1353.51</w:t>
      </w:r>
      <w:r>
        <w:rPr>
          <w:rFonts w:hint="eastAsia" w:ascii="仿宋" w:hAnsi="仿宋" w:eastAsia="仿宋"/>
          <w:color w:val="auto"/>
          <w:sz w:val="32"/>
          <w:szCs w:val="32"/>
          <w:highlight w:val="none"/>
        </w:rPr>
        <w:t>万元，下降</w:t>
      </w:r>
      <w:r>
        <w:rPr>
          <w:rFonts w:hint="eastAsia" w:ascii="仿宋" w:hAnsi="仿宋" w:eastAsia="仿宋"/>
          <w:color w:val="auto"/>
          <w:sz w:val="32"/>
          <w:szCs w:val="32"/>
          <w:highlight w:val="none"/>
          <w:lang w:val="en-US" w:eastAsia="zh-CN"/>
        </w:rPr>
        <w:t>38.55</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w:t>
      </w:r>
      <w:r>
        <w:rPr>
          <w:rFonts w:hint="eastAsia" w:ascii="仿宋" w:hAnsi="仿宋" w:eastAsia="仿宋"/>
          <w:color w:val="auto"/>
          <w:sz w:val="32"/>
          <w:szCs w:val="32"/>
          <w:highlight w:val="none"/>
          <w:lang w:eastAsia="zh-CN"/>
        </w:rPr>
        <w:t>：一</w:t>
      </w:r>
      <w:r>
        <w:rPr>
          <w:rFonts w:hint="eastAsia" w:ascii="仿宋" w:hAnsi="仿宋" w:eastAsia="仿宋"/>
          <w:color w:val="auto"/>
          <w:sz w:val="32"/>
          <w:szCs w:val="32"/>
          <w:highlight w:val="none"/>
        </w:rPr>
        <w:t>是</w:t>
      </w:r>
      <w:r>
        <w:rPr>
          <w:rFonts w:hint="eastAsia" w:ascii="仿宋" w:hAnsi="仿宋" w:eastAsia="仿宋"/>
          <w:color w:val="auto"/>
          <w:sz w:val="32"/>
          <w:szCs w:val="32"/>
          <w:highlight w:val="none"/>
          <w:lang w:val="en-US" w:eastAsia="zh-CN"/>
        </w:rPr>
        <w:t>2022年减少职业年金贴息1218.26万元；二是2022年在职人员较上年减少5人，人员经费和公用经费支出相对应少</w:t>
      </w:r>
      <w:r>
        <w:rPr>
          <w:rFonts w:hint="eastAsia" w:ascii="仿宋" w:hAnsi="仿宋" w:eastAsia="仿宋"/>
          <w:color w:val="auto"/>
          <w:sz w:val="32"/>
          <w:szCs w:val="32"/>
          <w:highlight w:val="none"/>
          <w:lang w:eastAsia="zh-CN"/>
        </w:rPr>
        <w:t>。</w:t>
      </w:r>
    </w:p>
    <w:p>
      <w:pPr>
        <w:pStyle w:val="2"/>
        <w:rPr>
          <w:rFonts w:hint="eastAsia"/>
        </w:rPr>
      </w:pPr>
      <w:r>
        <w:rPr>
          <w:rFonts w:hint="eastAsia" w:ascii="仿宋" w:hAnsi="仿宋" w:eastAsia="仿宋"/>
          <w:color w:val="auto"/>
          <w:sz w:val="32"/>
          <w:szCs w:val="32"/>
          <w:highlight w:val="none"/>
          <w:lang w:eastAsia="zh-CN"/>
        </w:rPr>
        <w:drawing>
          <wp:anchor distT="0" distB="0" distL="114300" distR="114300" simplePos="0" relativeHeight="251666432" behindDoc="0" locked="0" layoutInCell="1" allowOverlap="1">
            <wp:simplePos x="0" y="0"/>
            <wp:positionH relativeFrom="column">
              <wp:posOffset>336550</wp:posOffset>
            </wp:positionH>
            <wp:positionV relativeFrom="paragraph">
              <wp:posOffset>155575</wp:posOffset>
            </wp:positionV>
            <wp:extent cx="4845685" cy="1952625"/>
            <wp:effectExtent l="4445" t="4445" r="7620" b="5080"/>
            <wp:wrapSquare wrapText="bothSides"/>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pStyle w:val="2"/>
        <w:rPr>
          <w:rFonts w:hint="eastAsia" w:ascii="仿宋" w:hAnsi="仿宋" w:eastAsia="仿宋"/>
          <w:color w:val="auto"/>
          <w:sz w:val="32"/>
          <w:szCs w:val="32"/>
          <w:highlight w:val="none"/>
        </w:rPr>
      </w:pP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图5：一般公共预算财政拨款支出决算变动情况）</w:t>
      </w:r>
    </w:p>
    <w:p>
      <w:pPr>
        <w:spacing w:line="600" w:lineRule="exact"/>
        <w:ind w:firstLine="643" w:firstLineChars="200"/>
        <w:outlineLvl w:val="2"/>
        <w:rPr>
          <w:rFonts w:ascii="仿宋" w:hAnsi="仿宋" w:eastAsia="仿宋"/>
          <w:b/>
          <w:color w:val="auto"/>
          <w:sz w:val="32"/>
          <w:szCs w:val="32"/>
          <w:highlight w:val="none"/>
        </w:rPr>
      </w:pPr>
      <w:bookmarkStart w:id="44" w:name="_Toc15377211"/>
      <w:r>
        <w:rPr>
          <w:rFonts w:hint="eastAsia" w:ascii="仿宋" w:hAnsi="仿宋" w:eastAsia="仿宋"/>
          <w:b/>
          <w:color w:val="auto"/>
          <w:sz w:val="32"/>
          <w:szCs w:val="32"/>
          <w:highlight w:val="none"/>
        </w:rPr>
        <w:t>（二）一般公共预算财政拨款支出决算结构情况</w:t>
      </w:r>
      <w:bookmarkEnd w:id="44"/>
    </w:p>
    <w:p>
      <w:pPr>
        <w:spacing w:line="600" w:lineRule="exact"/>
        <w:ind w:firstLine="640"/>
        <w:rPr>
          <w:rFonts w:hint="eastAsia"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2157.06</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社会保障和就业</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lang w:val="en-US" w:eastAsia="zh-CN"/>
        </w:rPr>
        <w:t>2039.64</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94.56</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卫生健康支出</w:t>
      </w:r>
      <w:r>
        <w:rPr>
          <w:rFonts w:hint="eastAsia" w:ascii="仿宋" w:hAnsi="仿宋" w:eastAsia="仿宋"/>
          <w:color w:val="auto"/>
          <w:sz w:val="32"/>
          <w:szCs w:val="32"/>
          <w:highlight w:val="none"/>
          <w:lang w:val="en-US" w:eastAsia="zh-CN"/>
        </w:rPr>
        <w:t>34.36</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1.59</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w:t>
      </w:r>
      <w:r>
        <w:rPr>
          <w:rFonts w:hint="eastAsia" w:ascii="仿宋" w:hAnsi="仿宋" w:eastAsia="仿宋"/>
          <w:color w:val="auto"/>
          <w:sz w:val="32"/>
          <w:szCs w:val="32"/>
          <w:highlight w:val="none"/>
          <w:lang w:val="en-US" w:eastAsia="zh-CN"/>
        </w:rPr>
        <w:t>83.06</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3.85</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spacing w:line="600" w:lineRule="exact"/>
        <w:ind w:firstLine="640" w:firstLineChars="200"/>
        <w:outlineLvl w:val="2"/>
        <w:rPr>
          <w:rFonts w:hint="eastAsia" w:ascii="仿宋" w:hAnsi="仿宋" w:eastAsia="仿宋"/>
          <w:b/>
          <w:color w:val="auto"/>
          <w:sz w:val="32"/>
          <w:szCs w:val="32"/>
          <w:highlight w:val="none"/>
        </w:rPr>
      </w:pPr>
      <w:bookmarkStart w:id="45" w:name="_Toc15377212"/>
      <w:r>
        <w:rPr>
          <w:rFonts w:hint="eastAsia" w:ascii="仿宋" w:hAnsi="仿宋" w:eastAsia="仿宋"/>
          <w:color w:val="auto"/>
          <w:sz w:val="32"/>
          <w:szCs w:val="32"/>
          <w:highlight w:val="none"/>
          <w:lang w:eastAsia="zh-CN"/>
        </w:rPr>
        <w:drawing>
          <wp:anchor distT="0" distB="0" distL="114300" distR="114300" simplePos="0" relativeHeight="251664384" behindDoc="0" locked="0" layoutInCell="1" allowOverlap="1">
            <wp:simplePos x="0" y="0"/>
            <wp:positionH relativeFrom="column">
              <wp:posOffset>363855</wp:posOffset>
            </wp:positionH>
            <wp:positionV relativeFrom="paragraph">
              <wp:posOffset>209550</wp:posOffset>
            </wp:positionV>
            <wp:extent cx="4058285" cy="2160270"/>
            <wp:effectExtent l="4445" t="5080" r="13970" b="6350"/>
            <wp:wrapSquare wrapText="bothSides"/>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pPr>
        <w:spacing w:line="600" w:lineRule="exact"/>
        <w:outlineLvl w:val="2"/>
        <w:rPr>
          <w:rFonts w:hint="eastAsia" w:ascii="仿宋" w:hAnsi="仿宋" w:eastAsia="仿宋"/>
          <w:b/>
          <w:color w:val="auto"/>
          <w:sz w:val="32"/>
          <w:szCs w:val="32"/>
          <w:highlight w:val="none"/>
        </w:rPr>
      </w:pPr>
    </w:p>
    <w:p>
      <w:pPr>
        <w:spacing w:line="600" w:lineRule="exact"/>
        <w:ind w:firstLine="643" w:firstLineChars="200"/>
        <w:outlineLvl w:val="2"/>
        <w:rPr>
          <w:rFonts w:hint="eastAsia" w:ascii="仿宋" w:hAnsi="仿宋" w:eastAsia="仿宋"/>
          <w:b/>
          <w:color w:val="auto"/>
          <w:sz w:val="32"/>
          <w:szCs w:val="32"/>
          <w:highlight w:val="none"/>
        </w:rPr>
      </w:pPr>
    </w:p>
    <w:p>
      <w:pPr>
        <w:spacing w:line="600" w:lineRule="exact"/>
        <w:ind w:firstLine="643" w:firstLineChars="200"/>
        <w:outlineLvl w:val="2"/>
        <w:rPr>
          <w:rFonts w:hint="eastAsia" w:ascii="仿宋" w:hAnsi="仿宋" w:eastAsia="仿宋"/>
          <w:b/>
          <w:color w:val="auto"/>
          <w:sz w:val="32"/>
          <w:szCs w:val="32"/>
          <w:highlight w:val="none"/>
        </w:rPr>
      </w:pPr>
    </w:p>
    <w:p>
      <w:pPr>
        <w:spacing w:line="600" w:lineRule="exact"/>
        <w:ind w:firstLine="643" w:firstLineChars="200"/>
        <w:outlineLvl w:val="2"/>
        <w:rPr>
          <w:rFonts w:hint="eastAsia" w:ascii="仿宋" w:hAnsi="仿宋" w:eastAsia="仿宋"/>
          <w:b/>
          <w:color w:val="auto"/>
          <w:sz w:val="32"/>
          <w:szCs w:val="32"/>
          <w:highlight w:val="none"/>
        </w:rPr>
      </w:pPr>
    </w:p>
    <w:p>
      <w:pPr>
        <w:spacing w:line="600" w:lineRule="exact"/>
        <w:ind w:firstLine="643" w:firstLineChars="200"/>
        <w:outlineLvl w:val="2"/>
        <w:rPr>
          <w:rFonts w:hint="eastAsia" w:ascii="仿宋" w:hAnsi="仿宋" w:eastAsia="仿宋"/>
          <w:b/>
          <w:color w:val="auto"/>
          <w:sz w:val="32"/>
          <w:szCs w:val="32"/>
          <w:highlight w:val="none"/>
        </w:rPr>
      </w:pPr>
    </w:p>
    <w:p>
      <w:pPr>
        <w:spacing w:line="600" w:lineRule="exact"/>
        <w:rPr>
          <w:rFonts w:hint="eastAsia" w:ascii="仿宋" w:hAnsi="仿宋" w:eastAsia="仿宋"/>
          <w:color w:val="auto"/>
          <w:sz w:val="32"/>
          <w:szCs w:val="32"/>
          <w:highlight w:val="none"/>
        </w:rPr>
      </w:pPr>
    </w:p>
    <w:p>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w:t>
      </w:r>
    </w:p>
    <w:p>
      <w:pPr>
        <w:spacing w:line="600" w:lineRule="exact"/>
        <w:ind w:firstLine="643"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lang w:eastAsia="zh-CN"/>
        </w:rPr>
        <w:t>（</w:t>
      </w:r>
      <w:r>
        <w:rPr>
          <w:rFonts w:hint="eastAsia" w:ascii="仿宋" w:hAnsi="仿宋" w:eastAsia="仿宋"/>
          <w:b/>
          <w:color w:val="auto"/>
          <w:sz w:val="32"/>
          <w:szCs w:val="32"/>
          <w:highlight w:val="none"/>
        </w:rPr>
        <w:t>三）一般公共预算财政拨款支出决算具体情况</w:t>
      </w:r>
      <w:bookmarkEnd w:id="45"/>
    </w:p>
    <w:p>
      <w:pPr>
        <w:spacing w:line="600" w:lineRule="exact"/>
        <w:ind w:firstLine="640" w:firstLineChars="200"/>
        <w:rPr>
          <w:rFonts w:hint="eastAsia" w:ascii="仿宋" w:hAnsi="仿宋" w:eastAsia="仿宋" w:cs="Times New Roman"/>
          <w:color w:val="auto"/>
          <w:sz w:val="32"/>
          <w:szCs w:val="32"/>
          <w:highlight w:val="none"/>
        </w:rPr>
      </w:pPr>
      <w:bookmarkStart w:id="46" w:name="_Toc15377213"/>
      <w:bookmarkStart w:id="47" w:name="_Toc15377444"/>
      <w:bookmarkStart w:id="48" w:name="_Toc15378460"/>
      <w:r>
        <w:rPr>
          <w:rFonts w:hint="eastAsia" w:ascii="仿宋" w:hAnsi="仿宋" w:eastAsia="仿宋" w:cs="Times New Roman"/>
          <w:color w:val="auto"/>
          <w:sz w:val="32"/>
          <w:szCs w:val="32"/>
          <w:highlight w:val="none"/>
        </w:rPr>
        <w:t>20</w:t>
      </w:r>
      <w:r>
        <w:rPr>
          <w:rFonts w:hint="eastAsia" w:ascii="仿宋" w:hAnsi="仿宋" w:eastAsia="仿宋" w:cs="Times New Roman"/>
          <w:color w:val="auto"/>
          <w:sz w:val="32"/>
          <w:szCs w:val="32"/>
          <w:highlight w:val="none"/>
          <w:lang w:val="en-US" w:eastAsia="zh-CN"/>
        </w:rPr>
        <w:t>22</w:t>
      </w:r>
      <w:r>
        <w:rPr>
          <w:rFonts w:hint="eastAsia" w:ascii="仿宋" w:hAnsi="仿宋" w:eastAsia="仿宋" w:cs="Times New Roman"/>
          <w:color w:val="auto"/>
          <w:sz w:val="32"/>
          <w:szCs w:val="32"/>
          <w:highlight w:val="none"/>
        </w:rPr>
        <w:t>年</w:t>
      </w:r>
      <w:r>
        <w:rPr>
          <w:rFonts w:hint="eastAsia" w:ascii="仿宋" w:hAnsi="仿宋" w:eastAsia="仿宋" w:cs="Times New Roman"/>
          <w:color w:val="auto"/>
          <w:sz w:val="32"/>
          <w:szCs w:val="32"/>
          <w:highlight w:val="none"/>
          <w:lang w:eastAsia="zh-CN"/>
        </w:rPr>
        <w:t>一</w:t>
      </w:r>
      <w:r>
        <w:rPr>
          <w:rFonts w:hint="eastAsia" w:ascii="仿宋" w:hAnsi="仿宋" w:eastAsia="仿宋" w:cs="Times New Roman"/>
          <w:color w:val="auto"/>
          <w:sz w:val="32"/>
          <w:szCs w:val="32"/>
          <w:highlight w:val="none"/>
        </w:rPr>
        <w:t>般公共预算支出决算数为</w:t>
      </w:r>
      <w:r>
        <w:rPr>
          <w:rFonts w:hint="eastAsia" w:ascii="仿宋" w:hAnsi="仿宋" w:eastAsia="仿宋" w:cs="Times New Roman"/>
          <w:color w:val="auto"/>
          <w:sz w:val="32"/>
          <w:szCs w:val="32"/>
          <w:highlight w:val="none"/>
          <w:lang w:val="en-US" w:eastAsia="zh-CN"/>
        </w:rPr>
        <w:t>2157.06万元</w:t>
      </w:r>
      <w:r>
        <w:rPr>
          <w:rFonts w:hint="eastAsia" w:ascii="仿宋" w:hAnsi="仿宋" w:eastAsia="仿宋" w:cs="Times New Roman"/>
          <w:color w:val="auto"/>
          <w:sz w:val="32"/>
          <w:szCs w:val="32"/>
          <w:highlight w:val="none"/>
        </w:rPr>
        <w:t>，完成预算</w:t>
      </w:r>
      <w:r>
        <w:rPr>
          <w:rFonts w:hint="eastAsia" w:ascii="仿宋" w:hAnsi="仿宋" w:eastAsia="仿宋" w:cs="Times New Roman"/>
          <w:color w:val="auto"/>
          <w:sz w:val="32"/>
          <w:szCs w:val="32"/>
          <w:highlight w:val="none"/>
          <w:lang w:val="en-US" w:eastAsia="zh-CN"/>
        </w:rPr>
        <w:t>98.44</w:t>
      </w:r>
      <w:r>
        <w:rPr>
          <w:rFonts w:hint="eastAsia" w:ascii="仿宋" w:hAnsi="仿宋" w:eastAsia="仿宋" w:cs="Times New Roman"/>
          <w:color w:val="auto"/>
          <w:sz w:val="32"/>
          <w:szCs w:val="32"/>
          <w:highlight w:val="none"/>
        </w:rPr>
        <w:t>%。其中：</w:t>
      </w:r>
      <w:bookmarkEnd w:id="46"/>
      <w:bookmarkEnd w:id="47"/>
      <w:bookmarkEnd w:id="48"/>
    </w:p>
    <w:p>
      <w:pPr>
        <w:numPr>
          <w:ilvl w:val="0"/>
          <w:numId w:val="0"/>
        </w:numPr>
        <w:spacing w:line="600" w:lineRule="exact"/>
        <w:ind w:firstLine="643" w:firstLineChars="200"/>
        <w:rPr>
          <w:rStyle w:val="15"/>
          <w:rFonts w:hint="eastAsia" w:ascii="仿宋" w:hAnsi="仿宋" w:eastAsia="仿宋"/>
          <w:b w:val="0"/>
          <w:bCs/>
          <w:color w:val="auto"/>
          <w:sz w:val="32"/>
          <w:szCs w:val="32"/>
          <w:highlight w:val="none"/>
        </w:rPr>
      </w:pPr>
      <w:r>
        <w:rPr>
          <w:rStyle w:val="15"/>
          <w:rFonts w:hint="eastAsia" w:ascii="仿宋" w:hAnsi="仿宋" w:eastAsia="仿宋"/>
          <w:bCs/>
          <w:color w:val="auto"/>
          <w:sz w:val="32"/>
          <w:szCs w:val="32"/>
          <w:highlight w:val="none"/>
          <w:lang w:val="en-US" w:eastAsia="zh-CN"/>
        </w:rPr>
        <w:t>1.</w:t>
      </w:r>
      <w:r>
        <w:rPr>
          <w:rStyle w:val="15"/>
          <w:rFonts w:hint="eastAsia" w:ascii="仿宋" w:hAnsi="仿宋" w:eastAsia="仿宋"/>
          <w:bCs/>
          <w:color w:val="auto"/>
          <w:sz w:val="32"/>
          <w:szCs w:val="32"/>
          <w:highlight w:val="none"/>
        </w:rPr>
        <w:t>社会保障和就业</w:t>
      </w:r>
      <w:r>
        <w:rPr>
          <w:rStyle w:val="15"/>
          <w:rFonts w:hint="eastAsia" w:ascii="仿宋" w:hAnsi="仿宋" w:eastAsia="仿宋"/>
          <w:bCs/>
          <w:color w:val="auto"/>
          <w:sz w:val="32"/>
          <w:szCs w:val="32"/>
          <w:highlight w:val="none"/>
          <w:lang w:val="en-US" w:eastAsia="zh-CN"/>
        </w:rPr>
        <w:t>支出</w:t>
      </w:r>
      <w:r>
        <w:rPr>
          <w:rStyle w:val="15"/>
          <w:rFonts w:hint="eastAsia" w:ascii="仿宋" w:hAnsi="仿宋" w:eastAsia="仿宋"/>
          <w:bCs/>
          <w:color w:val="auto"/>
          <w:sz w:val="32"/>
          <w:szCs w:val="32"/>
          <w:highlight w:val="none"/>
        </w:rPr>
        <w:t>（类）</w:t>
      </w:r>
      <w:r>
        <w:rPr>
          <w:rStyle w:val="15"/>
          <w:rFonts w:hint="eastAsia" w:ascii="仿宋" w:hAnsi="仿宋" w:eastAsia="仿宋"/>
          <w:bCs/>
          <w:color w:val="auto"/>
          <w:sz w:val="32"/>
          <w:szCs w:val="32"/>
          <w:highlight w:val="none"/>
          <w:lang w:eastAsia="zh-CN"/>
        </w:rPr>
        <w:t>人力资源和社会保障管理事务</w:t>
      </w:r>
      <w:r>
        <w:rPr>
          <w:rStyle w:val="15"/>
          <w:rFonts w:hint="eastAsia" w:ascii="仿宋" w:hAnsi="仿宋" w:eastAsia="仿宋"/>
          <w:bCs/>
          <w:color w:val="auto"/>
          <w:sz w:val="32"/>
          <w:szCs w:val="32"/>
          <w:highlight w:val="none"/>
        </w:rPr>
        <w:t>（款）</w:t>
      </w:r>
      <w:r>
        <w:rPr>
          <w:rStyle w:val="15"/>
          <w:rFonts w:hint="eastAsia" w:ascii="仿宋" w:hAnsi="仿宋" w:eastAsia="仿宋"/>
          <w:bCs/>
          <w:color w:val="auto"/>
          <w:sz w:val="32"/>
          <w:szCs w:val="32"/>
          <w:highlight w:val="none"/>
          <w:lang w:eastAsia="zh-CN"/>
        </w:rPr>
        <w:t>社会保险经办机构</w:t>
      </w:r>
      <w:r>
        <w:rPr>
          <w:rStyle w:val="15"/>
          <w:rFonts w:hint="eastAsia" w:ascii="仿宋" w:hAnsi="仿宋" w:eastAsia="仿宋"/>
          <w:bCs/>
          <w:color w:val="auto"/>
          <w:sz w:val="32"/>
          <w:szCs w:val="32"/>
          <w:highlight w:val="none"/>
        </w:rPr>
        <w:t>（项）</w:t>
      </w:r>
      <w:r>
        <w:rPr>
          <w:rStyle w:val="15"/>
          <w:rFonts w:ascii="仿宋" w:hAnsi="仿宋" w:eastAsia="仿宋"/>
          <w:bCs/>
          <w:color w:val="auto"/>
          <w:sz w:val="32"/>
          <w:szCs w:val="32"/>
          <w:highlight w:val="none"/>
        </w:rPr>
        <w:t>:</w:t>
      </w:r>
      <w:r>
        <w:rPr>
          <w:rStyle w:val="15"/>
          <w:rFonts w:ascii="仿宋" w:hAnsi="仿宋" w:eastAsia="仿宋"/>
          <w:b w:val="0"/>
          <w:bCs/>
          <w:color w:val="auto"/>
          <w:sz w:val="32"/>
          <w:szCs w:val="32"/>
          <w:highlight w:val="none"/>
        </w:rPr>
        <w:t xml:space="preserve"> </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1842.66</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98.18</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，决算数小于预算数的主要原因是</w:t>
      </w:r>
      <w:r>
        <w:rPr>
          <w:rStyle w:val="15"/>
          <w:rFonts w:hint="eastAsia" w:ascii="仿宋" w:hAnsi="仿宋" w:eastAsia="仿宋"/>
          <w:b w:val="0"/>
          <w:bCs/>
          <w:color w:val="auto"/>
          <w:sz w:val="32"/>
          <w:szCs w:val="32"/>
          <w:highlight w:val="none"/>
          <w:lang w:eastAsia="zh-CN"/>
        </w:rPr>
        <w:t>其他对个人和家庭的补助结余指标</w:t>
      </w:r>
      <w:r>
        <w:rPr>
          <w:rStyle w:val="15"/>
          <w:rFonts w:hint="eastAsia" w:ascii="仿宋" w:hAnsi="仿宋" w:eastAsia="仿宋"/>
          <w:b w:val="0"/>
          <w:bCs/>
          <w:color w:val="auto"/>
          <w:sz w:val="32"/>
          <w:szCs w:val="32"/>
          <w:highlight w:val="none"/>
          <w:lang w:val="en-US" w:eastAsia="zh-CN"/>
        </w:rPr>
        <w:t>34.17万元，财政于次年收回指标</w:t>
      </w:r>
      <w:r>
        <w:rPr>
          <w:rStyle w:val="15"/>
          <w:rFonts w:hint="eastAsia" w:ascii="仿宋" w:hAnsi="仿宋" w:eastAsia="仿宋"/>
          <w:b w:val="0"/>
          <w:bCs/>
          <w:color w:val="auto"/>
          <w:sz w:val="32"/>
          <w:szCs w:val="32"/>
          <w:highlight w:val="none"/>
        </w:rPr>
        <w:t>。</w:t>
      </w:r>
    </w:p>
    <w:p>
      <w:pPr>
        <w:numPr>
          <w:ilvl w:val="0"/>
          <w:numId w:val="0"/>
        </w:numPr>
        <w:spacing w:line="600" w:lineRule="exact"/>
        <w:ind w:firstLine="643" w:firstLineChars="200"/>
        <w:rPr>
          <w:rStyle w:val="15"/>
          <w:rFonts w:ascii="仿宋" w:hAnsi="仿宋" w:eastAsia="仿宋"/>
          <w:bCs/>
          <w:color w:val="auto"/>
          <w:sz w:val="32"/>
          <w:szCs w:val="32"/>
          <w:highlight w:val="none"/>
        </w:rPr>
      </w:pPr>
      <w:r>
        <w:rPr>
          <w:rStyle w:val="15"/>
          <w:rFonts w:hint="eastAsia" w:ascii="仿宋" w:hAnsi="仿宋" w:eastAsia="仿宋"/>
          <w:bCs/>
          <w:color w:val="auto"/>
          <w:sz w:val="32"/>
          <w:szCs w:val="32"/>
          <w:highlight w:val="none"/>
          <w:lang w:val="en-US" w:eastAsia="zh-CN"/>
        </w:rPr>
        <w:t>2.</w:t>
      </w:r>
      <w:r>
        <w:rPr>
          <w:rStyle w:val="15"/>
          <w:rFonts w:hint="eastAsia" w:ascii="仿宋" w:hAnsi="仿宋" w:eastAsia="仿宋"/>
          <w:bCs/>
          <w:color w:val="auto"/>
          <w:sz w:val="32"/>
          <w:szCs w:val="32"/>
          <w:highlight w:val="none"/>
        </w:rPr>
        <w:t>社会保障和就业</w:t>
      </w:r>
      <w:r>
        <w:rPr>
          <w:rStyle w:val="15"/>
          <w:rFonts w:hint="eastAsia" w:ascii="仿宋" w:hAnsi="仿宋" w:eastAsia="仿宋"/>
          <w:bCs/>
          <w:color w:val="auto"/>
          <w:sz w:val="32"/>
          <w:szCs w:val="32"/>
          <w:highlight w:val="none"/>
          <w:lang w:val="en-US" w:eastAsia="zh-CN"/>
        </w:rPr>
        <w:t>支出</w:t>
      </w:r>
      <w:r>
        <w:rPr>
          <w:rStyle w:val="15"/>
          <w:rFonts w:hint="eastAsia" w:ascii="仿宋" w:hAnsi="仿宋" w:eastAsia="仿宋"/>
          <w:bCs/>
          <w:color w:val="auto"/>
          <w:sz w:val="32"/>
          <w:szCs w:val="32"/>
          <w:highlight w:val="none"/>
        </w:rPr>
        <w:t>（类）</w:t>
      </w:r>
      <w:r>
        <w:rPr>
          <w:rStyle w:val="15"/>
          <w:rFonts w:hint="eastAsia" w:ascii="仿宋" w:hAnsi="仿宋" w:eastAsia="仿宋"/>
          <w:bCs/>
          <w:color w:val="auto"/>
          <w:sz w:val="32"/>
          <w:szCs w:val="32"/>
          <w:highlight w:val="none"/>
          <w:lang w:eastAsia="zh-CN"/>
        </w:rPr>
        <w:t>行政事业单位养老支出</w:t>
      </w:r>
      <w:r>
        <w:rPr>
          <w:rStyle w:val="15"/>
          <w:rFonts w:hint="eastAsia" w:ascii="仿宋" w:hAnsi="仿宋" w:eastAsia="仿宋"/>
          <w:bCs/>
          <w:color w:val="auto"/>
          <w:sz w:val="32"/>
          <w:szCs w:val="32"/>
          <w:highlight w:val="none"/>
        </w:rPr>
        <w:t>（款）</w:t>
      </w:r>
      <w:r>
        <w:rPr>
          <w:rStyle w:val="15"/>
          <w:rFonts w:hint="eastAsia" w:ascii="仿宋" w:hAnsi="仿宋" w:eastAsia="仿宋"/>
          <w:bCs/>
          <w:color w:val="auto"/>
          <w:sz w:val="32"/>
          <w:szCs w:val="32"/>
          <w:highlight w:val="none"/>
          <w:lang w:eastAsia="zh-CN"/>
        </w:rPr>
        <w:t>机关事业单位基本养老保险缴费</w:t>
      </w:r>
      <w:r>
        <w:rPr>
          <w:rStyle w:val="15"/>
          <w:rFonts w:hint="eastAsia" w:ascii="仿宋" w:hAnsi="仿宋" w:eastAsia="仿宋"/>
          <w:bCs/>
          <w:color w:val="auto"/>
          <w:sz w:val="32"/>
          <w:szCs w:val="32"/>
          <w:highlight w:val="none"/>
          <w:lang w:val="en-US" w:eastAsia="zh-CN"/>
        </w:rPr>
        <w:t>支出</w:t>
      </w:r>
      <w:r>
        <w:rPr>
          <w:rStyle w:val="15"/>
          <w:rFonts w:hint="eastAsia" w:ascii="仿宋" w:hAnsi="仿宋" w:eastAsia="仿宋"/>
          <w:bCs/>
          <w:color w:val="auto"/>
          <w:sz w:val="32"/>
          <w:szCs w:val="32"/>
          <w:highlight w:val="none"/>
        </w:rPr>
        <w:t>（项）</w:t>
      </w:r>
      <w:r>
        <w:rPr>
          <w:rStyle w:val="15"/>
          <w:rFonts w:ascii="仿宋" w:hAnsi="仿宋" w:eastAsia="仿宋"/>
          <w:bCs/>
          <w:color w:val="auto"/>
          <w:sz w:val="32"/>
          <w:szCs w:val="32"/>
          <w:highlight w:val="none"/>
        </w:rPr>
        <w:t>:</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78.16</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w:t>
      </w:r>
    </w:p>
    <w:p>
      <w:pPr>
        <w:spacing w:line="600" w:lineRule="exact"/>
        <w:ind w:firstLine="643" w:firstLineChars="200"/>
        <w:rPr>
          <w:rStyle w:val="15"/>
          <w:rFonts w:hint="eastAsia" w:ascii="仿宋" w:hAnsi="仿宋" w:eastAsia="仿宋"/>
          <w:b w:val="0"/>
          <w:bCs/>
          <w:color w:val="auto"/>
          <w:sz w:val="32"/>
          <w:szCs w:val="32"/>
          <w:highlight w:val="none"/>
        </w:rPr>
      </w:pPr>
      <w:r>
        <w:rPr>
          <w:rStyle w:val="15"/>
          <w:rFonts w:hint="eastAsia" w:ascii="仿宋" w:hAnsi="仿宋" w:eastAsia="仿宋"/>
          <w:bCs/>
          <w:color w:val="auto"/>
          <w:sz w:val="32"/>
          <w:szCs w:val="32"/>
          <w:highlight w:val="none"/>
          <w:lang w:val="en-US" w:eastAsia="zh-CN"/>
        </w:rPr>
        <w:t>3.</w:t>
      </w:r>
      <w:r>
        <w:rPr>
          <w:rStyle w:val="15"/>
          <w:rFonts w:hint="eastAsia" w:ascii="仿宋" w:hAnsi="仿宋" w:eastAsia="仿宋"/>
          <w:bCs/>
          <w:color w:val="auto"/>
          <w:sz w:val="32"/>
          <w:szCs w:val="32"/>
          <w:highlight w:val="none"/>
        </w:rPr>
        <w:t>社会保障和就业</w:t>
      </w:r>
      <w:r>
        <w:rPr>
          <w:rStyle w:val="15"/>
          <w:rFonts w:hint="eastAsia" w:ascii="仿宋" w:hAnsi="仿宋" w:eastAsia="仿宋"/>
          <w:bCs/>
          <w:color w:val="auto"/>
          <w:sz w:val="32"/>
          <w:szCs w:val="32"/>
          <w:highlight w:val="none"/>
          <w:lang w:val="en-US" w:eastAsia="zh-CN"/>
        </w:rPr>
        <w:t>支出</w:t>
      </w:r>
      <w:r>
        <w:rPr>
          <w:rStyle w:val="15"/>
          <w:rFonts w:hint="eastAsia" w:ascii="仿宋" w:hAnsi="仿宋" w:eastAsia="仿宋"/>
          <w:bCs/>
          <w:color w:val="auto"/>
          <w:sz w:val="32"/>
          <w:szCs w:val="32"/>
          <w:highlight w:val="none"/>
        </w:rPr>
        <w:t>（类）</w:t>
      </w:r>
      <w:r>
        <w:rPr>
          <w:rStyle w:val="15"/>
          <w:rFonts w:hint="eastAsia" w:ascii="仿宋" w:hAnsi="仿宋" w:eastAsia="仿宋"/>
          <w:bCs/>
          <w:color w:val="auto"/>
          <w:sz w:val="32"/>
          <w:szCs w:val="32"/>
          <w:highlight w:val="none"/>
          <w:lang w:eastAsia="zh-CN"/>
        </w:rPr>
        <w:t>行政事业单位养老支出</w:t>
      </w:r>
      <w:r>
        <w:rPr>
          <w:rStyle w:val="15"/>
          <w:rFonts w:hint="eastAsia" w:ascii="仿宋" w:hAnsi="仿宋" w:eastAsia="仿宋"/>
          <w:bCs/>
          <w:color w:val="auto"/>
          <w:sz w:val="32"/>
          <w:szCs w:val="32"/>
          <w:highlight w:val="none"/>
        </w:rPr>
        <w:t>（款）</w:t>
      </w:r>
      <w:r>
        <w:rPr>
          <w:rStyle w:val="15"/>
          <w:rFonts w:hint="eastAsia" w:ascii="仿宋" w:hAnsi="仿宋" w:eastAsia="仿宋"/>
          <w:bCs/>
          <w:color w:val="auto"/>
          <w:sz w:val="32"/>
          <w:szCs w:val="32"/>
          <w:highlight w:val="none"/>
          <w:lang w:eastAsia="zh-CN"/>
        </w:rPr>
        <w:t>机关事业单位职业年金缴费</w:t>
      </w:r>
      <w:r>
        <w:rPr>
          <w:rStyle w:val="15"/>
          <w:rFonts w:hint="eastAsia" w:ascii="仿宋" w:hAnsi="仿宋" w:eastAsia="仿宋"/>
          <w:bCs/>
          <w:color w:val="auto"/>
          <w:sz w:val="32"/>
          <w:szCs w:val="32"/>
          <w:highlight w:val="none"/>
          <w:lang w:val="en-US" w:eastAsia="zh-CN"/>
        </w:rPr>
        <w:t>支出</w:t>
      </w:r>
      <w:r>
        <w:rPr>
          <w:rStyle w:val="15"/>
          <w:rFonts w:hint="eastAsia" w:ascii="仿宋" w:hAnsi="仿宋" w:eastAsia="仿宋"/>
          <w:bCs/>
          <w:color w:val="auto"/>
          <w:sz w:val="32"/>
          <w:szCs w:val="32"/>
          <w:highlight w:val="none"/>
        </w:rPr>
        <w:t>（项）</w:t>
      </w:r>
      <w:r>
        <w:rPr>
          <w:rStyle w:val="15"/>
          <w:rFonts w:ascii="仿宋" w:hAnsi="仿宋" w:eastAsia="仿宋"/>
          <w:bCs/>
          <w:color w:val="auto"/>
          <w:sz w:val="32"/>
          <w:szCs w:val="32"/>
          <w:highlight w:val="none"/>
        </w:rPr>
        <w:t>:</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10.42</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w:t>
      </w:r>
    </w:p>
    <w:p>
      <w:pPr>
        <w:spacing w:line="600" w:lineRule="exact"/>
        <w:ind w:firstLine="643" w:firstLineChars="200"/>
        <w:rPr>
          <w:rStyle w:val="15"/>
          <w:rFonts w:hint="eastAsia" w:ascii="仿宋" w:hAnsi="仿宋" w:eastAsia="仿宋"/>
          <w:bCs/>
          <w:color w:val="auto"/>
          <w:sz w:val="32"/>
          <w:szCs w:val="32"/>
          <w:highlight w:val="none"/>
        </w:rPr>
      </w:pPr>
      <w:r>
        <w:rPr>
          <w:rStyle w:val="15"/>
          <w:rFonts w:hint="eastAsia" w:ascii="仿宋" w:hAnsi="仿宋" w:eastAsia="仿宋"/>
          <w:bCs/>
          <w:color w:val="auto"/>
          <w:sz w:val="32"/>
          <w:szCs w:val="32"/>
          <w:highlight w:val="none"/>
          <w:lang w:val="en-US" w:eastAsia="zh-CN"/>
        </w:rPr>
        <w:t>4.</w:t>
      </w:r>
      <w:r>
        <w:rPr>
          <w:rStyle w:val="15"/>
          <w:rFonts w:hint="eastAsia" w:ascii="仿宋" w:hAnsi="仿宋" w:eastAsia="仿宋"/>
          <w:bCs/>
          <w:color w:val="auto"/>
          <w:sz w:val="32"/>
          <w:szCs w:val="32"/>
          <w:highlight w:val="none"/>
        </w:rPr>
        <w:t>社会保障和就业</w:t>
      </w:r>
      <w:r>
        <w:rPr>
          <w:rStyle w:val="15"/>
          <w:rFonts w:hint="eastAsia" w:ascii="仿宋" w:hAnsi="仿宋" w:eastAsia="仿宋"/>
          <w:bCs/>
          <w:color w:val="auto"/>
          <w:sz w:val="32"/>
          <w:szCs w:val="32"/>
          <w:highlight w:val="none"/>
          <w:lang w:val="en-US" w:eastAsia="zh-CN"/>
        </w:rPr>
        <w:t>支出</w:t>
      </w:r>
      <w:r>
        <w:rPr>
          <w:rStyle w:val="15"/>
          <w:rFonts w:hint="eastAsia" w:ascii="仿宋" w:hAnsi="仿宋" w:eastAsia="仿宋"/>
          <w:bCs/>
          <w:color w:val="auto"/>
          <w:sz w:val="32"/>
          <w:szCs w:val="32"/>
          <w:highlight w:val="none"/>
        </w:rPr>
        <w:t>（类）</w:t>
      </w:r>
      <w:r>
        <w:rPr>
          <w:rStyle w:val="15"/>
          <w:rFonts w:hint="eastAsia" w:ascii="仿宋" w:hAnsi="仿宋" w:eastAsia="仿宋"/>
          <w:bCs/>
          <w:color w:val="auto"/>
          <w:sz w:val="32"/>
          <w:szCs w:val="32"/>
          <w:highlight w:val="none"/>
          <w:lang w:eastAsia="zh-CN"/>
        </w:rPr>
        <w:t>抚恤</w:t>
      </w:r>
      <w:r>
        <w:rPr>
          <w:rStyle w:val="15"/>
          <w:rFonts w:hint="eastAsia" w:ascii="仿宋" w:hAnsi="仿宋" w:eastAsia="仿宋"/>
          <w:bCs/>
          <w:color w:val="auto"/>
          <w:sz w:val="32"/>
          <w:szCs w:val="32"/>
          <w:highlight w:val="none"/>
        </w:rPr>
        <w:t>（款）</w:t>
      </w:r>
      <w:r>
        <w:rPr>
          <w:rStyle w:val="15"/>
          <w:rFonts w:hint="eastAsia" w:ascii="仿宋" w:hAnsi="仿宋" w:eastAsia="仿宋"/>
          <w:bCs/>
          <w:color w:val="auto"/>
          <w:sz w:val="32"/>
          <w:szCs w:val="32"/>
          <w:highlight w:val="none"/>
          <w:lang w:eastAsia="zh-CN"/>
        </w:rPr>
        <w:t>死亡抚恤</w:t>
      </w:r>
      <w:r>
        <w:rPr>
          <w:rStyle w:val="15"/>
          <w:rFonts w:hint="eastAsia" w:ascii="仿宋" w:hAnsi="仿宋" w:eastAsia="仿宋"/>
          <w:bCs/>
          <w:color w:val="auto"/>
          <w:sz w:val="32"/>
          <w:szCs w:val="32"/>
          <w:highlight w:val="none"/>
        </w:rPr>
        <w:t>（项）</w:t>
      </w:r>
      <w:r>
        <w:rPr>
          <w:rStyle w:val="15"/>
          <w:rFonts w:ascii="仿宋" w:hAnsi="仿宋" w:eastAsia="仿宋"/>
          <w:bCs/>
          <w:color w:val="auto"/>
          <w:sz w:val="32"/>
          <w:szCs w:val="32"/>
          <w:highlight w:val="none"/>
        </w:rPr>
        <w:t>:</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108.39</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w:t>
      </w:r>
    </w:p>
    <w:p>
      <w:pPr>
        <w:spacing w:line="600" w:lineRule="exact"/>
        <w:ind w:firstLine="643" w:firstLineChars="200"/>
        <w:rPr>
          <w:rFonts w:ascii="仿宋" w:hAnsi="仿宋" w:eastAsia="仿宋"/>
          <w:b/>
          <w:color w:val="auto"/>
          <w:sz w:val="32"/>
          <w:szCs w:val="32"/>
          <w:highlight w:val="none"/>
        </w:rPr>
      </w:pPr>
      <w:r>
        <w:rPr>
          <w:rFonts w:hint="eastAsia" w:ascii="仿宋" w:hAnsi="仿宋" w:eastAsia="仿宋"/>
          <w:b/>
          <w:bCs/>
          <w:color w:val="auto"/>
          <w:sz w:val="32"/>
          <w:szCs w:val="32"/>
          <w:highlight w:val="none"/>
          <w:lang w:val="en-US" w:eastAsia="zh-CN"/>
        </w:rPr>
        <w:t>5.</w:t>
      </w:r>
      <w:r>
        <w:rPr>
          <w:rFonts w:hint="eastAsia" w:ascii="仿宋" w:hAnsi="仿宋" w:eastAsia="仿宋"/>
          <w:b/>
          <w:bCs/>
          <w:color w:val="auto"/>
          <w:sz w:val="32"/>
          <w:szCs w:val="32"/>
          <w:highlight w:val="none"/>
        </w:rPr>
        <w:t>卫生健康</w:t>
      </w:r>
      <w:r>
        <w:rPr>
          <w:rFonts w:hint="eastAsia" w:ascii="仿宋" w:hAnsi="仿宋" w:eastAsia="仿宋"/>
          <w:b/>
          <w:bCs/>
          <w:color w:val="auto"/>
          <w:sz w:val="32"/>
          <w:szCs w:val="32"/>
          <w:highlight w:val="none"/>
          <w:lang w:val="en-US" w:eastAsia="zh-CN"/>
        </w:rPr>
        <w:t>支出</w:t>
      </w:r>
      <w:r>
        <w:rPr>
          <w:rStyle w:val="15"/>
          <w:rFonts w:hint="eastAsia" w:ascii="仿宋" w:hAnsi="仿宋" w:eastAsia="仿宋"/>
          <w:bCs/>
          <w:color w:val="auto"/>
          <w:sz w:val="32"/>
          <w:szCs w:val="32"/>
          <w:highlight w:val="none"/>
        </w:rPr>
        <w:t>（类）</w:t>
      </w:r>
      <w:r>
        <w:rPr>
          <w:rStyle w:val="15"/>
          <w:rFonts w:hint="eastAsia" w:ascii="仿宋" w:hAnsi="仿宋" w:eastAsia="仿宋"/>
          <w:bCs/>
          <w:color w:val="auto"/>
          <w:sz w:val="32"/>
          <w:szCs w:val="32"/>
          <w:highlight w:val="none"/>
          <w:lang w:eastAsia="zh-CN"/>
        </w:rPr>
        <w:t>行政事业单位医疗</w:t>
      </w:r>
      <w:r>
        <w:rPr>
          <w:rStyle w:val="15"/>
          <w:rFonts w:hint="eastAsia" w:ascii="仿宋" w:hAnsi="仿宋" w:eastAsia="仿宋"/>
          <w:bCs/>
          <w:color w:val="auto"/>
          <w:sz w:val="32"/>
          <w:szCs w:val="32"/>
          <w:highlight w:val="none"/>
        </w:rPr>
        <w:t>（款）</w:t>
      </w:r>
      <w:r>
        <w:rPr>
          <w:rStyle w:val="15"/>
          <w:rFonts w:hint="eastAsia" w:ascii="仿宋" w:hAnsi="仿宋" w:eastAsia="仿宋"/>
          <w:bCs/>
          <w:color w:val="auto"/>
          <w:sz w:val="32"/>
          <w:szCs w:val="32"/>
          <w:highlight w:val="none"/>
          <w:lang w:eastAsia="zh-CN"/>
        </w:rPr>
        <w:t>事业单位医疗</w:t>
      </w:r>
      <w:r>
        <w:rPr>
          <w:rStyle w:val="15"/>
          <w:rFonts w:hint="eastAsia" w:ascii="仿宋" w:hAnsi="仿宋" w:eastAsia="仿宋"/>
          <w:bCs/>
          <w:color w:val="auto"/>
          <w:sz w:val="32"/>
          <w:szCs w:val="32"/>
          <w:highlight w:val="none"/>
        </w:rPr>
        <w:t>（项）</w:t>
      </w:r>
      <w:r>
        <w:rPr>
          <w:rStyle w:val="15"/>
          <w:rFonts w:ascii="仿宋" w:hAnsi="仿宋" w:eastAsia="仿宋"/>
          <w:bCs/>
          <w:color w:val="auto"/>
          <w:sz w:val="32"/>
          <w:szCs w:val="32"/>
          <w:highlight w:val="none"/>
        </w:rPr>
        <w:t>:</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34.36</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w:t>
      </w:r>
    </w:p>
    <w:p>
      <w:pPr>
        <w:spacing w:line="600" w:lineRule="exact"/>
        <w:ind w:firstLine="643" w:firstLineChars="200"/>
        <w:rPr>
          <w:rFonts w:ascii="仿宋" w:hAnsi="仿宋" w:eastAsia="仿宋"/>
          <w:b/>
          <w:color w:val="auto"/>
          <w:sz w:val="32"/>
          <w:szCs w:val="32"/>
          <w:highlight w:val="none"/>
        </w:rPr>
      </w:pPr>
      <w:r>
        <w:rPr>
          <w:rFonts w:hint="eastAsia" w:ascii="仿宋" w:hAnsi="仿宋" w:eastAsia="仿宋"/>
          <w:b/>
          <w:bCs/>
          <w:color w:val="auto"/>
          <w:sz w:val="32"/>
          <w:szCs w:val="32"/>
          <w:highlight w:val="none"/>
          <w:lang w:val="en-US" w:eastAsia="zh-CN"/>
        </w:rPr>
        <w:t>6.住房保障支出（类）住房改革支出（款）住房公积金（项）：</w:t>
      </w:r>
      <w:r>
        <w:rPr>
          <w:rFonts w:hint="eastAsia" w:ascii="仿宋" w:hAnsi="仿宋" w:eastAsia="仿宋"/>
          <w:color w:val="auto"/>
          <w:sz w:val="32"/>
          <w:szCs w:val="32"/>
          <w:highlight w:val="none"/>
          <w:lang w:val="en-US" w:eastAsia="zh-CN"/>
        </w:rPr>
        <w:t>支出决算数为83.06万元，完成预算的100%。</w:t>
      </w:r>
    </w:p>
    <w:p>
      <w:pPr>
        <w:tabs>
          <w:tab w:val="right" w:pos="8306"/>
        </w:tabs>
        <w:spacing w:line="600" w:lineRule="exact"/>
        <w:ind w:firstLine="640"/>
        <w:outlineLvl w:val="1"/>
        <w:rPr>
          <w:rStyle w:val="18"/>
          <w:color w:val="auto"/>
          <w:highlight w:val="none"/>
        </w:rPr>
      </w:pPr>
      <w:bookmarkStart w:id="49" w:name="_Toc29358"/>
      <w:bookmarkStart w:id="50" w:name="_Toc15396608"/>
      <w:bookmarkStart w:id="51" w:name="_Toc15377214"/>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18"/>
          <w:rFonts w:hint="eastAsia" w:ascii="黑体" w:hAnsi="黑体" w:eastAsia="黑体"/>
          <w:b w:val="0"/>
          <w:color w:val="auto"/>
          <w:highlight w:val="none"/>
        </w:rPr>
        <w:t>般公共预算财政拨款基本支出决算情况说明</w:t>
      </w:r>
      <w:bookmarkEnd w:id="49"/>
      <w:bookmarkEnd w:id="50"/>
      <w:bookmarkEnd w:id="51"/>
      <w:r>
        <w:rPr>
          <w:rStyle w:val="18"/>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年一般公共预算财政拨款基本支出</w:t>
      </w:r>
      <w:r>
        <w:rPr>
          <w:rFonts w:hint="eastAsia" w:ascii="仿宋" w:hAnsi="仿宋" w:eastAsia="仿宋"/>
          <w:color w:val="auto"/>
          <w:sz w:val="32"/>
          <w:szCs w:val="32"/>
          <w:highlight w:val="none"/>
          <w:lang w:val="en-US" w:eastAsia="zh-CN"/>
        </w:rPr>
        <w:t>2014.91</w:t>
      </w:r>
      <w:r>
        <w:rPr>
          <w:rFonts w:hint="eastAsia" w:ascii="仿宋" w:hAnsi="仿宋" w:eastAsia="仿宋"/>
          <w:color w:val="auto"/>
          <w:sz w:val="32"/>
          <w:szCs w:val="32"/>
          <w:highlight w:val="none"/>
        </w:rPr>
        <w:t>万元，其中：</w:t>
      </w:r>
    </w:p>
    <w:p>
      <w:pPr>
        <w:spacing w:line="600" w:lineRule="exact"/>
        <w:ind w:firstLine="645"/>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1898.64</w:t>
      </w:r>
      <w:r>
        <w:rPr>
          <w:rFonts w:hint="eastAsia" w:ascii="仿宋" w:hAnsi="仿宋" w:eastAsia="仿宋"/>
          <w:color w:val="auto"/>
          <w:sz w:val="32"/>
          <w:szCs w:val="32"/>
          <w:highlight w:val="none"/>
        </w:rPr>
        <w:t>万元，主要包括：基本工资、津贴补贴、奖金、机关事业单位基本养老保险缴费、职业年金缴费、职工基本医疗保险缴费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其他社会保障缴费、住房公积金、其他工资福利支出、抚恤金、生活补助、其他对个人和家庭的补助支出等。</w:t>
      </w:r>
    </w:p>
    <w:p>
      <w:pPr>
        <w:spacing w:line="600" w:lineRule="exact"/>
        <w:ind w:firstLine="640" w:firstLineChars="200"/>
        <w:rPr>
          <w:rFonts w:ascii="仿宋" w:hAnsi="仿宋" w:eastAsia="仿宋"/>
          <w:b/>
          <w:color w:val="auto"/>
          <w:sz w:val="32"/>
          <w:szCs w:val="32"/>
          <w:highlight w:val="none"/>
        </w:rPr>
      </w:pPr>
      <w:r>
        <w:rPr>
          <w:rFonts w:hint="eastAsia" w:ascii="仿宋" w:hAnsi="仿宋" w:eastAsia="仿宋"/>
          <w:color w:val="auto"/>
          <w:sz w:val="32"/>
          <w:szCs w:val="32"/>
          <w:highlight w:val="none"/>
        </w:rPr>
        <w:t>公用经费</w:t>
      </w:r>
      <w:r>
        <w:rPr>
          <w:rFonts w:hint="eastAsia" w:ascii="仿宋" w:hAnsi="仿宋" w:eastAsia="仿宋"/>
          <w:color w:val="auto"/>
          <w:sz w:val="32"/>
          <w:szCs w:val="32"/>
          <w:highlight w:val="none"/>
          <w:lang w:val="en-US" w:eastAsia="zh-CN"/>
        </w:rPr>
        <w:t>116.26</w:t>
      </w:r>
      <w:r>
        <w:rPr>
          <w:rFonts w:hint="eastAsia" w:ascii="仿宋" w:hAnsi="仿宋" w:eastAsia="仿宋"/>
          <w:color w:val="auto"/>
          <w:sz w:val="32"/>
          <w:szCs w:val="32"/>
          <w:highlight w:val="none"/>
        </w:rPr>
        <w:t>万元，主要包括：办公费、印刷费、邮电费、差旅费、会议费、培训费、公务接待费、劳务费、工会经费、福利费、其他交通费</w:t>
      </w:r>
      <w:r>
        <w:rPr>
          <w:rFonts w:hint="eastAsia" w:ascii="仿宋" w:hAnsi="仿宋" w:eastAsia="仿宋"/>
          <w:color w:val="auto"/>
          <w:sz w:val="32"/>
          <w:szCs w:val="32"/>
          <w:highlight w:val="none"/>
          <w:lang w:val="en-US" w:eastAsia="zh-CN"/>
        </w:rPr>
        <w:t>用</w:t>
      </w:r>
      <w:r>
        <w:rPr>
          <w:rFonts w:hint="eastAsia" w:ascii="仿宋" w:hAnsi="仿宋" w:eastAsia="仿宋"/>
          <w:color w:val="auto"/>
          <w:sz w:val="32"/>
          <w:szCs w:val="32"/>
          <w:highlight w:val="none"/>
        </w:rPr>
        <w:t>、其他商品和服务支出。</w:t>
      </w:r>
    </w:p>
    <w:p>
      <w:pPr>
        <w:spacing w:line="600" w:lineRule="exact"/>
        <w:ind w:firstLine="640"/>
        <w:outlineLvl w:val="1"/>
        <w:rPr>
          <w:rStyle w:val="18"/>
          <w:rFonts w:ascii="黑体" w:hAnsi="黑体" w:eastAsia="黑体"/>
          <w:b w:val="0"/>
          <w:color w:val="auto"/>
          <w:highlight w:val="none"/>
        </w:rPr>
      </w:pPr>
      <w:bookmarkStart w:id="52" w:name="_Toc31354"/>
      <w:bookmarkStart w:id="53" w:name="_Toc15377215"/>
      <w:bookmarkStart w:id="54" w:name="_Toc15396609"/>
      <w:r>
        <w:rPr>
          <w:rFonts w:hint="eastAsia" w:ascii="黑体" w:eastAsia="黑体"/>
          <w:color w:val="auto"/>
          <w:sz w:val="32"/>
          <w:szCs w:val="32"/>
          <w:highlight w:val="none"/>
        </w:rPr>
        <w:t>七、</w:t>
      </w:r>
      <w:r>
        <w:rPr>
          <w:rStyle w:val="18"/>
          <w:rFonts w:hint="eastAsia" w:ascii="黑体" w:hAnsi="黑体" w:eastAsia="黑体"/>
          <w:b w:val="0"/>
          <w:color w:val="auto"/>
          <w:highlight w:val="none"/>
        </w:rPr>
        <w:t>财政拨款</w:t>
      </w:r>
      <w:r>
        <w:rPr>
          <w:rStyle w:val="18"/>
          <w:rFonts w:hint="eastAsia" w:ascii="黑体" w:hAnsi="黑体" w:eastAsia="黑体"/>
          <w:color w:val="auto"/>
          <w:highlight w:val="none"/>
        </w:rPr>
        <w:t>“</w:t>
      </w:r>
      <w:r>
        <w:rPr>
          <w:rStyle w:val="18"/>
          <w:rFonts w:hint="eastAsia" w:ascii="黑体" w:hAnsi="黑体" w:eastAsia="黑体"/>
          <w:b w:val="0"/>
          <w:color w:val="auto"/>
          <w:highlight w:val="none"/>
        </w:rPr>
        <w:t>三公”经费支出决算情况说明</w:t>
      </w:r>
      <w:bookmarkEnd w:id="52"/>
      <w:bookmarkEnd w:id="53"/>
      <w:bookmarkEnd w:id="54"/>
    </w:p>
    <w:p>
      <w:pPr>
        <w:spacing w:line="600" w:lineRule="exact"/>
        <w:ind w:firstLine="640"/>
        <w:outlineLvl w:val="2"/>
        <w:rPr>
          <w:rFonts w:ascii="仿宋" w:hAnsi="仿宋" w:eastAsia="仿宋"/>
          <w:b/>
          <w:color w:val="auto"/>
          <w:sz w:val="32"/>
          <w:szCs w:val="32"/>
          <w:highlight w:val="none"/>
        </w:rPr>
      </w:pPr>
      <w:bookmarkStart w:id="55" w:name="_Toc15377216"/>
      <w:r>
        <w:rPr>
          <w:rFonts w:hint="eastAsia" w:ascii="仿宋" w:hAnsi="仿宋" w:eastAsia="仿宋"/>
          <w:b/>
          <w:color w:val="auto"/>
          <w:sz w:val="32"/>
          <w:szCs w:val="32"/>
          <w:highlight w:val="none"/>
        </w:rPr>
        <w:t>（一）“三公”经费财政拨款支出决算总体情况说明</w:t>
      </w:r>
      <w:bookmarkEnd w:id="55"/>
    </w:p>
    <w:p>
      <w:pPr>
        <w:spacing w:line="600" w:lineRule="exact"/>
        <w:ind w:firstLine="640"/>
        <w:rPr>
          <w:rFonts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年“三公”经费财政拨款支出决算为</w:t>
      </w:r>
      <w:r>
        <w:rPr>
          <w:rFonts w:hint="eastAsia" w:ascii="仿宋" w:hAnsi="仿宋" w:eastAsia="仿宋"/>
          <w:color w:val="auto"/>
          <w:sz w:val="32"/>
          <w:szCs w:val="32"/>
          <w:highlight w:val="none"/>
          <w:lang w:val="en-US" w:eastAsia="zh-CN"/>
        </w:rPr>
        <w:t>0.03</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60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较上年增</w:t>
      </w:r>
      <w:r>
        <w:rPr>
          <w:rFonts w:hint="eastAsia" w:ascii="仿宋" w:hAnsi="仿宋" w:eastAsia="仿宋"/>
          <w:color w:val="auto"/>
          <w:sz w:val="32"/>
          <w:szCs w:val="32"/>
          <w:highlight w:val="none"/>
          <w:lang w:val="en-US" w:eastAsia="zh-CN"/>
        </w:rPr>
        <w:t>减少0.23万元，下降88%。</w:t>
      </w:r>
    </w:p>
    <w:p>
      <w:pPr>
        <w:spacing w:line="600" w:lineRule="exact"/>
        <w:ind w:firstLine="640"/>
        <w:outlineLvl w:val="2"/>
        <w:rPr>
          <w:rFonts w:ascii="仿宋" w:hAnsi="仿宋" w:eastAsia="仿宋"/>
          <w:b/>
          <w:color w:val="auto"/>
          <w:sz w:val="32"/>
          <w:szCs w:val="32"/>
          <w:highlight w:val="none"/>
        </w:rPr>
      </w:pPr>
      <w:bookmarkStart w:id="56" w:name="_Toc15377217"/>
      <w:r>
        <w:rPr>
          <w:rFonts w:hint="eastAsia" w:ascii="仿宋" w:hAnsi="仿宋" w:eastAsia="仿宋"/>
          <w:b/>
          <w:color w:val="auto"/>
          <w:sz w:val="32"/>
          <w:szCs w:val="32"/>
          <w:highlight w:val="none"/>
        </w:rPr>
        <w:t>（二）“三公”经费财政拨款支出决算具体情况说明</w:t>
      </w:r>
      <w:bookmarkEnd w:id="56"/>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0.03</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pStyle w:val="2"/>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drawing>
          <wp:anchor distT="0" distB="0" distL="114300" distR="114300" simplePos="0" relativeHeight="251663360" behindDoc="0" locked="0" layoutInCell="1" allowOverlap="1">
            <wp:simplePos x="0" y="0"/>
            <wp:positionH relativeFrom="column">
              <wp:posOffset>325120</wp:posOffset>
            </wp:positionH>
            <wp:positionV relativeFrom="paragraph">
              <wp:posOffset>208915</wp:posOffset>
            </wp:positionV>
            <wp:extent cx="4323080" cy="2778760"/>
            <wp:effectExtent l="4445" t="4445" r="15875" b="17145"/>
            <wp:wrapSquare wrapText="bothSides"/>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pPr>
        <w:pStyle w:val="2"/>
        <w:rPr>
          <w:rFonts w:hint="eastAsia" w:ascii="仿宋" w:hAnsi="仿宋" w:eastAsia="仿宋"/>
          <w:color w:val="auto"/>
          <w:sz w:val="32"/>
          <w:szCs w:val="32"/>
          <w:highlight w:val="none"/>
          <w:lang w:eastAsia="zh-CN"/>
        </w:rPr>
      </w:pPr>
    </w:p>
    <w:p>
      <w:pPr>
        <w:pStyle w:val="2"/>
        <w:rPr>
          <w:rFonts w:hint="eastAsia" w:ascii="仿宋" w:hAnsi="仿宋" w:eastAsia="仿宋"/>
          <w:color w:val="auto"/>
          <w:sz w:val="32"/>
          <w:szCs w:val="32"/>
          <w:highlight w:val="none"/>
          <w:lang w:eastAsia="zh-CN"/>
        </w:rPr>
      </w:pPr>
    </w:p>
    <w:p>
      <w:pPr>
        <w:pStyle w:val="2"/>
        <w:rPr>
          <w:rFonts w:hint="eastAsia" w:ascii="仿宋" w:hAnsi="仿宋" w:eastAsia="仿宋"/>
          <w:color w:val="auto"/>
          <w:sz w:val="32"/>
          <w:szCs w:val="32"/>
          <w:highlight w:val="none"/>
        </w:rPr>
      </w:pPr>
    </w:p>
    <w:p>
      <w:pPr>
        <w:pStyle w:val="2"/>
        <w:rPr>
          <w:rFonts w:hint="eastAsia" w:ascii="仿宋" w:hAnsi="仿宋" w:eastAsia="仿宋"/>
          <w:color w:val="auto"/>
          <w:sz w:val="32"/>
          <w:szCs w:val="32"/>
          <w:highlight w:val="none"/>
        </w:rPr>
      </w:pPr>
    </w:p>
    <w:p>
      <w:pPr>
        <w:pStyle w:val="2"/>
        <w:rPr>
          <w:rFonts w:hint="eastAsia" w:ascii="仿宋" w:hAnsi="仿宋" w:eastAsia="仿宋"/>
          <w:color w:val="auto"/>
          <w:sz w:val="32"/>
          <w:szCs w:val="32"/>
          <w:highlight w:val="none"/>
        </w:rPr>
      </w:pPr>
    </w:p>
    <w:p>
      <w:pPr>
        <w:pStyle w:val="2"/>
        <w:rPr>
          <w:rFonts w:hint="eastAsia" w:ascii="仿宋" w:hAnsi="仿宋" w:eastAsia="仿宋"/>
          <w:color w:val="auto"/>
          <w:sz w:val="32"/>
          <w:szCs w:val="32"/>
          <w:highlight w:val="none"/>
        </w:rPr>
      </w:pPr>
    </w:p>
    <w:p>
      <w:pPr>
        <w:pStyle w:val="2"/>
        <w:rPr>
          <w:rFonts w:hint="eastAsia" w:ascii="仿宋" w:hAnsi="仿宋" w:eastAsia="仿宋"/>
          <w:color w:val="auto"/>
          <w:sz w:val="32"/>
          <w:szCs w:val="32"/>
          <w:highlight w:val="none"/>
        </w:rPr>
      </w:pPr>
    </w:p>
    <w:p>
      <w:pPr>
        <w:pStyle w:val="2"/>
        <w:rPr>
          <w:rFonts w:hint="eastAsia" w:ascii="仿宋" w:hAnsi="仿宋" w:eastAsia="仿宋"/>
          <w:b/>
          <w:bCs/>
          <w:color w:val="auto"/>
          <w:sz w:val="32"/>
          <w:szCs w:val="32"/>
          <w:highlight w:val="none"/>
        </w:rPr>
      </w:pPr>
    </w:p>
    <w:p>
      <w:pPr>
        <w:spacing w:line="600" w:lineRule="exact"/>
        <w:ind w:firstLine="640"/>
        <w:jc w:val="center"/>
        <w:rPr>
          <w:rFonts w:ascii="仿宋_GB2312" w:eastAsia="仿宋_GB2312"/>
          <w:b/>
          <w:color w:val="auto"/>
          <w:sz w:val="32"/>
          <w:szCs w:val="32"/>
          <w:highlight w:val="none"/>
        </w:rPr>
      </w:pPr>
      <w:r>
        <w:rPr>
          <w:rFonts w:hint="eastAsia" w:ascii="仿宋" w:hAnsi="仿宋" w:eastAsia="仿宋"/>
          <w:color w:val="auto"/>
          <w:sz w:val="32"/>
          <w:szCs w:val="32"/>
          <w:highlight w:val="none"/>
        </w:rPr>
        <w:t>（图7：“三公”经费财政拨款支出结构）</w:t>
      </w:r>
    </w:p>
    <w:p>
      <w:pPr>
        <w:spacing w:line="600" w:lineRule="exact"/>
        <w:ind w:firstLine="640"/>
        <w:rPr>
          <w:rFonts w:hint="default" w:ascii="仿宋_GB2312" w:eastAsia="仿宋_GB2312"/>
          <w:b/>
          <w:color w:val="auto"/>
          <w:sz w:val="32"/>
          <w:szCs w:val="32"/>
          <w:highlight w:val="none"/>
          <w:lang w:val="en-US"/>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b/>
          <w:color w:val="auto"/>
          <w:sz w:val="32"/>
          <w:szCs w:val="32"/>
          <w:highlight w:val="none"/>
          <w:lang w:val="en-US" w:eastAsia="zh-CN"/>
        </w:rPr>
        <w:t>0</w:t>
      </w:r>
      <w:r>
        <w:rPr>
          <w:rFonts w:hint="eastAsia" w:ascii="仿宋_GB2312" w:eastAsia="仿宋_GB2312"/>
          <w:b/>
          <w:color w:val="auto"/>
          <w:sz w:val="32"/>
          <w:szCs w:val="32"/>
          <w:highlight w:val="none"/>
        </w:rPr>
        <w:t>万元，</w:t>
      </w:r>
      <w:r>
        <w:rPr>
          <w:rFonts w:hint="eastAsia" w:ascii="仿宋_GB2312" w:eastAsia="仿宋_GB2312"/>
          <w:b/>
          <w:color w:val="auto"/>
          <w:sz w:val="32"/>
          <w:szCs w:val="32"/>
          <w:highlight w:val="none"/>
          <w:lang w:val="en-US" w:eastAsia="zh-CN"/>
        </w:rPr>
        <w:t>年初未安排预算</w:t>
      </w:r>
      <w:r>
        <w:rPr>
          <w:rFonts w:hint="default" w:ascii="仿宋_GB2312" w:eastAsia="仿宋_GB2312"/>
          <w:b/>
          <w:color w:val="auto"/>
          <w:sz w:val="32"/>
          <w:szCs w:val="32"/>
          <w:highlight w:val="none"/>
          <w:lang w:eastAsia="zh-CN"/>
        </w:rPr>
        <w:t>,较上年无变化</w:t>
      </w:r>
      <w:r>
        <w:rPr>
          <w:rFonts w:hint="eastAsia" w:ascii="仿宋_GB2312" w:eastAsia="仿宋_GB2312"/>
          <w:b/>
          <w:color w:val="auto"/>
          <w:sz w:val="32"/>
          <w:szCs w:val="32"/>
          <w:highlight w:val="none"/>
          <w:lang w:val="en-US" w:eastAsia="zh-CN"/>
        </w:rPr>
        <w:t>。</w:t>
      </w:r>
    </w:p>
    <w:p>
      <w:pPr>
        <w:keepNext w:val="0"/>
        <w:keepLines w:val="0"/>
        <w:widowControl/>
        <w:suppressLineNumbers w:val="0"/>
        <w:spacing w:before="0" w:beforeAutospacing="0" w:after="0" w:afterAutospacing="0" w:line="600" w:lineRule="exact"/>
        <w:ind w:left="0" w:right="0" w:firstLine="0"/>
        <w:jc w:val="both"/>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5"/>
          <w:rFonts w:hint="eastAsia" w:ascii="仿宋" w:hAnsi="仿宋" w:eastAsia="仿宋"/>
          <w:b w:val="0"/>
          <w:bCs/>
          <w:color w:val="auto"/>
          <w:sz w:val="32"/>
          <w:szCs w:val="32"/>
          <w:highlight w:val="none"/>
          <w:lang w:eastAsia="zh-CN"/>
        </w:rPr>
        <w:t>年初未安排预算</w:t>
      </w:r>
      <w:r>
        <w:rPr>
          <w:rStyle w:val="15"/>
          <w:rFonts w:hint="default" w:ascii="仿宋" w:hAnsi="仿宋" w:eastAsia="仿宋"/>
          <w:b w:val="0"/>
          <w:bCs/>
          <w:color w:val="auto"/>
          <w:sz w:val="32"/>
          <w:szCs w:val="32"/>
          <w:highlight w:val="none"/>
          <w:lang w:eastAsia="zh-CN"/>
        </w:rPr>
        <w:t>，较上年无变化，</w:t>
      </w:r>
      <w:r>
        <w:rPr>
          <w:rFonts w:ascii="仿宋_GB2312" w:hAnsi="Times New Roman" w:eastAsia="仿宋_GB2312" w:cs="仿宋_GB2312"/>
          <w:i w:val="0"/>
          <w:iCs w:val="0"/>
          <w:caps w:val="0"/>
          <w:color w:val="000000"/>
          <w:spacing w:val="0"/>
          <w:kern w:val="0"/>
          <w:sz w:val="32"/>
          <w:szCs w:val="32"/>
          <w:lang w:val="en-US" w:eastAsia="zh-CN" w:bidi="ar"/>
        </w:rPr>
        <w:t>20</w:t>
      </w:r>
      <w:r>
        <w:rPr>
          <w:rFonts w:hint="default" w:ascii="仿宋_GB2312" w:hAnsi="Times New Roman" w:eastAsia="仿宋_GB2312" w:cs="仿宋_GB2312"/>
          <w:i w:val="0"/>
          <w:iCs w:val="0"/>
          <w:caps w:val="0"/>
          <w:color w:val="000000"/>
          <w:spacing w:val="0"/>
          <w:kern w:val="0"/>
          <w:sz w:val="32"/>
          <w:szCs w:val="32"/>
          <w:lang w:val="en-US" w:eastAsia="zh-CN" w:bidi="ar"/>
        </w:rPr>
        <w:t>22年12月底，单位共有公务用车</w:t>
      </w:r>
      <w:r>
        <w:rPr>
          <w:rFonts w:hint="default" w:ascii="仿宋_GB2312" w:hAnsi="Times New Roman" w:eastAsia="仿宋_GB2312" w:cs="仿宋_GB2312"/>
          <w:i w:val="0"/>
          <w:iCs w:val="0"/>
          <w:caps w:val="0"/>
          <w:color w:val="000000"/>
          <w:spacing w:val="0"/>
          <w:kern w:val="0"/>
          <w:sz w:val="32"/>
          <w:szCs w:val="32"/>
          <w:lang w:eastAsia="zh-CN" w:bidi="ar"/>
        </w:rPr>
        <w:t>0</w:t>
      </w:r>
      <w:r>
        <w:rPr>
          <w:rFonts w:hint="default" w:ascii="仿宋_GB2312" w:hAnsi="Times New Roman" w:eastAsia="仿宋_GB2312" w:cs="仿宋_GB2312"/>
          <w:i w:val="0"/>
          <w:iCs w:val="0"/>
          <w:caps w:val="0"/>
          <w:color w:val="000000"/>
          <w:spacing w:val="0"/>
          <w:kern w:val="0"/>
          <w:sz w:val="32"/>
          <w:szCs w:val="32"/>
          <w:lang w:val="en-US" w:eastAsia="zh-CN" w:bidi="ar"/>
        </w:rPr>
        <w:t>辆</w:t>
      </w:r>
      <w:r>
        <w:rPr>
          <w:rStyle w:val="15"/>
          <w:rFonts w:hint="eastAsia" w:ascii="仿宋" w:hAnsi="仿宋" w:eastAsia="仿宋"/>
          <w:b w:val="0"/>
          <w:bCs/>
          <w:color w:val="auto"/>
          <w:sz w:val="32"/>
          <w:szCs w:val="32"/>
          <w:highlight w:val="none"/>
          <w:lang w:eastAsia="zh-CN"/>
        </w:rPr>
        <w:t>。</w:t>
      </w:r>
    </w:p>
    <w:p>
      <w:pPr>
        <w:spacing w:line="600" w:lineRule="exact"/>
        <w:ind w:firstLine="640"/>
        <w:rPr>
          <w:rFonts w:ascii="仿宋_GB2312" w:eastAsia="仿宋_GB2312"/>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b/>
          <w:color w:val="auto"/>
          <w:sz w:val="32"/>
          <w:szCs w:val="32"/>
          <w:highlight w:val="none"/>
          <w:lang w:val="en-US" w:eastAsia="zh-CN"/>
        </w:rPr>
        <w:t>0.03</w:t>
      </w:r>
      <w:r>
        <w:rPr>
          <w:rFonts w:hint="eastAsia" w:ascii="仿宋_GB2312" w:eastAsia="仿宋_GB2312"/>
          <w:color w:val="auto"/>
          <w:sz w:val="32"/>
          <w:szCs w:val="32"/>
          <w:highlight w:val="none"/>
        </w:rPr>
        <w:t>万元，</w:t>
      </w:r>
      <w:r>
        <w:rPr>
          <w:rStyle w:val="15"/>
          <w:rFonts w:hint="eastAsia" w:ascii="仿宋" w:hAnsi="仿宋" w:eastAsia="仿宋"/>
          <w:b w:val="0"/>
          <w:bCs/>
          <w:color w:val="auto"/>
          <w:sz w:val="32"/>
          <w:szCs w:val="32"/>
          <w:highlight w:val="none"/>
        </w:rPr>
        <w:t>完成预算</w:t>
      </w:r>
      <w:r>
        <w:rPr>
          <w:rStyle w:val="15"/>
          <w:rFonts w:hint="eastAsia" w:ascii="仿宋" w:hAnsi="仿宋" w:eastAsia="仿宋"/>
          <w:b w:val="0"/>
          <w:bCs/>
          <w:color w:val="auto"/>
          <w:sz w:val="32"/>
          <w:szCs w:val="32"/>
          <w:highlight w:val="none"/>
          <w:lang w:val="en-US" w:eastAsia="zh-CN"/>
        </w:rPr>
        <w:t>60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公务接待费支出决算比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年减少</w:t>
      </w:r>
      <w:r>
        <w:rPr>
          <w:rFonts w:hint="eastAsia" w:ascii="仿宋_GB2312" w:eastAsia="仿宋_GB2312"/>
          <w:color w:val="auto"/>
          <w:sz w:val="32"/>
          <w:szCs w:val="32"/>
          <w:highlight w:val="none"/>
          <w:lang w:val="en-US" w:eastAsia="zh-CN"/>
        </w:rPr>
        <w:t>0.23</w:t>
      </w:r>
      <w:r>
        <w:rPr>
          <w:rFonts w:hint="eastAsia" w:ascii="仿宋_GB2312" w:eastAsia="仿宋_GB2312"/>
          <w:color w:val="auto"/>
          <w:sz w:val="32"/>
          <w:szCs w:val="32"/>
          <w:highlight w:val="none"/>
        </w:rPr>
        <w:t>万元，下降</w:t>
      </w:r>
      <w:r>
        <w:rPr>
          <w:rFonts w:hint="eastAsia" w:ascii="仿宋_GB2312" w:eastAsia="仿宋_GB2312"/>
          <w:color w:val="auto"/>
          <w:sz w:val="32"/>
          <w:szCs w:val="32"/>
          <w:highlight w:val="none"/>
          <w:lang w:val="en-US" w:eastAsia="zh-CN"/>
        </w:rPr>
        <w:t>88</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eastAsia="zh-CN"/>
        </w:rPr>
        <w:t>厉行节约，减少接待支出</w:t>
      </w:r>
      <w:r>
        <w:rPr>
          <w:rFonts w:hint="eastAsia" w:ascii="仿宋_GB2312" w:eastAsia="仿宋_GB2312"/>
          <w:color w:val="auto"/>
          <w:sz w:val="32"/>
          <w:szCs w:val="32"/>
          <w:highlight w:val="none"/>
        </w:rPr>
        <w:t>。其中：</w:t>
      </w:r>
    </w:p>
    <w:p>
      <w:pPr>
        <w:spacing w:line="600" w:lineRule="exact"/>
        <w:ind w:firstLine="640"/>
        <w:rPr>
          <w:rFonts w:ascii="仿宋_GB2312" w:eastAsia="仿宋_GB2312"/>
          <w:color w:val="auto"/>
          <w:sz w:val="32"/>
          <w:szCs w:val="32"/>
          <w:highlight w:val="none"/>
        </w:rPr>
      </w:pPr>
      <w:r>
        <w:rPr>
          <w:rFonts w:hint="eastAsia" w:ascii="仿宋" w:hAnsi="仿宋" w:eastAsia="仿宋"/>
          <w:b/>
          <w:color w:val="auto"/>
          <w:sz w:val="32"/>
          <w:szCs w:val="32"/>
          <w:highlight w:val="none"/>
        </w:rPr>
        <w:t>国内公务接待支出</w:t>
      </w:r>
      <w:r>
        <w:rPr>
          <w:rFonts w:hint="eastAsia" w:ascii="仿宋" w:hAnsi="仿宋" w:eastAsia="仿宋"/>
          <w:color w:val="auto"/>
          <w:sz w:val="32"/>
          <w:szCs w:val="32"/>
          <w:highlight w:val="none"/>
          <w:lang w:val="en-US" w:eastAsia="zh-CN"/>
        </w:rPr>
        <w:t>0.03</w:t>
      </w:r>
      <w:r>
        <w:rPr>
          <w:rFonts w:hint="eastAsia" w:ascii="仿宋_GB2312" w:eastAsia="仿宋_GB2312"/>
          <w:color w:val="auto"/>
          <w:sz w:val="32"/>
          <w:szCs w:val="32"/>
          <w:highlight w:val="none"/>
        </w:rPr>
        <w:t>万元，主要用于</w:t>
      </w:r>
      <w:r>
        <w:rPr>
          <w:rFonts w:hint="eastAsia" w:ascii="仿宋_GB2312" w:eastAsia="仿宋_GB2312"/>
          <w:color w:val="auto"/>
          <w:sz w:val="32"/>
          <w:szCs w:val="32"/>
          <w:highlight w:val="none"/>
          <w:lang w:eastAsia="zh-CN"/>
        </w:rPr>
        <w:t>绵阳市游仙区社保局开展标准化建设交流学习</w:t>
      </w:r>
      <w:r>
        <w:rPr>
          <w:rFonts w:hint="eastAsia" w:ascii="仿宋_GB2312" w:eastAsia="仿宋_GB2312"/>
          <w:color w:val="auto"/>
          <w:sz w:val="32"/>
          <w:szCs w:val="32"/>
          <w:highlight w:val="none"/>
        </w:rPr>
        <w:t>用餐费。国内公务接待</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人次（不包括陪同人员），共计支出</w:t>
      </w:r>
      <w:r>
        <w:rPr>
          <w:rFonts w:hint="eastAsia" w:ascii="仿宋_GB2312" w:eastAsia="仿宋_GB2312"/>
          <w:color w:val="auto"/>
          <w:sz w:val="32"/>
          <w:szCs w:val="32"/>
          <w:highlight w:val="none"/>
          <w:lang w:val="en-US" w:eastAsia="zh-CN"/>
        </w:rPr>
        <w:t>0.03</w:t>
      </w:r>
      <w:r>
        <w:rPr>
          <w:rFonts w:hint="eastAsia" w:ascii="仿宋_GB2312" w:eastAsia="仿宋_GB2312"/>
          <w:color w:val="auto"/>
          <w:sz w:val="32"/>
          <w:szCs w:val="32"/>
          <w:highlight w:val="none"/>
        </w:rPr>
        <w:t>万元，具体内容包括：</w:t>
      </w:r>
      <w:r>
        <w:rPr>
          <w:rFonts w:hint="eastAsia" w:ascii="仿宋_GB2312" w:eastAsia="仿宋_GB2312"/>
          <w:color w:val="auto"/>
          <w:sz w:val="32"/>
          <w:szCs w:val="32"/>
          <w:highlight w:val="none"/>
          <w:lang w:eastAsia="zh-CN"/>
        </w:rPr>
        <w:t>用餐费</w:t>
      </w:r>
      <w:r>
        <w:rPr>
          <w:rFonts w:hint="eastAsia" w:ascii="仿宋_GB2312" w:eastAsia="仿宋_GB2312"/>
          <w:color w:val="auto"/>
          <w:sz w:val="32"/>
          <w:szCs w:val="32"/>
          <w:highlight w:val="none"/>
          <w:lang w:val="en-US" w:eastAsia="zh-CN"/>
        </w:rPr>
        <w:t>0.03万元</w:t>
      </w:r>
      <w:r>
        <w:rPr>
          <w:rFonts w:hint="eastAsia" w:ascii="仿宋_GB2312" w:eastAsia="仿宋_GB2312"/>
          <w:color w:val="auto"/>
          <w:sz w:val="32"/>
          <w:szCs w:val="32"/>
          <w:highlight w:val="none"/>
        </w:rPr>
        <w:t>。</w:t>
      </w:r>
    </w:p>
    <w:p>
      <w:pPr>
        <w:spacing w:line="600" w:lineRule="exact"/>
        <w:ind w:firstLine="643" w:firstLineChars="200"/>
        <w:rPr>
          <w:rFonts w:hint="eastAsia" w:ascii="仿宋_GB2312" w:eastAsia="仿宋_GB2312"/>
          <w:color w:val="auto"/>
          <w:sz w:val="32"/>
          <w:szCs w:val="32"/>
          <w:highlight w:val="none"/>
          <w:lang w:eastAsia="zh-CN"/>
        </w:rPr>
      </w:pPr>
      <w:r>
        <w:rPr>
          <w:rFonts w:hint="eastAsia" w:ascii="仿宋" w:hAnsi="仿宋" w:eastAsia="仿宋"/>
          <w:b/>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p>
    <w:p>
      <w:pPr>
        <w:spacing w:line="600" w:lineRule="exact"/>
        <w:ind w:firstLine="640"/>
        <w:outlineLvl w:val="1"/>
        <w:rPr>
          <w:rStyle w:val="18"/>
          <w:rFonts w:ascii="黑体" w:hAnsi="黑体" w:eastAsia="黑体"/>
          <w:color w:val="auto"/>
          <w:highlight w:val="none"/>
        </w:rPr>
      </w:pPr>
      <w:bookmarkStart w:id="57" w:name="_Toc15377218"/>
      <w:bookmarkStart w:id="58" w:name="_Toc22337"/>
      <w:bookmarkStart w:id="59" w:name="_Toc15396610"/>
      <w:r>
        <w:rPr>
          <w:rFonts w:hint="eastAsia" w:ascii="黑体" w:eastAsia="黑体"/>
          <w:color w:val="auto"/>
          <w:sz w:val="32"/>
          <w:szCs w:val="32"/>
          <w:highlight w:val="none"/>
        </w:rPr>
        <w:t>八、</w:t>
      </w:r>
      <w:r>
        <w:rPr>
          <w:rStyle w:val="18"/>
          <w:rFonts w:hint="eastAsia" w:ascii="黑体" w:hAnsi="黑体" w:eastAsia="黑体"/>
          <w:b w:val="0"/>
          <w:color w:val="auto"/>
          <w:highlight w:val="none"/>
        </w:rPr>
        <w:t>政府性基金预算支出决算情况说明</w:t>
      </w:r>
      <w:bookmarkEnd w:id="57"/>
      <w:bookmarkEnd w:id="58"/>
      <w:bookmarkEnd w:id="59"/>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3"/>
        </w:numPr>
        <w:spacing w:line="600" w:lineRule="exact"/>
        <w:ind w:firstLine="640"/>
        <w:outlineLvl w:val="1"/>
        <w:rPr>
          <w:rStyle w:val="18"/>
          <w:rFonts w:ascii="黑体" w:hAnsi="黑体" w:eastAsia="黑体"/>
          <w:b w:val="0"/>
          <w:color w:val="auto"/>
          <w:highlight w:val="none"/>
        </w:rPr>
      </w:pPr>
      <w:bookmarkStart w:id="60" w:name="_Toc4566"/>
      <w:bookmarkStart w:id="61" w:name="_Toc15396611"/>
      <w:bookmarkStart w:id="62" w:name="_Toc15377219"/>
      <w:r>
        <w:rPr>
          <w:rStyle w:val="18"/>
          <w:rFonts w:hint="eastAsia" w:ascii="黑体" w:hAnsi="黑体" w:eastAsia="黑体"/>
          <w:b w:val="0"/>
          <w:color w:val="auto"/>
          <w:highlight w:val="none"/>
        </w:rPr>
        <w:t>国有资本经营预算支出决算情况说明</w:t>
      </w:r>
      <w:bookmarkEnd w:id="60"/>
      <w:bookmarkEnd w:id="61"/>
      <w:bookmarkEnd w:id="62"/>
    </w:p>
    <w:p>
      <w:pPr>
        <w:spacing w:line="600" w:lineRule="exact"/>
        <w:ind w:firstLine="640"/>
        <w:rPr>
          <w:rFonts w:hint="eastAsia"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3"/>
        </w:numPr>
        <w:spacing w:line="600" w:lineRule="exact"/>
        <w:ind w:firstLine="640"/>
        <w:outlineLvl w:val="1"/>
        <w:rPr>
          <w:rStyle w:val="18"/>
          <w:rFonts w:hint="eastAsia" w:ascii="黑体" w:hAnsi="黑体" w:eastAsia="黑体"/>
          <w:b w:val="0"/>
          <w:color w:val="auto"/>
          <w:highlight w:val="none"/>
        </w:rPr>
      </w:pPr>
      <w:bookmarkStart w:id="63" w:name="_Toc15377221"/>
      <w:bookmarkStart w:id="64" w:name="_Toc15396612"/>
      <w:bookmarkStart w:id="65" w:name="_Toc9992"/>
      <w:r>
        <w:rPr>
          <w:rStyle w:val="18"/>
          <w:rFonts w:hint="eastAsia" w:ascii="黑体" w:hAnsi="黑体" w:eastAsia="黑体"/>
          <w:b w:val="0"/>
          <w:color w:val="auto"/>
          <w:highlight w:val="none"/>
        </w:rPr>
        <w:t>其他重要事项的情况说明</w:t>
      </w:r>
      <w:bookmarkEnd w:id="63"/>
      <w:bookmarkEnd w:id="64"/>
      <w:bookmarkEnd w:id="65"/>
    </w:p>
    <w:p>
      <w:pPr>
        <w:spacing w:line="600" w:lineRule="exact"/>
        <w:ind w:firstLine="643" w:firstLineChars="200"/>
        <w:outlineLvl w:val="2"/>
        <w:rPr>
          <w:rFonts w:ascii="仿宋" w:hAnsi="仿宋" w:eastAsia="仿宋"/>
          <w:color w:val="auto"/>
          <w:sz w:val="32"/>
          <w:szCs w:val="32"/>
          <w:highlight w:val="none"/>
        </w:rPr>
      </w:pPr>
      <w:bookmarkStart w:id="66" w:name="_Toc15377222"/>
      <w:r>
        <w:rPr>
          <w:rFonts w:hint="eastAsia" w:ascii="仿宋" w:hAnsi="仿宋" w:eastAsia="仿宋"/>
          <w:b/>
          <w:color w:val="auto"/>
          <w:sz w:val="32"/>
          <w:szCs w:val="32"/>
          <w:highlight w:val="none"/>
        </w:rPr>
        <w:t>（一）机关运行经费支出情况</w:t>
      </w:r>
      <w:bookmarkEnd w:id="66"/>
    </w:p>
    <w:p>
      <w:pPr>
        <w:spacing w:line="600" w:lineRule="exact"/>
        <w:ind w:firstLine="640" w:firstLineChars="200"/>
        <w:rPr>
          <w:rFonts w:hint="eastAsia" w:ascii="仿宋_GB2312" w:eastAsia="仿宋_GB2312"/>
          <w:color w:val="auto"/>
          <w:sz w:val="32"/>
          <w:szCs w:val="32"/>
          <w:highlight w:val="none"/>
          <w:lang w:eastAsia="zh-C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广元市社会保险事务中心</w:t>
      </w:r>
      <w:r>
        <w:rPr>
          <w:rFonts w:hint="eastAsia" w:ascii="仿宋_GB2312" w:eastAsia="仿宋_GB2312"/>
          <w:color w:val="auto"/>
          <w:sz w:val="32"/>
          <w:szCs w:val="32"/>
          <w:highlight w:val="none"/>
        </w:rPr>
        <w:t>机关运行经费支出</w:t>
      </w:r>
      <w:r>
        <w:rPr>
          <w:rFonts w:hint="eastAsia" w:ascii="仿宋_GB2312" w:eastAsia="仿宋_GB2312"/>
          <w:color w:val="auto"/>
          <w:sz w:val="32"/>
          <w:szCs w:val="32"/>
          <w:highlight w:val="none"/>
          <w:lang w:val="en-US" w:eastAsia="zh-CN"/>
        </w:rPr>
        <w:t>166.26</w:t>
      </w:r>
      <w:r>
        <w:rPr>
          <w:rFonts w:hint="eastAsia" w:ascii="仿宋_GB2312" w:eastAsia="仿宋_GB2312"/>
          <w:color w:val="auto"/>
          <w:sz w:val="32"/>
          <w:szCs w:val="32"/>
          <w:highlight w:val="none"/>
        </w:rPr>
        <w:t>万元，比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减少</w:t>
      </w:r>
      <w:r>
        <w:rPr>
          <w:rFonts w:hint="eastAsia" w:ascii="仿宋_GB2312" w:eastAsia="仿宋_GB2312"/>
          <w:color w:val="auto"/>
          <w:sz w:val="32"/>
          <w:szCs w:val="32"/>
          <w:highlight w:val="none"/>
          <w:lang w:val="en-US" w:eastAsia="zh-CN"/>
        </w:rPr>
        <w:t>27.91</w:t>
      </w:r>
      <w:r>
        <w:rPr>
          <w:rFonts w:hint="eastAsia" w:ascii="仿宋_GB2312" w:eastAsia="仿宋_GB2312"/>
          <w:color w:val="auto"/>
          <w:sz w:val="32"/>
          <w:szCs w:val="32"/>
          <w:highlight w:val="none"/>
        </w:rPr>
        <w:t>万元，下降</w:t>
      </w:r>
      <w:r>
        <w:rPr>
          <w:rFonts w:hint="eastAsia" w:ascii="仿宋_GB2312" w:eastAsia="仿宋_GB2312"/>
          <w:color w:val="auto"/>
          <w:sz w:val="32"/>
          <w:szCs w:val="32"/>
          <w:highlight w:val="none"/>
          <w:lang w:val="en-US" w:eastAsia="zh-CN"/>
        </w:rPr>
        <w:t>19.36</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eastAsia="zh-CN"/>
        </w:rPr>
        <w:t>厉行节约，严控开支。</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67" w:name="_Toc15377223"/>
      <w:r>
        <w:rPr>
          <w:rFonts w:hint="eastAsia" w:ascii="仿宋" w:hAnsi="仿宋" w:eastAsia="仿宋"/>
          <w:b/>
          <w:color w:val="auto"/>
          <w:sz w:val="32"/>
          <w:szCs w:val="32"/>
          <w:highlight w:val="none"/>
        </w:rPr>
        <w:t>（二）政府采购支出情况</w:t>
      </w:r>
      <w:bookmarkEnd w:id="67"/>
    </w:p>
    <w:p>
      <w:pPr>
        <w:spacing w:line="600" w:lineRule="exact"/>
        <w:ind w:firstLine="640" w:firstLineChars="200"/>
        <w:rPr>
          <w:rFonts w:hint="eastAsia" w:ascii="仿宋_GB2312" w:eastAsia="仿宋_GB2312"/>
          <w:color w:val="auto"/>
          <w:sz w:val="32"/>
          <w:szCs w:val="32"/>
          <w:highlight w:val="none"/>
          <w:lang w:eastAsia="zh-C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广元市社会保险事务中心</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68" w:name="_Toc15377224"/>
      <w:r>
        <w:rPr>
          <w:rFonts w:hint="eastAsia" w:ascii="仿宋" w:hAnsi="仿宋" w:eastAsia="仿宋"/>
          <w:b/>
          <w:color w:val="auto"/>
          <w:sz w:val="32"/>
          <w:szCs w:val="32"/>
          <w:highlight w:val="none"/>
        </w:rPr>
        <w:t>（三）国有资产占有使用情况</w:t>
      </w:r>
      <w:bookmarkEnd w:id="68"/>
    </w:p>
    <w:p>
      <w:pPr>
        <w:keepNext w:val="0"/>
        <w:keepLines w:val="0"/>
        <w:widowControl/>
        <w:suppressLineNumbers w:val="0"/>
        <w:spacing w:before="0" w:beforeAutospacing="0" w:after="0" w:afterAutospacing="0" w:line="600" w:lineRule="atLeast"/>
        <w:ind w:left="0" w:right="0" w:firstLine="640"/>
        <w:jc w:val="left"/>
        <w:rPr>
          <w:rFonts w:hint="default" w:ascii="Times New Roman" w:hAnsi="Times New Roman" w:cs="Times New Roman"/>
          <w:i w:val="0"/>
          <w:iCs w:val="0"/>
          <w:caps w:val="0"/>
          <w:color w:val="000000"/>
          <w:spacing w:val="0"/>
          <w:sz w:val="21"/>
          <w:szCs w:val="21"/>
        </w:rPr>
      </w:pPr>
      <w:r>
        <w:rPr>
          <w:rFonts w:ascii="仿宋_GB2312" w:hAnsi="Times New Roman" w:eastAsia="仿宋_GB2312" w:cs="仿宋_GB2312"/>
          <w:i w:val="0"/>
          <w:iCs w:val="0"/>
          <w:caps w:val="0"/>
          <w:color w:val="000000"/>
          <w:spacing w:val="0"/>
          <w:kern w:val="0"/>
          <w:sz w:val="32"/>
          <w:szCs w:val="32"/>
          <w:lang w:val="en-US" w:eastAsia="zh-CN" w:bidi="ar"/>
        </w:rPr>
        <w:t>截至</w:t>
      </w:r>
      <w:r>
        <w:rPr>
          <w:rFonts w:hint="default" w:ascii="仿宋_GB2312" w:hAnsi="Times New Roman" w:eastAsia="仿宋_GB2312" w:cs="仿宋_GB2312"/>
          <w:i w:val="0"/>
          <w:iCs w:val="0"/>
          <w:caps w:val="0"/>
          <w:color w:val="000000"/>
          <w:spacing w:val="0"/>
          <w:kern w:val="0"/>
          <w:sz w:val="32"/>
          <w:szCs w:val="32"/>
          <w:lang w:val="en-US" w:eastAsia="zh-CN" w:bidi="ar"/>
        </w:rPr>
        <w:t>2022年12月31日，</w:t>
      </w:r>
      <w:r>
        <w:rPr>
          <w:rFonts w:hint="default" w:ascii="仿宋_GB2312" w:hAnsi="Times New Roman" w:eastAsia="仿宋_GB2312" w:cs="仿宋_GB2312"/>
          <w:i w:val="0"/>
          <w:iCs w:val="0"/>
          <w:caps w:val="0"/>
          <w:color w:val="000000"/>
          <w:spacing w:val="0"/>
          <w:kern w:val="0"/>
          <w:sz w:val="32"/>
          <w:szCs w:val="32"/>
          <w:lang w:eastAsia="zh-CN" w:bidi="ar"/>
        </w:rPr>
        <w:t>我单位</w:t>
      </w:r>
      <w:r>
        <w:rPr>
          <w:rFonts w:hint="default" w:ascii="仿宋_GB2312" w:hAnsi="Times New Roman" w:eastAsia="仿宋_GB2312" w:cs="仿宋_GB2312"/>
          <w:i w:val="0"/>
          <w:iCs w:val="0"/>
          <w:caps w:val="0"/>
          <w:color w:val="000000"/>
          <w:spacing w:val="0"/>
          <w:kern w:val="0"/>
          <w:sz w:val="32"/>
          <w:szCs w:val="32"/>
          <w:lang w:val="en-US" w:eastAsia="zh-CN" w:bidi="ar"/>
        </w:rPr>
        <w:t>共有车辆</w:t>
      </w:r>
      <w:r>
        <w:rPr>
          <w:rFonts w:hint="default" w:ascii="仿宋_GB2312" w:hAnsi="Times New Roman" w:eastAsia="仿宋_GB2312" w:cs="仿宋_GB2312"/>
          <w:i w:val="0"/>
          <w:iCs w:val="0"/>
          <w:caps w:val="0"/>
          <w:color w:val="000000"/>
          <w:spacing w:val="0"/>
          <w:kern w:val="0"/>
          <w:sz w:val="32"/>
          <w:szCs w:val="32"/>
          <w:lang w:eastAsia="zh-CN" w:bidi="ar"/>
        </w:rPr>
        <w:t>0</w:t>
      </w:r>
      <w:r>
        <w:rPr>
          <w:rFonts w:hint="default" w:ascii="仿宋_GB2312" w:hAnsi="Times New Roman" w:eastAsia="仿宋_GB2312" w:cs="仿宋_GB2312"/>
          <w:i w:val="0"/>
          <w:iCs w:val="0"/>
          <w:caps w:val="0"/>
          <w:color w:val="000000"/>
          <w:spacing w:val="0"/>
          <w:kern w:val="0"/>
          <w:sz w:val="32"/>
          <w:szCs w:val="32"/>
          <w:lang w:val="en-US" w:eastAsia="zh-CN" w:bidi="ar"/>
        </w:rPr>
        <w:t>辆，单价100万元以上专用设备</w:t>
      </w:r>
      <w:r>
        <w:rPr>
          <w:rFonts w:hint="default" w:ascii="仿宋_GB2312" w:hAnsi="Times New Roman" w:eastAsia="仿宋_GB2312" w:cs="仿宋_GB2312"/>
          <w:i w:val="0"/>
          <w:iCs w:val="0"/>
          <w:caps w:val="0"/>
          <w:color w:val="000000"/>
          <w:spacing w:val="0"/>
          <w:kern w:val="0"/>
          <w:sz w:val="32"/>
          <w:szCs w:val="32"/>
          <w:lang w:eastAsia="zh-CN" w:bidi="ar"/>
        </w:rPr>
        <w:t>0</w:t>
      </w:r>
      <w:r>
        <w:rPr>
          <w:rFonts w:hint="default" w:ascii="仿宋_GB2312" w:hAnsi="Times New Roman" w:eastAsia="仿宋_GB2312" w:cs="仿宋_GB2312"/>
          <w:i w:val="0"/>
          <w:iCs w:val="0"/>
          <w:caps w:val="0"/>
          <w:color w:val="000000"/>
          <w:spacing w:val="0"/>
          <w:kern w:val="0"/>
          <w:sz w:val="32"/>
          <w:szCs w:val="32"/>
          <w:lang w:val="en-US" w:eastAsia="zh-CN" w:bidi="ar"/>
        </w:rPr>
        <w:t>台（套）。</w:t>
      </w:r>
    </w:p>
    <w:p>
      <w:pPr>
        <w:autoSpaceDE w:val="0"/>
        <w:autoSpaceDN w:val="0"/>
        <w:adjustRightInd w:val="0"/>
        <w:spacing w:line="600" w:lineRule="exact"/>
        <w:ind w:firstLine="643" w:firstLineChars="200"/>
        <w:jc w:val="left"/>
        <w:rPr>
          <w:rFonts w:hint="eastAsia" w:ascii="仿宋" w:hAnsi="仿宋" w:eastAsia="仿宋"/>
          <w:b/>
          <w:color w:val="auto"/>
          <w:sz w:val="32"/>
          <w:szCs w:val="32"/>
          <w:highlight w:val="none"/>
          <w:lang w:eastAsia="zh-CN"/>
        </w:rPr>
      </w:pPr>
      <w:r>
        <w:rPr>
          <w:rFonts w:hint="eastAsia" w:ascii="仿宋" w:hAnsi="仿宋" w:eastAsia="仿宋"/>
          <w:b/>
          <w:color w:val="auto"/>
          <w:sz w:val="32"/>
          <w:szCs w:val="32"/>
          <w:highlight w:val="none"/>
        </w:rPr>
        <w:t>（四）预算绩效管理情况</w:t>
      </w:r>
    </w:p>
    <w:p>
      <w:pPr>
        <w:pStyle w:val="6"/>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w:t>
      </w:r>
      <w:r>
        <w:rPr>
          <w:rFonts w:hint="eastAsia"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年度预算编制阶段，组织对</w:t>
      </w:r>
      <w:r>
        <w:rPr>
          <w:rFonts w:hint="eastAsia" w:hAnsi="仿宋_GB2312" w:cs="仿宋_GB2312"/>
          <w:color w:val="auto"/>
          <w:sz w:val="32"/>
          <w:szCs w:val="32"/>
          <w:highlight w:val="none"/>
          <w:lang w:eastAsia="zh-CN"/>
        </w:rPr>
        <w:t>离退休人员管理工作经费</w:t>
      </w:r>
      <w:r>
        <w:rPr>
          <w:rFonts w:hint="eastAsia" w:ascii="仿宋_GB2312" w:hAnsi="仿宋_GB2312" w:eastAsia="仿宋_GB2312" w:cs="仿宋_GB2312"/>
          <w:color w:val="auto"/>
          <w:sz w:val="32"/>
          <w:szCs w:val="32"/>
          <w:highlight w:val="none"/>
        </w:rPr>
        <w:t>等</w:t>
      </w:r>
      <w:r>
        <w:rPr>
          <w:rFonts w:hint="eastAsia" w:hAnsi="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rPr>
        <w:t>个项目开展了预算事前绩效评估，对</w:t>
      </w:r>
      <w:r>
        <w:rPr>
          <w:rFonts w:hint="eastAsia" w:hAnsi="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rPr>
        <w:t>个项目编制了绩效目标，预算执行过程中，选取</w:t>
      </w:r>
      <w:r>
        <w:rPr>
          <w:rFonts w:hint="eastAsia" w:hAnsi="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rPr>
        <w:t>个项目开展绩效监控，组织对</w:t>
      </w:r>
      <w:r>
        <w:rPr>
          <w:rFonts w:hint="eastAsia" w:hAnsi="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rPr>
        <w:t>个项目开展绩效自评，绩效自评表详见</w:t>
      </w:r>
      <w:r>
        <w:rPr>
          <w:rFonts w:hint="eastAsia" w:hAnsi="仿宋_GB2312" w:cs="仿宋_GB2312"/>
          <w:color w:val="auto"/>
          <w:sz w:val="32"/>
          <w:szCs w:val="32"/>
          <w:highlight w:val="none"/>
          <w:lang w:eastAsia="zh-CN"/>
        </w:rPr>
        <w:t>第四部分</w:t>
      </w:r>
      <w:r>
        <w:rPr>
          <w:rFonts w:hint="eastAsia" w:ascii="仿宋_GB2312" w:hAnsi="仿宋_GB2312" w:eastAsia="仿宋_GB2312" w:cs="仿宋_GB2312"/>
          <w:color w:val="auto"/>
          <w:sz w:val="32"/>
          <w:szCs w:val="32"/>
          <w:highlight w:val="none"/>
        </w:rPr>
        <w:t>附件。</w:t>
      </w:r>
    </w:p>
    <w:p>
      <w:pPr>
        <w:widowControl/>
        <w:jc w:val="left"/>
        <w:rPr>
          <w:rFonts w:ascii="仿宋_GB2312" w:eastAsia="仿宋_GB2312"/>
          <w:b/>
          <w:color w:val="auto"/>
          <w:sz w:val="32"/>
          <w:szCs w:val="32"/>
          <w:highlight w:val="none"/>
        </w:rPr>
      </w:pPr>
      <w:r>
        <w:rPr>
          <w:rFonts w:ascii="仿宋_GB2312" w:eastAsia="仿宋_GB2312"/>
          <w:b/>
          <w:color w:val="auto"/>
          <w:sz w:val="32"/>
          <w:szCs w:val="32"/>
          <w:highlight w:val="none"/>
        </w:rPr>
        <w:br w:type="page"/>
      </w:r>
    </w:p>
    <w:p>
      <w:pPr>
        <w:numPr>
          <w:ilvl w:val="0"/>
          <w:numId w:val="4"/>
        </w:numPr>
        <w:spacing w:line="600" w:lineRule="exact"/>
        <w:ind w:firstLine="660" w:firstLineChars="150"/>
        <w:jc w:val="center"/>
        <w:outlineLvl w:val="0"/>
        <w:rPr>
          <w:rStyle w:val="17"/>
          <w:rFonts w:ascii="黑体" w:hAnsi="黑体" w:eastAsia="黑体"/>
          <w:b w:val="0"/>
          <w:color w:val="auto"/>
          <w:highlight w:val="none"/>
        </w:rPr>
      </w:pPr>
      <w:bookmarkStart w:id="69" w:name="_Toc15396613"/>
      <w:bookmarkStart w:id="70" w:name="_Toc15377225"/>
      <w:bookmarkStart w:id="71" w:name="_Toc12686"/>
      <w:r>
        <w:rPr>
          <w:rFonts w:hint="eastAsia" w:ascii="黑体" w:hAnsi="黑体" w:eastAsia="黑体"/>
          <w:color w:val="auto"/>
          <w:sz w:val="44"/>
          <w:szCs w:val="44"/>
          <w:highlight w:val="none"/>
        </w:rPr>
        <w:t>名</w:t>
      </w:r>
      <w:r>
        <w:rPr>
          <w:rStyle w:val="17"/>
          <w:rFonts w:hint="eastAsia" w:ascii="黑体" w:hAnsi="黑体" w:eastAsia="黑体"/>
          <w:b w:val="0"/>
          <w:color w:val="auto"/>
          <w:highlight w:val="none"/>
        </w:rPr>
        <w:t>词解释</w:t>
      </w:r>
      <w:bookmarkEnd w:id="69"/>
      <w:bookmarkEnd w:id="70"/>
      <w:bookmarkEnd w:id="71"/>
    </w:p>
    <w:p>
      <w:pPr>
        <w:spacing w:line="600" w:lineRule="exact"/>
        <w:jc w:val="left"/>
        <w:rPr>
          <w:rFonts w:ascii="宋体"/>
          <w:b/>
          <w:color w:val="auto"/>
          <w:sz w:val="44"/>
          <w:szCs w:val="44"/>
          <w:highlight w:val="none"/>
        </w:rPr>
      </w:pPr>
    </w:p>
    <w:p>
      <w:pPr>
        <w:pStyle w:val="26"/>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财政拨款收入：指单位从同级财政部门取得的财政预算资金。</w:t>
      </w:r>
    </w:p>
    <w:p>
      <w:pPr>
        <w:pStyle w:val="26"/>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w:t>
      </w:r>
      <w:r>
        <w:rPr>
          <w:rFonts w:ascii="仿宋_GB2312" w:eastAsia="仿宋_GB2312"/>
          <w:color w:val="auto"/>
          <w:sz w:val="32"/>
          <w:szCs w:val="32"/>
          <w:highlight w:val="none"/>
        </w:rPr>
        <w:t>.</w:t>
      </w: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pPr>
        <w:pStyle w:val="26"/>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年末结转和结余：指单位按有关规定结转到下年或以后年度继续使用的资金。</w:t>
      </w:r>
    </w:p>
    <w:p>
      <w:pPr>
        <w:spacing w:line="580" w:lineRule="exact"/>
        <w:ind w:firstLine="640" w:firstLineChars="200"/>
        <w:rPr>
          <w:rFonts w:ascii="仿宋_GB2312" w:eastAsia="仿宋_GB2312"/>
          <w:sz w:val="32"/>
          <w:szCs w:val="32"/>
        </w:rPr>
      </w:pPr>
      <w:r>
        <w:rPr>
          <w:rFonts w:hint="eastAsia" w:ascii="仿宋_GB2312" w:eastAsia="仿宋_GB2312"/>
          <w:sz w:val="32"/>
          <w:szCs w:val="32"/>
          <w:lang w:val="en-US" w:eastAsia="zh-CN"/>
        </w:rPr>
        <w:t>4</w:t>
      </w:r>
      <w:r>
        <w:rPr>
          <w:rFonts w:hint="eastAsia" w:ascii="仿宋_GB2312" w:eastAsia="仿宋_GB2312"/>
          <w:sz w:val="32"/>
          <w:szCs w:val="32"/>
        </w:rPr>
        <w:t>.社会保障和就业支出（类）人力资源和社会保障管理事务（款）社会保险经办机构（项）:</w:t>
      </w:r>
      <w:r>
        <w:rPr>
          <w:rFonts w:hint="eastAsia" w:ascii="仿宋_GB2312" w:eastAsia="仿宋_GB2312"/>
          <w:color w:val="000000"/>
          <w:sz w:val="32"/>
          <w:szCs w:val="32"/>
        </w:rPr>
        <w:t>指社会保险经办机构开展业务工作的支出。</w:t>
      </w:r>
      <w:r>
        <w:rPr>
          <w:rFonts w:hint="eastAsia" w:ascii="仿宋_GB2312" w:eastAsia="仿宋_GB2312"/>
          <w:sz w:val="32"/>
          <w:szCs w:val="32"/>
        </w:rPr>
        <w:t xml:space="preserve"> </w:t>
      </w:r>
    </w:p>
    <w:p>
      <w:pPr>
        <w:pStyle w:val="26"/>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5</w:t>
      </w:r>
      <w:r>
        <w:rPr>
          <w:rFonts w:hint="eastAsia" w:ascii="仿宋_GB2312" w:eastAsia="仿宋_GB2312"/>
          <w:sz w:val="32"/>
          <w:szCs w:val="32"/>
        </w:rPr>
        <w:t>.社会保障和就业支出（类）行政事业单位养老支出（款）机关事业单位基本养老保险缴费支出（项）: 指机关事业单位实施养老保险制度由单位缴纳的基本养老保险费支出。</w:t>
      </w:r>
    </w:p>
    <w:p>
      <w:pPr>
        <w:pStyle w:val="26"/>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6</w:t>
      </w:r>
      <w:r>
        <w:rPr>
          <w:rFonts w:hint="eastAsia" w:ascii="仿宋_GB2312" w:eastAsia="仿宋_GB2312"/>
          <w:sz w:val="32"/>
          <w:szCs w:val="32"/>
        </w:rPr>
        <w:t xml:space="preserve">.社会保障和就业支出（类）行政事业单位养老支出（款）机关事业单位职业年金缴费支出（项）:反映机关事业单位实施养老保险制度由单位实际缴纳的职业年金支出。 </w:t>
      </w:r>
    </w:p>
    <w:p>
      <w:pPr>
        <w:ind w:firstLine="640" w:firstLineChars="200"/>
        <w:rPr>
          <w:rFonts w:ascii="仿宋_GB2312" w:eastAsia="仿宋_GB2312"/>
          <w:sz w:val="32"/>
          <w:szCs w:val="32"/>
        </w:rPr>
      </w:pPr>
      <w:r>
        <w:rPr>
          <w:rFonts w:hint="eastAsia" w:ascii="仿宋_GB2312" w:eastAsia="仿宋_GB2312"/>
          <w:sz w:val="32"/>
          <w:szCs w:val="32"/>
          <w:lang w:val="en-US" w:eastAsia="zh-CN"/>
        </w:rPr>
        <w:t>7</w:t>
      </w:r>
      <w:r>
        <w:rPr>
          <w:rFonts w:hint="eastAsia" w:ascii="仿宋_GB2312" w:eastAsia="仿宋_GB2312"/>
          <w:sz w:val="32"/>
          <w:szCs w:val="32"/>
        </w:rPr>
        <w:t>.社会保障和就业支出（类）抚恤（款）死亡抚恤（项）:指反映按规定用于烈士和牺牲、病故人员家属的一次性和定期抚恤金以及丧葬补助费。</w:t>
      </w:r>
    </w:p>
    <w:p>
      <w:pPr>
        <w:rPr>
          <w:rFonts w:ascii="仿宋_GB2312" w:eastAsia="仿宋_GB2312"/>
          <w:sz w:val="32"/>
          <w:szCs w:val="32"/>
        </w:rPr>
      </w:pPr>
      <w:r>
        <w:rPr>
          <w:rFonts w:hint="eastAsia" w:ascii="仿宋_GB2312" w:eastAsia="仿宋_GB2312"/>
          <w:sz w:val="32"/>
          <w:szCs w:val="32"/>
        </w:rPr>
        <w:t xml:space="preserve"> </w:t>
      </w:r>
      <w:r>
        <w:rPr>
          <w:rFonts w:hint="eastAsia" w:ascii="仿宋_GB2312" w:eastAsia="仿宋_GB2312"/>
          <w:sz w:val="32"/>
          <w:szCs w:val="32"/>
          <w:lang w:val="en-US" w:eastAsia="zh-CN"/>
        </w:rPr>
        <w:t xml:space="preserve"> </w:t>
      </w:r>
      <w:r>
        <w:rPr>
          <w:rFonts w:hint="eastAsia" w:ascii="仿宋_GB2312" w:eastAsia="仿宋_GB2312"/>
          <w:sz w:val="32"/>
          <w:szCs w:val="32"/>
        </w:rPr>
        <w:t xml:space="preserve"> </w:t>
      </w:r>
      <w:r>
        <w:rPr>
          <w:rFonts w:hint="eastAsia" w:ascii="仿宋_GB2312" w:eastAsia="仿宋_GB2312"/>
          <w:sz w:val="32"/>
          <w:szCs w:val="32"/>
          <w:lang w:val="en-US" w:eastAsia="zh-CN"/>
        </w:rPr>
        <w:t>8</w:t>
      </w:r>
      <w:r>
        <w:rPr>
          <w:rFonts w:hint="eastAsia" w:ascii="仿宋_GB2312" w:eastAsia="仿宋_GB2312"/>
          <w:sz w:val="32"/>
          <w:szCs w:val="32"/>
        </w:rPr>
        <w:t xml:space="preserve">.卫生健康支出（类）行政事业单位医疗（款）事业单位医疗（项）:指反映财政部门集中安排的行政单位基本医疗保险缴费经费。 </w:t>
      </w:r>
    </w:p>
    <w:p>
      <w:pPr>
        <w:pStyle w:val="26"/>
        <w:spacing w:line="560" w:lineRule="exact"/>
        <w:ind w:firstLine="960" w:firstLineChars="300"/>
        <w:rPr>
          <w:rFonts w:ascii="仿宋_GB2312" w:eastAsia="仿宋_GB2312"/>
          <w:sz w:val="32"/>
          <w:szCs w:val="32"/>
        </w:rPr>
      </w:pPr>
      <w:r>
        <w:rPr>
          <w:rFonts w:hint="eastAsia" w:ascii="仿宋_GB2312" w:eastAsia="仿宋_GB2312"/>
          <w:sz w:val="32"/>
          <w:szCs w:val="32"/>
          <w:lang w:val="en-US" w:eastAsia="zh-CN"/>
        </w:rPr>
        <w:t>9</w:t>
      </w:r>
      <w:r>
        <w:rPr>
          <w:rFonts w:hint="eastAsia" w:ascii="仿宋_GB2312" w:eastAsia="仿宋_GB2312"/>
          <w:sz w:val="32"/>
          <w:szCs w:val="32"/>
        </w:rPr>
        <w:t>.住房保障支出（类）住房改革支出（款）住房公积金（项）:指行政事业单位按人力资源和社会保障部、财政部规定的基本工资和津贴补贴以及规定比例为职工缴纳的住房公积金。</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10</w:t>
      </w:r>
      <w:r>
        <w:rPr>
          <w:rFonts w:ascii="仿宋_GB2312" w:eastAsia="仿宋_GB2312"/>
          <w:color w:val="auto"/>
          <w:sz w:val="32"/>
          <w:szCs w:val="32"/>
          <w:highlight w:val="none"/>
        </w:rPr>
        <w:t>.</w:t>
      </w:r>
      <w:r>
        <w:rPr>
          <w:rFonts w:hint="eastAsia" w:ascii="仿宋_GB2312" w:eastAsia="仿宋_GB2312"/>
          <w:color w:val="auto"/>
          <w:sz w:val="32"/>
          <w:szCs w:val="32"/>
          <w:highlight w:val="none"/>
        </w:rPr>
        <w:t>基本支出：指为保障机构正常运转、完成日常工作任务而发生的人员支出和公用支出。</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11</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pPr>
        <w:pStyle w:val="26"/>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12</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“三公”经费：指</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6"/>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13</w:t>
      </w:r>
      <w:r>
        <w:rPr>
          <w:rFonts w:ascii="仿宋_GB2312" w:eastAsia="仿宋_GB2312"/>
          <w:color w:val="auto"/>
          <w:sz w:val="32"/>
          <w:szCs w:val="32"/>
          <w:highlight w:val="none"/>
        </w:rPr>
        <w:t>.</w:t>
      </w:r>
      <w:r>
        <w:rPr>
          <w:rFonts w:hint="eastAsia" w:ascii="仿宋_GB2312" w:eastAsia="仿宋_GB2312"/>
          <w:color w:val="auto"/>
          <w:sz w:val="32"/>
          <w:szCs w:val="32"/>
          <w:highlight w:val="none"/>
        </w:rPr>
        <w:t>机关运行经费：为保障行政单位（含参照公务员法管理的事业单位）运行用于购买货物和服务的各项资金，包括办公及印刷费、邮电费、差旅费、会议费、福利费及其他费用。</w:t>
      </w:r>
    </w:p>
    <w:p>
      <w:pPr>
        <w:pStyle w:val="26"/>
        <w:spacing w:line="560" w:lineRule="exact"/>
        <w:ind w:firstLine="640" w:firstLineChars="200"/>
        <w:rPr>
          <w:rFonts w:ascii="仿宋_GB2312" w:eastAsia="仿宋_GB2312" w:cs="黑体"/>
          <w:color w:val="auto"/>
          <w:sz w:val="32"/>
          <w:szCs w:val="32"/>
          <w:highlight w:val="none"/>
        </w:rPr>
      </w:pPr>
    </w:p>
    <w:p>
      <w:pPr>
        <w:spacing w:line="600" w:lineRule="exact"/>
        <w:jc w:val="center"/>
        <w:outlineLvl w:val="0"/>
        <w:rPr>
          <w:rStyle w:val="17"/>
          <w:rFonts w:ascii="黑体" w:hAnsi="黑体" w:eastAsia="黑体"/>
          <w:b w:val="0"/>
          <w:color w:val="auto"/>
          <w:highlight w:val="none"/>
        </w:rPr>
      </w:pPr>
      <w:bookmarkStart w:id="72" w:name="_Toc15377226"/>
      <w:r>
        <w:rPr>
          <w:rFonts w:ascii="宋体"/>
          <w:b/>
          <w:color w:val="auto"/>
          <w:sz w:val="44"/>
          <w:szCs w:val="44"/>
          <w:highlight w:val="none"/>
        </w:rPr>
        <w:br w:type="page"/>
      </w:r>
      <w:bookmarkStart w:id="73" w:name="_Toc15396614"/>
      <w:bookmarkStart w:id="74" w:name="_Toc10457"/>
      <w:r>
        <w:rPr>
          <w:rFonts w:hint="eastAsia" w:ascii="黑体" w:hAnsi="黑体" w:eastAsia="黑体"/>
          <w:color w:val="auto"/>
          <w:sz w:val="44"/>
          <w:szCs w:val="44"/>
          <w:highlight w:val="none"/>
        </w:rPr>
        <w:t>第</w:t>
      </w:r>
      <w:r>
        <w:rPr>
          <w:rStyle w:val="17"/>
          <w:rFonts w:hint="eastAsia" w:ascii="黑体" w:hAnsi="黑体" w:eastAsia="黑体"/>
          <w:b w:val="0"/>
          <w:color w:val="auto"/>
          <w:highlight w:val="none"/>
        </w:rPr>
        <w:t>四部分 附件</w:t>
      </w:r>
      <w:bookmarkEnd w:id="73"/>
      <w:bookmarkEnd w:id="74"/>
    </w:p>
    <w:p>
      <w:pPr>
        <w:keepNext w:val="0"/>
        <w:keepLines w:val="0"/>
        <w:pageBreakBefore w:val="0"/>
        <w:kinsoku/>
        <w:wordWrap/>
        <w:overflowPunct/>
        <w:topLinePunct w:val="0"/>
        <w:autoSpaceDE/>
        <w:autoSpaceDN/>
        <w:bidi w:val="0"/>
        <w:spacing w:line="572" w:lineRule="exact"/>
        <w:jc w:val="left"/>
        <w:textAlignment w:val="auto"/>
        <w:outlineLvl w:val="9"/>
        <w:rPr>
          <w:rFonts w:ascii="仿宋_GB2312" w:hAnsi="仿宋_GB2312" w:eastAsia="仿宋_GB2312" w:cs="仿宋_GB2312"/>
          <w:color w:val="auto"/>
          <w:sz w:val="32"/>
          <w:szCs w:val="32"/>
          <w:highlight w:val="none"/>
        </w:rPr>
      </w:pPr>
    </w:p>
    <w:p>
      <w:pPr>
        <w:spacing w:line="600" w:lineRule="exact"/>
        <w:jc w:val="center"/>
        <w:outlineLvl w:val="1"/>
        <w:rPr>
          <w:rFonts w:hint="eastAsia" w:ascii="宋体" w:hAnsi="宋体" w:eastAsia="宋体" w:cs="宋体"/>
          <w:color w:val="auto"/>
          <w:kern w:val="0"/>
          <w:sz w:val="32"/>
          <w:szCs w:val="32"/>
          <w:highlight w:val="none"/>
          <w:lang w:val="en-US" w:eastAsia="zh-CN" w:bidi="ar-SA"/>
        </w:rPr>
      </w:pPr>
      <w:bookmarkStart w:id="75" w:name="_Toc24271"/>
      <w:bookmarkStart w:id="76" w:name="_Toc15396618"/>
      <w:r>
        <w:rPr>
          <w:rFonts w:hint="eastAsia" w:ascii="宋体" w:hAnsi="宋体" w:eastAsia="宋体" w:cs="宋体"/>
          <w:color w:val="auto"/>
          <w:kern w:val="0"/>
          <w:sz w:val="32"/>
          <w:szCs w:val="32"/>
          <w:highlight w:val="none"/>
          <w:lang w:val="en-US" w:eastAsia="zh-CN" w:bidi="ar-SA"/>
        </w:rPr>
        <w:t>部门预算项目支出绩效自评表（2022年度）</w:t>
      </w:r>
      <w:bookmarkEnd w:id="75"/>
    </w:p>
    <w:p>
      <w:pPr>
        <w:spacing w:line="600" w:lineRule="exact"/>
        <w:jc w:val="left"/>
        <w:outlineLvl w:val="9"/>
        <w:rPr>
          <w:rFonts w:hint="eastAsia" w:ascii="仿宋_GB2312" w:hAnsi="Calibri" w:eastAsia="仿宋_GB2312" w:cs="仿宋"/>
          <w:color w:val="auto"/>
          <w:kern w:val="0"/>
          <w:sz w:val="32"/>
          <w:szCs w:val="32"/>
          <w:highlight w:val="none"/>
          <w:lang w:val="en-US" w:eastAsia="zh-CN" w:bidi="ar-SA"/>
        </w:rPr>
      </w:pPr>
    </w:p>
    <w:tbl>
      <w:tblPr>
        <w:tblStyle w:val="1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054"/>
        <w:gridCol w:w="803"/>
        <w:gridCol w:w="1078"/>
        <w:gridCol w:w="396"/>
        <w:gridCol w:w="756"/>
        <w:gridCol w:w="756"/>
        <w:gridCol w:w="846"/>
        <w:gridCol w:w="576"/>
        <w:gridCol w:w="437"/>
        <w:gridCol w:w="12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1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383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51080021T000000050628-社会保险信息网络建设维护费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4" w:hRule="atLeast"/>
        </w:trPr>
        <w:tc>
          <w:tcPr>
            <w:tcW w:w="11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29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362"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17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广元市社会保险事务中心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8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29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53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9"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29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维持社会保险经办业务系统正常运行，保障保险待遇正常支付和保险基金管理安全。</w:t>
            </w:r>
          </w:p>
        </w:tc>
        <w:tc>
          <w:tcPr>
            <w:tcW w:w="153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维持社会保险费征收业务系统正常运行，业务办理顺畅，保障保险待遇正常支付和保险基金管理安全。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383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维持社会保险业务系统正常运行，养老保险待遇按时足额发放，确保网络安全、社保数据安全，确保基金管理安全完整，维护社会稳定，构建和谐广元。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3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7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10.22</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10.22</w:t>
            </w:r>
          </w:p>
        </w:tc>
        <w:tc>
          <w:tcPr>
            <w:tcW w:w="97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10.22</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10.22</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10.22</w:t>
            </w:r>
          </w:p>
        </w:tc>
        <w:tc>
          <w:tcPr>
            <w:tcW w:w="97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10.22</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7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采购交换机</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台套</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采购打印机</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台套</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采购平板电脑</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个（套）</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采购杀毒软件</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55</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套</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55</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拟采购一批办公软件</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3.3</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3.3</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拟采购一批办公设备</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6.92</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6.92</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对工作促进作用</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优</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824"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3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社保省系统总体运行平稳，基本实现了省系统在我市上线预定目标，取得了阶段性成效。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3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1.资金支付时间集中在下半年；2.绩效管理力度不够。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4" w:hRule="atLeast"/>
        </w:trPr>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3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加强绩效管理工作的学习和培训力度，提高绩效管理意识，强化绩效结果应用，从预算编制、预算执行到决算报告，将绩效管理工作贯穿于整个资金使用过程。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65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项目负责人：郭泽林</w:t>
            </w:r>
          </w:p>
        </w:tc>
        <w:tc>
          <w:tcPr>
            <w:tcW w:w="234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财务负责人：吴小玉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64"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04"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4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62"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92"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3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383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51080021T000000050632-社会保险委托稽核专项工作经费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4" w:hRule="atLeast"/>
        </w:trPr>
        <w:tc>
          <w:tcPr>
            <w:tcW w:w="11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29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362"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17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广元市社会保险事务中心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8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29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53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9"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29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进一步加强社会保险稽核工作，切实维护广大职工的社会保险合法权益。</w:t>
            </w:r>
          </w:p>
        </w:tc>
        <w:tc>
          <w:tcPr>
            <w:tcW w:w="153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　进一步加强社会保险稽核工作，切实维护广大职工的社会保险合法权益。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4"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383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梳理完善业务经办流程。严格权限管理。加强了日常监管。对参保单位的稽核将按照省局省厅规定执行，对协议工伤医院进行不低于2次的专项检查。检查医院采取随机抽查方式，有举报投诉的必查。对县区社保经办机构落实防线防控情况进行一次专项检查，根据工作需要灵活采取交叉检查或从全市抽调业务骨干组成专项检查组方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3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7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w:t>
            </w:r>
          </w:p>
        </w:tc>
        <w:tc>
          <w:tcPr>
            <w:tcW w:w="97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w:t>
            </w:r>
          </w:p>
        </w:tc>
        <w:tc>
          <w:tcPr>
            <w:tcW w:w="97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7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参保单位户数</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2193</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户</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2193</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12.5</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投诉次数</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户</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12.5</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12.5</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工伤稽核</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稽核劳务费</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25000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25000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12.5</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对基金的保障</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优</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对工作的促进</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优</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对社会的促进</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优</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群众满意度</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24"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4" w:hRule="atLeast"/>
        </w:trPr>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3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为确保经办服务顺畅和风险可控，按照社保服务事项目录，围绕业务经办流程、严格权限管理以及加强常态化内部稽核等方面着力强化风险防控，取得较好成效。资金管理规范，资金支付流程符合财经纪律。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3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稽核方式流程问题。按照部省相关规定，我们暂停了对参保单位集中进行稽核、清欠工作，实际工作中特别是近两年来，用人单位未参保缴费投诉案件增多，请省厅明确，在处理该种投诉时具体流程和工作方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4" w:hRule="atLeast"/>
        </w:trPr>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3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kern w:val="0"/>
                <w:sz w:val="16"/>
                <w:szCs w:val="16"/>
                <w:u w:val="none"/>
                <w:lang w:val="en-US" w:eastAsia="zh-CN" w:bidi="ar"/>
              </w:rPr>
            </w:pPr>
            <w:r>
              <w:rPr>
                <w:rFonts w:hint="eastAsia" w:ascii="微软雅黑" w:hAnsi="微软雅黑" w:eastAsia="微软雅黑" w:cs="微软雅黑"/>
                <w:i/>
                <w:iCs/>
                <w:color w:val="000000"/>
                <w:kern w:val="0"/>
                <w:sz w:val="16"/>
                <w:szCs w:val="16"/>
                <w:u w:val="none"/>
                <w:lang w:val="en-US" w:eastAsia="zh-CN" w:bidi="ar"/>
              </w:rPr>
              <w:t>1.加强日常稽核。依托省风控子系统，采取预警检查和随机检查工作方式，由稽核内控部门对触发或抽取的业务进行检查，发现的疑点信息转发具体经办部门核查整改。</w:t>
            </w:r>
          </w:p>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2.开展教育培训。组织全市稽核内控工作人员开展党风廉政和警示教育，加强经办风险防控业务培训，着力提升风险防控能力。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65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项目负责人：张玉军</w:t>
            </w:r>
          </w:p>
        </w:tc>
        <w:tc>
          <w:tcPr>
            <w:tcW w:w="234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财务负责人：吴小玉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64"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04"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4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62"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92"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3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1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383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51080021T000000050633-社会保险全民参保工作专项经费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1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29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362"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17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广元市社会保险事务中心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8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29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53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9"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29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根据《四川省人民政府办公厅关于做好社会保险费和非税收入征管职责划转工作的实施意见》要求，做好社会保险参保登记工作，完成2022年社会保险目标任务。</w:t>
            </w:r>
          </w:p>
        </w:tc>
        <w:tc>
          <w:tcPr>
            <w:tcW w:w="153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根据《四川省人民政府办公厅关于做好社会保险费和非税收入征管职责划转工作的实施意见》要求，做好社会保险参保登记工作，完成2022年社会保险目标任务。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383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深入实施全民参保计划，重点针对建档立卡贫困人口、农民工、灵活就业人员和新业态从业人员等群体，强化精准扩面和动态管理，做到“应保尽保”，基本实现从制度全覆盖到人群全覆盖的目标。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7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22.28</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22.28</w:t>
            </w:r>
          </w:p>
        </w:tc>
        <w:tc>
          <w:tcPr>
            <w:tcW w:w="97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22.28</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22.28</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22.28</w:t>
            </w:r>
          </w:p>
        </w:tc>
        <w:tc>
          <w:tcPr>
            <w:tcW w:w="97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22.28</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7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全市工伤参保人数</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17.89</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万人</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17.89</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全市企业职工基本养老保险参保人数</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31.12</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万人</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31.12</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邮寄养老转移单、催缴通知书费用</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经办服务下延工作经费</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3.28</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3.28</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养老保险手册印制</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9"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数据更新和动态管理、入户调查、精准扩面工作费用</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社保政策宣传(含全民参保计划、退捕渔民、尘肺病重点行业、退役军人等),宣传费</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对工作的促进</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对社会的影响</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群众满意度</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24"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3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项目全面完成目标任务，资金支付符合财务管理相关要求，深入落实“应保尽保”工作要求，维护了参保对象合法权益。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4" w:hRule="atLeast"/>
        </w:trPr>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3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该项目经认真评价存在问题有：1.支付集中在下半年；2.每年度的参保对象数量增加，全民参保工作量增大，项目资金欠缺。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4" w:hRule="atLeast"/>
        </w:trPr>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3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严格支付流程，合理安排项目实施时间，严格执行专款专用，加快预算执行进度，提高提高财政资金使用效益。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65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项目负责人：罗加明</w:t>
            </w:r>
          </w:p>
        </w:tc>
        <w:tc>
          <w:tcPr>
            <w:tcW w:w="234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财务负责人：吴小玉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64"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04"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4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62"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92"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3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383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51080021T000000050920-企保、机保代财政管理工作经费（原代管工作经费）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1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29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362"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17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广元市社会保险事务中心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8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29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53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29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协助政府代发放离休、退休、退休人员遗孀困难补助等不属于社保基金统筹内支付的项目、开展退管活动，减轻财政负担。</w:t>
            </w:r>
          </w:p>
        </w:tc>
        <w:tc>
          <w:tcPr>
            <w:tcW w:w="153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代发建国初期参加革命工作退休人员困难补助124人；代发离休人员、遗孀补助等18人；改制转企原事业单位人员（县级）补贴10人。确保在2022年12月31日前足额发放离退休人员待遇。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383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代发建国初期参加革命工作退休人员困难补助124人；代发离休人员、遗孀补助等18人；改制转企原事业单位人员（县级）补贴10人。确保在2022年12月31日前足额发放离退休人员待遇。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7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18.00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18.00</w:t>
            </w:r>
          </w:p>
        </w:tc>
        <w:tc>
          <w:tcPr>
            <w:tcW w:w="97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18.00</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18.00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18.00</w:t>
            </w:r>
          </w:p>
        </w:tc>
        <w:tc>
          <w:tcPr>
            <w:tcW w:w="97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18.00</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7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代发企保离退休人数</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人/月</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代发机保离退休人数</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人/月</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9"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成铁局划转人员、081中学教师补差（含生活补贴）</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退休人员遗孀困难补助</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离休人员公务员津贴</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劳模津贴</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改制转企原事业单位人员（县级）补贴</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代发建国初期参加革命工作退休人员生活补贴</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工作促进作用</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24"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4" w:hRule="atLeast"/>
        </w:trPr>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3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该项目顺利实施，圆满完成，资金支付符合财经纪律相关要求。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4" w:hRule="atLeast"/>
        </w:trPr>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3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社保中心不仅代发原机保局负责发放的离退休人员生活补贴，还代发有原社保局负责发放的离休人员公务员津贴、成铁局划转人员、081中学教师补差（含生活补贴）、劳模津贴、企干警等共116人的生活补贴，工作量增大，项目资金短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4" w:hRule="atLeast"/>
        </w:trPr>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3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kern w:val="0"/>
                <w:sz w:val="16"/>
                <w:szCs w:val="16"/>
                <w:u w:val="none"/>
                <w:lang w:val="en-US" w:eastAsia="zh-CN" w:bidi="ar"/>
              </w:rPr>
            </w:pPr>
            <w:r>
              <w:rPr>
                <w:rFonts w:hint="eastAsia" w:ascii="微软雅黑" w:hAnsi="微软雅黑" w:eastAsia="微软雅黑" w:cs="微软雅黑"/>
                <w:i/>
                <w:iCs/>
                <w:color w:val="000000"/>
                <w:kern w:val="0"/>
                <w:sz w:val="16"/>
                <w:szCs w:val="16"/>
                <w:u w:val="none"/>
                <w:lang w:val="en-US" w:eastAsia="zh-CN" w:bidi="ar"/>
              </w:rPr>
              <w:t>1.做好年度项目预算，细化项目的申报。</w:t>
            </w:r>
          </w:p>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2.合理安排项目实施时间，严格执行专款专用，加快预算执行进度，提高提高财政资金使用效益。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65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项目负责人：王国贤</w:t>
            </w:r>
          </w:p>
        </w:tc>
        <w:tc>
          <w:tcPr>
            <w:tcW w:w="234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财务负责人：吴小玉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64"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04"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4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62"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92"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3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1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383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51080021T000000050926-年金征缴工作经费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1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29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362"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17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广元市社会保险事务中心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8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29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53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29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通过对参保单位、县区经办单元开展职业年金政策业务宣传培训和接受上级业务指导培训，按规定征集基金，做到应收尽收，为确保按时足额发放打下基础</w:t>
            </w:r>
          </w:p>
        </w:tc>
        <w:tc>
          <w:tcPr>
            <w:tcW w:w="153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通过对参保单位、县区经办单元开展职业年金政策业务宣传培训和接受上级业务指导培训，按规定征集基金，做到应收尽收，为确保按时足额发放打下基础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4"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383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通过对参保单位、县区经办单元开展职业年金政策业务宣传培训和接收上级业务指导培训，按规定征集基金，“退一补一”做实年金，做到应收尽收，应补尽补，为确保按时足额发放打下基础，维护全市干部职工权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7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97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97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7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县区经办机构人员培训</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人/次</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参保单位经办人员培训</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人次</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社会保险费征缴工作费用</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印制催缴通知书</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9"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培训县区业务人员、到省厅（局）汇报征收工作及接受业务培训</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组织参保单位经办人员政策业务培训</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对工作的促进</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824"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4" w:hRule="atLeast"/>
        </w:trPr>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3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该项目顺利实施，圆满完成，资金支付符合财经纪律相关要求。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3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经自评发现，职业年金征缴工作方面存在对县区的业务指导不到位、资金集中支付等相关问题。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3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kern w:val="0"/>
                <w:sz w:val="16"/>
                <w:szCs w:val="16"/>
                <w:u w:val="none"/>
                <w:lang w:val="en-US" w:eastAsia="zh-CN" w:bidi="ar"/>
              </w:rPr>
            </w:pPr>
            <w:r>
              <w:rPr>
                <w:rFonts w:hint="eastAsia" w:ascii="微软雅黑" w:hAnsi="微软雅黑" w:eastAsia="微软雅黑" w:cs="微软雅黑"/>
                <w:i/>
                <w:iCs/>
                <w:color w:val="000000"/>
                <w:kern w:val="0"/>
                <w:sz w:val="16"/>
                <w:szCs w:val="16"/>
                <w:u w:val="none"/>
                <w:lang w:val="en-US" w:eastAsia="zh-CN" w:bidi="ar"/>
              </w:rPr>
              <w:t>1.加强职业年金征缴培训；</w:t>
            </w:r>
          </w:p>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2.加强年初项目绩效编制和绩效监控管理。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65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项目负责人：谢明江</w:t>
            </w:r>
          </w:p>
        </w:tc>
        <w:tc>
          <w:tcPr>
            <w:tcW w:w="234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财务负责人：吴小玉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64"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04"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4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62"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92"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3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1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383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51080021T000000050936-离退休人员社会化管理服务工作专项经费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4" w:hRule="atLeast"/>
        </w:trPr>
        <w:tc>
          <w:tcPr>
            <w:tcW w:w="11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29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362"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17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广元市社会保险事务中心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8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29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53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29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保证离退休人员社会化管理服务工作正常开展，同时，采取多种方式防止离退休人员死亡不报、重复计领、个人冒领，堵塞基金流失黑洞。推进我市企业退休人员社会化管理服务工作，构建和谐广元，维护社会稳定。</w:t>
            </w:r>
          </w:p>
        </w:tc>
        <w:tc>
          <w:tcPr>
            <w:tcW w:w="153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保证离退休人员社会化管理服务工作正常开展，同时，采取多种方式防止离退休人员死亡不报、重复计领、个人冒领，堵塞基金流失黑洞。推进我市企业退休人员社会化管理服务工作，构建和谐广元，维护社会稳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383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证离退休人员社会化管理服务工作正常开展，同时，采取多种方式防止离退休人员死亡不报、重复计领、个人冒领，确保基金安全完整。推进我市企业退休人员社会化管理服务工作，构建和谐广元，维护社会稳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3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7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68.00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68.00</w:t>
            </w:r>
          </w:p>
        </w:tc>
        <w:tc>
          <w:tcPr>
            <w:tcW w:w="97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68.00</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68.00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68.00</w:t>
            </w:r>
          </w:p>
        </w:tc>
        <w:tc>
          <w:tcPr>
            <w:tcW w:w="97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68.00</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7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退休人员重大节日活动费</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档案整理用品和办公用品购置费</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退休人员的各类政策宣传、活动报道</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9"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对卧床不起、无认证反馈的离退休人员开展上门认证、核查，对冒领养老金追收等发生的人员差旅费、交通费、租车费</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退休人员生病慰问金</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退休人员丧事协办费</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档案管理人员劳务费</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对工作的促进</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优</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服务员对象满意度</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5" w:hRule="atLeast"/>
        </w:trPr>
        <w:tc>
          <w:tcPr>
            <w:tcW w:w="3824"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3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顺利完成养老待遇调整工作，切实加强社会化管理服务，全力推进社保待遇资格认证清理工作，保障了我市参保对象的合法权益，构建和谐广元，维护社会稳定。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3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1.项目绩效编制不够细化；2.支付集中在下半年。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3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做好年度项目预算，细化项目的申报。结合市财政局、市人社局安排部署和行业发展规划、重点工作以及中心主要职能，合理编制部门预算，重点项目经过调查研究和专业评价论证，制定绩效目标。绩效目标编制要素完整，并对指标进行细化量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65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项目负责人：王国贤</w:t>
            </w:r>
          </w:p>
        </w:tc>
        <w:tc>
          <w:tcPr>
            <w:tcW w:w="234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财务负责人：吴小玉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64"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04"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4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62"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92"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3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383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51080021T000000051088-社会保险基金银行手续费专项工作经费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4" w:hRule="atLeast"/>
        </w:trPr>
        <w:tc>
          <w:tcPr>
            <w:tcW w:w="11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29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362"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17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广元市社会保险事务中心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8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29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53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9"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29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确保社会保险基金业务工作正常开展、基金运行平稳和安全完整。</w:t>
            </w:r>
          </w:p>
        </w:tc>
        <w:tc>
          <w:tcPr>
            <w:tcW w:w="153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确保社会保险基金业务工作正常开展、基金运行平稳和安全完整。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383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确保社会保险待遇按时足额发放，社会保险基金业务工作正常开展，基金运行平稳和安全完整。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3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7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97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97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7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大额转账手续费</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批次</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跨行转账、异地电汇笔数</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基金账户</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户（套）</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支票、汇票本数</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本</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网银个数</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户（套）</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365</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工作日</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365</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大额转账手续费</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网银收费</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4800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4800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49"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跨行转账、异地电汇手续费</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4700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4700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54"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支票、汇票工本费</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7500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7500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对工作的促进作用</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优</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群众满意度</w:t>
            </w: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824"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4" w:hRule="atLeast"/>
        </w:trPr>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3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在申报、支付过程中，坚持原则，严格审核，讲究方法，管理规范，确保资金安全、高效运行。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4" w:hRule="atLeast"/>
        </w:trPr>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3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项目绩效管理不完善。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4" w:hRule="atLeast"/>
        </w:trPr>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3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kern w:val="0"/>
                <w:sz w:val="16"/>
                <w:szCs w:val="16"/>
                <w:u w:val="none"/>
                <w:lang w:val="en-US" w:eastAsia="zh-CN" w:bidi="ar"/>
              </w:rPr>
            </w:pPr>
            <w:r>
              <w:rPr>
                <w:rFonts w:hint="eastAsia" w:ascii="微软雅黑" w:hAnsi="微软雅黑" w:eastAsia="微软雅黑" w:cs="微软雅黑"/>
                <w:i/>
                <w:iCs/>
                <w:color w:val="000000"/>
                <w:kern w:val="0"/>
                <w:sz w:val="16"/>
                <w:szCs w:val="16"/>
                <w:u w:val="none"/>
                <w:lang w:val="en-US" w:eastAsia="zh-CN" w:bidi="ar"/>
              </w:rPr>
              <w:t>1.加强指标执行进度管理，细化项目的绩效指标，加强指标的绩效监控。</w:t>
            </w:r>
          </w:p>
          <w:p>
            <w:pPr>
              <w:keepNext w:val="0"/>
              <w:keepLines w:val="0"/>
              <w:widowControl/>
              <w:suppressLineNumbers w:val="0"/>
              <w:jc w:val="left"/>
              <w:textAlignment w:val="center"/>
              <w:rPr>
                <w:rFonts w:hint="eastAsia" w:ascii="微软雅黑" w:hAnsi="微软雅黑" w:eastAsia="微软雅黑" w:cs="微软雅黑"/>
                <w:i/>
                <w:iCs/>
                <w:color w:val="000000"/>
                <w:kern w:val="0"/>
                <w:sz w:val="16"/>
                <w:szCs w:val="16"/>
                <w:u w:val="none"/>
                <w:lang w:val="en-US" w:eastAsia="zh-CN" w:bidi="ar"/>
              </w:rPr>
            </w:pPr>
            <w:r>
              <w:rPr>
                <w:rFonts w:hint="eastAsia" w:ascii="微软雅黑" w:hAnsi="微软雅黑" w:eastAsia="微软雅黑" w:cs="微软雅黑"/>
                <w:i/>
                <w:iCs/>
                <w:color w:val="000000"/>
                <w:kern w:val="0"/>
                <w:sz w:val="16"/>
                <w:szCs w:val="16"/>
                <w:u w:val="none"/>
                <w:lang w:val="en-US" w:eastAsia="zh-CN" w:bidi="ar"/>
              </w:rPr>
              <w:t>2.严格资金支付流程，银行的手续费使用非现金结算方式。</w:t>
            </w:r>
          </w:p>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3.尽可能采用线上支付等方式，减少基金支付手续费成本。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65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项目负责人：吴小玉</w:t>
            </w:r>
          </w:p>
        </w:tc>
        <w:tc>
          <w:tcPr>
            <w:tcW w:w="234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财务负责人：吴小玉</w:t>
            </w:r>
          </w:p>
        </w:tc>
      </w:tr>
    </w:tbl>
    <w:p>
      <w:pPr>
        <w:pStyle w:val="6"/>
        <w:rPr>
          <w:rFonts w:hint="eastAsia" w:ascii="仿宋_GB2312" w:hAnsi="Calibri" w:eastAsia="仿宋_GB2312" w:cs="仿宋"/>
          <w:color w:val="auto"/>
          <w:kern w:val="0"/>
          <w:sz w:val="32"/>
          <w:szCs w:val="32"/>
          <w:highlight w:val="none"/>
          <w:lang w:val="en-US" w:eastAsia="zh-CN" w:bidi="ar-SA"/>
        </w:rPr>
      </w:pPr>
    </w:p>
    <w:p>
      <w:pPr>
        <w:pStyle w:val="6"/>
        <w:rPr>
          <w:rFonts w:hint="eastAsia" w:ascii="仿宋_GB2312" w:hAnsi="Calibri" w:eastAsia="仿宋_GB2312" w:cs="仿宋"/>
          <w:color w:val="auto"/>
          <w:kern w:val="0"/>
          <w:sz w:val="32"/>
          <w:szCs w:val="32"/>
          <w:highlight w:val="none"/>
          <w:lang w:val="en-US" w:eastAsia="zh-CN" w:bidi="ar-SA"/>
        </w:rPr>
      </w:pPr>
    </w:p>
    <w:tbl>
      <w:tblPr>
        <w:tblStyle w:val="1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041"/>
        <w:gridCol w:w="884"/>
        <w:gridCol w:w="1206"/>
        <w:gridCol w:w="396"/>
        <w:gridCol w:w="788"/>
        <w:gridCol w:w="396"/>
        <w:gridCol w:w="756"/>
        <w:gridCol w:w="576"/>
        <w:gridCol w:w="576"/>
        <w:gridCol w:w="13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7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51000021R000000019951-工资性支出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43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373"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2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广元市社会保险事务中心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6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43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63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43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c>
          <w:tcPr>
            <w:tcW w:w="163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2022年所有干部职工工资福利全部保障到位，按时足额发放到位。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7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按时足额方法职工工资，及时缴纳职工保险。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2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0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661.11</w:t>
            </w:r>
          </w:p>
        </w:tc>
        <w:tc>
          <w:tcPr>
            <w:tcW w:w="7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975.44</w:t>
            </w:r>
          </w:p>
        </w:tc>
        <w:tc>
          <w:tcPr>
            <w:tcW w:w="10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902.37</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92.51%</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661.11</w:t>
            </w:r>
          </w:p>
        </w:tc>
        <w:tc>
          <w:tcPr>
            <w:tcW w:w="7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975.44</w:t>
            </w:r>
          </w:p>
        </w:tc>
        <w:tc>
          <w:tcPr>
            <w:tcW w:w="10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902.37</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92.51%</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7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6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8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8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7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8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7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5%</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8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737"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97.5</w:t>
            </w:r>
          </w:p>
        </w:tc>
        <w:tc>
          <w:tcPr>
            <w:tcW w:w="865"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6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整体完成情况较好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6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代财政发放离退休人员生活补助有结余。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6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提高预算精准性。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48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项目负责人：吴小玉</w:t>
            </w:r>
          </w:p>
        </w:tc>
        <w:tc>
          <w:tcPr>
            <w:tcW w:w="25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财务负责人：吴小玉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4"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95"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0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72"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6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12"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7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9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9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65"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4"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95"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0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72"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6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12"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7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9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9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65"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7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51000021Y000000011490-定额公用经费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9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43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373"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2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广元市社会保险事务中心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6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43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63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43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保障单位日常运转，提高预算编制质量，严格执行预算</w:t>
            </w:r>
          </w:p>
        </w:tc>
        <w:tc>
          <w:tcPr>
            <w:tcW w:w="163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按要求保障单位日常运转，提高预算编制质量，严格执行预算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7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保障职工日常办公经费和出差等费用，积极开展党建活动及工会活动。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0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61.20</w:t>
            </w:r>
          </w:p>
        </w:tc>
        <w:tc>
          <w:tcPr>
            <w:tcW w:w="7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59.41</w:t>
            </w:r>
          </w:p>
        </w:tc>
        <w:tc>
          <w:tcPr>
            <w:tcW w:w="10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57.44</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96.69%</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61.20</w:t>
            </w:r>
          </w:p>
        </w:tc>
        <w:tc>
          <w:tcPr>
            <w:tcW w:w="7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59.41</w:t>
            </w:r>
          </w:p>
        </w:tc>
        <w:tc>
          <w:tcPr>
            <w:tcW w:w="10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57.44</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96.69%</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7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8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7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3%</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8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6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7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8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1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8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737"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65"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6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整体完成情况较好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6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6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8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项目负责人：吴小玉</w:t>
            </w:r>
          </w:p>
        </w:tc>
        <w:tc>
          <w:tcPr>
            <w:tcW w:w="25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财务负责人：吴小玉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4"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95"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0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72"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6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12"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7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9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9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65"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bl>
    <w:p>
      <w:pPr>
        <w:pStyle w:val="6"/>
        <w:rPr>
          <w:rFonts w:hint="eastAsia" w:ascii="仿宋_GB2312" w:hAnsi="Calibri" w:eastAsia="仿宋_GB2312" w:cs="仿宋"/>
          <w:color w:val="auto"/>
          <w:kern w:val="0"/>
          <w:sz w:val="32"/>
          <w:szCs w:val="32"/>
          <w:highlight w:val="none"/>
          <w:lang w:val="en-US" w:eastAsia="zh-CN" w:bidi="ar-SA"/>
        </w:rPr>
      </w:pPr>
    </w:p>
    <w:p>
      <w:pPr>
        <w:pStyle w:val="6"/>
        <w:rPr>
          <w:rFonts w:hint="eastAsia" w:ascii="仿宋_GB2312" w:hAnsi="Calibri" w:eastAsia="仿宋_GB2312" w:cs="仿宋"/>
          <w:color w:val="auto"/>
          <w:kern w:val="0"/>
          <w:sz w:val="32"/>
          <w:szCs w:val="32"/>
          <w:highlight w:val="none"/>
          <w:lang w:val="en-US" w:eastAsia="zh-CN" w:bidi="ar-SA"/>
        </w:rPr>
      </w:pPr>
    </w:p>
    <w:p>
      <w:pPr>
        <w:pStyle w:val="6"/>
        <w:rPr>
          <w:rFonts w:hint="eastAsia" w:ascii="仿宋_GB2312" w:hAnsi="Calibri" w:eastAsia="仿宋_GB2312" w:cs="仿宋"/>
          <w:color w:val="auto"/>
          <w:kern w:val="0"/>
          <w:sz w:val="32"/>
          <w:szCs w:val="32"/>
          <w:highlight w:val="none"/>
          <w:lang w:val="en-US" w:eastAsia="zh-CN" w:bidi="ar-SA"/>
        </w:rPr>
      </w:pPr>
    </w:p>
    <w:p>
      <w:pPr>
        <w:pStyle w:val="6"/>
        <w:rPr>
          <w:rFonts w:hint="eastAsia" w:ascii="仿宋_GB2312" w:hAnsi="Calibri" w:eastAsia="仿宋_GB2312" w:cs="仿宋"/>
          <w:color w:val="auto"/>
          <w:kern w:val="0"/>
          <w:sz w:val="32"/>
          <w:szCs w:val="32"/>
          <w:highlight w:val="none"/>
          <w:lang w:val="en-US" w:eastAsia="zh-CN" w:bidi="ar-SA"/>
        </w:rPr>
      </w:pPr>
    </w:p>
    <w:p>
      <w:pPr>
        <w:pStyle w:val="6"/>
        <w:rPr>
          <w:rFonts w:hint="eastAsia" w:ascii="仿宋_GB2312" w:hAnsi="Calibri" w:eastAsia="仿宋_GB2312" w:cs="仿宋"/>
          <w:color w:val="auto"/>
          <w:kern w:val="0"/>
          <w:sz w:val="32"/>
          <w:szCs w:val="32"/>
          <w:highlight w:val="none"/>
          <w:lang w:val="en-US" w:eastAsia="zh-CN" w:bidi="ar-SA"/>
        </w:rPr>
      </w:pPr>
    </w:p>
    <w:p>
      <w:pPr>
        <w:pStyle w:val="6"/>
        <w:rPr>
          <w:rFonts w:hint="eastAsia" w:ascii="仿宋_GB2312" w:hAnsi="Calibri" w:eastAsia="仿宋_GB2312" w:cs="仿宋"/>
          <w:color w:val="auto"/>
          <w:kern w:val="0"/>
          <w:sz w:val="32"/>
          <w:szCs w:val="32"/>
          <w:highlight w:val="none"/>
          <w:lang w:val="en-US" w:eastAsia="zh-CN" w:bidi="ar-SA"/>
        </w:rPr>
      </w:pPr>
    </w:p>
    <w:p>
      <w:pPr>
        <w:pStyle w:val="6"/>
        <w:rPr>
          <w:rFonts w:hint="eastAsia" w:ascii="仿宋_GB2312" w:hAnsi="Calibri" w:eastAsia="仿宋_GB2312" w:cs="仿宋"/>
          <w:color w:val="auto"/>
          <w:kern w:val="0"/>
          <w:sz w:val="32"/>
          <w:szCs w:val="32"/>
          <w:highlight w:val="none"/>
          <w:lang w:val="en-US" w:eastAsia="zh-CN" w:bidi="ar-SA"/>
        </w:rPr>
      </w:pPr>
    </w:p>
    <w:p>
      <w:pPr>
        <w:pStyle w:val="6"/>
        <w:rPr>
          <w:rFonts w:hint="eastAsia" w:ascii="仿宋_GB2312" w:hAnsi="Calibri" w:eastAsia="仿宋_GB2312" w:cs="仿宋"/>
          <w:color w:val="auto"/>
          <w:kern w:val="0"/>
          <w:sz w:val="32"/>
          <w:szCs w:val="32"/>
          <w:highlight w:val="none"/>
          <w:lang w:val="en-US" w:eastAsia="zh-CN" w:bidi="ar-SA"/>
        </w:rPr>
      </w:pPr>
    </w:p>
    <w:p>
      <w:pPr>
        <w:pStyle w:val="6"/>
        <w:rPr>
          <w:rFonts w:hint="eastAsia" w:ascii="仿宋_GB2312" w:hAnsi="Calibri" w:eastAsia="仿宋_GB2312" w:cs="仿宋"/>
          <w:color w:val="auto"/>
          <w:kern w:val="0"/>
          <w:sz w:val="32"/>
          <w:szCs w:val="32"/>
          <w:highlight w:val="none"/>
          <w:lang w:val="en-US" w:eastAsia="zh-CN" w:bidi="ar-SA"/>
        </w:rPr>
      </w:pPr>
    </w:p>
    <w:p>
      <w:pPr>
        <w:pStyle w:val="6"/>
        <w:rPr>
          <w:rFonts w:hint="eastAsia" w:ascii="仿宋_GB2312" w:hAnsi="Calibri" w:eastAsia="仿宋_GB2312" w:cs="仿宋"/>
          <w:color w:val="auto"/>
          <w:kern w:val="0"/>
          <w:sz w:val="32"/>
          <w:szCs w:val="32"/>
          <w:highlight w:val="none"/>
          <w:lang w:val="en-US" w:eastAsia="zh-CN" w:bidi="ar-SA"/>
        </w:rPr>
      </w:pPr>
    </w:p>
    <w:p>
      <w:pPr>
        <w:pStyle w:val="6"/>
        <w:rPr>
          <w:rFonts w:hint="eastAsia" w:ascii="仿宋_GB2312" w:hAnsi="Calibri" w:eastAsia="仿宋_GB2312" w:cs="仿宋"/>
          <w:color w:val="auto"/>
          <w:kern w:val="0"/>
          <w:sz w:val="32"/>
          <w:szCs w:val="32"/>
          <w:highlight w:val="none"/>
          <w:lang w:val="en-US" w:eastAsia="zh-CN" w:bidi="ar-SA"/>
        </w:rPr>
      </w:pPr>
    </w:p>
    <w:p>
      <w:pPr>
        <w:rPr>
          <w:rFonts w:hint="eastAsia" w:ascii="黑体" w:hAnsi="黑体" w:eastAsia="黑体"/>
          <w:color w:val="auto"/>
          <w:sz w:val="44"/>
          <w:szCs w:val="44"/>
          <w:highlight w:val="none"/>
        </w:rPr>
      </w:pPr>
      <w:bookmarkStart w:id="77" w:name="_Toc2070"/>
      <w:r>
        <w:rPr>
          <w:rFonts w:hint="eastAsia" w:ascii="黑体" w:hAnsi="黑体" w:eastAsia="黑体"/>
          <w:color w:val="auto"/>
          <w:sz w:val="44"/>
          <w:szCs w:val="44"/>
          <w:highlight w:val="none"/>
        </w:rPr>
        <w:br w:type="page"/>
      </w:r>
    </w:p>
    <w:p>
      <w:pPr>
        <w:spacing w:line="600" w:lineRule="exact"/>
        <w:jc w:val="center"/>
        <w:outlineLvl w:val="0"/>
        <w:rPr>
          <w:rFonts w:hint="eastAsia" w:ascii="仿宋" w:hAnsi="仿宋" w:eastAsia="仿宋"/>
          <w:b w:val="0"/>
          <w:color w:val="auto"/>
          <w:highlight w:val="none"/>
        </w:rPr>
      </w:pPr>
      <w:r>
        <w:rPr>
          <w:rFonts w:hint="eastAsia" w:ascii="黑体" w:hAnsi="黑体" w:eastAsia="黑体"/>
          <w:color w:val="auto"/>
          <w:sz w:val="44"/>
          <w:szCs w:val="44"/>
          <w:highlight w:val="none"/>
        </w:rPr>
        <w:t>第</w:t>
      </w:r>
      <w:r>
        <w:rPr>
          <w:rStyle w:val="17"/>
          <w:rFonts w:hint="eastAsia" w:ascii="黑体" w:hAnsi="黑体" w:eastAsia="黑体"/>
          <w:b w:val="0"/>
          <w:color w:val="auto"/>
          <w:highlight w:val="none"/>
        </w:rPr>
        <w:t>五部分 附表</w:t>
      </w:r>
      <w:bookmarkEnd w:id="72"/>
      <w:bookmarkEnd w:id="76"/>
      <w:bookmarkEnd w:id="77"/>
      <w:bookmarkStart w:id="78" w:name="_Toc15396619"/>
    </w:p>
    <w:p>
      <w:pPr>
        <w:pStyle w:val="4"/>
        <w:rPr>
          <w:rFonts w:ascii="仿宋" w:hAnsi="仿宋" w:eastAsia="仿宋"/>
          <w:color w:val="auto"/>
          <w:highlight w:val="none"/>
        </w:rPr>
      </w:pPr>
      <w:bookmarkStart w:id="79" w:name="_Toc3769"/>
      <w:r>
        <w:rPr>
          <w:rFonts w:hint="eastAsia" w:ascii="仿宋" w:hAnsi="仿宋" w:eastAsia="仿宋"/>
          <w:b w:val="0"/>
          <w:color w:val="auto"/>
          <w:highlight w:val="none"/>
        </w:rPr>
        <w:t>一、收</w:t>
      </w:r>
      <w:r>
        <w:rPr>
          <w:rStyle w:val="18"/>
          <w:rFonts w:hint="eastAsia" w:ascii="仿宋" w:hAnsi="仿宋" w:eastAsia="仿宋"/>
          <w:b w:val="0"/>
          <w:bCs w:val="0"/>
          <w:color w:val="auto"/>
          <w:highlight w:val="none"/>
        </w:rPr>
        <w:t>入支出决算总表</w:t>
      </w:r>
      <w:bookmarkEnd w:id="78"/>
      <w:bookmarkEnd w:id="79"/>
    </w:p>
    <w:p>
      <w:pPr>
        <w:pStyle w:val="4"/>
        <w:rPr>
          <w:rFonts w:ascii="仿宋" w:hAnsi="仿宋" w:eastAsia="仿宋"/>
          <w:color w:val="auto"/>
          <w:highlight w:val="none"/>
        </w:rPr>
      </w:pPr>
      <w:bookmarkStart w:id="80" w:name="_Toc1946"/>
      <w:bookmarkStart w:id="81" w:name="_Toc15396620"/>
      <w:r>
        <w:rPr>
          <w:rFonts w:hint="eastAsia" w:ascii="仿宋" w:hAnsi="仿宋" w:eastAsia="仿宋"/>
          <w:b w:val="0"/>
          <w:color w:val="auto"/>
          <w:highlight w:val="none"/>
        </w:rPr>
        <w:t>二、收</w:t>
      </w:r>
      <w:r>
        <w:rPr>
          <w:rStyle w:val="18"/>
          <w:rFonts w:hint="eastAsia" w:ascii="仿宋" w:hAnsi="仿宋" w:eastAsia="仿宋"/>
          <w:b w:val="0"/>
          <w:bCs w:val="0"/>
          <w:color w:val="auto"/>
          <w:highlight w:val="none"/>
        </w:rPr>
        <w:t>入决算表</w:t>
      </w:r>
      <w:bookmarkEnd w:id="80"/>
      <w:bookmarkEnd w:id="81"/>
    </w:p>
    <w:p>
      <w:pPr>
        <w:pStyle w:val="4"/>
        <w:rPr>
          <w:rFonts w:ascii="仿宋" w:hAnsi="仿宋" w:eastAsia="仿宋"/>
          <w:color w:val="auto"/>
          <w:highlight w:val="none"/>
        </w:rPr>
      </w:pPr>
      <w:bookmarkStart w:id="82" w:name="_Toc15396621"/>
      <w:bookmarkStart w:id="83" w:name="_Toc31241"/>
      <w:r>
        <w:rPr>
          <w:rStyle w:val="18"/>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18"/>
          <w:rFonts w:hint="eastAsia" w:ascii="仿宋" w:hAnsi="仿宋" w:eastAsia="仿宋"/>
          <w:b w:val="0"/>
          <w:bCs w:val="0"/>
          <w:color w:val="auto"/>
          <w:highlight w:val="none"/>
        </w:rPr>
        <w:t>出决算表</w:t>
      </w:r>
      <w:bookmarkEnd w:id="82"/>
      <w:bookmarkEnd w:id="83"/>
    </w:p>
    <w:p>
      <w:pPr>
        <w:pStyle w:val="4"/>
        <w:rPr>
          <w:rFonts w:ascii="仿宋" w:hAnsi="仿宋" w:eastAsia="仿宋"/>
          <w:b w:val="0"/>
          <w:color w:val="auto"/>
          <w:highlight w:val="none"/>
        </w:rPr>
      </w:pPr>
      <w:bookmarkStart w:id="84" w:name="_Toc16695"/>
      <w:bookmarkStart w:id="85" w:name="_Toc15396622"/>
      <w:r>
        <w:rPr>
          <w:rStyle w:val="18"/>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18"/>
          <w:rFonts w:hint="eastAsia" w:ascii="仿宋" w:hAnsi="仿宋" w:eastAsia="仿宋"/>
          <w:b w:val="0"/>
          <w:bCs w:val="0"/>
          <w:color w:val="auto"/>
          <w:highlight w:val="none"/>
        </w:rPr>
        <w:t>政拨款收入支出决算总表</w:t>
      </w:r>
      <w:bookmarkEnd w:id="84"/>
      <w:bookmarkEnd w:id="85"/>
    </w:p>
    <w:p>
      <w:pPr>
        <w:pStyle w:val="4"/>
        <w:rPr>
          <w:rStyle w:val="18"/>
          <w:rFonts w:ascii="仿宋" w:hAnsi="仿宋" w:eastAsia="仿宋"/>
          <w:b w:val="0"/>
          <w:bCs w:val="0"/>
          <w:color w:val="auto"/>
          <w:highlight w:val="none"/>
        </w:rPr>
      </w:pPr>
      <w:bookmarkStart w:id="86" w:name="_Toc12076"/>
      <w:bookmarkStart w:id="87" w:name="_Toc15396623"/>
      <w:r>
        <w:rPr>
          <w:rStyle w:val="18"/>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18"/>
          <w:rFonts w:hint="eastAsia" w:ascii="仿宋" w:hAnsi="仿宋" w:eastAsia="仿宋"/>
          <w:b w:val="0"/>
          <w:bCs w:val="0"/>
          <w:color w:val="auto"/>
          <w:highlight w:val="none"/>
        </w:rPr>
        <w:t>政拨款支出决算明细表</w:t>
      </w:r>
      <w:bookmarkEnd w:id="86"/>
      <w:bookmarkEnd w:id="87"/>
      <w:bookmarkStart w:id="88" w:name="_Toc15396624"/>
    </w:p>
    <w:p>
      <w:pPr>
        <w:pStyle w:val="4"/>
        <w:rPr>
          <w:rFonts w:ascii="仿宋" w:hAnsi="仿宋" w:eastAsia="仿宋"/>
          <w:color w:val="auto"/>
          <w:highlight w:val="none"/>
        </w:rPr>
      </w:pPr>
      <w:bookmarkStart w:id="89" w:name="_Toc32255"/>
      <w:r>
        <w:rPr>
          <w:rStyle w:val="18"/>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18"/>
          <w:rFonts w:hint="eastAsia" w:ascii="仿宋" w:hAnsi="仿宋" w:eastAsia="仿宋"/>
          <w:b w:val="0"/>
          <w:bCs w:val="0"/>
          <w:color w:val="auto"/>
          <w:highlight w:val="none"/>
        </w:rPr>
        <w:t>般公共预算财政拨款支出决算表</w:t>
      </w:r>
      <w:bookmarkEnd w:id="88"/>
      <w:bookmarkEnd w:id="89"/>
    </w:p>
    <w:p>
      <w:pPr>
        <w:pStyle w:val="4"/>
        <w:rPr>
          <w:rFonts w:ascii="仿宋" w:hAnsi="仿宋" w:eastAsia="仿宋"/>
          <w:color w:val="auto"/>
          <w:highlight w:val="none"/>
        </w:rPr>
      </w:pPr>
      <w:bookmarkStart w:id="90" w:name="_Toc24031"/>
      <w:bookmarkStart w:id="91" w:name="_Toc15396625"/>
      <w:r>
        <w:rPr>
          <w:rStyle w:val="18"/>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18"/>
          <w:rFonts w:hint="eastAsia" w:ascii="仿宋" w:hAnsi="仿宋" w:eastAsia="仿宋"/>
          <w:b w:val="0"/>
          <w:bCs w:val="0"/>
          <w:color w:val="auto"/>
          <w:highlight w:val="none"/>
        </w:rPr>
        <w:t>般公共预算财政拨款支出决算明细表</w:t>
      </w:r>
      <w:bookmarkEnd w:id="90"/>
      <w:bookmarkEnd w:id="91"/>
    </w:p>
    <w:p>
      <w:pPr>
        <w:pStyle w:val="4"/>
        <w:rPr>
          <w:rFonts w:ascii="仿宋" w:hAnsi="仿宋" w:eastAsia="仿宋"/>
          <w:color w:val="auto"/>
          <w:highlight w:val="none"/>
        </w:rPr>
      </w:pPr>
      <w:bookmarkStart w:id="92" w:name="_Toc21993"/>
      <w:bookmarkStart w:id="93" w:name="_Toc15396626"/>
      <w:r>
        <w:rPr>
          <w:rStyle w:val="18"/>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18"/>
          <w:rFonts w:hint="eastAsia" w:ascii="仿宋" w:hAnsi="仿宋" w:eastAsia="仿宋"/>
          <w:b w:val="0"/>
          <w:bCs w:val="0"/>
          <w:color w:val="auto"/>
          <w:highlight w:val="none"/>
        </w:rPr>
        <w:t>般公共预算财政拨款基本支出决算表</w:t>
      </w:r>
      <w:bookmarkEnd w:id="92"/>
      <w:bookmarkEnd w:id="93"/>
    </w:p>
    <w:p>
      <w:pPr>
        <w:pStyle w:val="4"/>
        <w:rPr>
          <w:rFonts w:ascii="仿宋" w:hAnsi="仿宋" w:eastAsia="仿宋"/>
          <w:color w:val="auto"/>
          <w:highlight w:val="none"/>
        </w:rPr>
      </w:pPr>
      <w:bookmarkStart w:id="94" w:name="_Toc28862"/>
      <w:bookmarkStart w:id="95" w:name="_Toc15396627"/>
      <w:r>
        <w:rPr>
          <w:rStyle w:val="18"/>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18"/>
          <w:rFonts w:hint="eastAsia" w:ascii="仿宋" w:hAnsi="仿宋" w:eastAsia="仿宋"/>
          <w:b w:val="0"/>
          <w:bCs w:val="0"/>
          <w:color w:val="auto"/>
          <w:highlight w:val="none"/>
        </w:rPr>
        <w:t>般公共预算财政拨款项目支出决算表</w:t>
      </w:r>
      <w:bookmarkEnd w:id="94"/>
      <w:bookmarkEnd w:id="95"/>
    </w:p>
    <w:p>
      <w:pPr>
        <w:pStyle w:val="4"/>
        <w:rPr>
          <w:rFonts w:ascii="仿宋" w:hAnsi="仿宋" w:eastAsia="仿宋"/>
          <w:color w:val="auto"/>
          <w:highlight w:val="none"/>
        </w:rPr>
      </w:pPr>
      <w:bookmarkStart w:id="96" w:name="_Toc15396628"/>
      <w:bookmarkStart w:id="97" w:name="_Toc31124"/>
      <w:r>
        <w:rPr>
          <w:rStyle w:val="18"/>
          <w:rFonts w:hint="eastAsia" w:ascii="仿宋" w:hAnsi="仿宋" w:eastAsia="仿宋"/>
          <w:b w:val="0"/>
          <w:bCs w:val="0"/>
          <w:color w:val="auto"/>
          <w:highlight w:val="none"/>
        </w:rPr>
        <w:t>十、</w:t>
      </w:r>
      <w:bookmarkEnd w:id="96"/>
      <w:r>
        <w:rPr>
          <w:rFonts w:hint="eastAsia" w:ascii="仿宋" w:hAnsi="仿宋" w:eastAsia="仿宋"/>
          <w:b w:val="0"/>
          <w:color w:val="auto"/>
          <w:highlight w:val="none"/>
        </w:rPr>
        <w:t>政</w:t>
      </w:r>
      <w:r>
        <w:rPr>
          <w:rStyle w:val="18"/>
          <w:rFonts w:hint="eastAsia" w:ascii="仿宋" w:hAnsi="仿宋" w:eastAsia="仿宋"/>
          <w:b w:val="0"/>
          <w:bCs w:val="0"/>
          <w:color w:val="auto"/>
          <w:highlight w:val="none"/>
        </w:rPr>
        <w:t>府性基金预算财政拨款收入支出决算表</w:t>
      </w:r>
      <w:bookmarkEnd w:id="97"/>
    </w:p>
    <w:p>
      <w:pPr>
        <w:pStyle w:val="4"/>
        <w:rPr>
          <w:rFonts w:ascii="仿宋" w:hAnsi="仿宋" w:eastAsia="仿宋"/>
          <w:color w:val="auto"/>
          <w:highlight w:val="none"/>
        </w:rPr>
      </w:pPr>
      <w:bookmarkStart w:id="98" w:name="_Toc15396629"/>
      <w:bookmarkStart w:id="99" w:name="_Toc27771"/>
      <w:r>
        <w:rPr>
          <w:rStyle w:val="18"/>
          <w:rFonts w:hint="eastAsia" w:ascii="仿宋" w:hAnsi="仿宋" w:eastAsia="仿宋"/>
          <w:b w:val="0"/>
          <w:bCs w:val="0"/>
          <w:color w:val="auto"/>
          <w:highlight w:val="none"/>
        </w:rPr>
        <w:t>十一、</w:t>
      </w:r>
      <w:bookmarkEnd w:id="98"/>
      <w:r>
        <w:rPr>
          <w:rFonts w:hint="eastAsia" w:ascii="仿宋" w:hAnsi="仿宋" w:eastAsia="仿宋"/>
          <w:b w:val="0"/>
          <w:color w:val="auto"/>
          <w:highlight w:val="none"/>
        </w:rPr>
        <w:t>国</w:t>
      </w:r>
      <w:r>
        <w:rPr>
          <w:rStyle w:val="18"/>
          <w:rFonts w:hint="eastAsia" w:ascii="仿宋" w:hAnsi="仿宋" w:eastAsia="仿宋"/>
          <w:b w:val="0"/>
          <w:bCs w:val="0"/>
          <w:color w:val="auto"/>
          <w:highlight w:val="none"/>
        </w:rPr>
        <w:t>有资本经营预算</w:t>
      </w:r>
      <w:r>
        <w:rPr>
          <w:rStyle w:val="18"/>
          <w:rFonts w:hint="eastAsia" w:ascii="仿宋" w:hAnsi="仿宋" w:eastAsia="仿宋"/>
          <w:b w:val="0"/>
          <w:bCs w:val="0"/>
          <w:color w:val="auto"/>
          <w:highlight w:val="none"/>
          <w:lang w:eastAsia="zh-CN"/>
        </w:rPr>
        <w:t>财政拨款收入</w:t>
      </w:r>
      <w:r>
        <w:rPr>
          <w:rStyle w:val="18"/>
          <w:rFonts w:hint="eastAsia" w:ascii="仿宋" w:hAnsi="仿宋" w:eastAsia="仿宋"/>
          <w:b w:val="0"/>
          <w:bCs w:val="0"/>
          <w:color w:val="auto"/>
          <w:highlight w:val="none"/>
        </w:rPr>
        <w:t>支出决算表</w:t>
      </w:r>
      <w:bookmarkEnd w:id="99"/>
    </w:p>
    <w:p>
      <w:pPr>
        <w:pStyle w:val="4"/>
        <w:rPr>
          <w:rFonts w:ascii="仿宋" w:hAnsi="仿宋" w:eastAsia="仿宋"/>
          <w:color w:val="auto"/>
          <w:highlight w:val="none"/>
        </w:rPr>
      </w:pPr>
      <w:bookmarkStart w:id="100" w:name="_Toc15396630"/>
      <w:bookmarkStart w:id="101" w:name="_Toc24379"/>
      <w:r>
        <w:rPr>
          <w:rStyle w:val="18"/>
          <w:rFonts w:hint="eastAsia" w:ascii="仿宋" w:hAnsi="仿宋" w:eastAsia="仿宋"/>
          <w:b w:val="0"/>
          <w:bCs w:val="0"/>
          <w:color w:val="auto"/>
          <w:highlight w:val="none"/>
        </w:rPr>
        <w:t>十二、</w:t>
      </w:r>
      <w:bookmarkEnd w:id="100"/>
      <w:r>
        <w:rPr>
          <w:rStyle w:val="18"/>
          <w:rFonts w:hint="eastAsia" w:ascii="仿宋" w:hAnsi="仿宋" w:eastAsia="仿宋"/>
          <w:b w:val="0"/>
          <w:bCs w:val="0"/>
          <w:color w:val="auto"/>
          <w:highlight w:val="none"/>
          <w:lang w:eastAsia="zh-CN"/>
        </w:rPr>
        <w:t>国有资本经营预算财政拨款支出决算表</w:t>
      </w:r>
      <w:bookmarkEnd w:id="101"/>
    </w:p>
    <w:p>
      <w:pPr>
        <w:pStyle w:val="4"/>
        <w:rPr>
          <w:rFonts w:hint="eastAsia" w:eastAsia="仿宋"/>
          <w:color w:val="auto"/>
          <w:highlight w:val="none"/>
          <w:lang w:eastAsia="zh-CN"/>
        </w:rPr>
      </w:pPr>
      <w:bookmarkStart w:id="102" w:name="_Toc15396631"/>
      <w:bookmarkStart w:id="103" w:name="_Toc2447"/>
      <w:r>
        <w:rPr>
          <w:rStyle w:val="18"/>
          <w:rFonts w:hint="eastAsia" w:ascii="仿宋" w:hAnsi="仿宋" w:eastAsia="仿宋"/>
          <w:b w:val="0"/>
          <w:bCs w:val="0"/>
          <w:color w:val="auto"/>
          <w:highlight w:val="none"/>
        </w:rPr>
        <w:t>十三、</w:t>
      </w:r>
      <w:bookmarkEnd w:id="102"/>
      <w:r>
        <w:rPr>
          <w:rStyle w:val="18"/>
          <w:rFonts w:hint="eastAsia" w:ascii="仿宋" w:hAnsi="仿宋" w:eastAsia="仿宋"/>
          <w:b w:val="0"/>
          <w:bCs w:val="0"/>
          <w:color w:val="auto"/>
          <w:highlight w:val="none"/>
          <w:lang w:eastAsia="zh-CN"/>
        </w:rPr>
        <w:t>财政拨款“三公”经费支出决算表</w:t>
      </w:r>
      <w:bookmarkEnd w:id="103"/>
    </w:p>
    <w:sectPr>
      <w:footerReference r:id="rId5" w:type="first"/>
      <w:footerReference r:id="rId4" w:type="default"/>
      <w:pgSz w:w="11906" w:h="16838"/>
      <w:pgMar w:top="1440" w:right="1800" w:bottom="1440" w:left="180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仿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6E893509"/>
    <w:multiLevelType w:val="singleLevel"/>
    <w:tmpl w:val="6E893509"/>
    <w:lvl w:ilvl="0" w:tentative="0">
      <w:start w:val="1"/>
      <w:numFmt w:val="chineseCounting"/>
      <w:suff w:val="space"/>
      <w:lvlText w:val="第%1部分"/>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jODE3Y2RjYmYxOTA5MjMwNGM5NjQ4OTIyZjY2ZmI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C4449"/>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2854"/>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31666"/>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80DEF"/>
    <w:rsid w:val="02524502"/>
    <w:rsid w:val="02E828A9"/>
    <w:rsid w:val="03EF7C67"/>
    <w:rsid w:val="053A62B5"/>
    <w:rsid w:val="060A6EE3"/>
    <w:rsid w:val="06B37672"/>
    <w:rsid w:val="073A6997"/>
    <w:rsid w:val="08257571"/>
    <w:rsid w:val="0863220E"/>
    <w:rsid w:val="087150EF"/>
    <w:rsid w:val="0A2032A3"/>
    <w:rsid w:val="0AB319EF"/>
    <w:rsid w:val="0B100BEF"/>
    <w:rsid w:val="0B8A37D8"/>
    <w:rsid w:val="0C7C53DD"/>
    <w:rsid w:val="0F9022FF"/>
    <w:rsid w:val="10C055FF"/>
    <w:rsid w:val="11061B35"/>
    <w:rsid w:val="118107EC"/>
    <w:rsid w:val="11C24C0D"/>
    <w:rsid w:val="11DD6519"/>
    <w:rsid w:val="12A61488"/>
    <w:rsid w:val="13133A0B"/>
    <w:rsid w:val="13723DB8"/>
    <w:rsid w:val="14302302"/>
    <w:rsid w:val="145E16ED"/>
    <w:rsid w:val="151A266A"/>
    <w:rsid w:val="154C6CC8"/>
    <w:rsid w:val="162E59A7"/>
    <w:rsid w:val="16BB723D"/>
    <w:rsid w:val="1750629D"/>
    <w:rsid w:val="175807D0"/>
    <w:rsid w:val="17B46DA6"/>
    <w:rsid w:val="18015F3F"/>
    <w:rsid w:val="18DD40DB"/>
    <w:rsid w:val="18E81697"/>
    <w:rsid w:val="19D379B8"/>
    <w:rsid w:val="1B2B737F"/>
    <w:rsid w:val="1B910DB4"/>
    <w:rsid w:val="1BE8440E"/>
    <w:rsid w:val="1D155CEE"/>
    <w:rsid w:val="1D554B87"/>
    <w:rsid w:val="1E1D1195"/>
    <w:rsid w:val="1E4C7D38"/>
    <w:rsid w:val="1E803E86"/>
    <w:rsid w:val="1E8223CA"/>
    <w:rsid w:val="1EBD29E4"/>
    <w:rsid w:val="1FEC17D3"/>
    <w:rsid w:val="20BF0C96"/>
    <w:rsid w:val="20F57F95"/>
    <w:rsid w:val="22126E3A"/>
    <w:rsid w:val="232C0139"/>
    <w:rsid w:val="2383661D"/>
    <w:rsid w:val="240371BF"/>
    <w:rsid w:val="256911D0"/>
    <w:rsid w:val="25711CC6"/>
    <w:rsid w:val="25C741E6"/>
    <w:rsid w:val="25D6319E"/>
    <w:rsid w:val="25EC3BAF"/>
    <w:rsid w:val="2626133A"/>
    <w:rsid w:val="269C5285"/>
    <w:rsid w:val="27842671"/>
    <w:rsid w:val="284629A2"/>
    <w:rsid w:val="28F76F66"/>
    <w:rsid w:val="292F2731"/>
    <w:rsid w:val="293A786B"/>
    <w:rsid w:val="298159CE"/>
    <w:rsid w:val="29FD04D3"/>
    <w:rsid w:val="2A9C5BA4"/>
    <w:rsid w:val="2AB729DE"/>
    <w:rsid w:val="2ABE7A3E"/>
    <w:rsid w:val="2AF8540A"/>
    <w:rsid w:val="2CA234A8"/>
    <w:rsid w:val="2CDA0C05"/>
    <w:rsid w:val="2CE377DE"/>
    <w:rsid w:val="2D5C32C7"/>
    <w:rsid w:val="2E80634D"/>
    <w:rsid w:val="2EFA178C"/>
    <w:rsid w:val="2F034443"/>
    <w:rsid w:val="2F2D14C0"/>
    <w:rsid w:val="2F2D7712"/>
    <w:rsid w:val="2F72275C"/>
    <w:rsid w:val="2FA84FEB"/>
    <w:rsid w:val="2FBC17E8"/>
    <w:rsid w:val="30056C3A"/>
    <w:rsid w:val="305111DE"/>
    <w:rsid w:val="30B46D73"/>
    <w:rsid w:val="319F7F4E"/>
    <w:rsid w:val="321E1594"/>
    <w:rsid w:val="32252124"/>
    <w:rsid w:val="32D54349"/>
    <w:rsid w:val="335C6FDA"/>
    <w:rsid w:val="33925D96"/>
    <w:rsid w:val="339937E1"/>
    <w:rsid w:val="33A855B9"/>
    <w:rsid w:val="340B78F6"/>
    <w:rsid w:val="34572B3B"/>
    <w:rsid w:val="366C7E6C"/>
    <w:rsid w:val="36B129D7"/>
    <w:rsid w:val="37677539"/>
    <w:rsid w:val="383D272C"/>
    <w:rsid w:val="38C17F8F"/>
    <w:rsid w:val="38C51FA1"/>
    <w:rsid w:val="39AE70AB"/>
    <w:rsid w:val="3BCD4BCE"/>
    <w:rsid w:val="3C0C0783"/>
    <w:rsid w:val="3C1F6B18"/>
    <w:rsid w:val="3C7C75E3"/>
    <w:rsid w:val="3D0A2E41"/>
    <w:rsid w:val="3D2A5291"/>
    <w:rsid w:val="3D666453"/>
    <w:rsid w:val="3D6B6B23"/>
    <w:rsid w:val="3D9D5A63"/>
    <w:rsid w:val="3E314670"/>
    <w:rsid w:val="3F8073EA"/>
    <w:rsid w:val="3F9F3A96"/>
    <w:rsid w:val="41085755"/>
    <w:rsid w:val="411221E1"/>
    <w:rsid w:val="41306BEE"/>
    <w:rsid w:val="41772D31"/>
    <w:rsid w:val="41807B75"/>
    <w:rsid w:val="436F39FE"/>
    <w:rsid w:val="43D63A7D"/>
    <w:rsid w:val="45240818"/>
    <w:rsid w:val="45833790"/>
    <w:rsid w:val="45886FF9"/>
    <w:rsid w:val="45D34E36"/>
    <w:rsid w:val="45ED50AE"/>
    <w:rsid w:val="47215957"/>
    <w:rsid w:val="4832071D"/>
    <w:rsid w:val="48BF60AB"/>
    <w:rsid w:val="493C27E9"/>
    <w:rsid w:val="49675177"/>
    <w:rsid w:val="496F39ED"/>
    <w:rsid w:val="49B21C86"/>
    <w:rsid w:val="49B90A53"/>
    <w:rsid w:val="49FF41D3"/>
    <w:rsid w:val="4ABE4B76"/>
    <w:rsid w:val="4BA6642B"/>
    <w:rsid w:val="4BE068DB"/>
    <w:rsid w:val="4BF6002B"/>
    <w:rsid w:val="4C997D3D"/>
    <w:rsid w:val="4DD94895"/>
    <w:rsid w:val="4E1F24C4"/>
    <w:rsid w:val="4EA558E3"/>
    <w:rsid w:val="4ECE2238"/>
    <w:rsid w:val="4F5217F8"/>
    <w:rsid w:val="506B78C1"/>
    <w:rsid w:val="50E81293"/>
    <w:rsid w:val="51426BF5"/>
    <w:rsid w:val="515E3450"/>
    <w:rsid w:val="51856AE2"/>
    <w:rsid w:val="51A90A23"/>
    <w:rsid w:val="51DB4B86"/>
    <w:rsid w:val="51F06EA8"/>
    <w:rsid w:val="55333C3E"/>
    <w:rsid w:val="5691018A"/>
    <w:rsid w:val="56BA0FDC"/>
    <w:rsid w:val="575431DF"/>
    <w:rsid w:val="587A4EC7"/>
    <w:rsid w:val="58DF0138"/>
    <w:rsid w:val="59E44CEE"/>
    <w:rsid w:val="59F9006D"/>
    <w:rsid w:val="5A407A4A"/>
    <w:rsid w:val="5AB37B5F"/>
    <w:rsid w:val="5B2D6220"/>
    <w:rsid w:val="5BBB524E"/>
    <w:rsid w:val="5DBE13B2"/>
    <w:rsid w:val="5EBA601D"/>
    <w:rsid w:val="5F19442B"/>
    <w:rsid w:val="600357A2"/>
    <w:rsid w:val="60436F72"/>
    <w:rsid w:val="60B53011"/>
    <w:rsid w:val="60CA62C0"/>
    <w:rsid w:val="614D13CA"/>
    <w:rsid w:val="61BC3E5A"/>
    <w:rsid w:val="622540F5"/>
    <w:rsid w:val="63100901"/>
    <w:rsid w:val="638B61DA"/>
    <w:rsid w:val="63BC2837"/>
    <w:rsid w:val="64CA39A1"/>
    <w:rsid w:val="65BD2897"/>
    <w:rsid w:val="65CE0600"/>
    <w:rsid w:val="67D649E0"/>
    <w:rsid w:val="687234C5"/>
    <w:rsid w:val="68CB7079"/>
    <w:rsid w:val="69630ADE"/>
    <w:rsid w:val="699E02E9"/>
    <w:rsid w:val="6ABF0DA9"/>
    <w:rsid w:val="6B5C220A"/>
    <w:rsid w:val="6B811C71"/>
    <w:rsid w:val="6C4A05C8"/>
    <w:rsid w:val="6D3B1A89"/>
    <w:rsid w:val="6DE24342"/>
    <w:rsid w:val="6F887A72"/>
    <w:rsid w:val="70383246"/>
    <w:rsid w:val="715E6CDC"/>
    <w:rsid w:val="71A52B5D"/>
    <w:rsid w:val="71BF4EC2"/>
    <w:rsid w:val="71F118FE"/>
    <w:rsid w:val="72734D90"/>
    <w:rsid w:val="72BB3CBA"/>
    <w:rsid w:val="72D07765"/>
    <w:rsid w:val="72F62F44"/>
    <w:rsid w:val="72FB4660"/>
    <w:rsid w:val="734939BC"/>
    <w:rsid w:val="739E1494"/>
    <w:rsid w:val="7412278C"/>
    <w:rsid w:val="7541494A"/>
    <w:rsid w:val="762757AD"/>
    <w:rsid w:val="76816FC9"/>
    <w:rsid w:val="771D3195"/>
    <w:rsid w:val="78632E2A"/>
    <w:rsid w:val="78DB44A1"/>
    <w:rsid w:val="7904082E"/>
    <w:rsid w:val="793242EA"/>
    <w:rsid w:val="79E61F64"/>
    <w:rsid w:val="79E7B28D"/>
    <w:rsid w:val="7B4B6523"/>
    <w:rsid w:val="7BAB2DA8"/>
    <w:rsid w:val="7C26489A"/>
    <w:rsid w:val="7CBA3C7B"/>
    <w:rsid w:val="7D9817C8"/>
    <w:rsid w:val="7DB54128"/>
    <w:rsid w:val="7DEE3196"/>
    <w:rsid w:val="7F413799"/>
    <w:rsid w:val="7F637BB3"/>
    <w:rsid w:val="7F9F20EE"/>
    <w:rsid w:val="9E3A10E2"/>
    <w:rsid w:val="F2E1F9D4"/>
    <w:rsid w:val="F7880819"/>
    <w:rsid w:val="FFFD97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19"/>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2">
    <w:name w:val="常用样式（方正仿宋简）"/>
    <w:basedOn w:val="1"/>
    <w:qFormat/>
    <w:uiPriority w:val="0"/>
    <w:pPr>
      <w:spacing w:line="560" w:lineRule="exact"/>
      <w:ind w:firstLine="200" w:firstLineChars="200"/>
    </w:pPr>
    <w:rPr>
      <w:rFonts w:eastAsia="方正仿宋简体"/>
      <w:sz w:val="32"/>
    </w:rPr>
  </w:style>
  <w:style w:type="paragraph" w:styleId="6">
    <w:name w:val="Body Text"/>
    <w:basedOn w:val="1"/>
    <w:link w:val="25"/>
    <w:qFormat/>
    <w:uiPriority w:val="99"/>
    <w:pPr>
      <w:spacing w:beforeLines="30"/>
    </w:pPr>
    <w:rPr>
      <w:rFonts w:ascii="仿宋_GB2312" w:eastAsia="仿宋_GB2312"/>
      <w:kern w:val="0"/>
      <w:sz w:val="30"/>
    </w:rPr>
  </w:style>
  <w:style w:type="paragraph" w:styleId="7">
    <w:name w:val="toc 3"/>
    <w:basedOn w:val="1"/>
    <w:next w:val="1"/>
    <w:unhideWhenUsed/>
    <w:qFormat/>
    <w:uiPriority w:val="39"/>
    <w:pPr>
      <w:tabs>
        <w:tab w:val="right" w:leader="dot" w:pos="8296"/>
      </w:tabs>
      <w:ind w:left="840" w:leftChars="400"/>
    </w:pPr>
  </w:style>
  <w:style w:type="paragraph" w:styleId="8">
    <w:name w:val="Balloon Text"/>
    <w:basedOn w:val="1"/>
    <w:link w:val="29"/>
    <w:semiHidden/>
    <w:unhideWhenUsed/>
    <w:qFormat/>
    <w:uiPriority w:val="99"/>
    <w:rPr>
      <w:sz w:val="18"/>
      <w:szCs w:val="18"/>
    </w:rPr>
  </w:style>
  <w:style w:type="paragraph" w:styleId="9">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toc 2"/>
    <w:basedOn w:val="1"/>
    <w:next w:val="1"/>
    <w:unhideWhenUsed/>
    <w:qFormat/>
    <w:uiPriority w:val="39"/>
    <w:pPr>
      <w:tabs>
        <w:tab w:val="right" w:leader="dot" w:pos="8296"/>
      </w:tabs>
      <w:ind w:left="420" w:leftChars="200"/>
    </w:pPr>
  </w:style>
  <w:style w:type="character" w:styleId="15">
    <w:name w:val="Strong"/>
    <w:basedOn w:val="14"/>
    <w:qFormat/>
    <w:uiPriority w:val="99"/>
    <w:rPr>
      <w:b/>
    </w:rPr>
  </w:style>
  <w:style w:type="character" w:styleId="16">
    <w:name w:val="Hyperlink"/>
    <w:basedOn w:val="14"/>
    <w:unhideWhenUsed/>
    <w:qFormat/>
    <w:uiPriority w:val="99"/>
    <w:rPr>
      <w:color w:val="0000FF" w:themeColor="hyperlink"/>
      <w:u w:val="single"/>
      <w14:textFill>
        <w14:solidFill>
          <w14:schemeClr w14:val="hlink"/>
        </w14:solidFill>
      </w14:textFill>
    </w:rPr>
  </w:style>
  <w:style w:type="character" w:customStyle="1" w:styleId="17">
    <w:name w:val="标题 1 Char"/>
    <w:basedOn w:val="14"/>
    <w:link w:val="3"/>
    <w:qFormat/>
    <w:uiPriority w:val="9"/>
    <w:rPr>
      <w:rFonts w:ascii="Times New Roman" w:hAnsi="Times New Roman"/>
      <w:b/>
      <w:bCs/>
      <w:kern w:val="44"/>
      <w:sz w:val="44"/>
      <w:szCs w:val="44"/>
    </w:rPr>
  </w:style>
  <w:style w:type="character" w:customStyle="1" w:styleId="18">
    <w:name w:val="标题 2 Char"/>
    <w:basedOn w:val="14"/>
    <w:link w:val="4"/>
    <w:qFormat/>
    <w:uiPriority w:val="9"/>
    <w:rPr>
      <w:rFonts w:asciiTheme="majorHAnsi" w:hAnsiTheme="majorHAnsi" w:eastAsiaTheme="majorEastAsia" w:cstheme="majorBidi"/>
      <w:b/>
      <w:bCs/>
      <w:kern w:val="2"/>
      <w:sz w:val="32"/>
      <w:szCs w:val="32"/>
    </w:rPr>
  </w:style>
  <w:style w:type="character" w:customStyle="1" w:styleId="19">
    <w:name w:val="标题 3 Char"/>
    <w:basedOn w:val="14"/>
    <w:link w:val="5"/>
    <w:qFormat/>
    <w:uiPriority w:val="9"/>
    <w:rPr>
      <w:rFonts w:ascii="Times New Roman" w:hAnsi="Times New Roman"/>
      <w:b/>
      <w:bCs/>
      <w:kern w:val="2"/>
      <w:sz w:val="32"/>
      <w:szCs w:val="32"/>
    </w:rPr>
  </w:style>
  <w:style w:type="character" w:customStyle="1" w:styleId="20">
    <w:name w:val="Header Char"/>
    <w:basedOn w:val="14"/>
    <w:semiHidden/>
    <w:qFormat/>
    <w:uiPriority w:val="99"/>
    <w:rPr>
      <w:rFonts w:ascii="Times New Roman" w:hAnsi="Times New Roman"/>
      <w:sz w:val="18"/>
      <w:szCs w:val="18"/>
    </w:rPr>
  </w:style>
  <w:style w:type="character" w:customStyle="1" w:styleId="21">
    <w:name w:val="页眉 Char"/>
    <w:link w:val="10"/>
    <w:semiHidden/>
    <w:qFormat/>
    <w:locked/>
    <w:uiPriority w:val="99"/>
    <w:rPr>
      <w:sz w:val="18"/>
    </w:rPr>
  </w:style>
  <w:style w:type="character" w:customStyle="1" w:styleId="22">
    <w:name w:val="Footer Char"/>
    <w:basedOn w:val="14"/>
    <w:semiHidden/>
    <w:qFormat/>
    <w:uiPriority w:val="99"/>
    <w:rPr>
      <w:rFonts w:ascii="Times New Roman" w:hAnsi="Times New Roman"/>
      <w:sz w:val="18"/>
      <w:szCs w:val="18"/>
    </w:rPr>
  </w:style>
  <w:style w:type="character" w:customStyle="1" w:styleId="23">
    <w:name w:val="页脚 Char"/>
    <w:link w:val="9"/>
    <w:qFormat/>
    <w:locked/>
    <w:uiPriority w:val="99"/>
    <w:rPr>
      <w:sz w:val="18"/>
    </w:rPr>
  </w:style>
  <w:style w:type="character" w:customStyle="1" w:styleId="24">
    <w:name w:val="Body Text Char"/>
    <w:basedOn w:val="14"/>
    <w:semiHidden/>
    <w:qFormat/>
    <w:uiPriority w:val="99"/>
    <w:rPr>
      <w:rFonts w:ascii="Times New Roman" w:hAnsi="Times New Roman"/>
      <w:szCs w:val="24"/>
    </w:rPr>
  </w:style>
  <w:style w:type="character" w:customStyle="1" w:styleId="25">
    <w:name w:val="正文文本 Char"/>
    <w:link w:val="6"/>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paragraph" w:customStyle="1" w:styleId="28">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9">
    <w:name w:val="批注框文本 Char"/>
    <w:basedOn w:val="14"/>
    <w:link w:val="8"/>
    <w:semiHidden/>
    <w:qFormat/>
    <w:uiPriority w:val="99"/>
    <w:rPr>
      <w:rFonts w:ascii="Times New Roman" w:hAnsi="Times New Roman"/>
      <w:kern w:val="2"/>
      <w:sz w:val="18"/>
      <w:szCs w:val="18"/>
    </w:rPr>
  </w:style>
  <w:style w:type="paragraph" w:customStyle="1" w:styleId="30">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1">
    <w:name w:val="WPSOffice手动目录 1"/>
    <w:qFormat/>
    <w:uiPriority w:val="0"/>
    <w:pPr>
      <w:ind w:leftChars="0"/>
    </w:pPr>
    <w:rPr>
      <w:rFonts w:ascii="Times New Roman" w:hAnsi="Times New Roman" w:eastAsia="宋体" w:cs="Times New Roman"/>
      <w:sz w:val="20"/>
      <w:szCs w:val="20"/>
    </w:rPr>
  </w:style>
  <w:style w:type="paragraph" w:customStyle="1" w:styleId="32">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7.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2.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3.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4.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5.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6.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2021年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收支总额</c:v>
                </c:pt>
              </c:strCache>
            </c:strRef>
          </c:cat>
          <c:val>
            <c:numRef>
              <c:f>Sheet1!$B$2</c:f>
              <c:numCache>
                <c:formatCode>General</c:formatCode>
                <c:ptCount val="1"/>
                <c:pt idx="0">
                  <c:v>3581.58</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收支总额</c:v>
                </c:pt>
              </c:strCache>
            </c:strRef>
          </c:cat>
          <c:val>
            <c:numRef>
              <c:f>Sheet1!$C$2</c:f>
              <c:numCache>
                <c:formatCode>General</c:formatCode>
                <c:ptCount val="1"/>
                <c:pt idx="0">
                  <c:v>2191.23</c:v>
                </c:pt>
              </c:numCache>
            </c:numRef>
          </c:val>
        </c:ser>
        <c:ser>
          <c:idx val="2"/>
          <c:order val="2"/>
          <c:tx>
            <c:strRef>
              <c:f>Sheet1!#REF!</c:f>
              <c:strCache>
                <c:ptCount val="1"/>
                <c:pt idx="0">
                  <c:v/>
                </c:pt>
              </c:strCache>
            </c:strRef>
          </c:tx>
          <c:spPr>
            <a:solidFill>
              <a:schemeClr val="accent3"/>
            </a:solidFill>
            <a:ln>
              <a:noFill/>
            </a:ln>
            <a:effectLst/>
          </c:spPr>
          <c:invertIfNegative val="0"/>
          <c:dLbls>
            <c:delete val="1"/>
          </c:dLbls>
          <c:cat>
            <c:strRef>
              <c:f>Sheet1!$A$2</c:f>
              <c:strCache>
                <c:ptCount val="1"/>
                <c:pt idx="0">
                  <c:v>收支总额</c:v>
                </c:pt>
              </c:strCache>
            </c:strRef>
          </c:cat>
          <c:val>
            <c:numRef>
              <c:f>Sheet1!#REF!</c:f>
              <c:numCache>
                <c:formatCode>General</c:formatCode>
                <c:ptCount val="1"/>
                <c:pt idx="0">
                  <c:v>1</c:v>
                </c:pt>
              </c:numCache>
            </c:numRef>
          </c:val>
        </c:ser>
        <c:dLbls>
          <c:showLegendKey val="0"/>
          <c:showVal val="1"/>
          <c:showCatName val="0"/>
          <c:showSerName val="0"/>
          <c:showPercent val="0"/>
          <c:showBubbleSize val="0"/>
        </c:dLbls>
        <c:gapWidth val="75"/>
        <c:overlap val="-25"/>
        <c:axId val="130085415"/>
        <c:axId val="102463283"/>
      </c:barChart>
      <c:catAx>
        <c:axId val="130085415"/>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2463283"/>
        <c:crosses val="autoZero"/>
        <c:auto val="1"/>
        <c:lblAlgn val="ctr"/>
        <c:lblOffset val="100"/>
        <c:noMultiLvlLbl val="0"/>
      </c:catAx>
      <c:valAx>
        <c:axId val="102463283"/>
        <c:scaling>
          <c:orientation val="minMax"/>
        </c:scaling>
        <c:delete val="0"/>
        <c:axPos val="l"/>
        <c:majorGridlines>
          <c:spPr>
            <a:ln w="9525" cap="flat" cmpd="sng" algn="ctr">
              <a:solidFill>
                <a:schemeClr val="bg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30085415"/>
        <c:crosses val="autoZero"/>
        <c:crossBetween val="between"/>
      </c:valAx>
      <c:spPr>
        <a:noFill/>
        <a:ln>
          <a:noFill/>
        </a:ln>
        <a:effectLst/>
      </c:spPr>
    </c:plotArea>
    <c:legend>
      <c:legendPos val="b"/>
      <c:legendEntry>
        <c:idx val="2"/>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销售额</c:v>
                </c:pt>
              </c:strCache>
            </c:strRef>
          </c:tx>
          <c:spPr/>
          <c:explosion val="0"/>
          <c:dPt>
            <c:idx val="0"/>
            <c:bubble3D val="0"/>
            <c:spPr>
              <a:solidFill>
                <a:schemeClr val="accent1"/>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财政拨款收入</c:v>
                </c:pt>
              </c:strCache>
            </c:strRef>
          </c:cat>
          <c:val>
            <c:numRef>
              <c:f>Sheet1!$B$2</c:f>
              <c:numCache>
                <c:formatCode>General</c:formatCode>
                <c:ptCount val="1"/>
                <c:pt idx="0">
                  <c:v>2166.77</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manualLayout>
          <c:xMode val="edge"/>
          <c:yMode val="edge"/>
          <c:x val="0.770621399681333"/>
          <c:y val="0.838894184938036"/>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列1</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Lbl>
              <c:idx val="0"/>
              <c:layout>
                <c:manualLayout>
                  <c:x val="0.1723931521609"/>
                  <c:y val="-0.0291932059447983"/>
                </c:manualLayout>
              </c:layout>
              <c:dLblPos val="bestFit"/>
              <c:showLegendKey val="0"/>
              <c:showVal val="1"/>
              <c:showCatName val="1"/>
              <c:showSerName val="0"/>
              <c:showPercent val="1"/>
              <c:showBubbleSize val="0"/>
              <c:extLst>
                <c:ext xmlns:c15="http://schemas.microsoft.com/office/drawing/2012/chart" uri="{CE6537A1-D6FC-4f65-9D91-7224C49458BB}">
                  <c15:layout/>
                </c:ext>
              </c:extLst>
            </c:dLbl>
            <c:dLbl>
              <c:idx val="1"/>
              <c:layout>
                <c:manualLayout>
                  <c:x val="-0.161618580150844"/>
                  <c:y val="0.0477707006369427"/>
                </c:manualLayout>
              </c:layout>
              <c:dLblPos val="bestFit"/>
              <c:showLegendKey val="0"/>
              <c:showVal val="1"/>
              <c:showCatName val="1"/>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2014.91</c:v>
                </c:pt>
                <c:pt idx="1">
                  <c:v>142.15</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t"/>
      <c:layout>
        <c:manualLayout>
          <c:xMode val="edge"/>
          <c:yMode val="edge"/>
          <c:x val="0.130731473722016"/>
          <c:y val="0.931528662420382"/>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2021年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财政拨款收、支总计</c:v>
                </c:pt>
              </c:strCache>
            </c:strRef>
          </c:cat>
          <c:val>
            <c:numRef>
              <c:f>Sheet1!$B$2</c:f>
              <c:numCache>
                <c:formatCode>General</c:formatCode>
                <c:ptCount val="1"/>
                <c:pt idx="0">
                  <c:v>3581.58</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财政拨款收、支总计</c:v>
                </c:pt>
              </c:strCache>
            </c:strRef>
          </c:cat>
          <c:val>
            <c:numRef>
              <c:f>Sheet1!$C$2</c:f>
              <c:numCache>
                <c:formatCode>General</c:formatCode>
                <c:ptCount val="1"/>
                <c:pt idx="0">
                  <c:v>2191.23</c:v>
                </c:pt>
              </c:numCache>
            </c:numRef>
          </c:val>
        </c:ser>
        <c:ser>
          <c:idx val="2"/>
          <c:order val="2"/>
          <c:tx>
            <c:strRef>
              <c:f>Sheet1!#REF!</c:f>
              <c:strCache>
                <c:ptCount val="1"/>
                <c:pt idx="0">
                  <c:v/>
                </c:pt>
              </c:strCache>
            </c:strRef>
          </c:tx>
          <c:spPr>
            <a:solidFill>
              <a:schemeClr val="accent3"/>
            </a:solidFill>
            <a:ln>
              <a:noFill/>
            </a:ln>
            <a:effectLst/>
          </c:spPr>
          <c:invertIfNegative val="0"/>
          <c:dLbls>
            <c:delete val="1"/>
          </c:dLbls>
          <c:cat>
            <c:strRef>
              <c:f>Sheet1!$A$2</c:f>
              <c:strCache>
                <c:ptCount val="1"/>
                <c:pt idx="0">
                  <c:v>财政拨款收、支总计</c:v>
                </c:pt>
              </c:strCache>
            </c:strRef>
          </c:cat>
          <c:val>
            <c:numRef>
              <c:f>Sheet1!#REF!</c:f>
              <c:numCache>
                <c:formatCode>General</c:formatCode>
                <c:ptCount val="1"/>
                <c:pt idx="0">
                  <c:v>1</c:v>
                </c:pt>
              </c:numCache>
            </c:numRef>
          </c:val>
        </c:ser>
        <c:dLbls>
          <c:showLegendKey val="0"/>
          <c:showVal val="0"/>
          <c:showCatName val="0"/>
          <c:showSerName val="0"/>
          <c:showPercent val="0"/>
          <c:showBubbleSize val="0"/>
        </c:dLbls>
        <c:gapWidth val="246"/>
        <c:overlap val="-28"/>
        <c:axId val="61267662"/>
        <c:axId val="774119012"/>
      </c:barChart>
      <c:catAx>
        <c:axId val="61267662"/>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74119012"/>
        <c:crosses val="autoZero"/>
        <c:auto val="1"/>
        <c:lblAlgn val="ctr"/>
        <c:lblOffset val="100"/>
        <c:noMultiLvlLbl val="0"/>
      </c:catAx>
      <c:valAx>
        <c:axId val="774119012"/>
        <c:scaling>
          <c:orientation val="minMax"/>
        </c:scaling>
        <c:delete val="0"/>
        <c:axPos val="l"/>
        <c:majorGridlines>
          <c:spPr>
            <a:ln w="9525" cap="flat" cmpd="sng" algn="ctr">
              <a:solidFill>
                <a:schemeClr val="bg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1267662"/>
        <c:crosses val="autoZero"/>
        <c:crossBetween val="between"/>
      </c:valAx>
      <c:spPr>
        <a:noFill/>
        <a:ln>
          <a:noFill/>
        </a:ln>
        <a:effectLst/>
      </c:spPr>
    </c:plotArea>
    <c:legend>
      <c:legendPos val="b"/>
      <c:legendEntry>
        <c:idx val="2"/>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201256342111621"/>
          <c:y val="0.00637484062898428"/>
          <c:w val="0.930345494080696"/>
          <c:h val="0.638631534211645"/>
        </c:manualLayout>
      </c:layout>
      <c:barChart>
        <c:barDir val="col"/>
        <c:grouping val="clustered"/>
        <c:varyColors val="0"/>
        <c:ser>
          <c:idx val="0"/>
          <c:order val="0"/>
          <c:tx>
            <c:strRef>
              <c:f>Sheet1!$B$1</c:f>
              <c:strCache>
                <c:ptCount val="1"/>
                <c:pt idx="0">
                  <c:v>2021年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一般公共预算财政拨款支出</c:v>
                </c:pt>
              </c:strCache>
            </c:strRef>
          </c:cat>
          <c:val>
            <c:numRef>
              <c:f>Sheet1!$B$2</c:f>
              <c:numCache>
                <c:formatCode>General</c:formatCode>
                <c:ptCount val="1"/>
                <c:pt idx="0">
                  <c:v>3510.57</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一般公共预算财政拨款支出</c:v>
                </c:pt>
              </c:strCache>
            </c:strRef>
          </c:cat>
          <c:val>
            <c:numRef>
              <c:f>Sheet1!$C$2</c:f>
              <c:numCache>
                <c:formatCode>General</c:formatCode>
                <c:ptCount val="1"/>
                <c:pt idx="0">
                  <c:v>2157.06</c:v>
                </c:pt>
              </c:numCache>
            </c:numRef>
          </c:val>
        </c:ser>
        <c:ser>
          <c:idx val="2"/>
          <c:order val="2"/>
          <c:tx>
            <c:strRef>
              <c:f>Sheet1!#REF!</c:f>
              <c:strCache>
                <c:ptCount val="1"/>
                <c:pt idx="0">
                  <c:v/>
                </c:pt>
              </c:strCache>
            </c:strRef>
          </c:tx>
          <c:spPr>
            <a:solidFill>
              <a:schemeClr val="accent3"/>
            </a:solidFill>
            <a:ln>
              <a:noFill/>
            </a:ln>
            <a:effectLst/>
          </c:spPr>
          <c:invertIfNegative val="0"/>
          <c:dLbls>
            <c:delete val="1"/>
          </c:dLbls>
          <c:cat>
            <c:strRef>
              <c:f>Sheet1!$A$2</c:f>
              <c:strCache>
                <c:ptCount val="1"/>
                <c:pt idx="0">
                  <c:v>一般公共预算财政拨款支出</c:v>
                </c:pt>
              </c:strCache>
            </c:strRef>
          </c:cat>
          <c:val>
            <c:numRef>
              <c:f>Sheet1!#REF!</c:f>
              <c:numCache>
                <c:formatCode>General</c:formatCode>
                <c:ptCount val="1"/>
                <c:pt idx="0">
                  <c:v>1</c:v>
                </c:pt>
              </c:numCache>
            </c:numRef>
          </c:val>
        </c:ser>
        <c:dLbls>
          <c:showLegendKey val="0"/>
          <c:showVal val="1"/>
          <c:showCatName val="0"/>
          <c:showSerName val="0"/>
          <c:showPercent val="0"/>
          <c:showBubbleSize val="0"/>
        </c:dLbls>
        <c:gapWidth val="246"/>
        <c:overlap val="-28"/>
        <c:axId val="408114020"/>
        <c:axId val="567288479"/>
      </c:barChart>
      <c:catAx>
        <c:axId val="40811402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67288479"/>
        <c:crosses val="autoZero"/>
        <c:auto val="1"/>
        <c:lblAlgn val="ctr"/>
        <c:lblOffset val="100"/>
        <c:noMultiLvlLbl val="0"/>
      </c:catAx>
      <c:valAx>
        <c:axId val="567288479"/>
        <c:scaling>
          <c:orientation val="minMax"/>
        </c:scaling>
        <c:delete val="0"/>
        <c:axPos val="l"/>
        <c:majorGridlines>
          <c:spPr>
            <a:ln w="9525" cap="flat" cmpd="sng" algn="ctr">
              <a:solidFill>
                <a:schemeClr val="bg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8114020"/>
        <c:crosses val="autoZero"/>
        <c:crossBetween val="between"/>
      </c:valAx>
      <c:spPr>
        <a:noFill/>
        <a:ln>
          <a:noFill/>
        </a:ln>
        <a:effectLst/>
      </c:spPr>
    </c:plotArea>
    <c:legend>
      <c:legendPos val="b"/>
      <c:legendEntry>
        <c:idx val="2"/>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21067859021568"/>
          <c:y val="0.280502021563342"/>
          <c:w val="0.520894266175697"/>
          <c:h val="0.667264150943396"/>
        </c:manualLayout>
      </c:layout>
      <c:pieChart>
        <c:varyColors val="1"/>
        <c:ser>
          <c:idx val="0"/>
          <c:order val="0"/>
          <c:tx>
            <c:strRef>
              <c:f>Sheet1!$B$1</c:f>
              <c:strCache>
                <c:ptCount val="1"/>
                <c:pt idx="0">
                  <c:v>销售额</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Lbls>
            <c:dLbl>
              <c:idx val="1"/>
              <c:layout>
                <c:manualLayout>
                  <c:x val="-0.0771921591141179"/>
                  <c:y val="-0.00880846519384727"/>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67276895864362"/>
                  <c:y val="-0.0229935699908084"/>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社会保障和就业支出</c:v>
                </c:pt>
                <c:pt idx="1">
                  <c:v>卫生健康支出</c:v>
                </c:pt>
                <c:pt idx="2">
                  <c:v>住房保障支出</c:v>
                </c:pt>
              </c:strCache>
            </c:strRef>
          </c:cat>
          <c:val>
            <c:numRef>
              <c:f>Sheet1!$B$2:$B$4</c:f>
              <c:numCache>
                <c:formatCode>General</c:formatCode>
                <c:ptCount val="3"/>
                <c:pt idx="0">
                  <c:v>2039.64</c:v>
                </c:pt>
                <c:pt idx="1">
                  <c:v>34.36</c:v>
                </c:pt>
                <c:pt idx="2">
                  <c:v>83.06</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manualLayout>
          <c:xMode val="edge"/>
          <c:yMode val="edge"/>
          <c:x val="0.149082568807339"/>
          <c:y val="0.0410482212803489"/>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75000"/>
                    <a:lumOff val="25000"/>
                  </a:schemeClr>
                </a:solidFill>
                <a:latin typeface="+mn-lt"/>
                <a:ea typeface="+mn-ea"/>
                <a:cs typeface="+mn-cs"/>
              </a:defRPr>
            </a:pPr>
            <a:r>
              <a:rPr lang="en-US" altLang="zh-CN"/>
              <a:t>“</a:t>
            </a:r>
            <a:r>
              <a:rPr altLang="en-US"/>
              <a:t>三公经费</a:t>
            </a:r>
            <a:r>
              <a:rPr lang="en-US" altLang="zh-CN"/>
              <a:t>”</a:t>
            </a:r>
            <a:r>
              <a:rPr altLang="en-US"/>
              <a:t>财政拨款支出</a:t>
            </a:r>
            <a:endParaRPr altLang="en-US"/>
          </a:p>
        </c:rich>
      </c:tx>
      <c:layout/>
      <c:overlay val="0"/>
      <c:spPr>
        <a:noFill/>
        <a:ln>
          <a:noFill/>
        </a:ln>
        <a:effectLst/>
      </c:spPr>
    </c:title>
    <c:autoTitleDeleted val="0"/>
    <c:plotArea>
      <c:layout/>
      <c:pieChart>
        <c:varyColors val="1"/>
        <c:ser>
          <c:idx val="0"/>
          <c:order val="0"/>
          <c:tx>
            <c:strRef>
              <c:f>Sheet1!$B$1</c:f>
              <c:strCache>
                <c:ptCount val="1"/>
                <c:pt idx="0">
                  <c:v>销售额</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因公出国（境）费</c:v>
                </c:pt>
                <c:pt idx="1">
                  <c:v>公务用车购置及运行维护费</c:v>
                </c:pt>
                <c:pt idx="2">
                  <c:v>公务接待费</c:v>
                </c:pt>
              </c:strCache>
            </c:strRef>
          </c:cat>
          <c:val>
            <c:numRef>
              <c:f>Sheet1!$B$2:$B$4</c:f>
              <c:numCache>
                <c:formatCode>General</c:formatCode>
                <c:ptCount val="3"/>
                <c:pt idx="0">
                  <c:v>0</c:v>
                </c:pt>
                <c:pt idx="1">
                  <c:v>0</c:v>
                </c:pt>
                <c:pt idx="2">
                  <c:v>0.03</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24</Pages>
  <Words>1299</Words>
  <Characters>7410</Characters>
  <Lines>61</Lines>
  <Paragraphs>17</Paragraphs>
  <TotalTime>34</TotalTime>
  <ScaleCrop>false</ScaleCrop>
  <LinksUpToDate>false</LinksUpToDate>
  <CharactersWithSpaces>8692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2020-08-05T09:49:00Z</dcterms:created>
  <dc:creator>曹颖</dc:creator>
  <cp:lastModifiedBy>YY</cp:lastModifiedBy>
  <cp:lastPrinted>2023-07-31T10:35:00Z</cp:lastPrinted>
  <dcterms:modified xsi:type="dcterms:W3CDTF">2023-10-25T06:58:43Z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6B70361D626A4593B4A9C4A901EC4F63</vt:lpwstr>
  </property>
</Properties>
</file>