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24274"/>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2" w:name="_Toc15377194"/>
      <w:bookmarkStart w:id="3" w:name="_Toc15396598"/>
      <w:bookmarkStart w:id="4" w:name="_Toc31873"/>
      <w:bookmarkStart w:id="5" w:name="_Toc15378442"/>
      <w:bookmarkStart w:id="6" w:name="_Toc15396476"/>
      <w:bookmarkStart w:id="7" w:name="_Toc15377426"/>
      <w:r>
        <w:rPr>
          <w:rFonts w:hint="eastAsia" w:ascii="方正小标宋简体" w:hAnsi="方正小标宋简体" w:eastAsia="方正小标宋简体" w:cs="方正小标宋简体"/>
          <w:color w:val="auto"/>
          <w:sz w:val="72"/>
          <w:szCs w:val="72"/>
          <w:highlight w:val="none"/>
          <w:lang w:eastAsia="zh-CN"/>
        </w:rPr>
        <w:t>广元市</w:t>
      </w:r>
      <w:bookmarkStart w:id="8" w:name="_Toc15306268"/>
      <w:r>
        <w:rPr>
          <w:rFonts w:hint="eastAsia" w:ascii="方正小标宋简体" w:hAnsi="方正小标宋简体" w:eastAsia="方正小标宋简体" w:cs="方正小标宋简体"/>
          <w:color w:val="auto"/>
          <w:sz w:val="72"/>
          <w:szCs w:val="72"/>
          <w:highlight w:val="none"/>
          <w:lang w:eastAsia="zh-CN"/>
        </w:rPr>
        <w:t>公共资源交易信息中心单位</w:t>
      </w:r>
      <w:r>
        <w:rPr>
          <w:rFonts w:hint="eastAsia" w:ascii="方正小标宋简体" w:hAnsi="方正小标宋简体" w:eastAsia="方正小标宋简体" w:cs="方正小标宋简体"/>
          <w:color w:val="auto"/>
          <w:sz w:val="72"/>
          <w:szCs w:val="72"/>
          <w:highlight w:val="none"/>
        </w:rPr>
        <w:t>决算</w:t>
      </w:r>
      <w:bookmarkEnd w:id="2"/>
      <w:bookmarkEnd w:id="3"/>
      <w:bookmarkEnd w:id="4"/>
      <w:bookmarkEnd w:id="5"/>
      <w:bookmarkEnd w:id="6"/>
      <w:bookmarkEnd w:id="7"/>
      <w:bookmarkEnd w:id="8"/>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1"/>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18 </w:t>
      </w:r>
      <w:r>
        <w:rPr>
          <w:rFonts w:hint="eastAsia"/>
          <w:color w:val="auto"/>
          <w:highlight w:val="none"/>
        </w:rPr>
        <w:t>日</w:t>
      </w:r>
    </w:p>
    <w:sdt>
      <w:sdtPr>
        <w:rPr>
          <w:rFonts w:ascii="宋体" w:hAnsi="宋体" w:eastAsia="宋体" w:cs="Times New Roman"/>
          <w:kern w:val="2"/>
          <w:sz w:val="21"/>
          <w:szCs w:val="24"/>
          <w:lang w:val="en-US" w:eastAsia="zh-CN" w:bidi="ar-SA"/>
        </w:rPr>
        <w:id w:val="147477697"/>
        <w15:color w:val="DBDBDB"/>
        <w:docPartObj>
          <w:docPartGallery w:val="Table of Contents"/>
          <w:docPartUnique/>
        </w:docPartObj>
      </w:sdtPr>
      <w:sdtEndPr>
        <w:rPr>
          <w:rFonts w:hint="eastAsia" w:ascii="宋体" w:hAnsi="宋体" w:eastAsia="宋体" w:cs="宋体"/>
          <w:b/>
          <w:kern w:val="2"/>
          <w:sz w:val="24"/>
          <w:szCs w:val="24"/>
          <w:lang w:val="en-US" w:eastAsia="zh-CN" w:bidi="ar-SA"/>
        </w:rPr>
      </w:sdtEndPr>
      <w:sdtContent>
        <w:p>
          <w:pPr>
            <w:pStyle w:val="33"/>
            <w:tabs>
              <w:tab w:val="right" w:leader="dot" w:pos="8306"/>
            </w:tabs>
            <w:rPr>
              <w:rFonts w:hint="eastAsia" w:ascii="宋体" w:hAnsi="宋体" w:eastAsia="宋体" w:cs="宋体"/>
              <w:b/>
              <w:sz w:val="24"/>
              <w:szCs w:val="24"/>
            </w:rPr>
          </w:pPr>
          <w:bookmarkStart w:id="9" w:name="_Toc15377196"/>
          <w:bookmarkStart w:id="10" w:name="_Toc15396599"/>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"1-2" \h \u </w:instrText>
          </w:r>
          <w:r>
            <w:rPr>
              <w:rFonts w:hint="eastAsia" w:ascii="宋体" w:hAnsi="宋体" w:eastAsia="宋体" w:cs="宋体"/>
              <w:sz w:val="24"/>
              <w:szCs w:val="24"/>
            </w:rPr>
            <w:fldChar w:fldCharType="separate"/>
          </w:r>
        </w:p>
        <w:p>
          <w:pPr>
            <w:pStyle w:val="33"/>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_Toc12587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highlight w:val="none"/>
            </w:rPr>
            <w:t xml:space="preserve">第一部分 </w:t>
          </w:r>
          <w:r>
            <w:rPr>
              <w:rFonts w:hint="eastAsia" w:ascii="仿宋" w:hAnsi="仿宋" w:eastAsia="仿宋" w:cs="仿宋"/>
              <w:b w:val="0"/>
              <w:bCs/>
              <w:sz w:val="24"/>
              <w:szCs w:val="24"/>
              <w:highlight w:val="none"/>
              <w:lang w:eastAsia="zh-CN"/>
            </w:rPr>
            <w:t>单位</w:t>
          </w:r>
          <w:r>
            <w:rPr>
              <w:rFonts w:hint="eastAsia" w:ascii="仿宋" w:hAnsi="仿宋" w:eastAsia="仿宋" w:cs="仿宋"/>
              <w:b w:val="0"/>
              <w:bCs/>
              <w:sz w:val="24"/>
              <w:szCs w:val="24"/>
              <w:highlight w:val="none"/>
            </w:rPr>
            <w:t>概况</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_Toc12587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4</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_Toc18936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lang w:eastAsia="zh-CN"/>
            </w:rPr>
            <w:t xml:space="preserve">一、 </w:t>
          </w:r>
          <w:r>
            <w:rPr>
              <w:rFonts w:hint="eastAsia" w:ascii="宋体" w:hAnsi="宋体" w:eastAsia="宋体" w:cs="宋体"/>
              <w:b w:val="0"/>
              <w:bCs/>
              <w:sz w:val="24"/>
              <w:szCs w:val="24"/>
              <w:highlight w:val="none"/>
              <w:lang w:eastAsia="zh-CN"/>
            </w:rPr>
            <w:t>主要职责</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_Toc18936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4</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_Toc31586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lang w:val="en-US" w:eastAsia="zh-CN"/>
            </w:rPr>
            <w:t>二、机构设置</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_Toc31586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5</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_Toc21282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 xml:space="preserve">第二部分 </w:t>
          </w:r>
          <w:r>
            <w:rPr>
              <w:rFonts w:hint="eastAsia" w:ascii="仿宋" w:hAnsi="仿宋" w:eastAsia="仿宋" w:cs="仿宋"/>
              <w:b w:val="0"/>
              <w:bCs/>
              <w:sz w:val="24"/>
              <w:szCs w:val="24"/>
              <w:lang w:val="en-US" w:eastAsia="zh-CN"/>
            </w:rPr>
            <w:t>2022年度</w:t>
          </w:r>
          <w:r>
            <w:rPr>
              <w:rFonts w:hint="eastAsia" w:ascii="仿宋" w:hAnsi="仿宋" w:eastAsia="仿宋" w:cs="仿宋"/>
              <w:b w:val="0"/>
              <w:bCs/>
              <w:sz w:val="24"/>
              <w:szCs w:val="24"/>
              <w:lang w:eastAsia="zh-CN"/>
            </w:rPr>
            <w:t>单位</w:t>
          </w:r>
          <w:r>
            <w:rPr>
              <w:rFonts w:hint="eastAsia" w:ascii="仿宋" w:hAnsi="仿宋" w:eastAsia="仿宋" w:cs="仿宋"/>
              <w:b w:val="0"/>
              <w:bCs/>
              <w:sz w:val="24"/>
              <w:szCs w:val="24"/>
            </w:rPr>
            <w:t>决算情况说明</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_Toc21282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6</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_Toc10652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一、 </w:t>
          </w:r>
          <w:r>
            <w:rPr>
              <w:rFonts w:hint="eastAsia" w:ascii="宋体" w:hAnsi="宋体" w:eastAsia="宋体" w:cs="宋体"/>
              <w:b w:val="0"/>
              <w:bCs/>
              <w:sz w:val="24"/>
              <w:szCs w:val="24"/>
              <w:highlight w:val="none"/>
            </w:rPr>
            <w:t>收入支出决算总体情况说明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_Toc10652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_Toc26607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二、 </w:t>
          </w:r>
          <w:r>
            <w:rPr>
              <w:rFonts w:hint="eastAsia" w:ascii="宋体" w:hAnsi="宋体" w:eastAsia="宋体" w:cs="宋体"/>
              <w:b w:val="0"/>
              <w:bCs/>
              <w:sz w:val="24"/>
              <w:szCs w:val="24"/>
              <w:highlight w:val="none"/>
            </w:rPr>
            <w:t>收入决算情况说明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_Toc26607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6</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_Toc32443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三、 </w:t>
          </w:r>
          <w:r>
            <w:rPr>
              <w:rFonts w:hint="eastAsia" w:ascii="宋体" w:hAnsi="宋体" w:eastAsia="宋体" w:cs="宋体"/>
              <w:b w:val="0"/>
              <w:bCs/>
              <w:sz w:val="24"/>
              <w:szCs w:val="24"/>
              <w:highlight w:val="none"/>
            </w:rPr>
            <w:t>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_Toc32443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7</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_Toc16075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四、财政拨款收入支出决算总体情况说明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_Toc16075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8</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_Toc29562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五、一般公共预算财政拨款支出决算情况说明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_Toc29562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8</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_Toc17470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六、一般公共预算财政拨款基本支出决算情况说明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_Toc17470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11</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_Toc5152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七、财政拨款“三公”经费支出决算情况说明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_Toc5152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11</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_Toc138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八、政府性基金预算支出决算情况说明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_Toc138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13</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_Toc20365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九、 </w:t>
          </w:r>
          <w:r>
            <w:rPr>
              <w:rFonts w:hint="eastAsia" w:ascii="宋体" w:hAnsi="宋体" w:eastAsia="宋体" w:cs="宋体"/>
              <w:b w:val="0"/>
              <w:bCs/>
              <w:sz w:val="24"/>
              <w:szCs w:val="24"/>
              <w:highlight w:val="none"/>
            </w:rPr>
            <w:t>国有资本经营预算支出决算情况说明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_Toc20365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13</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_Toc27759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 xml:space="preserve">十、 </w:t>
          </w:r>
          <w:r>
            <w:rPr>
              <w:rFonts w:hint="eastAsia" w:ascii="宋体" w:hAnsi="宋体" w:eastAsia="宋体" w:cs="宋体"/>
              <w:b w:val="0"/>
              <w:bCs/>
              <w:sz w:val="24"/>
              <w:szCs w:val="24"/>
              <w:highlight w:val="none"/>
            </w:rPr>
            <w:t>其他重要事项的情况说明</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_Toc27759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13</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_Toc25593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第三部分 名词解释</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_Toc25593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15</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_Toc3831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第四部分 附件</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_Toc3831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17</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仿宋" w:hAnsi="仿宋" w:eastAsia="仿宋" w:cs="仿宋"/>
              <w:b w:val="0"/>
              <w:bCs/>
              <w:sz w:val="24"/>
              <w:szCs w:val="24"/>
            </w:rPr>
          </w:pP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HYPERLINK \l _Toc32143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第五部分 附表</w:t>
          </w:r>
          <w:r>
            <w:rPr>
              <w:rFonts w:hint="eastAsia" w:ascii="仿宋" w:hAnsi="仿宋" w:eastAsia="仿宋" w:cs="仿宋"/>
              <w:b w:val="0"/>
              <w:bCs/>
              <w:sz w:val="24"/>
              <w:szCs w:val="24"/>
            </w:rPr>
            <w:tab/>
          </w:r>
          <w:r>
            <w:rPr>
              <w:rFonts w:hint="eastAsia" w:ascii="仿宋" w:hAnsi="仿宋" w:eastAsia="仿宋" w:cs="仿宋"/>
              <w:b w:val="0"/>
              <w:bCs/>
              <w:sz w:val="24"/>
              <w:szCs w:val="24"/>
            </w:rPr>
            <w:fldChar w:fldCharType="begin"/>
          </w:r>
          <w:r>
            <w:rPr>
              <w:rFonts w:hint="eastAsia" w:ascii="仿宋" w:hAnsi="仿宋" w:eastAsia="仿宋" w:cs="仿宋"/>
              <w:b w:val="0"/>
              <w:bCs/>
              <w:sz w:val="24"/>
              <w:szCs w:val="24"/>
            </w:rPr>
            <w:instrText xml:space="preserve"> PAGEREF _Toc32143 \h </w:instrText>
          </w:r>
          <w:r>
            <w:rPr>
              <w:rFonts w:hint="eastAsia" w:ascii="仿宋" w:hAnsi="仿宋" w:eastAsia="仿宋" w:cs="仿宋"/>
              <w:b w:val="0"/>
              <w:bCs/>
              <w:sz w:val="24"/>
              <w:szCs w:val="24"/>
            </w:rPr>
            <w:fldChar w:fldCharType="separate"/>
          </w:r>
          <w:r>
            <w:rPr>
              <w:rFonts w:hint="eastAsia" w:ascii="仿宋" w:hAnsi="仿宋" w:eastAsia="仿宋" w:cs="仿宋"/>
              <w:b w:val="0"/>
              <w:bCs/>
              <w:sz w:val="24"/>
              <w:szCs w:val="24"/>
            </w:rPr>
            <w:t>39</w:t>
          </w:r>
          <w:r>
            <w:rPr>
              <w:rFonts w:hint="eastAsia" w:ascii="仿宋" w:hAnsi="仿宋" w:eastAsia="仿宋" w:cs="仿宋"/>
              <w:b w:val="0"/>
              <w:bCs/>
              <w:sz w:val="24"/>
              <w:szCs w:val="24"/>
            </w:rPr>
            <w:fldChar w:fldCharType="end"/>
          </w:r>
          <w:r>
            <w:rPr>
              <w:rFonts w:hint="eastAsia" w:ascii="仿宋" w:hAnsi="仿宋" w:eastAsia="仿宋" w:cs="仿宋"/>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_Toc19463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一、收入支出决算总表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_Toc19463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_Toc8131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二、收入决算表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_Toc8131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_Toc17810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三、支出决算表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_Toc17810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_Toc5586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四、财政拨款收入支出决算总表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_Toc5586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_Toc12799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五、财政拨款支出决算明细表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_Toc12799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_Toc225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六、一般公共预算财政拨款支出决算表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_Toc225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_Toc2926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七、一般公共预算财政拨款支出决算明细表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_Toc2926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_Toc8669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八、一般公共预算财政拨款基本支出决算表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_Toc8669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_Toc10557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九、一般公共预算财政拨款项目支出决算表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_Toc10557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_Toc11335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十、政府性基金预算财政拨款收入支出决算表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_Toc11335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_Toc11290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十一、国有资本经营预算</w:t>
          </w:r>
          <w:r>
            <w:rPr>
              <w:rFonts w:hint="eastAsia" w:ascii="宋体" w:hAnsi="宋体" w:eastAsia="宋体" w:cs="宋体"/>
              <w:b w:val="0"/>
              <w:bCs/>
              <w:sz w:val="24"/>
              <w:szCs w:val="24"/>
              <w:highlight w:val="none"/>
              <w:lang w:eastAsia="zh-CN"/>
            </w:rPr>
            <w:t>财政拨款收入</w:t>
          </w:r>
          <w:r>
            <w:rPr>
              <w:rFonts w:hint="eastAsia" w:ascii="宋体" w:hAnsi="宋体" w:eastAsia="宋体" w:cs="宋体"/>
              <w:b w:val="0"/>
              <w:bCs/>
              <w:sz w:val="24"/>
              <w:szCs w:val="24"/>
              <w:highlight w:val="none"/>
            </w:rPr>
            <w:t>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_Toc11290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_Toc21629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十二、</w:t>
          </w:r>
          <w:r>
            <w:rPr>
              <w:rFonts w:hint="eastAsia" w:ascii="宋体" w:hAnsi="宋体" w:eastAsia="宋体" w:cs="宋体"/>
              <w:b w:val="0"/>
              <w:bCs/>
              <w:sz w:val="24"/>
              <w:szCs w:val="24"/>
              <w:highlight w:val="none"/>
              <w:lang w:eastAsia="zh-CN"/>
            </w:rPr>
            <w:t>国有资本经营预算财政拨款支出决算表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_Toc21629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pStyle w:val="34"/>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\l _Toc23469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highlight w:val="none"/>
            </w:rPr>
            <w:t>十三、</w:t>
          </w:r>
          <w:r>
            <w:rPr>
              <w:rFonts w:hint="eastAsia" w:ascii="宋体" w:hAnsi="宋体" w:eastAsia="宋体" w:cs="宋体"/>
              <w:b w:val="0"/>
              <w:bCs/>
              <w:sz w:val="24"/>
              <w:szCs w:val="24"/>
              <w:highlight w:val="none"/>
              <w:lang w:eastAsia="zh-CN"/>
            </w:rPr>
            <w:t>财政拨款“三公”经费支出决算表</w:t>
          </w:r>
          <w:r>
            <w:rPr>
              <w:rFonts w:hint="eastAsia" w:ascii="宋体" w:hAnsi="宋体" w:eastAsia="宋体" w:cs="宋体"/>
              <w:b w:val="0"/>
              <w:bCs/>
              <w:sz w:val="24"/>
              <w:szCs w:val="24"/>
            </w:rPr>
            <w:tab/>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PAGEREF _Toc23469 \h </w:instrText>
          </w:r>
          <w:r>
            <w:rPr>
              <w:rFonts w:hint="eastAsia" w:ascii="宋体" w:hAnsi="宋体" w:eastAsia="宋体" w:cs="宋体"/>
              <w:b w:val="0"/>
              <w:bCs/>
              <w:sz w:val="24"/>
              <w:szCs w:val="24"/>
            </w:rPr>
            <w:fldChar w:fldCharType="separate"/>
          </w:r>
          <w:r>
            <w:rPr>
              <w:rFonts w:hint="eastAsia" w:ascii="宋体" w:hAnsi="宋体" w:eastAsia="宋体" w:cs="宋体"/>
              <w:b w:val="0"/>
              <w:bCs/>
              <w:sz w:val="24"/>
              <w:szCs w:val="24"/>
            </w:rPr>
            <w:t>39</w:t>
          </w:r>
          <w:r>
            <w:rPr>
              <w:rFonts w:hint="eastAsia" w:ascii="宋体" w:hAnsi="宋体" w:eastAsia="宋体" w:cs="宋体"/>
              <w:b w:val="0"/>
              <w:bCs/>
              <w:sz w:val="24"/>
              <w:szCs w:val="24"/>
            </w:rPr>
            <w:fldChar w:fldCharType="end"/>
          </w:r>
          <w:r>
            <w:rPr>
              <w:rFonts w:hint="eastAsia" w:ascii="宋体" w:hAnsi="宋体" w:eastAsia="宋体" w:cs="宋体"/>
              <w:b w:val="0"/>
              <w:bCs/>
              <w:sz w:val="24"/>
              <w:szCs w:val="24"/>
            </w:rPr>
            <w:fldChar w:fldCharType="end"/>
          </w:r>
        </w:p>
        <w:p>
          <w:pPr>
            <w:rPr>
              <w:rFonts w:hint="eastAsia" w:ascii="宋体" w:hAnsi="宋体" w:eastAsia="宋体" w:cs="宋体"/>
              <w:sz w:val="24"/>
              <w:szCs w:val="24"/>
            </w:rPr>
          </w:pPr>
          <w:r>
            <w:rPr>
              <w:rFonts w:hint="eastAsia" w:ascii="宋体" w:hAnsi="宋体" w:eastAsia="宋体" w:cs="宋体"/>
              <w:b/>
              <w:sz w:val="24"/>
              <w:szCs w:val="24"/>
            </w:rPr>
            <w:fldChar w:fldCharType="end"/>
          </w:r>
        </w:p>
      </w:sdtContent>
    </w:sdt>
    <w:p>
      <w:pPr>
        <w:widowControl/>
        <w:spacing w:line="440" w:lineRule="exact"/>
        <w:jc w:val="left"/>
        <w:rPr>
          <w:rFonts w:ascii="仿宋" w:hAnsi="仿宋" w:eastAsia="仿宋"/>
          <w:bCs/>
          <w:color w:val="auto"/>
          <w:kern w:val="44"/>
          <w:sz w:val="24"/>
          <w:highlight w:val="none"/>
        </w:rPr>
      </w:pPr>
      <w:r>
        <w:rPr>
          <w:rFonts w:ascii="仿宋" w:hAnsi="仿宋" w:eastAsia="仿宋"/>
          <w:b/>
          <w:color w:val="auto"/>
          <w:sz w:val="24"/>
          <w:highlight w:val="none"/>
        </w:rPr>
        <w:br w:type="page"/>
      </w:r>
    </w:p>
    <w:p>
      <w:pPr>
        <w:pStyle w:val="4"/>
        <w:jc w:val="center"/>
        <w:rPr>
          <w:rFonts w:ascii="黑体" w:eastAsia="黑体"/>
          <w:color w:val="auto"/>
          <w:sz w:val="32"/>
          <w:szCs w:val="32"/>
          <w:highlight w:val="none"/>
        </w:rPr>
      </w:pPr>
      <w:bookmarkStart w:id="11" w:name="_Toc12587"/>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6"/>
          <w:rFonts w:hint="eastAsia" w:ascii="黑体" w:hAnsi="黑体" w:eastAsia="黑体"/>
          <w:b w:val="0"/>
          <w:bCs w:val="0"/>
          <w:color w:val="auto"/>
          <w:highlight w:val="none"/>
        </w:rPr>
        <w:t>概况</w:t>
      </w:r>
      <w:bookmarkEnd w:id="9"/>
      <w:bookmarkEnd w:id="10"/>
      <w:bookmarkEnd w:id="11"/>
    </w:p>
    <w:p>
      <w:pPr>
        <w:pStyle w:val="5"/>
        <w:numPr>
          <w:ilvl w:val="0"/>
          <w:numId w:val="1"/>
        </w:numPr>
        <w:rPr>
          <w:rStyle w:val="27"/>
          <w:rFonts w:hint="eastAsia" w:ascii="黑体" w:hAnsi="黑体" w:eastAsia="黑体"/>
          <w:b w:val="0"/>
          <w:bCs w:val="0"/>
          <w:color w:val="auto"/>
          <w:highlight w:val="none"/>
          <w:lang w:eastAsia="zh-CN"/>
        </w:rPr>
      </w:pPr>
      <w:bookmarkStart w:id="12" w:name="_Toc18936"/>
      <w:bookmarkStart w:id="13" w:name="_Toc15396600"/>
      <w:bookmarkStart w:id="14" w:name="_Toc15377197"/>
      <w:r>
        <w:rPr>
          <w:rStyle w:val="27"/>
          <w:rFonts w:hint="eastAsia" w:ascii="黑体" w:hAnsi="黑体" w:eastAsia="黑体"/>
          <w:b w:val="0"/>
          <w:bCs w:val="0"/>
          <w:color w:val="auto"/>
          <w:highlight w:val="none"/>
          <w:lang w:eastAsia="zh-CN"/>
        </w:rPr>
        <w:t>主要职责</w:t>
      </w:r>
      <w:bookmarkEnd w:id="12"/>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市公共资源交易信息中心是经市委、市政府批准设立的公益一类事业单位，直属市政务服务和公共资源交易中心，主要职责：（1）.贯彻实施公共资源交易相关法律、法规和政策，为公共资源交易活动提供场所、设施和服务。（2）.制定公共资源交易现场管理规章制度、工作流程并组织实施，指导全市公共资源交易活动现场和管理工作。（3）.承担全市工程建设招投标现场服务和管理工作，负责政府采购活动现场服务和管理工作，负责国有产权、特许经营权出（转）让等现场服务和管理工作，负责国有土地、矿业权出（转）让提供交易服务。（4）.承担市公共资源交易中心信息技术平台建设和管理，按照有关规定发布场内交易信息，为交易各方提供交易资讯、鉴证等服务。（5）.查验进场交易项目相关手续和参与交易活动各方主体资格。（6）.建立公共资源交易从业者场内信誉评价制度，协助有关部门建立公共资源交易信用评价体系。（7）.负责项目交易现场监督管理工作，记录、制止和纠正违反交易现场管理制度的行为，接受有关咨询、投诉，并按职责分工及时处理。（8）.承办市政府交办的其他事项。</w:t>
      </w:r>
    </w:p>
    <w:p>
      <w:pPr>
        <w:pStyle w:val="5"/>
        <w:numPr>
          <w:ilvl w:val="0"/>
          <w:numId w:val="0"/>
        </w:numPr>
        <w:rPr>
          <w:rFonts w:hint="eastAsia" w:ascii="黑体" w:hAnsi="黑体" w:eastAsia="黑体"/>
          <w:b w:val="0"/>
          <w:color w:val="auto"/>
          <w:highlight w:val="none"/>
          <w:lang w:val="en-US" w:eastAsia="zh-CN"/>
        </w:rPr>
      </w:pPr>
      <w:bookmarkStart w:id="15" w:name="_Toc31586"/>
      <w:r>
        <w:rPr>
          <w:rFonts w:hint="eastAsia" w:ascii="黑体" w:hAnsi="黑体" w:eastAsia="黑体"/>
          <w:b w:val="0"/>
          <w:color w:val="auto"/>
          <w:highlight w:val="none"/>
          <w:lang w:val="en-US" w:eastAsia="zh-CN"/>
        </w:rPr>
        <w:t>二、机构设置</w:t>
      </w:r>
      <w:bookmarkEnd w:id="15"/>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市公共资源交易信息中心是经市委、市政府批准设立的公益一类事业单位，直属市政务服务和公共资源交易中心，下设综合科、交易受理科、交易组织科、交易评审科、现场监督科、热线受理科、热线督办科、信息技术科、保证金管理科9个科室，现有事业编制数25名。</w:t>
      </w:r>
    </w:p>
    <w:p>
      <w:pPr>
        <w:pStyle w:val="2"/>
        <w:rPr>
          <w:rFonts w:hint="eastAsia" w:ascii="宋体" w:hAnsi="宋体" w:eastAsia="宋体" w:cs="宋体"/>
          <w:sz w:val="30"/>
          <w:szCs w:val="30"/>
          <w:lang w:val="en-US" w:eastAsia="zh-CN"/>
        </w:rPr>
      </w:pPr>
    </w:p>
    <w:p>
      <w:pPr>
        <w:pStyle w:val="3"/>
        <w:rPr>
          <w:rFonts w:hint="eastAsia" w:ascii="宋体" w:hAnsi="宋体" w:eastAsia="宋体" w:cs="宋体"/>
          <w:sz w:val="30"/>
          <w:szCs w:val="30"/>
          <w:lang w:val="en-US" w:eastAsia="zh-CN"/>
        </w:rPr>
      </w:pPr>
    </w:p>
    <w:p>
      <w:pPr>
        <w:rPr>
          <w:rFonts w:hint="eastAsia" w:ascii="宋体" w:hAnsi="宋体" w:eastAsia="宋体" w:cs="宋体"/>
          <w:sz w:val="30"/>
          <w:szCs w:val="30"/>
          <w:lang w:val="en-US" w:eastAsia="zh-CN"/>
        </w:rPr>
      </w:pPr>
    </w:p>
    <w:p>
      <w:pPr>
        <w:pStyle w:val="2"/>
        <w:rPr>
          <w:rFonts w:hint="eastAsia" w:ascii="宋体" w:hAnsi="宋体" w:eastAsia="宋体" w:cs="宋体"/>
          <w:sz w:val="30"/>
          <w:szCs w:val="30"/>
          <w:lang w:val="en-US" w:eastAsia="zh-CN"/>
        </w:rPr>
      </w:pPr>
    </w:p>
    <w:p>
      <w:pPr>
        <w:pStyle w:val="3"/>
        <w:rPr>
          <w:rFonts w:hint="eastAsia" w:ascii="宋体" w:hAnsi="宋体" w:eastAsia="宋体" w:cs="宋体"/>
          <w:sz w:val="30"/>
          <w:szCs w:val="30"/>
          <w:lang w:val="en-US" w:eastAsia="zh-CN"/>
        </w:rPr>
      </w:pPr>
    </w:p>
    <w:p>
      <w:pPr>
        <w:rPr>
          <w:rFonts w:hint="eastAsia" w:ascii="宋体" w:hAnsi="宋体" w:eastAsia="宋体" w:cs="宋体"/>
          <w:sz w:val="30"/>
          <w:szCs w:val="30"/>
          <w:lang w:val="en-US" w:eastAsia="zh-CN"/>
        </w:rPr>
      </w:pPr>
    </w:p>
    <w:p>
      <w:pPr>
        <w:pStyle w:val="2"/>
        <w:rPr>
          <w:rFonts w:hint="eastAsia" w:ascii="宋体" w:hAnsi="宋体" w:eastAsia="宋体" w:cs="宋体"/>
          <w:sz w:val="30"/>
          <w:szCs w:val="30"/>
          <w:lang w:val="en-US" w:eastAsia="zh-CN"/>
        </w:rPr>
      </w:pPr>
    </w:p>
    <w:p>
      <w:pPr>
        <w:pStyle w:val="3"/>
        <w:rPr>
          <w:rFonts w:hint="eastAsia" w:ascii="宋体" w:hAnsi="宋体" w:eastAsia="宋体" w:cs="宋体"/>
          <w:sz w:val="30"/>
          <w:szCs w:val="30"/>
          <w:lang w:val="en-US" w:eastAsia="zh-CN"/>
        </w:rPr>
      </w:pPr>
    </w:p>
    <w:p>
      <w:pPr>
        <w:rPr>
          <w:rFonts w:hint="eastAsia" w:ascii="宋体" w:hAnsi="宋体" w:eastAsia="宋体" w:cs="宋体"/>
          <w:sz w:val="30"/>
          <w:szCs w:val="30"/>
          <w:lang w:val="en-US" w:eastAsia="zh-CN"/>
        </w:rPr>
      </w:pPr>
    </w:p>
    <w:p>
      <w:pPr>
        <w:pStyle w:val="2"/>
        <w:rPr>
          <w:rFonts w:hint="eastAsia" w:ascii="宋体" w:hAnsi="宋体" w:eastAsia="宋体" w:cs="宋体"/>
          <w:sz w:val="30"/>
          <w:szCs w:val="30"/>
          <w:lang w:val="en-US" w:eastAsia="zh-CN"/>
        </w:rPr>
      </w:pPr>
    </w:p>
    <w:p>
      <w:pPr>
        <w:pStyle w:val="3"/>
        <w:rPr>
          <w:rFonts w:hint="eastAsia" w:ascii="宋体" w:hAnsi="宋体" w:eastAsia="宋体" w:cs="宋体"/>
          <w:sz w:val="30"/>
          <w:szCs w:val="30"/>
          <w:lang w:val="en-US" w:eastAsia="zh-CN"/>
        </w:rPr>
      </w:pPr>
    </w:p>
    <w:p>
      <w:pPr>
        <w:rPr>
          <w:rFonts w:hint="eastAsia" w:ascii="宋体" w:hAnsi="宋体" w:eastAsia="宋体" w:cs="宋体"/>
          <w:sz w:val="30"/>
          <w:szCs w:val="30"/>
          <w:lang w:val="en-US" w:eastAsia="zh-CN"/>
        </w:rPr>
      </w:pPr>
    </w:p>
    <w:p>
      <w:pPr>
        <w:pStyle w:val="2"/>
        <w:rPr>
          <w:rFonts w:hint="eastAsia"/>
          <w:lang w:val="en-US" w:eastAsia="zh-CN"/>
        </w:rPr>
      </w:pPr>
    </w:p>
    <w:bookmarkEnd w:id="13"/>
    <w:bookmarkEnd w:id="14"/>
    <w:p>
      <w:pPr>
        <w:pStyle w:val="4"/>
        <w:ind w:right="440" w:firstLine="440" w:firstLineChars="100"/>
        <w:jc w:val="both"/>
        <w:rPr>
          <w:rStyle w:val="26"/>
          <w:rFonts w:ascii="黑体" w:hAnsi="黑体" w:eastAsia="黑体"/>
          <w:b w:val="0"/>
          <w:bCs/>
          <w:color w:val="auto"/>
          <w:highlight w:val="none"/>
        </w:rPr>
      </w:pPr>
      <w:bookmarkStart w:id="16" w:name="_Toc15377204"/>
      <w:bookmarkStart w:id="17" w:name="_Toc21282"/>
      <w:bookmarkStart w:id="18"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6"/>
          <w:rFonts w:hint="eastAsia" w:ascii="黑体" w:hAnsi="黑体" w:eastAsia="黑体"/>
          <w:b w:val="0"/>
          <w:bCs/>
          <w:color w:val="auto"/>
          <w:highlight w:val="none"/>
          <w:lang w:eastAsia="zh-CN"/>
        </w:rPr>
        <w:t>单位</w:t>
      </w:r>
      <w:r>
        <w:rPr>
          <w:rStyle w:val="26"/>
          <w:rFonts w:hint="eastAsia" w:ascii="黑体" w:hAnsi="黑体" w:eastAsia="黑体"/>
          <w:b w:val="0"/>
          <w:bCs/>
          <w:color w:val="auto"/>
          <w:highlight w:val="none"/>
        </w:rPr>
        <w:t>决算情况说明</w:t>
      </w:r>
      <w:bookmarkEnd w:id="16"/>
      <w:bookmarkEnd w:id="17"/>
      <w:bookmarkEnd w:id="18"/>
    </w:p>
    <w:p>
      <w:pPr>
        <w:rPr>
          <w:color w:val="auto"/>
          <w:highlight w:val="none"/>
        </w:rPr>
      </w:pP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19" w:name="_Toc10652"/>
      <w:bookmarkStart w:id="20" w:name="_Toc15377205"/>
      <w:bookmarkStart w:id="21" w:name="_Toc15396603"/>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入支出决算总体情况说明</w:t>
      </w:r>
      <w:bookmarkEnd w:id="19"/>
      <w:bookmarkEnd w:id="20"/>
      <w:bookmarkEnd w:id="21"/>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472.28</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21.97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增加了</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lang w:eastAsia="zh-CN"/>
        </w:rPr>
        <w:t>名在职人员及</w:t>
      </w:r>
      <w:r>
        <w:rPr>
          <w:rFonts w:hint="eastAsia" w:ascii="仿宋" w:hAnsi="仿宋" w:eastAsia="仿宋"/>
          <w:color w:val="auto"/>
          <w:sz w:val="32"/>
          <w:szCs w:val="32"/>
          <w:highlight w:val="none"/>
        </w:rPr>
        <w:t>在编在职人员</w:t>
      </w:r>
      <w:r>
        <w:rPr>
          <w:rFonts w:hint="eastAsia" w:ascii="仿宋" w:hAnsi="仿宋" w:eastAsia="仿宋"/>
          <w:color w:val="auto"/>
          <w:sz w:val="32"/>
          <w:szCs w:val="32"/>
          <w:highlight w:val="none"/>
          <w:lang w:eastAsia="zh-CN"/>
        </w:rPr>
        <w:t>基础</w:t>
      </w:r>
      <w:r>
        <w:rPr>
          <w:rFonts w:hint="eastAsia" w:ascii="仿宋" w:hAnsi="仿宋" w:eastAsia="仿宋"/>
          <w:color w:val="auto"/>
          <w:sz w:val="32"/>
          <w:szCs w:val="32"/>
          <w:highlight w:val="none"/>
        </w:rPr>
        <w:t>绩效奖</w:t>
      </w:r>
      <w:r>
        <w:rPr>
          <w:rFonts w:hint="eastAsia" w:ascii="仿宋" w:hAnsi="仿宋" w:eastAsia="仿宋"/>
          <w:color w:val="auto"/>
          <w:sz w:val="32"/>
          <w:szCs w:val="32"/>
          <w:highlight w:val="none"/>
          <w:lang w:eastAsia="zh-CN"/>
        </w:rPr>
        <w:t>增加。</w:t>
      </w:r>
    </w:p>
    <w:p>
      <w:pPr>
        <w:pStyle w:val="2"/>
        <w:rPr>
          <w:rFonts w:hint="eastAsia" w:eastAsia="仿宋"/>
          <w:lang w:eastAsia="zh-CN"/>
        </w:rPr>
      </w:pPr>
      <w:r>
        <w:rPr>
          <w:rFonts w:hint="eastAsia" w:eastAsia="仿宋"/>
          <w:lang w:eastAsia="zh-CN"/>
        </w:rPr>
        <w:drawing>
          <wp:inline distT="0" distB="0" distL="114300" distR="114300">
            <wp:extent cx="5256530" cy="3244215"/>
            <wp:effectExtent l="4445" t="4445" r="15875" b="889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bookmarkStart w:id="98" w:name="_GoBack"/>
      <w:bookmarkEnd w:id="98"/>
    </w:p>
    <w:p>
      <w:pPr>
        <w:spacing w:line="600" w:lineRule="exact"/>
        <w:ind w:firstLine="640" w:firstLineChars="200"/>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22" w:name="_Toc15377206"/>
      <w:bookmarkStart w:id="23" w:name="_Toc26607"/>
      <w:bookmarkStart w:id="24" w:name="_Toc15396604"/>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入决算情况说明</w:t>
      </w:r>
      <w:bookmarkEnd w:id="22"/>
      <w:bookmarkEnd w:id="23"/>
      <w:bookmarkEnd w:id="24"/>
    </w:p>
    <w:p>
      <w:pPr>
        <w:spacing w:line="600" w:lineRule="exact"/>
        <w:ind w:firstLine="640" w:firstLineChars="200"/>
        <w:outlineLvl w:val="1"/>
        <w:rPr>
          <w:rFonts w:ascii="仿宋" w:hAnsi="仿宋" w:eastAsia="仿宋"/>
          <w:color w:val="auto"/>
          <w:sz w:val="32"/>
          <w:szCs w:val="32"/>
          <w:highlight w:val="none"/>
        </w:rPr>
      </w:pPr>
      <w:bookmarkStart w:id="25" w:name="_Toc585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450.11</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450.11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25"/>
    </w:p>
    <w:p>
      <w:pPr>
        <w:pStyle w:val="2"/>
        <w:rPr>
          <w:rFonts w:hint="eastAsia" w:eastAsia="仿宋"/>
          <w:lang w:eastAsia="zh-CN"/>
        </w:rPr>
      </w:pPr>
      <w:r>
        <w:rPr>
          <w:rFonts w:hint="eastAsia" w:eastAsia="仿宋"/>
          <w:lang w:eastAsia="zh-CN"/>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5"/>
        <w:numPr>
          <w:ilvl w:val="0"/>
          <w:numId w:val="2"/>
        </w:numPr>
        <w:spacing w:line="600" w:lineRule="exact"/>
        <w:ind w:firstLineChars="0"/>
        <w:outlineLvl w:val="1"/>
        <w:rPr>
          <w:rStyle w:val="27"/>
          <w:rFonts w:ascii="黑体" w:hAnsi="黑体" w:eastAsia="黑体"/>
          <w:b w:val="0"/>
          <w:color w:val="auto"/>
          <w:highlight w:val="none"/>
        </w:rPr>
      </w:pPr>
      <w:bookmarkStart w:id="26" w:name="_Toc32443"/>
      <w:bookmarkStart w:id="27" w:name="_Toc15396605"/>
      <w:bookmarkStart w:id="28" w:name="_Toc15377207"/>
      <w:r>
        <w:rPr>
          <w:rFonts w:hint="eastAsia" w:ascii="黑体" w:hAnsi="黑体" w:eastAsia="黑体"/>
          <w:color w:val="auto"/>
          <w:sz w:val="32"/>
          <w:szCs w:val="32"/>
          <w:highlight w:val="none"/>
        </w:rPr>
        <w:t>支</w:t>
      </w:r>
      <w:r>
        <w:rPr>
          <w:rStyle w:val="27"/>
          <w:rFonts w:hint="eastAsia" w:ascii="黑体" w:hAnsi="黑体" w:eastAsia="黑体"/>
          <w:b w:val="0"/>
          <w:color w:val="auto"/>
          <w:highlight w:val="none"/>
        </w:rPr>
        <w:t>出决算情况说明</w:t>
      </w:r>
      <w:bookmarkEnd w:id="26"/>
      <w:bookmarkEnd w:id="27"/>
      <w:bookmarkEnd w:id="28"/>
    </w:p>
    <w:p>
      <w:pPr>
        <w:spacing w:line="600" w:lineRule="exact"/>
        <w:ind w:firstLine="640" w:firstLineChars="200"/>
        <w:outlineLvl w:val="1"/>
        <w:rPr>
          <w:rFonts w:ascii="仿宋" w:hAnsi="仿宋" w:eastAsia="仿宋"/>
          <w:color w:val="auto"/>
          <w:sz w:val="32"/>
          <w:szCs w:val="32"/>
          <w:highlight w:val="none"/>
          <w:shd w:val="pct10" w:color="auto" w:fill="FFFFFF"/>
        </w:rPr>
      </w:pPr>
      <w:bookmarkStart w:id="29" w:name="_Toc4550"/>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463.70</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342.06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73.77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121.64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26.23</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29"/>
    </w:p>
    <w:p>
      <w:pPr>
        <w:pStyle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inline distT="0" distB="0" distL="114300" distR="114300">
            <wp:extent cx="5627370" cy="3009265"/>
            <wp:effectExtent l="4445" t="4445" r="6985" b="1524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color w:val="auto"/>
          <w:sz w:val="32"/>
          <w:szCs w:val="32"/>
          <w:highlight w:val="none"/>
        </w:rPr>
        <w:t>（图3：支出决算结构图）（饼状图）</w:t>
      </w:r>
    </w:p>
    <w:p>
      <w:pPr>
        <w:pStyle w:val="2"/>
        <w:rPr>
          <w:rFonts w:hint="eastAsia" w:ascii="仿宋_GB2312" w:eastAsia="仿宋_GB2312"/>
          <w:color w:val="auto"/>
          <w:sz w:val="32"/>
          <w:szCs w:val="32"/>
          <w:highlight w:val="none"/>
          <w:lang w:eastAsia="zh-CN"/>
        </w:rPr>
      </w:pPr>
    </w:p>
    <w:p>
      <w:pPr>
        <w:spacing w:line="600" w:lineRule="exact"/>
        <w:ind w:firstLine="640" w:firstLineChars="200"/>
        <w:outlineLvl w:val="1"/>
        <w:rPr>
          <w:rStyle w:val="27"/>
          <w:rFonts w:ascii="黑体" w:hAnsi="黑体" w:eastAsia="黑体"/>
          <w:b w:val="0"/>
          <w:color w:val="auto"/>
          <w:highlight w:val="none"/>
        </w:rPr>
      </w:pPr>
      <w:bookmarkStart w:id="30" w:name="_Toc15396606"/>
      <w:bookmarkStart w:id="31" w:name="_Toc15377208"/>
      <w:bookmarkStart w:id="32" w:name="_Toc16075"/>
      <w:r>
        <w:rPr>
          <w:rFonts w:hint="eastAsia" w:ascii="黑体" w:hAnsi="黑体" w:eastAsia="黑体"/>
          <w:color w:val="auto"/>
          <w:sz w:val="32"/>
          <w:szCs w:val="32"/>
          <w:highlight w:val="none"/>
        </w:rPr>
        <w:t>四、财</w:t>
      </w:r>
      <w:r>
        <w:rPr>
          <w:rStyle w:val="27"/>
          <w:rFonts w:hint="eastAsia" w:ascii="黑体" w:hAnsi="黑体" w:eastAsia="黑体"/>
          <w:b w:val="0"/>
          <w:color w:val="auto"/>
          <w:highlight w:val="none"/>
        </w:rPr>
        <w:t>政拨款收入支出决算总体情况说明</w:t>
      </w:r>
      <w:bookmarkEnd w:id="30"/>
      <w:bookmarkEnd w:id="31"/>
      <w:bookmarkEnd w:id="32"/>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472.28</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年相比，财政拨款收、支总计各增加</w:t>
      </w:r>
      <w:r>
        <w:rPr>
          <w:rFonts w:hint="eastAsia" w:ascii="仿宋" w:hAnsi="仿宋" w:eastAsia="仿宋"/>
          <w:color w:val="auto"/>
          <w:sz w:val="32"/>
          <w:szCs w:val="32"/>
          <w:highlight w:val="none"/>
          <w:lang w:val="en-US" w:eastAsia="zh-CN"/>
        </w:rPr>
        <w:t>21.97</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4.88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增加了</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lang w:eastAsia="zh-CN"/>
        </w:rPr>
        <w:t>名在职人员及</w:t>
      </w:r>
      <w:r>
        <w:rPr>
          <w:rFonts w:hint="eastAsia" w:ascii="仿宋" w:hAnsi="仿宋" w:eastAsia="仿宋"/>
          <w:color w:val="auto"/>
          <w:sz w:val="32"/>
          <w:szCs w:val="32"/>
          <w:highlight w:val="none"/>
        </w:rPr>
        <w:t>在编在职人员</w:t>
      </w:r>
      <w:r>
        <w:rPr>
          <w:rFonts w:hint="eastAsia" w:ascii="仿宋" w:hAnsi="仿宋" w:eastAsia="仿宋"/>
          <w:color w:val="auto"/>
          <w:sz w:val="32"/>
          <w:szCs w:val="32"/>
          <w:highlight w:val="none"/>
          <w:lang w:eastAsia="zh-CN"/>
        </w:rPr>
        <w:t>基础</w:t>
      </w:r>
      <w:r>
        <w:rPr>
          <w:rFonts w:hint="eastAsia" w:ascii="仿宋" w:hAnsi="仿宋" w:eastAsia="仿宋"/>
          <w:color w:val="auto"/>
          <w:sz w:val="32"/>
          <w:szCs w:val="32"/>
          <w:highlight w:val="none"/>
        </w:rPr>
        <w:t>绩效奖</w:t>
      </w:r>
      <w:r>
        <w:rPr>
          <w:rFonts w:hint="eastAsia" w:ascii="仿宋" w:hAnsi="仿宋" w:eastAsia="仿宋"/>
          <w:color w:val="auto"/>
          <w:sz w:val="32"/>
          <w:szCs w:val="32"/>
          <w:highlight w:val="none"/>
          <w:lang w:eastAsia="zh-CN"/>
        </w:rPr>
        <w:t>增加。</w:t>
      </w:r>
    </w:p>
    <w:p>
      <w:pPr>
        <w:pStyle w:val="2"/>
        <w:rPr>
          <w:rFonts w:hint="eastAsia" w:eastAsia="仿宋"/>
          <w:lang w:eastAsia="zh-CN"/>
        </w:rPr>
      </w:pPr>
      <w:r>
        <w:rPr>
          <w:rFonts w:hint="eastAsia" w:eastAsia="仿宋"/>
          <w:lang w:eastAsia="zh-CN"/>
        </w:rPr>
        <w:drawing>
          <wp:inline distT="0" distB="0" distL="114300" distR="114300">
            <wp:extent cx="5256530" cy="2501900"/>
            <wp:effectExtent l="4445" t="4445" r="15875" b="825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3"/>
      </w:pPr>
    </w:p>
    <w:p>
      <w:pPr>
        <w:spacing w:line="600" w:lineRule="exact"/>
        <w:ind w:firstLine="640" w:firstLineChars="200"/>
        <w:outlineLvl w:val="1"/>
        <w:rPr>
          <w:rStyle w:val="27"/>
          <w:rFonts w:ascii="黑体" w:hAnsi="黑体" w:eastAsia="黑体"/>
          <w:b w:val="0"/>
          <w:color w:val="auto"/>
          <w:highlight w:val="none"/>
        </w:rPr>
      </w:pPr>
      <w:bookmarkStart w:id="33" w:name="_Toc15377209"/>
      <w:bookmarkStart w:id="34" w:name="_Toc29562"/>
      <w:bookmarkStart w:id="35"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般公共预算财政拨款支出决算情况说明</w:t>
      </w:r>
      <w:bookmarkEnd w:id="33"/>
      <w:bookmarkEnd w:id="34"/>
      <w:bookmarkEnd w:id="35"/>
    </w:p>
    <w:p>
      <w:pPr>
        <w:spacing w:line="600" w:lineRule="exact"/>
        <w:ind w:firstLine="643" w:firstLineChars="200"/>
        <w:outlineLvl w:val="2"/>
        <w:rPr>
          <w:rFonts w:ascii="仿宋" w:hAnsi="仿宋" w:eastAsia="仿宋"/>
          <w:b/>
          <w:color w:val="auto"/>
          <w:sz w:val="32"/>
          <w:szCs w:val="32"/>
          <w:highlight w:val="none"/>
        </w:rPr>
      </w:pPr>
      <w:bookmarkStart w:id="36" w:name="_Toc15377210"/>
      <w:r>
        <w:rPr>
          <w:rFonts w:hint="eastAsia" w:ascii="仿宋" w:hAnsi="仿宋" w:eastAsia="仿宋"/>
          <w:b/>
          <w:color w:val="auto"/>
          <w:sz w:val="32"/>
          <w:szCs w:val="32"/>
          <w:highlight w:val="none"/>
        </w:rPr>
        <w:t>（一）一般公共预算财政拨款支出决算总体情况</w:t>
      </w:r>
      <w:bookmarkEnd w:id="36"/>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463.70</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47.56</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11.43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。主要变动原因是本年度增加了1名在编在职人员、本年新增交易平台三级等保测评项目支出</w:t>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3110865"/>
            <wp:effectExtent l="4445" t="4445" r="15875" b="889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3"/>
      </w:pPr>
    </w:p>
    <w:p>
      <w:pPr>
        <w:spacing w:line="600" w:lineRule="exact"/>
        <w:ind w:firstLine="643" w:firstLineChars="200"/>
        <w:outlineLvl w:val="2"/>
        <w:rPr>
          <w:rFonts w:ascii="仿宋" w:hAnsi="仿宋" w:eastAsia="仿宋"/>
          <w:b/>
          <w:color w:val="auto"/>
          <w:sz w:val="32"/>
          <w:szCs w:val="32"/>
          <w:highlight w:val="none"/>
        </w:rPr>
      </w:pPr>
      <w:bookmarkStart w:id="37" w:name="_Toc15377211"/>
      <w:r>
        <w:rPr>
          <w:rFonts w:hint="eastAsia" w:ascii="仿宋" w:hAnsi="仿宋" w:eastAsia="仿宋"/>
          <w:b/>
          <w:color w:val="auto"/>
          <w:sz w:val="32"/>
          <w:szCs w:val="32"/>
          <w:highlight w:val="none"/>
        </w:rPr>
        <w:t>（二）一般公共预算财政拨款支出决算结构情况</w:t>
      </w:r>
      <w:bookmarkEnd w:id="37"/>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463.70</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397.43</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85.71%</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ascii="仿宋" w:hAnsi="仿宋" w:eastAsia="仿宋"/>
          <w:color w:val="auto"/>
          <w:sz w:val="32"/>
          <w:szCs w:val="32"/>
          <w:highlight w:val="none"/>
        </w:rPr>
        <w:t>23.90</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5.15%</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ascii="仿宋" w:hAnsi="仿宋" w:eastAsia="仿宋"/>
          <w:color w:val="auto"/>
          <w:sz w:val="32"/>
          <w:szCs w:val="32"/>
          <w:highlight w:val="none"/>
        </w:rPr>
        <w:t>12.09</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2.61%</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ascii="仿宋" w:hAnsi="仿宋" w:eastAsia="仿宋"/>
          <w:color w:val="auto"/>
          <w:sz w:val="32"/>
          <w:szCs w:val="32"/>
          <w:highlight w:val="none"/>
        </w:rPr>
        <w:t>30.29</w:t>
      </w:r>
      <w:r>
        <w:rPr>
          <w:rFonts w:hint="eastAsia" w:ascii="仿宋" w:hAnsi="仿宋" w:eastAsia="仿宋"/>
          <w:color w:val="auto"/>
          <w:sz w:val="32"/>
          <w:szCs w:val="32"/>
          <w:highlight w:val="none"/>
        </w:rPr>
        <w:t>万元，占</w:t>
      </w:r>
      <w:r>
        <w:rPr>
          <w:rFonts w:ascii="仿宋" w:hAnsi="仿宋" w:eastAsia="仿宋"/>
          <w:color w:val="auto"/>
          <w:sz w:val="32"/>
          <w:szCs w:val="32"/>
          <w:highlight w:val="none"/>
        </w:rPr>
        <w:t>6.53%</w:t>
      </w:r>
      <w:r>
        <w:rPr>
          <w:rFonts w:hint="eastAsia" w:ascii="仿宋" w:hAnsi="仿宋" w:eastAsia="仿宋"/>
          <w:color w:val="auto"/>
          <w:sz w:val="32"/>
          <w:szCs w:val="32"/>
          <w:highlight w:val="none"/>
        </w:rPr>
        <w:t>。</w:t>
      </w:r>
    </w:p>
    <w:p>
      <w:pPr>
        <w:pStyle w:val="2"/>
        <w:rPr>
          <w:rFonts w:hint="default" w:eastAsia="仿宋"/>
          <w:lang w:eastAsia="zh-CN"/>
        </w:rPr>
      </w:pPr>
      <w:r>
        <w:rPr>
          <w:rFonts w:hint="default" w:eastAsia="仿宋"/>
          <w:lang w:eastAsia="zh-CN"/>
        </w:rPr>
        <w:drawing>
          <wp:inline distT="0" distB="0" distL="114300" distR="114300">
            <wp:extent cx="4838700" cy="27527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a:stretch>
                      <a:fillRect/>
                    </a:stretch>
                  </pic:blipFill>
                  <pic:spPr>
                    <a:xfrm>
                      <a:off x="0" y="0"/>
                      <a:ext cx="4838700" cy="2752725"/>
                    </a:xfrm>
                    <a:prstGeom prst="rect">
                      <a:avLst/>
                    </a:prstGeom>
                  </pic:spPr>
                </pic:pic>
              </a:graphicData>
            </a:graphic>
          </wp:inline>
        </w:drawing>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38" w:name="_Toc15377212"/>
      <w:r>
        <w:rPr>
          <w:rFonts w:hint="eastAsia" w:ascii="仿宋" w:hAnsi="仿宋" w:eastAsia="仿宋"/>
          <w:b/>
          <w:color w:val="auto"/>
          <w:sz w:val="32"/>
          <w:szCs w:val="32"/>
          <w:highlight w:val="none"/>
        </w:rPr>
        <w:t>（三）一般公共预算财政拨款支出决算具体情况</w:t>
      </w:r>
      <w:bookmarkEnd w:id="38"/>
    </w:p>
    <w:p>
      <w:pPr>
        <w:spacing w:line="600" w:lineRule="exact"/>
        <w:ind w:firstLine="643" w:firstLineChars="200"/>
        <w:outlineLvl w:val="1"/>
        <w:rPr>
          <w:rFonts w:ascii="仿宋" w:hAnsi="仿宋" w:eastAsia="仿宋"/>
          <w:color w:val="auto"/>
          <w:sz w:val="32"/>
          <w:szCs w:val="32"/>
          <w:highlight w:val="none"/>
        </w:rPr>
      </w:pPr>
      <w:bookmarkStart w:id="39" w:name="_Toc15377213"/>
      <w:bookmarkStart w:id="40" w:name="_Toc15378460"/>
      <w:bookmarkStart w:id="41" w:name="_Toc6050"/>
      <w:bookmarkStart w:id="42"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463.70</w:t>
      </w:r>
      <w:r>
        <w:rPr>
          <w:rFonts w:hint="eastAsia" w:ascii="仿宋" w:hAnsi="仿宋" w:eastAsia="仿宋"/>
          <w:b/>
          <w:color w:val="auto"/>
          <w:sz w:val="32"/>
          <w:szCs w:val="32"/>
          <w:highlight w:val="none"/>
        </w:rPr>
        <w:t>万元</w:t>
      </w:r>
      <w:r>
        <w:rPr>
          <w:rFonts w:hint="eastAsia" w:ascii="仿宋" w:hAnsi="仿宋" w:eastAsia="仿宋"/>
          <w:color w:val="auto"/>
          <w:sz w:val="32"/>
          <w:szCs w:val="32"/>
          <w:highlight w:val="none"/>
        </w:rPr>
        <w:t>，</w:t>
      </w:r>
      <w:r>
        <w:rPr>
          <w:rStyle w:val="16"/>
          <w:rFonts w:hint="eastAsia" w:ascii="仿宋" w:hAnsi="仿宋" w:eastAsia="仿宋"/>
          <w:bCs/>
          <w:color w:val="auto"/>
          <w:sz w:val="32"/>
          <w:szCs w:val="32"/>
          <w:highlight w:val="none"/>
        </w:rPr>
        <w:t>完成预算</w:t>
      </w:r>
      <w:r>
        <w:rPr>
          <w:rStyle w:val="16"/>
          <w:rFonts w:hint="eastAsia" w:ascii="仿宋" w:hAnsi="仿宋" w:eastAsia="仿宋"/>
          <w:bCs/>
          <w:color w:val="auto"/>
          <w:sz w:val="32"/>
          <w:szCs w:val="32"/>
          <w:highlight w:val="none"/>
          <w:lang w:val="en-US" w:eastAsia="zh-CN"/>
        </w:rPr>
        <w:t>98.18</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。其中：</w:t>
      </w:r>
      <w:bookmarkEnd w:id="39"/>
      <w:bookmarkEnd w:id="40"/>
      <w:bookmarkEnd w:id="41"/>
      <w:bookmarkEnd w:id="42"/>
    </w:p>
    <w:p>
      <w:pPr>
        <w:numPr>
          <w:ilvl w:val="0"/>
          <w:numId w:val="0"/>
        </w:num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color w:val="auto"/>
          <w:sz w:val="32"/>
          <w:szCs w:val="32"/>
          <w:highlight w:val="none"/>
          <w:lang w:val="en-US" w:eastAsia="zh-CN"/>
        </w:rPr>
        <w:t>1.</w:t>
      </w:r>
      <w:r>
        <w:rPr>
          <w:rStyle w:val="16"/>
          <w:rFonts w:hint="eastAsia" w:ascii="仿宋" w:hAnsi="仿宋" w:eastAsia="仿宋"/>
          <w:bCs/>
          <w:color w:val="auto"/>
          <w:sz w:val="32"/>
          <w:szCs w:val="32"/>
          <w:highlight w:val="none"/>
        </w:rPr>
        <w:t>一般公共服务</w:t>
      </w:r>
      <w:r>
        <w:rPr>
          <w:rStyle w:val="16"/>
          <w:rFonts w:hint="eastAsia" w:ascii="仿宋" w:hAnsi="仿宋" w:eastAsia="仿宋"/>
          <w:bCs/>
          <w:color w:val="auto"/>
          <w:sz w:val="32"/>
          <w:szCs w:val="32"/>
          <w:highlight w:val="none"/>
          <w:lang w:eastAsia="zh-CN"/>
        </w:rPr>
        <w:t>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政府办公厅（室）及相关机构事务</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事业运行</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275.79</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96.98</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，决算数小于预算数的主要原因是</w:t>
      </w:r>
      <w:r>
        <w:rPr>
          <w:rStyle w:val="16"/>
          <w:rFonts w:hint="eastAsia" w:ascii="仿宋" w:hAnsi="仿宋" w:eastAsia="仿宋"/>
          <w:b w:val="0"/>
          <w:bCs/>
          <w:color w:val="auto"/>
          <w:sz w:val="32"/>
          <w:szCs w:val="32"/>
          <w:highlight w:val="none"/>
          <w:lang w:eastAsia="zh-CN"/>
        </w:rPr>
        <w:t>部分库存现金及职工社保、公积金等人员经费尚未支付完毕</w:t>
      </w:r>
      <w:r>
        <w:rPr>
          <w:rStyle w:val="16"/>
          <w:rFonts w:hint="eastAsia" w:ascii="仿宋" w:hAnsi="仿宋" w:eastAsia="仿宋"/>
          <w:b w:val="0"/>
          <w:bCs/>
          <w:color w:val="auto"/>
          <w:sz w:val="32"/>
          <w:szCs w:val="32"/>
          <w:highlight w:val="none"/>
        </w:rPr>
        <w:t>。</w:t>
      </w:r>
    </w:p>
    <w:p>
      <w:pPr>
        <w:pStyle w:val="2"/>
        <w:numPr>
          <w:ilvl w:val="0"/>
          <w:numId w:val="0"/>
        </w:numPr>
        <w:ind w:firstLine="643" w:firstLineChars="200"/>
      </w:pPr>
      <w:r>
        <w:rPr>
          <w:rStyle w:val="16"/>
          <w:rFonts w:hint="eastAsia" w:ascii="仿宋" w:hAnsi="仿宋" w:eastAsia="仿宋"/>
          <w:bCs/>
          <w:color w:val="auto"/>
          <w:sz w:val="32"/>
          <w:szCs w:val="32"/>
          <w:highlight w:val="none"/>
          <w:lang w:val="en-US" w:eastAsia="zh-CN"/>
        </w:rPr>
        <w:t>2.</w:t>
      </w:r>
      <w:r>
        <w:rPr>
          <w:rStyle w:val="16"/>
          <w:rFonts w:hint="eastAsia" w:ascii="仿宋" w:hAnsi="仿宋" w:eastAsia="仿宋"/>
          <w:bCs/>
          <w:color w:val="auto"/>
          <w:sz w:val="32"/>
          <w:szCs w:val="32"/>
          <w:highlight w:val="none"/>
        </w:rPr>
        <w:t>一般公共服务</w:t>
      </w:r>
      <w:r>
        <w:rPr>
          <w:rStyle w:val="16"/>
          <w:rFonts w:hint="eastAsia" w:ascii="仿宋" w:hAnsi="仿宋" w:eastAsia="仿宋"/>
          <w:bCs/>
          <w:color w:val="auto"/>
          <w:sz w:val="32"/>
          <w:szCs w:val="32"/>
          <w:highlight w:val="none"/>
          <w:lang w:eastAsia="zh-CN"/>
        </w:rPr>
        <w:t>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政府办公厅（室）及相关机构事务</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其他政府办公厅（室）及相关机构事务支出</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121.64</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lang w:eastAsia="zh-CN"/>
        </w:rPr>
        <w:t>。</w:t>
      </w:r>
    </w:p>
    <w:p>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 w:hAnsi="仿宋" w:eastAsia="仿宋"/>
          <w:bCs/>
          <w:color w:val="auto"/>
          <w:sz w:val="32"/>
          <w:szCs w:val="32"/>
          <w:highlight w:val="none"/>
          <w:lang w:val="en-US" w:eastAsia="zh-CN"/>
        </w:rPr>
        <w:t>3</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社会保障和就业</w:t>
      </w:r>
      <w:r>
        <w:rPr>
          <w:rStyle w:val="16"/>
          <w:rFonts w:hint="eastAsia" w:ascii="仿宋" w:hAnsi="仿宋" w:eastAsia="仿宋"/>
          <w:bCs/>
          <w:color w:val="auto"/>
          <w:sz w:val="32"/>
          <w:szCs w:val="32"/>
          <w:highlight w:val="none"/>
          <w:lang w:eastAsia="zh-CN"/>
        </w:rPr>
        <w:t>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行政事业单位养老支出</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事业单位离退休</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2.52</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p>
    <w:p>
      <w:pPr>
        <w:spacing w:line="600" w:lineRule="exact"/>
        <w:ind w:firstLine="643" w:firstLineChars="200"/>
      </w:pPr>
      <w:r>
        <w:rPr>
          <w:rStyle w:val="16"/>
          <w:rFonts w:hint="eastAsia" w:ascii="仿宋" w:hAnsi="仿宋" w:eastAsia="仿宋"/>
          <w:bCs/>
          <w:color w:val="auto"/>
          <w:sz w:val="32"/>
          <w:szCs w:val="32"/>
          <w:highlight w:val="none"/>
          <w:lang w:val="en-US" w:eastAsia="zh-CN"/>
        </w:rPr>
        <w:t>4</w:t>
      </w:r>
      <w:r>
        <w:rPr>
          <w:rStyle w:val="16"/>
          <w:rFonts w:ascii="仿宋" w:hAnsi="仿宋" w:eastAsia="仿宋"/>
          <w:bCs/>
          <w:color w:val="auto"/>
          <w:sz w:val="32"/>
          <w:szCs w:val="32"/>
          <w:highlight w:val="none"/>
        </w:rPr>
        <w:t>.</w:t>
      </w:r>
      <w:r>
        <w:rPr>
          <w:rStyle w:val="16"/>
          <w:rFonts w:hint="eastAsia" w:ascii="仿宋" w:hAnsi="仿宋" w:eastAsia="仿宋"/>
          <w:bCs/>
          <w:color w:val="auto"/>
          <w:sz w:val="32"/>
          <w:szCs w:val="32"/>
          <w:highlight w:val="none"/>
        </w:rPr>
        <w:t>社会保障和就业</w:t>
      </w:r>
      <w:r>
        <w:rPr>
          <w:rStyle w:val="16"/>
          <w:rFonts w:hint="eastAsia" w:ascii="仿宋" w:hAnsi="仿宋" w:eastAsia="仿宋"/>
          <w:bCs/>
          <w:color w:val="auto"/>
          <w:sz w:val="32"/>
          <w:szCs w:val="32"/>
          <w:highlight w:val="none"/>
          <w:lang w:eastAsia="zh-CN"/>
        </w:rPr>
        <w:t>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行政事业单位养老支出</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机关事业单位基本养老保险缴费支出</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ascii="仿宋" w:hAnsi="仿宋" w:eastAsia="仿宋"/>
          <w:b w:val="0"/>
          <w:bCs/>
          <w:color w:val="auto"/>
          <w:sz w:val="32"/>
          <w:szCs w:val="32"/>
          <w:highlight w:val="none"/>
        </w:rPr>
        <w:t xml:space="preserve"> </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21.37</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p>
    <w:p>
      <w:pPr>
        <w:spacing w:line="600" w:lineRule="exact"/>
        <w:ind w:firstLine="643" w:firstLineChars="200"/>
        <w:rPr>
          <w:rFonts w:ascii="仿宋" w:hAnsi="仿宋" w:eastAsia="仿宋"/>
          <w:b/>
          <w:color w:val="auto"/>
          <w:sz w:val="32"/>
          <w:szCs w:val="32"/>
          <w:highlight w:val="none"/>
        </w:rPr>
      </w:pPr>
      <w:r>
        <w:rPr>
          <w:rStyle w:val="16"/>
          <w:rFonts w:hint="eastAsia" w:ascii="仿宋" w:hAnsi="仿宋" w:eastAsia="仿宋"/>
          <w:bCs/>
          <w:color w:val="auto"/>
          <w:sz w:val="32"/>
          <w:szCs w:val="32"/>
          <w:highlight w:val="none"/>
          <w:lang w:val="en-US" w:eastAsia="zh-CN"/>
        </w:rPr>
        <w:t>5</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eastAsia="zh-CN"/>
        </w:rPr>
        <w:t>支持</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行政事业单位医疗</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事业单位医疗</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12.09</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p>
    <w:p>
      <w:pPr>
        <w:spacing w:line="600" w:lineRule="exact"/>
        <w:ind w:firstLine="643" w:firstLineChars="200"/>
        <w:rPr>
          <w:rFonts w:ascii="仿宋" w:hAnsi="仿宋" w:eastAsia="仿宋"/>
          <w:b/>
          <w:color w:val="auto"/>
          <w:sz w:val="32"/>
          <w:szCs w:val="32"/>
          <w:highlight w:val="none"/>
        </w:rPr>
      </w:pPr>
      <w:r>
        <w:rPr>
          <w:rStyle w:val="16"/>
          <w:rFonts w:hint="eastAsia" w:ascii="仿宋" w:hAnsi="仿宋" w:eastAsia="仿宋"/>
          <w:bCs/>
          <w:color w:val="auto"/>
          <w:sz w:val="32"/>
          <w:szCs w:val="32"/>
          <w:highlight w:val="none"/>
          <w:lang w:val="en-US" w:eastAsia="zh-CN"/>
        </w:rPr>
        <w:t>6</w:t>
      </w:r>
      <w:r>
        <w:rPr>
          <w:rStyle w:val="16"/>
          <w:rFonts w:ascii="仿宋" w:hAnsi="仿宋" w:eastAsia="仿宋"/>
          <w:bCs/>
          <w:color w:val="auto"/>
          <w:sz w:val="32"/>
          <w:szCs w:val="32"/>
          <w:highlight w:val="none"/>
        </w:rPr>
        <w:t>.</w:t>
      </w:r>
      <w:r>
        <w:rPr>
          <w:rFonts w:hint="eastAsia" w:ascii="仿宋" w:hAnsi="仿宋" w:eastAsia="仿宋"/>
          <w:b/>
          <w:bCs/>
          <w:color w:val="auto"/>
          <w:sz w:val="32"/>
          <w:szCs w:val="32"/>
          <w:highlight w:val="none"/>
          <w:lang w:eastAsia="zh-CN"/>
        </w:rPr>
        <w:t>住房保障支出</w:t>
      </w:r>
      <w:r>
        <w:rPr>
          <w:rStyle w:val="16"/>
          <w:rFonts w:hint="eastAsia" w:ascii="仿宋" w:hAnsi="仿宋" w:eastAsia="仿宋"/>
          <w:bCs/>
          <w:color w:val="auto"/>
          <w:sz w:val="32"/>
          <w:szCs w:val="32"/>
          <w:highlight w:val="none"/>
        </w:rPr>
        <w:t>（类）</w:t>
      </w:r>
      <w:r>
        <w:rPr>
          <w:rStyle w:val="16"/>
          <w:rFonts w:hint="eastAsia" w:ascii="仿宋" w:hAnsi="仿宋" w:eastAsia="仿宋"/>
          <w:bCs/>
          <w:color w:val="auto"/>
          <w:sz w:val="32"/>
          <w:szCs w:val="32"/>
          <w:highlight w:val="none"/>
          <w:lang w:eastAsia="zh-CN"/>
        </w:rPr>
        <w:t>住房改革支出</w:t>
      </w:r>
      <w:r>
        <w:rPr>
          <w:rStyle w:val="16"/>
          <w:rFonts w:hint="eastAsia" w:ascii="仿宋" w:hAnsi="仿宋" w:eastAsia="仿宋"/>
          <w:bCs/>
          <w:color w:val="auto"/>
          <w:sz w:val="32"/>
          <w:szCs w:val="32"/>
          <w:highlight w:val="none"/>
        </w:rPr>
        <w:t>（款）</w:t>
      </w:r>
      <w:r>
        <w:rPr>
          <w:rStyle w:val="16"/>
          <w:rFonts w:hint="eastAsia" w:ascii="仿宋" w:hAnsi="仿宋" w:eastAsia="仿宋"/>
          <w:bCs/>
          <w:color w:val="auto"/>
          <w:sz w:val="32"/>
          <w:szCs w:val="32"/>
          <w:highlight w:val="none"/>
          <w:lang w:eastAsia="zh-CN"/>
        </w:rPr>
        <w:t>住房公积金</w:t>
      </w:r>
      <w:r>
        <w:rPr>
          <w:rStyle w:val="16"/>
          <w:rFonts w:hint="eastAsia" w:ascii="仿宋" w:hAnsi="仿宋" w:eastAsia="仿宋"/>
          <w:bCs/>
          <w:color w:val="auto"/>
          <w:sz w:val="32"/>
          <w:szCs w:val="32"/>
          <w:highlight w:val="none"/>
        </w:rPr>
        <w:t>（项）</w:t>
      </w:r>
      <w:r>
        <w:rPr>
          <w:rStyle w:val="16"/>
          <w:rFonts w:ascii="仿宋" w:hAnsi="仿宋" w:eastAsia="仿宋"/>
          <w:bCs/>
          <w:color w:val="auto"/>
          <w:sz w:val="32"/>
          <w:szCs w:val="32"/>
          <w:highlight w:val="none"/>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3</w:t>
      </w:r>
      <w:r>
        <w:rPr>
          <w:rStyle w:val="16"/>
          <w:rFonts w:hint="default" w:ascii="仿宋" w:hAnsi="仿宋" w:eastAsia="仿宋"/>
          <w:b w:val="0"/>
          <w:bCs/>
          <w:color w:val="auto"/>
          <w:sz w:val="32"/>
          <w:szCs w:val="32"/>
          <w:highlight w:val="none"/>
          <w:lang w:eastAsia="zh-CN"/>
        </w:rPr>
        <w:t>0</w:t>
      </w:r>
      <w:r>
        <w:rPr>
          <w:rStyle w:val="16"/>
          <w:rFonts w:hint="eastAsia" w:ascii="仿宋" w:hAnsi="仿宋" w:eastAsia="仿宋"/>
          <w:b w:val="0"/>
          <w:bCs/>
          <w:color w:val="auto"/>
          <w:sz w:val="32"/>
          <w:szCs w:val="32"/>
          <w:highlight w:val="none"/>
          <w:lang w:val="en-US" w:eastAsia="zh-CN"/>
        </w:rPr>
        <w:t>.29</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，决算数等于预算数。</w:t>
      </w:r>
    </w:p>
    <w:p>
      <w:pPr>
        <w:tabs>
          <w:tab w:val="right" w:pos="8306"/>
        </w:tabs>
        <w:spacing w:line="600" w:lineRule="exact"/>
        <w:ind w:firstLine="640"/>
        <w:outlineLvl w:val="1"/>
        <w:rPr>
          <w:rStyle w:val="27"/>
          <w:color w:val="auto"/>
          <w:highlight w:val="none"/>
        </w:rPr>
      </w:pPr>
      <w:bookmarkStart w:id="43" w:name="_Toc17470"/>
      <w:bookmarkStart w:id="44" w:name="_Toc15377214"/>
      <w:bookmarkStart w:id="4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般公共预算财政拨款基本支出决算情况说明</w:t>
      </w:r>
      <w:bookmarkEnd w:id="43"/>
      <w:bookmarkEnd w:id="44"/>
      <w:bookmarkEnd w:id="45"/>
      <w:r>
        <w:rPr>
          <w:rStyle w:val="2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342.06</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317.91</w:t>
      </w:r>
      <w:r>
        <w:rPr>
          <w:rFonts w:hint="eastAsia" w:ascii="仿宋" w:hAnsi="仿宋" w:eastAsia="仿宋"/>
          <w:color w:val="auto"/>
          <w:sz w:val="32"/>
          <w:szCs w:val="32"/>
          <w:highlight w:val="none"/>
        </w:rPr>
        <w:t>万元，主要包括：基本工资、津贴补贴、奖金、绩效工资、机关事业单位基本养老保险缴费、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其他社会保障缴费、生活补助、住房公积金等。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24.15</w:t>
      </w:r>
      <w:r>
        <w:rPr>
          <w:rFonts w:hint="eastAsia" w:ascii="仿宋" w:hAnsi="仿宋" w:eastAsia="仿宋"/>
          <w:color w:val="auto"/>
          <w:sz w:val="32"/>
          <w:szCs w:val="32"/>
          <w:highlight w:val="none"/>
        </w:rPr>
        <w:t>万元，主要包括：办公费、邮电费、差旅费、维修（护）费、公务接待费、劳务费、委托业务费、工会经费、福利费等。</w:t>
      </w:r>
    </w:p>
    <w:p>
      <w:pPr>
        <w:pStyle w:val="2"/>
      </w:pPr>
    </w:p>
    <w:p>
      <w:pPr>
        <w:spacing w:line="600" w:lineRule="exact"/>
        <w:ind w:firstLine="640"/>
        <w:outlineLvl w:val="1"/>
        <w:rPr>
          <w:rStyle w:val="27"/>
          <w:rFonts w:ascii="黑体" w:hAnsi="黑体" w:eastAsia="黑体"/>
          <w:b w:val="0"/>
          <w:color w:val="auto"/>
          <w:highlight w:val="none"/>
        </w:rPr>
      </w:pPr>
      <w:bookmarkStart w:id="46" w:name="_Toc15396609"/>
      <w:bookmarkStart w:id="47" w:name="_Toc5152"/>
      <w:bookmarkStart w:id="48" w:name="_Toc15377215"/>
      <w:r>
        <w:rPr>
          <w:rFonts w:hint="eastAsia" w:ascii="黑体" w:eastAsia="黑体"/>
          <w:color w:val="auto"/>
          <w:sz w:val="32"/>
          <w:szCs w:val="32"/>
          <w:highlight w:val="none"/>
        </w:rPr>
        <w:t>七、</w:t>
      </w:r>
      <w:r>
        <w:rPr>
          <w:rStyle w:val="27"/>
          <w:rFonts w:hint="eastAsia" w:ascii="黑体" w:hAnsi="黑体" w:eastAsia="黑体"/>
          <w:b w:val="0"/>
          <w:color w:val="auto"/>
          <w:highlight w:val="none"/>
        </w:rPr>
        <w:t>财政拨款</w:t>
      </w:r>
      <w:r>
        <w:rPr>
          <w:rStyle w:val="27"/>
          <w:rFonts w:hint="eastAsia" w:ascii="黑体" w:hAnsi="黑体" w:eastAsia="黑体"/>
          <w:color w:val="auto"/>
          <w:highlight w:val="none"/>
        </w:rPr>
        <w:t>“</w:t>
      </w:r>
      <w:r>
        <w:rPr>
          <w:rStyle w:val="27"/>
          <w:rFonts w:hint="eastAsia" w:ascii="黑体" w:hAnsi="黑体" w:eastAsia="黑体"/>
          <w:b w:val="0"/>
          <w:color w:val="auto"/>
          <w:highlight w:val="none"/>
        </w:rPr>
        <w:t>三公”经费支出决算情况说明</w:t>
      </w:r>
      <w:bookmarkEnd w:id="46"/>
      <w:bookmarkEnd w:id="47"/>
      <w:bookmarkEnd w:id="48"/>
    </w:p>
    <w:p>
      <w:pPr>
        <w:spacing w:line="600" w:lineRule="exact"/>
        <w:ind w:firstLine="640"/>
        <w:outlineLvl w:val="2"/>
        <w:rPr>
          <w:rFonts w:ascii="仿宋" w:hAnsi="仿宋" w:eastAsia="仿宋"/>
          <w:b/>
          <w:color w:val="auto"/>
          <w:sz w:val="32"/>
          <w:szCs w:val="32"/>
          <w:highlight w:val="none"/>
        </w:rPr>
      </w:pPr>
      <w:bookmarkStart w:id="49" w:name="_Toc15377216"/>
      <w:r>
        <w:rPr>
          <w:rFonts w:hint="eastAsia" w:ascii="仿宋" w:hAnsi="仿宋" w:eastAsia="仿宋"/>
          <w:b/>
          <w:color w:val="auto"/>
          <w:sz w:val="32"/>
          <w:szCs w:val="32"/>
          <w:highlight w:val="none"/>
        </w:rPr>
        <w:t>（一）“三公”经费财政拨款支出决算总体情况说明</w:t>
      </w:r>
      <w:bookmarkEnd w:id="49"/>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0.08</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减少0.44万元，下降84.61%。</w:t>
      </w:r>
      <w:r>
        <w:rPr>
          <w:rFonts w:hint="eastAsia" w:ascii="仿宋" w:hAnsi="仿宋" w:eastAsia="仿宋"/>
          <w:color w:val="auto"/>
          <w:sz w:val="32"/>
          <w:szCs w:val="32"/>
          <w:highlight w:val="none"/>
        </w:rPr>
        <w:t>决算</w:t>
      </w:r>
      <w:r>
        <w:rPr>
          <w:rFonts w:hint="eastAsia" w:ascii="仿宋" w:hAnsi="仿宋" w:eastAsia="仿宋"/>
          <w:color w:val="auto"/>
          <w:sz w:val="32"/>
          <w:szCs w:val="32"/>
          <w:highlight w:val="none"/>
          <w:lang w:eastAsia="zh-CN"/>
        </w:rPr>
        <w:t>数与预算数持平。</w:t>
      </w:r>
    </w:p>
    <w:p>
      <w:pPr>
        <w:spacing w:line="600" w:lineRule="exact"/>
        <w:ind w:firstLine="640"/>
        <w:outlineLvl w:val="2"/>
        <w:rPr>
          <w:rFonts w:ascii="仿宋" w:hAnsi="仿宋" w:eastAsia="仿宋"/>
          <w:b/>
          <w:color w:val="auto"/>
          <w:sz w:val="32"/>
          <w:szCs w:val="32"/>
          <w:highlight w:val="none"/>
        </w:rPr>
      </w:pPr>
      <w:bookmarkStart w:id="50" w:name="_Toc15377217"/>
      <w:r>
        <w:rPr>
          <w:rFonts w:hint="eastAsia" w:ascii="仿宋" w:hAnsi="仿宋" w:eastAsia="仿宋"/>
          <w:b/>
          <w:color w:val="auto"/>
          <w:sz w:val="32"/>
          <w:szCs w:val="32"/>
          <w:highlight w:val="none"/>
        </w:rPr>
        <w:t>（二）“三公”经费财政拨款支出决算具体情况说明</w:t>
      </w:r>
      <w:bookmarkEnd w:id="50"/>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3"/>
        <w:rPr>
          <w:rFonts w:hint="eastAsia"/>
          <w:lang w:eastAsia="zh-CN"/>
        </w:rPr>
      </w:pPr>
    </w:p>
    <w:p>
      <w:pPr>
        <w:numPr>
          <w:ilvl w:val="0"/>
          <w:numId w:val="0"/>
        </w:numPr>
        <w:spacing w:line="600" w:lineRule="exact"/>
        <w:ind w:firstLine="643" w:firstLineChars="200"/>
      </w:pPr>
      <w:r>
        <w:rPr>
          <w:rFonts w:hint="eastAsia" w:ascii="仿宋_GB2312" w:eastAsia="仿宋_GB2312"/>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年初未按排预算</w:t>
      </w:r>
      <w:r>
        <w:rPr>
          <w:rStyle w:val="16"/>
          <w:rFonts w:hint="eastAsia"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lang w:val="en-US" w:eastAsia="zh-CN"/>
        </w:rPr>
        <w:t>因公出国</w:t>
      </w:r>
      <w:r>
        <w:rPr>
          <w:rStyle w:val="16"/>
          <w:rFonts w:hint="eastAsia" w:ascii="仿宋" w:hAnsi="仿宋" w:eastAsia="仿宋"/>
          <w:b w:val="0"/>
          <w:bCs/>
          <w:color w:val="auto"/>
          <w:sz w:val="32"/>
          <w:szCs w:val="32"/>
          <w:highlight w:val="none"/>
        </w:rPr>
        <w:t>（境）</w:t>
      </w:r>
      <w:r>
        <w:rPr>
          <w:rStyle w:val="16"/>
          <w:rFonts w:hint="eastAsia" w:ascii="仿宋" w:hAnsi="仿宋" w:eastAsia="仿宋"/>
          <w:b w:val="0"/>
          <w:bCs/>
          <w:color w:val="auto"/>
          <w:sz w:val="32"/>
          <w:szCs w:val="32"/>
          <w:highlight w:val="none"/>
          <w:lang w:val="en-US" w:eastAsia="zh-CN"/>
        </w:rPr>
        <w:t>支出决算较上年无变化。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年初未按排预算</w:t>
      </w:r>
      <w:r>
        <w:rPr>
          <w:rStyle w:val="16"/>
          <w:rFonts w:hint="eastAsia" w:ascii="仿宋" w:hAnsi="仿宋" w:eastAsia="仿宋"/>
          <w:b w:val="0"/>
          <w:bCs/>
          <w:color w:val="auto"/>
          <w:sz w:val="32"/>
          <w:szCs w:val="32"/>
          <w:highlight w:val="none"/>
        </w:rPr>
        <w:t>。公务用车购置及运行维护费</w:t>
      </w:r>
      <w:r>
        <w:rPr>
          <w:rStyle w:val="16"/>
          <w:rFonts w:hint="eastAsia" w:ascii="仿宋" w:hAnsi="仿宋" w:eastAsia="仿宋"/>
          <w:b w:val="0"/>
          <w:bCs/>
          <w:color w:val="auto"/>
          <w:sz w:val="32"/>
          <w:szCs w:val="32"/>
          <w:highlight w:val="none"/>
          <w:lang w:val="en-US" w:eastAsia="zh-CN"/>
        </w:rPr>
        <w:t>支出决算较上年无变化。本年度无公务用车购置，截至2022年12月底单位公务用车保留量为0辆。</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0.44</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下降84.61%</w:t>
      </w:r>
      <w:r>
        <w:rPr>
          <w:rFonts w:hint="eastAsia" w:ascii="仿宋_GB2312" w:eastAsia="仿宋_GB2312"/>
          <w:color w:val="auto"/>
          <w:sz w:val="32"/>
          <w:szCs w:val="32"/>
          <w:highlight w:val="none"/>
        </w:rPr>
        <w:t>。主要原因</w:t>
      </w:r>
      <w:r>
        <w:rPr>
          <w:rFonts w:hint="eastAsia" w:ascii="仿宋_GB2312" w:eastAsia="仿宋_GB2312" w:cs="仿宋_GB2312"/>
          <w:color w:val="auto"/>
          <w:sz w:val="32"/>
          <w:szCs w:val="32"/>
          <w:highlight w:val="none"/>
          <w:lang w:val="en-US" w:eastAsia="zh-CN"/>
        </w:rPr>
        <w:t>年受疫情影响，其他市州来我中心考察调研次数较少</w:t>
      </w:r>
      <w:r>
        <w:rPr>
          <w:rFonts w:hint="eastAsia" w:ascii="仿宋_GB2312" w:eastAsia="仿宋_GB2312"/>
          <w:color w:val="auto"/>
          <w:sz w:val="32"/>
          <w:szCs w:val="32"/>
          <w:highlight w:val="none"/>
        </w:rPr>
        <w:t>。其中：</w:t>
      </w:r>
    </w:p>
    <w:p>
      <w:pPr>
        <w:spacing w:line="600" w:lineRule="exact"/>
        <w:ind w:firstLine="640"/>
        <w:rPr>
          <w:rFonts w:hint="default"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0.08</w:t>
      </w:r>
      <w:r>
        <w:rPr>
          <w:rFonts w:hint="eastAsia" w:ascii="仿宋_GB2312" w:eastAsia="仿宋_GB2312"/>
          <w:color w:val="auto"/>
          <w:sz w:val="32"/>
          <w:szCs w:val="32"/>
          <w:highlight w:val="none"/>
        </w:rPr>
        <w:t>万元，主要用于执行公务、开展业务活动开支的用餐费。国内公务接待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接待眉山市政务服务和公共资源交易中心来广学习调研用餐支出0.08万元。</w:t>
      </w:r>
    </w:p>
    <w:p>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7"/>
          <w:rFonts w:ascii="黑体" w:hAnsi="黑体" w:eastAsia="黑体"/>
          <w:color w:val="auto"/>
          <w:highlight w:val="none"/>
        </w:rPr>
      </w:pPr>
      <w:bookmarkStart w:id="51" w:name="_Toc15377218"/>
      <w:bookmarkStart w:id="52" w:name="_Toc15396610"/>
      <w:bookmarkStart w:id="53" w:name="_Toc138"/>
      <w:r>
        <w:rPr>
          <w:rFonts w:hint="eastAsia" w:ascii="黑体" w:eastAsia="黑体"/>
          <w:color w:val="auto"/>
          <w:sz w:val="32"/>
          <w:szCs w:val="32"/>
          <w:highlight w:val="none"/>
        </w:rPr>
        <w:t>八、</w:t>
      </w:r>
      <w:r>
        <w:rPr>
          <w:rStyle w:val="27"/>
          <w:rFonts w:hint="eastAsia" w:ascii="黑体" w:hAnsi="黑体" w:eastAsia="黑体"/>
          <w:b w:val="0"/>
          <w:color w:val="auto"/>
          <w:highlight w:val="none"/>
        </w:rPr>
        <w:t>政府性基金预算支出决算情况说明</w:t>
      </w:r>
      <w:bookmarkEnd w:id="51"/>
      <w:bookmarkEnd w:id="52"/>
      <w:bookmarkEnd w:id="5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p>
    <w:p>
      <w:pPr>
        <w:numPr>
          <w:ilvl w:val="0"/>
          <w:numId w:val="3"/>
        </w:numPr>
        <w:spacing w:line="600" w:lineRule="exact"/>
        <w:ind w:firstLine="640"/>
        <w:outlineLvl w:val="1"/>
        <w:rPr>
          <w:rStyle w:val="27"/>
          <w:rFonts w:ascii="黑体" w:hAnsi="黑体" w:eastAsia="黑体"/>
          <w:b w:val="0"/>
          <w:color w:val="auto"/>
          <w:highlight w:val="none"/>
        </w:rPr>
      </w:pPr>
      <w:bookmarkStart w:id="54" w:name="_Toc15377219"/>
      <w:bookmarkStart w:id="55" w:name="_Toc15396611"/>
      <w:bookmarkStart w:id="56" w:name="_Toc20365"/>
      <w:r>
        <w:rPr>
          <w:rStyle w:val="27"/>
          <w:rFonts w:hint="eastAsia" w:ascii="黑体" w:hAnsi="黑体" w:eastAsia="黑体"/>
          <w:b w:val="0"/>
          <w:color w:val="auto"/>
          <w:highlight w:val="none"/>
        </w:rPr>
        <w:t>国有资本经营预算支出决算情况说明</w:t>
      </w:r>
      <w:bookmarkEnd w:id="54"/>
      <w:bookmarkEnd w:id="55"/>
      <w:bookmarkEnd w:id="56"/>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center"/>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27"/>
          <w:rFonts w:hint="eastAsia" w:ascii="黑体" w:hAnsi="黑体" w:eastAsia="黑体"/>
          <w:b w:val="0"/>
          <w:color w:val="auto"/>
          <w:highlight w:val="none"/>
        </w:rPr>
      </w:pPr>
      <w:bookmarkStart w:id="57" w:name="_Toc27759"/>
      <w:bookmarkStart w:id="58" w:name="_Toc15377221"/>
      <w:bookmarkStart w:id="59" w:name="_Toc15396612"/>
      <w:r>
        <w:rPr>
          <w:rStyle w:val="27"/>
          <w:rFonts w:hint="eastAsia" w:ascii="黑体" w:hAnsi="黑体" w:eastAsia="黑体"/>
          <w:b w:val="0"/>
          <w:color w:val="auto"/>
          <w:highlight w:val="none"/>
        </w:rPr>
        <w:t>其他重要事项的情况说明</w:t>
      </w:r>
      <w:bookmarkEnd w:id="57"/>
      <w:bookmarkEnd w:id="58"/>
      <w:bookmarkEnd w:id="59"/>
    </w:p>
    <w:p>
      <w:pPr>
        <w:spacing w:line="600" w:lineRule="exact"/>
        <w:ind w:firstLine="643" w:firstLineChars="200"/>
        <w:outlineLvl w:val="2"/>
        <w:rPr>
          <w:rFonts w:ascii="仿宋" w:hAnsi="仿宋" w:eastAsia="仿宋"/>
          <w:color w:val="auto"/>
          <w:sz w:val="32"/>
          <w:szCs w:val="32"/>
          <w:highlight w:val="none"/>
        </w:rPr>
      </w:pPr>
      <w:bookmarkStart w:id="60" w:name="_Toc15377222"/>
      <w:r>
        <w:rPr>
          <w:rFonts w:hint="eastAsia" w:ascii="仿宋" w:hAnsi="仿宋" w:eastAsia="仿宋"/>
          <w:b/>
          <w:color w:val="auto"/>
          <w:sz w:val="32"/>
          <w:szCs w:val="32"/>
          <w:highlight w:val="none"/>
        </w:rPr>
        <w:t>（一）机关运行经费支出情况</w:t>
      </w:r>
      <w:bookmarkEnd w:id="60"/>
    </w:p>
    <w:p>
      <w:pPr>
        <w:spacing w:line="600" w:lineRule="exact"/>
        <w:ind w:firstLine="640" w:firstLineChars="200"/>
        <w:rPr>
          <w:rFonts w:hint="eastAsia" w:ascii="仿宋" w:hAnsi="仿宋" w:eastAsia="仿宋" w:cs="仿宋"/>
          <w:b/>
          <w:bCs w:val="0"/>
          <w:color w:val="auto"/>
          <w:sz w:val="32"/>
          <w:szCs w:val="32"/>
          <w:highlight w:val="none"/>
        </w:rPr>
      </w:pPr>
      <w:bookmarkStart w:id="61" w:name="_Toc15377223"/>
      <w:r>
        <w:rPr>
          <w:rFonts w:hint="eastAsia" w:ascii="仿宋_GB2312" w:eastAsia="仿宋_GB2312" w:cs="仿宋_GB2312"/>
          <w:color w:val="000000"/>
          <w:sz w:val="32"/>
          <w:szCs w:val="32"/>
        </w:rPr>
        <w:t>广元市公共资源交易信息中心为公益一类事业单位，</w:t>
      </w:r>
      <w:r>
        <w:rPr>
          <w:rFonts w:hint="eastAsia" w:ascii="仿宋_GB2312" w:eastAsia="仿宋_GB2312" w:cs="仿宋_GB2312"/>
          <w:color w:val="000000"/>
          <w:sz w:val="32"/>
          <w:szCs w:val="32"/>
          <w:lang w:val="en-US" w:eastAsia="zh-CN"/>
        </w:rPr>
        <w:t>2022年</w:t>
      </w:r>
      <w:r>
        <w:rPr>
          <w:rFonts w:hint="eastAsia" w:ascii="仿宋_GB2312" w:eastAsia="仿宋_GB2312" w:cs="仿宋_GB2312"/>
          <w:color w:val="000000"/>
          <w:sz w:val="32"/>
          <w:szCs w:val="32"/>
        </w:rPr>
        <w:t>未发生机关运行经费支出</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lang w:val="en-US" w:eastAsia="zh-CN"/>
        </w:rPr>
        <w:t>与2021年决算数持平。</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1"/>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s="仿宋_GB2312"/>
          <w:color w:val="000000"/>
          <w:sz w:val="32"/>
          <w:szCs w:val="32"/>
        </w:rPr>
        <w:t>广元市公共资源交易信息中心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2" w:name="_Toc15377224"/>
      <w:r>
        <w:rPr>
          <w:rFonts w:hint="eastAsia" w:ascii="仿宋" w:hAnsi="仿宋" w:eastAsia="仿宋"/>
          <w:b/>
          <w:color w:val="auto"/>
          <w:sz w:val="32"/>
          <w:szCs w:val="32"/>
          <w:highlight w:val="none"/>
        </w:rPr>
        <w:t>（三）国有资产占有使用情况</w:t>
      </w:r>
      <w:bookmarkEnd w:id="62"/>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广元市公共资源交易信息中心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政府采购专家评审费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6"/>
          <w:rFonts w:ascii="黑体" w:hAnsi="黑体" w:eastAsia="黑体"/>
          <w:b w:val="0"/>
          <w:color w:val="auto"/>
          <w:highlight w:val="none"/>
        </w:rPr>
      </w:pPr>
      <w:bookmarkStart w:id="63" w:name="_Toc15396613"/>
      <w:bookmarkStart w:id="64" w:name="_Toc15377225"/>
      <w:bookmarkStart w:id="65" w:name="_Toc25593"/>
      <w:r>
        <w:rPr>
          <w:rFonts w:hint="eastAsia" w:ascii="黑体" w:hAnsi="黑体" w:eastAsia="黑体"/>
          <w:color w:val="auto"/>
          <w:sz w:val="44"/>
          <w:szCs w:val="44"/>
          <w:highlight w:val="none"/>
        </w:rPr>
        <w:t>名</w:t>
      </w:r>
      <w:r>
        <w:rPr>
          <w:rStyle w:val="26"/>
          <w:rFonts w:hint="eastAsia" w:ascii="黑体" w:hAnsi="黑体" w:eastAsia="黑体"/>
          <w:b w:val="0"/>
          <w:color w:val="auto"/>
          <w:highlight w:val="none"/>
        </w:rPr>
        <w:t>词解释</w:t>
      </w:r>
      <w:bookmarkEnd w:id="63"/>
      <w:bookmarkEnd w:id="64"/>
      <w:bookmarkEnd w:id="65"/>
    </w:p>
    <w:p>
      <w:pPr>
        <w:spacing w:line="600" w:lineRule="exact"/>
        <w:jc w:val="left"/>
        <w:rPr>
          <w:rFonts w:ascii="宋体"/>
          <w:b/>
          <w:color w:val="auto"/>
          <w:sz w:val="44"/>
          <w:szCs w:val="44"/>
          <w:highlight w:val="none"/>
        </w:rPr>
      </w:pPr>
    </w:p>
    <w:p>
      <w:pPr>
        <w:pStyle w:val="24"/>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4"/>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4"/>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pStyle w:val="13"/>
        <w:keepNext w:val="0"/>
        <w:keepLines w:val="0"/>
        <w:widowControl/>
        <w:suppressLineNumbers w:val="0"/>
        <w:spacing w:before="75" w:beforeAutospacing="0" w:after="75" w:afterAutospacing="0"/>
        <w:ind w:right="0" w:firstLine="640" w:firstLineChars="200"/>
        <w:jc w:val="both"/>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4.一般公共服务支出（类）政府办公厅（室）及相关机构事务（款）事业运行（项）：反映事业单位的基本支出。</w:t>
      </w:r>
    </w:p>
    <w:p>
      <w:pPr>
        <w:pStyle w:val="13"/>
        <w:keepNext w:val="0"/>
        <w:keepLines w:val="0"/>
        <w:widowControl/>
        <w:suppressLineNumbers w:val="0"/>
        <w:spacing w:before="75" w:beforeAutospacing="0" w:after="75" w:afterAutospacing="0"/>
        <w:ind w:right="0" w:firstLine="640" w:firstLineChars="200"/>
        <w:jc w:val="both"/>
        <w:rPr>
          <w:rFonts w:hint="eastAsia" w:ascii="仿宋" w:hAnsi="仿宋" w:eastAsia="仿宋" w:cs="仿宋"/>
          <w:i w:val="0"/>
          <w:caps w:val="0"/>
          <w:color w:val="000000"/>
          <w:spacing w:val="0"/>
          <w:kern w:val="0"/>
          <w:sz w:val="32"/>
          <w:szCs w:val="32"/>
          <w:lang w:val="en-US" w:eastAsia="zh-CN" w:bidi="ar"/>
        </w:rPr>
      </w:pPr>
      <w:r>
        <w:rPr>
          <w:rFonts w:hint="eastAsia" w:ascii="仿宋_GB2312" w:hAnsi="仿宋_GB2312" w:eastAsia="仿宋_GB2312" w:cs="仿宋_GB2312"/>
          <w:i w:val="0"/>
          <w:caps w:val="0"/>
          <w:smallCaps w:val="0"/>
          <w:color w:val="000000"/>
          <w:spacing w:val="0"/>
          <w:kern w:val="0"/>
          <w:sz w:val="32"/>
          <w:szCs w:val="32"/>
          <w:lang w:val="en-US" w:eastAsia="zh-CN"/>
        </w:rPr>
        <w:t>5.一般公共服务支出（类）政府办公厅（室）及相关机构事务（款）其他政府办公厅（室）及相关机构事务支出（项）：反映事业单位</w:t>
      </w:r>
      <w:r>
        <w:rPr>
          <w:rFonts w:hint="eastAsia" w:ascii="仿宋" w:hAnsi="仿宋" w:eastAsia="仿宋" w:cs="仿宋"/>
          <w:i w:val="0"/>
          <w:caps w:val="0"/>
          <w:color w:val="000000"/>
          <w:spacing w:val="0"/>
          <w:kern w:val="0"/>
          <w:sz w:val="32"/>
          <w:szCs w:val="32"/>
          <w:lang w:val="en-US" w:eastAsia="zh-CN" w:bidi="ar"/>
        </w:rPr>
        <w:t>未单独设置项级科目的其他项目支出。</w:t>
      </w:r>
    </w:p>
    <w:p>
      <w:pPr>
        <w:pStyle w:val="13"/>
        <w:keepNext w:val="0"/>
        <w:keepLines w:val="0"/>
        <w:widowControl/>
        <w:suppressLineNumbers w:val="0"/>
        <w:spacing w:before="75" w:beforeAutospacing="0" w:after="75" w:afterAutospacing="0"/>
        <w:ind w:right="0" w:firstLine="640" w:firstLineChars="200"/>
        <w:jc w:val="both"/>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6.社会保障和就业支出（类）行政事业单位养老支出（款）事业单位离退休（项）：反映事业单位退休人员相关支出。</w:t>
      </w:r>
    </w:p>
    <w:p>
      <w:pPr>
        <w:pStyle w:val="13"/>
        <w:keepNext w:val="0"/>
        <w:keepLines w:val="0"/>
        <w:widowControl/>
        <w:suppressLineNumbers w:val="0"/>
        <w:spacing w:before="75" w:beforeAutospacing="0" w:after="75" w:afterAutospacing="0"/>
        <w:ind w:right="0" w:firstLine="640" w:firstLineChars="200"/>
        <w:jc w:val="left"/>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7.社会保障和就业支出（类）行政事业单位养老支出（款）机关事业单位基本养老保险缴费支出（项）：反映机关事业单位实施养老保险制度由单位实际缴纳的基本养老保险支出。</w:t>
      </w:r>
    </w:p>
    <w:p>
      <w:pPr>
        <w:pStyle w:val="13"/>
        <w:keepNext w:val="0"/>
        <w:keepLines w:val="0"/>
        <w:widowControl/>
        <w:suppressLineNumbers w:val="0"/>
        <w:spacing w:before="75" w:beforeAutospacing="0" w:after="75" w:afterAutospacing="0"/>
        <w:ind w:right="0" w:firstLine="640" w:firstLineChars="200"/>
        <w:jc w:val="both"/>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8.卫生健康支出（类）行政事业单位医疗（款）事业单位医疗（项）：反映财政部门安排的事业单位基本医疗保险缴费经费，未参加医疗保险的行政单位的公费医疗经费，按国家规定享受离休人员待遇人员的医疗经费。</w:t>
      </w:r>
    </w:p>
    <w:p>
      <w:pPr>
        <w:ind w:firstLine="640" w:firstLineChars="200"/>
        <w:rPr>
          <w:rFonts w:hint="eastAsia" w:ascii="仿宋_GB2312" w:hAnsi="仿宋_GB2312" w:eastAsia="仿宋_GB2312" w:cs="仿宋_GB2312"/>
          <w:i w:val="0"/>
          <w:caps w:val="0"/>
          <w:smallCaps w:val="0"/>
          <w:color w:val="000000"/>
          <w:spacing w:val="0"/>
          <w:kern w:val="0"/>
          <w:sz w:val="32"/>
          <w:szCs w:val="32"/>
          <w:lang w:val="en-US" w:eastAsia="zh-CN"/>
        </w:rPr>
      </w:pPr>
      <w:r>
        <w:rPr>
          <w:rFonts w:hint="eastAsia" w:ascii="仿宋_GB2312" w:hAnsi="仿宋_GB2312" w:eastAsia="仿宋_GB2312" w:cs="仿宋_GB2312"/>
          <w:i w:val="0"/>
          <w:caps w:val="0"/>
          <w:smallCaps w:val="0"/>
          <w:color w:val="000000"/>
          <w:spacing w:val="0"/>
          <w:kern w:val="0"/>
          <w:sz w:val="32"/>
          <w:szCs w:val="32"/>
          <w:lang w:val="en-US" w:eastAsia="zh-CN"/>
        </w:rPr>
        <w:t>9.住房保障支出（类）住房改革支出（款）住房公积金（项）：反映行政事业单位按人力资源和社会保障部、财政部规定的基本工资和津贴补贴以及规定比例为职工缴纳的住房公积金。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4"/>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9"/>
        <w:rPr>
          <w:rFonts w:hint="eastAsia" w:ascii="黑体" w:hAnsi="黑体" w:eastAsia="黑体"/>
          <w:color w:val="auto"/>
          <w:sz w:val="44"/>
          <w:szCs w:val="44"/>
          <w:highlight w:val="none"/>
        </w:rPr>
      </w:pPr>
      <w:bookmarkStart w:id="66" w:name="_Toc15396614"/>
      <w:bookmarkStart w:id="67" w:name="_Toc15377226"/>
    </w:p>
    <w:p>
      <w:pPr>
        <w:pStyle w:val="2"/>
        <w:rPr>
          <w:rFonts w:hint="eastAsia" w:ascii="黑体" w:hAnsi="黑体" w:eastAsia="黑体"/>
          <w:color w:val="auto"/>
          <w:sz w:val="44"/>
          <w:szCs w:val="44"/>
          <w:highlight w:val="none"/>
        </w:rPr>
      </w:pPr>
    </w:p>
    <w:p>
      <w:pPr>
        <w:pStyle w:val="3"/>
        <w:rPr>
          <w:rFonts w:hint="eastAsia" w:ascii="黑体" w:hAnsi="黑体" w:eastAsia="黑体"/>
          <w:color w:val="auto"/>
          <w:sz w:val="44"/>
          <w:szCs w:val="44"/>
          <w:highlight w:val="none"/>
        </w:rPr>
      </w:pPr>
    </w:p>
    <w:p>
      <w:pPr>
        <w:rPr>
          <w:rFonts w:hint="eastAsia"/>
        </w:rPr>
      </w:pPr>
    </w:p>
    <w:p>
      <w:pPr>
        <w:spacing w:line="600" w:lineRule="exact"/>
        <w:jc w:val="center"/>
        <w:outlineLvl w:val="9"/>
        <w:rPr>
          <w:rFonts w:hint="eastAsia" w:ascii="黑体" w:hAnsi="黑体" w:eastAsia="黑体"/>
          <w:color w:val="auto"/>
          <w:sz w:val="44"/>
          <w:szCs w:val="44"/>
          <w:highlight w:val="none"/>
        </w:rPr>
      </w:pPr>
    </w:p>
    <w:p>
      <w:pPr>
        <w:spacing w:line="600" w:lineRule="exact"/>
        <w:ind w:firstLine="2200" w:firstLineChars="500"/>
        <w:jc w:val="both"/>
        <w:outlineLvl w:val="0"/>
        <w:rPr>
          <w:rStyle w:val="26"/>
          <w:rFonts w:ascii="黑体" w:hAnsi="黑体" w:eastAsia="黑体"/>
          <w:b w:val="0"/>
          <w:color w:val="auto"/>
          <w:highlight w:val="none"/>
        </w:rPr>
      </w:pPr>
      <w:bookmarkStart w:id="68" w:name="_Toc3831"/>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四部分 附件</w:t>
      </w:r>
      <w:bookmarkEnd w:id="66"/>
      <w:bookmarkEnd w:id="68"/>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69" w:name="_Toc9370"/>
      <w:bookmarkStart w:id="70"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69"/>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18"/>
        <w:gridCol w:w="1744"/>
        <w:gridCol w:w="2227"/>
        <w:gridCol w:w="522"/>
        <w:gridCol w:w="1650"/>
        <w:gridCol w:w="522"/>
        <w:gridCol w:w="1086"/>
        <w:gridCol w:w="576"/>
        <w:gridCol w:w="576"/>
        <w:gridCol w:w="25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cs="宋体"/>
                <w:i w:val="0"/>
                <w:iCs w:val="0"/>
                <w:color w:val="000000"/>
                <w:kern w:val="0"/>
                <w:sz w:val="18"/>
                <w:szCs w:val="18"/>
                <w:u w:val="none"/>
                <w:lang w:val="en-US" w:eastAsia="zh-CN" w:bidi="ar"/>
              </w:rPr>
              <w:t>职工</w:t>
            </w:r>
            <w:r>
              <w:rPr>
                <w:rFonts w:ascii="宋体" w:hAnsi="宋体" w:eastAsia="宋体" w:cs="宋体"/>
                <w:i w:val="0"/>
                <w:iCs w:val="0"/>
                <w:color w:val="000000"/>
                <w:kern w:val="0"/>
                <w:sz w:val="18"/>
                <w:szCs w:val="18"/>
                <w:u w:val="none"/>
                <w:lang w:val="en-US" w:eastAsia="zh-CN" w:bidi="ar"/>
              </w:rPr>
              <w:t>工资及时发放、足额发放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100.88</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160.39</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149.46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93.19%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100.88</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160.39</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149.46</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93.19%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年末调整追加的目标绩效奖保险部分尚未支付。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97</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该项目自评总分97分，该项目顺利实施，保障了职工的合法权益，调动了职工的工作积极性。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eastAsia="zh-CN"/>
              </w:rPr>
              <w:t>年末调整追加的目标绩效奖保险部分尚未支付。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及时支付职工保险费用。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lang w:val="en-US" w:eastAsia="zh-CN"/>
        </w:rPr>
      </w:pPr>
    </w:p>
    <w:p>
      <w:pPr>
        <w:pStyle w:val="2"/>
        <w:rPr>
          <w:rFonts w:hint="eastAsia" w:ascii="宋体" w:hAnsi="宋体" w:eastAsia="宋体" w:cs="宋体"/>
          <w:color w:val="auto"/>
          <w:kern w:val="0"/>
          <w:sz w:val="32"/>
          <w:szCs w:val="32"/>
          <w:highlight w:val="none"/>
          <w:lang w:val="en-US" w:eastAsia="zh-CN" w:bidi="ar-SA"/>
        </w:rPr>
      </w:pPr>
    </w:p>
    <w:p>
      <w:pPr>
        <w:pStyle w:val="3"/>
        <w:rPr>
          <w:rFonts w:hint="eastAsia"/>
          <w:lang w:val="en-US" w:eastAsia="zh-CN"/>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19"/>
        <w:gridCol w:w="1741"/>
        <w:gridCol w:w="2224"/>
        <w:gridCol w:w="522"/>
        <w:gridCol w:w="1651"/>
        <w:gridCol w:w="522"/>
        <w:gridCol w:w="1089"/>
        <w:gridCol w:w="576"/>
        <w:gridCol w:w="576"/>
        <w:gridCol w:w="25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cs="宋体"/>
                <w:i w:val="0"/>
                <w:iCs w:val="0"/>
                <w:color w:val="000000"/>
                <w:kern w:val="0"/>
                <w:sz w:val="18"/>
                <w:szCs w:val="18"/>
                <w:u w:val="none"/>
                <w:lang w:val="en-US" w:eastAsia="zh-CN" w:bidi="ar"/>
              </w:rPr>
              <w:t>退休人员目标绩效奖</w:t>
            </w:r>
            <w:r>
              <w:rPr>
                <w:rFonts w:ascii="宋体" w:hAnsi="宋体" w:eastAsia="宋体" w:cs="宋体"/>
                <w:i w:val="0"/>
                <w:iCs w:val="0"/>
                <w:color w:val="000000"/>
                <w:kern w:val="0"/>
                <w:sz w:val="18"/>
                <w:szCs w:val="18"/>
                <w:u w:val="none"/>
                <w:lang w:val="en-US" w:eastAsia="zh-CN" w:bidi="ar"/>
              </w:rPr>
              <w:t>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按时、足额发放退休人员目标绩效奖。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该项目自评总分100分，该项目顺利实施，保障了退休职工的合法权益。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17"/>
        <w:gridCol w:w="1744"/>
        <w:gridCol w:w="2226"/>
        <w:gridCol w:w="522"/>
        <w:gridCol w:w="1650"/>
        <w:gridCol w:w="522"/>
        <w:gridCol w:w="1089"/>
        <w:gridCol w:w="576"/>
        <w:gridCol w:w="576"/>
        <w:gridCol w:w="25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cs="宋体"/>
                <w:i w:val="0"/>
                <w:iCs w:val="0"/>
                <w:color w:val="000000"/>
                <w:kern w:val="0"/>
                <w:sz w:val="18"/>
                <w:szCs w:val="18"/>
                <w:u w:val="none"/>
                <w:lang w:val="en-US" w:eastAsia="zh-CN" w:bidi="ar"/>
              </w:rPr>
              <w:t>职工</w:t>
            </w:r>
            <w:r>
              <w:rPr>
                <w:rFonts w:ascii="宋体" w:hAnsi="宋体" w:eastAsia="宋体" w:cs="宋体"/>
                <w:i w:val="0"/>
                <w:iCs w:val="0"/>
                <w:color w:val="000000"/>
                <w:kern w:val="0"/>
                <w:sz w:val="18"/>
                <w:szCs w:val="18"/>
                <w:u w:val="none"/>
                <w:lang w:val="en-US" w:eastAsia="zh-CN" w:bidi="ar"/>
              </w:rPr>
              <w:t>工资及时发放、足额发放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按月及时、足额发放职工工资。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133.92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 xml:space="preserve">财务负责人：陈榕 </w:t>
            </w:r>
          </w:p>
        </w:tc>
      </w:tr>
    </w:tbl>
    <w:p>
      <w:pPr>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5"/>
        <w:gridCol w:w="2257"/>
        <w:gridCol w:w="524"/>
        <w:gridCol w:w="1674"/>
        <w:gridCol w:w="524"/>
        <w:gridCol w:w="1094"/>
        <w:gridCol w:w="510"/>
        <w:gridCol w:w="487"/>
        <w:gridCol w:w="2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51080022T000005877141-目标绩效奖（交易中心）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cs="宋体"/>
                <w:i w:val="0"/>
                <w:iCs w:val="0"/>
                <w:color w:val="000000"/>
                <w:kern w:val="0"/>
                <w:sz w:val="18"/>
                <w:szCs w:val="18"/>
                <w:u w:val="none"/>
                <w:lang w:val="en-US" w:eastAsia="zh-CN" w:bidi="ar"/>
              </w:rPr>
              <w:t>目标绩效奖</w:t>
            </w:r>
            <w:r>
              <w:rPr>
                <w:rFonts w:ascii="宋体" w:hAnsi="宋体" w:eastAsia="宋体" w:cs="宋体"/>
                <w:i w:val="0"/>
                <w:iCs w:val="0"/>
                <w:color w:val="000000"/>
                <w:kern w:val="0"/>
                <w:sz w:val="18"/>
                <w:szCs w:val="18"/>
                <w:u w:val="none"/>
                <w:lang w:val="en-US" w:eastAsia="zh-CN" w:bidi="ar"/>
              </w:rPr>
              <w:t>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标绩效奖</w:t>
            </w:r>
            <w:r>
              <w:rPr>
                <w:rFonts w:ascii="宋体" w:hAnsi="宋体" w:eastAsia="宋体" w:cs="宋体"/>
                <w:i w:val="0"/>
                <w:iCs w:val="0"/>
                <w:color w:val="000000"/>
                <w:kern w:val="0"/>
                <w:sz w:val="18"/>
                <w:szCs w:val="18"/>
                <w:u w:val="none"/>
                <w:lang w:val="en-US" w:eastAsia="zh-CN" w:bidi="ar"/>
              </w:rPr>
              <w:t>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及时发放、足额发放障</w:t>
            </w:r>
            <w:r>
              <w:rPr>
                <w:rFonts w:hint="eastAsia" w:ascii="宋体" w:hAnsi="宋体" w:cs="宋体"/>
                <w:i w:val="0"/>
                <w:iCs w:val="0"/>
                <w:color w:val="000000"/>
                <w:kern w:val="0"/>
                <w:sz w:val="18"/>
                <w:szCs w:val="18"/>
                <w:u w:val="none"/>
                <w:lang w:val="en-US" w:eastAsia="zh-CN" w:bidi="ar"/>
              </w:rPr>
              <w:t>目标绩效奖。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i w:val="0"/>
                <w:iCs w:val="0"/>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3"/>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cs="宋体"/>
                <w:i w:val="0"/>
                <w:iCs w:val="0"/>
                <w:color w:val="000000"/>
                <w:kern w:val="0"/>
                <w:sz w:val="18"/>
                <w:szCs w:val="18"/>
                <w:u w:val="none"/>
                <w:lang w:val="en-US" w:eastAsia="zh-CN" w:bidi="ar"/>
              </w:rPr>
              <w:t>基础绩效奖及生活补助</w:t>
            </w:r>
            <w:r>
              <w:rPr>
                <w:rFonts w:ascii="宋体" w:hAnsi="宋体" w:eastAsia="宋体" w:cs="宋体"/>
                <w:i w:val="0"/>
                <w:iCs w:val="0"/>
                <w:color w:val="000000"/>
                <w:kern w:val="0"/>
                <w:sz w:val="18"/>
                <w:szCs w:val="18"/>
                <w:u w:val="none"/>
                <w:lang w:val="en-US" w:eastAsia="zh-CN" w:bidi="ar"/>
              </w:rPr>
              <w:t>及时发放、足额发放，预算编制科学合理，减少结余资金</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基础绩效奖及生活补助</w:t>
            </w:r>
            <w:r>
              <w:rPr>
                <w:rFonts w:ascii="宋体" w:hAnsi="宋体" w:eastAsia="宋体" w:cs="宋体"/>
                <w:i w:val="0"/>
                <w:iCs w:val="0"/>
                <w:color w:val="000000"/>
                <w:kern w:val="0"/>
                <w:sz w:val="18"/>
                <w:szCs w:val="18"/>
                <w:u w:val="none"/>
                <w:lang w:val="en-US" w:eastAsia="zh-CN" w:bidi="ar"/>
              </w:rPr>
              <w:t>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及时发放、足额发放</w:t>
            </w:r>
            <w:r>
              <w:rPr>
                <w:rFonts w:hint="eastAsia" w:ascii="宋体" w:hAnsi="宋体" w:cs="宋体"/>
                <w:i w:val="0"/>
                <w:iCs w:val="0"/>
                <w:color w:val="000000"/>
                <w:kern w:val="0"/>
                <w:sz w:val="18"/>
                <w:szCs w:val="18"/>
                <w:u w:val="none"/>
                <w:lang w:val="en-US" w:eastAsia="zh-CN" w:bidi="ar"/>
              </w:rPr>
              <w:t>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22.74</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22.74</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76.50%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该项目自评总分100分，该项目顺利实施，保障了职工的合法权益，调动了职工的工作积极性。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i w:val="0"/>
                <w:iCs w:val="0"/>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lang w:val="en-US" w:eastAsia="zh-CN"/>
        </w:rPr>
      </w:pPr>
    </w:p>
    <w:p>
      <w:pPr>
        <w:pStyle w:val="3"/>
        <w:rPr>
          <w:rFonts w:hint="eastAsia"/>
          <w:lang w:val="en-US" w:eastAsia="zh-CN"/>
        </w:rPr>
      </w:pPr>
    </w:p>
    <w:p>
      <w:pPr>
        <w:rPr>
          <w:rFonts w:hint="eastAsia"/>
          <w:lang w:val="en-US" w:eastAsia="zh-CN"/>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2016"/>
        <w:gridCol w:w="1741"/>
        <w:gridCol w:w="2237"/>
        <w:gridCol w:w="377"/>
        <w:gridCol w:w="145"/>
        <w:gridCol w:w="1648"/>
        <w:gridCol w:w="522"/>
        <w:gridCol w:w="1086"/>
        <w:gridCol w:w="576"/>
        <w:gridCol w:w="576"/>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4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6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8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6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6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6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r>
              <w:rPr>
                <w:rFonts w:hint="eastAsia" w:ascii="宋体" w:hAnsi="宋体" w:cs="宋体"/>
                <w:i w:val="0"/>
                <w:iCs w:val="0"/>
                <w:color w:val="000000"/>
                <w:kern w:val="0"/>
                <w:sz w:val="18"/>
                <w:szCs w:val="18"/>
                <w:u w:val="none"/>
                <w:lang w:val="en-US" w:eastAsia="zh-CN" w:bidi="ar"/>
              </w:rPr>
              <w:t>。</w:t>
            </w:r>
          </w:p>
        </w:tc>
        <w:tc>
          <w:tcPr>
            <w:tcW w:w="47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eastAsia="zh-CN"/>
              </w:rPr>
            </w:pPr>
            <w:r>
              <w:rPr>
                <w:rFonts w:hint="eastAsia" w:ascii="黑体" w:hAnsi="黑体" w:eastAsia="黑体" w:cs="黑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4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31.50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30.67</w:t>
            </w: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w:t>
            </w:r>
          </w:p>
        </w:tc>
        <w:tc>
          <w:tcPr>
            <w:tcW w:w="2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31.50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30.67</w:t>
            </w: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99.02%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6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45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99.9</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该项目自评总分99.9分，该项目顺利实施，保障了单位的日常运转。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改进措施</w:t>
            </w:r>
          </w:p>
        </w:tc>
        <w:tc>
          <w:tcPr>
            <w:tcW w:w="134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eastAsia="zh-CN"/>
              </w:rPr>
            </w:pPr>
            <w:r>
              <w:rPr>
                <w:rFonts w:hint="eastAsia" w:ascii="黑体" w:hAnsi="黑体" w:eastAsia="黑体" w:cs="黑体"/>
                <w:i w:val="0"/>
                <w:iCs w:val="0"/>
                <w:color w:val="000000"/>
                <w:sz w:val="18"/>
                <w:szCs w:val="18"/>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0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项目负责人：袁玲</w:t>
            </w:r>
          </w:p>
        </w:tc>
        <w:tc>
          <w:tcPr>
            <w:tcW w:w="705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lang w:val="en-US" w:eastAsia="zh-CN"/>
        </w:rPr>
      </w:pPr>
    </w:p>
    <w:p>
      <w:pPr>
        <w:pStyle w:val="3"/>
        <w:rPr>
          <w:rFonts w:hint="eastAsia"/>
          <w:lang w:val="en-US" w:eastAsia="zh-CN"/>
        </w:rPr>
      </w:pPr>
    </w:p>
    <w:p>
      <w:pPr>
        <w:rPr>
          <w:rFonts w:hint="eastAsia"/>
          <w:lang w:val="en-US" w:eastAsia="zh-CN"/>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7"/>
        <w:gridCol w:w="2016"/>
        <w:gridCol w:w="1738"/>
        <w:gridCol w:w="2237"/>
        <w:gridCol w:w="522"/>
        <w:gridCol w:w="1648"/>
        <w:gridCol w:w="522"/>
        <w:gridCol w:w="1088"/>
        <w:gridCol w:w="576"/>
        <w:gridCol w:w="576"/>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r>
              <w:rPr>
                <w:rFonts w:hint="eastAsia" w:ascii="宋体" w:hAnsi="宋体" w:cs="宋体"/>
                <w:i w:val="0"/>
                <w:iCs w:val="0"/>
                <w:color w:val="000000"/>
                <w:kern w:val="0"/>
                <w:sz w:val="18"/>
                <w:szCs w:val="18"/>
                <w:u w:val="none"/>
                <w:lang w:val="en-US" w:eastAsia="zh-CN" w:bidi="ar"/>
              </w:rPr>
              <w:t>。</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黑体" w:hAnsi="黑体" w:eastAsia="黑体" w:cs="黑体"/>
                <w:i w:val="0"/>
                <w:iCs w:val="0"/>
                <w:color w:val="000000"/>
                <w:sz w:val="18"/>
                <w:szCs w:val="18"/>
                <w:u w:val="none"/>
                <w:lang w:eastAsia="zh-CN"/>
              </w:rPr>
              <w:t>合理编制预算，严格执行预算，保障了单位日常运转。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项目负责人：袁玲</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财务负责人：侯海霞</w:t>
            </w:r>
          </w:p>
        </w:tc>
      </w:tr>
    </w:tbl>
    <w:p>
      <w:pPr>
        <w:pStyle w:val="2"/>
        <w:rPr>
          <w:rFonts w:hint="eastAsia"/>
          <w:lang w:val="en-US" w:eastAsia="zh-CN"/>
        </w:rPr>
      </w:pPr>
    </w:p>
    <w:p>
      <w:pPr>
        <w:pStyle w:val="3"/>
        <w:ind w:left="0" w:leftChars="0" w:firstLine="0" w:firstLineChars="0"/>
        <w:rPr>
          <w:rFonts w:hint="eastAsia"/>
          <w:lang w:val="en-US" w:eastAsia="zh-CN"/>
        </w:rPr>
      </w:pPr>
    </w:p>
    <w:p>
      <w:pPr>
        <w:rPr>
          <w:rFonts w:hint="eastAsia"/>
          <w:lang w:val="en-US" w:eastAsia="zh-CN"/>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51080021T000000052241-政府采购专家评审费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全年预计完成市级各部门委托的政府采购项目评审100余个，依法依规按时支付专家评审费及相关餐费。</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完成市级各部门委托的政府采购项目评审100余个，依法依规按时支付专家评审费及相关餐费，全市政府集中采购活动有序进行。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通过及时支付评审专家的劳务费及用餐费，保障政府采购活动有序进行。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评审现场用餐人次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评审项目个数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参与评审的专家人数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劳务报酬准确发放率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评审专家依规评审率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专家评审费及时支付率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用餐费及时支付率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专家评审费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95%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rPr>
              <w:t>由于疫情原因，政府采购活动减少，少量经费用于疫情防控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专家及现场工作人员用餐费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落实国家政府采购政策情况</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提高政府采购服务质量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kern w:val="2"/>
                <w:sz w:val="16"/>
                <w:szCs w:val="16"/>
                <w:u w:val="none"/>
                <w:lang w:val="en-US" w:eastAsia="zh-CN" w:bidi="ar-SA"/>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采购人满意度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评审专家满意度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99</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该项目自评总分99分，该项目顺利实施，保障了市级各部门政府采购活动正常、有序开展，推动了社会经济发展，评审专家对费用结算满意度达100%。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因政府采购数量难以预估，项目经费的指标设置与实际情况存在一定的差异，绩效目标还需要进一步优化。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rPr>
              <w:t>根据工作实际合理设定年度绩效目标，并细化、量化指标设置，使项目预算安排与绩效目标合理匹配。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kern w:val="0"/>
                <w:sz w:val="18"/>
                <w:szCs w:val="18"/>
                <w:u w:val="none"/>
                <w:lang w:val="en-US" w:eastAsia="zh-CN" w:bidi="ar"/>
              </w:rPr>
              <w:t>项目负责人：张兴东</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lang w:val="en-US" w:eastAsia="zh-CN"/>
        </w:rPr>
      </w:pPr>
    </w:p>
    <w:p>
      <w:pPr>
        <w:pStyle w:val="2"/>
        <w:rPr>
          <w:rFonts w:hint="eastAsia"/>
          <w:lang w:val="en-US" w:eastAsia="zh-CN"/>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51080021T000000052243-网络运行维护费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确保2022年度市公共资源交易信息中心网络宽带及电话、应急抢险救灾施工队伍储备库信息系统、公共资源交易电子平台管理信息系统等网络系统稳定通畅运行。</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2022年度市公共资源交易信息中心网络宽带及电话、应急抢险救灾施工队伍储备库信息系统、公共资源交易电子平台管理信息系统等网络系统稳定通畅运行。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主要用于座机使用年费、金财网、光纤互联网及政务外网年费，电信托管设备托管费、其他网络运维费支出。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网络正常运行的互联网专线个数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网络正常运行的座机个数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防火墙病毒库授权服务器数量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需维护的平台个数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办公场所及开标区域网络宽带及座机电话正常运行率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应急抢险救灾施工队伍储备库信息系统正常运行率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公共资源交易电子化平台网络建设正常运行率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网络维护完成率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防火墙病毒库授权服务及其他网络运维费支出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金财网、光纤互联网及政务外网年费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座机使用年费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公共资源交易服务质量提升度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80%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rPr>
              <w:t>公共资源交易区域有时会出现网络故障，公共服务质量有待提高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工作人员对平台使用满意度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该项目自评总分95分，该项目顺利实施，使全市公共资源电子化交易活动顺利开展，实现公共资源交易活动全流程电子化，搭建全国统一的公共资源交易电子平台，优化营商环境，推动社会经济发展。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项目经费使用严格按照相关规定执行，但仍存在项目支出进度缓慢，材料报送不及时等问题。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加快材料报送与审核流程，确保项目经费支出符合相关规定并按时支出。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项目负责人：王春桃</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2048"/>
        <w:gridCol w:w="1764"/>
        <w:gridCol w:w="2257"/>
        <w:gridCol w:w="524"/>
        <w:gridCol w:w="1675"/>
        <w:gridCol w:w="524"/>
        <w:gridCol w:w="1094"/>
        <w:gridCol w:w="510"/>
        <w:gridCol w:w="487"/>
        <w:gridCol w:w="2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51080021T000000052244-交易场地设施设备维护费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市公共资源交易信息中心开标室、评标室、监控室、机房、开评标区外围大厅等交易场所的设施设备进行维修维护，确保各项设备正常使用；对照省中心对各市州建设规范化、标准化、示范化交易中心的要求，对交易中心相关制度、公示牌、环境布置等进行维护改造升级。</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2022年度开标室、评标室、监控室、机房、开评标区外围大厅等交易场所的设施设备能正常使用，规范化、标准化、示范交易中心“回头看”的要求达标。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交易场地设施设备购置及维护若干；根据需要更换或新建一批标识牌、制度牌等；公共资源交易活动现场设施设备能正常使用；公共资源电子化交易活动顺利开展。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维护打印机个数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维护电脑台数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维护LED显示屏个数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办公家具购、设备置数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维护投影设备数量</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设施设备完好率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设施设备故障率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设备故障及时修复率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耗材费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设施设备维护维修费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两化建设改造升级建设费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推动公共资源交易活动有序开展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30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公共资源交易相关活动主体满意度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100分，该项目顺利实施，2022年度开标室、评标室、监控室、机房、开评标区外围大厅等交易场所的设施设备能正常使用，规范化、标准化、示范交易中心“回头看”的要求达标，公共资源交易活动正常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由于公共资源交易场地建设、改造、升级较多，经费预算略有不足。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lang w:eastAsia="zh-CN"/>
              </w:rPr>
            </w:pPr>
            <w:r>
              <w:rPr>
                <w:rFonts w:hint="eastAsia" w:ascii="微软雅黑" w:hAnsi="微软雅黑" w:eastAsia="微软雅黑" w:cs="微软雅黑"/>
                <w:i w:val="0"/>
                <w:iCs w:val="0"/>
                <w:color w:val="000000"/>
                <w:sz w:val="16"/>
                <w:szCs w:val="16"/>
                <w:u w:val="none"/>
                <w:lang w:eastAsia="zh-CN"/>
              </w:rPr>
              <w:t>建议增加该项目预算资金，主要用于交易场低升级改造，建设省内示范性、标准化交易中心。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项目负责人：周建</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tbl>
      <w:tblPr>
        <w:tblStyle w:val="1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2055"/>
        <w:gridCol w:w="1770"/>
        <w:gridCol w:w="2265"/>
        <w:gridCol w:w="525"/>
        <w:gridCol w:w="1680"/>
        <w:gridCol w:w="525"/>
        <w:gridCol w:w="1095"/>
        <w:gridCol w:w="510"/>
        <w:gridCol w:w="450"/>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411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51080022T000004937340-土地出让工作经费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7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广元市政务服务和公共资源交易中心部门</w:t>
            </w:r>
          </w:p>
        </w:tc>
        <w:tc>
          <w:tcPr>
            <w:tcW w:w="10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广元市公共资源交易信息中心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受托完成土地（矿权）出让15宗，土地（矿权）交易服务费收入2500万元。</w:t>
            </w:r>
          </w:p>
        </w:tc>
        <w:tc>
          <w:tcPr>
            <w:tcW w:w="46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受托完成国有土地使用权出让11宗，矿权交易8个，上缴财政非税收入3200余万元。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该项目主要用于支付土地拍卖机构劳务费、土地（矿权）出让公告费及其他为完成年度非税征收任务而进行的必要开支。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土地（矿权）拍卖组织活动宗数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土地（矿权）出让登报宗数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宗</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完成市财政下达的年度非税征收任务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按委托人要求时限内发布公告</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日</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公告登报宣传费</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80%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rPr>
              <w:t>由于疫情原因，土地拍卖活动减少，给拍卖机构的劳务费未达到预期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拍卖活动中介机构劳务支出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80%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sz w:val="16"/>
                <w:szCs w:val="16"/>
                <w:u w:val="none"/>
              </w:rPr>
              <w:t>由于疫情原因，土地拍卖活动减少，给拍卖机构的劳务费未达到预期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其他非税征收成本支出</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7</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促进财政增收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推动房地产行业的发展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委托人满意度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竞买人满意度</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5</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6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该项目自评总分96分，该项目顺利实施，加大了全市土地出让力度，促进房地产市场活跃发展，为市本级财政增加收入，拍卖机构满意度达100%。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1.绩效目标还需要进一步细化、量化。</w:t>
            </w:r>
          </w:p>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2.预算执行进度较慢，存在年末集中支付情况。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kern w:val="0"/>
                <w:sz w:val="16"/>
                <w:szCs w:val="16"/>
                <w:u w:val="none"/>
                <w:lang w:val="en-US" w:eastAsia="zh-CN" w:bidi="ar"/>
              </w:rPr>
            </w:pPr>
            <w:r>
              <w:rPr>
                <w:rFonts w:hint="eastAsia" w:ascii="微软雅黑" w:hAnsi="微软雅黑" w:eastAsia="微软雅黑" w:cs="微软雅黑"/>
                <w:i w:val="0"/>
                <w:iCs w:val="0"/>
                <w:color w:val="000000"/>
                <w:kern w:val="0"/>
                <w:sz w:val="16"/>
                <w:szCs w:val="16"/>
                <w:u w:val="none"/>
                <w:lang w:val="en-US" w:eastAsia="zh-CN" w:bidi="ar"/>
              </w:rPr>
              <w:t>1.根据工作实际合理设定年度绩效目标，并细化、量化指标设置，使项目预算安排与绩效目标合理匹配。</w:t>
            </w:r>
          </w:p>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2.年初预算下达后，及时拟定相应的资金使用方案，督促相关科室及时执行，强化预算执行的日常管理，加快预算执行。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项目负责人：宁建华</w:t>
            </w:r>
          </w:p>
        </w:tc>
        <w:tc>
          <w:tcPr>
            <w:tcW w:w="6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财务负责人：陈榕</w:t>
            </w:r>
          </w:p>
        </w:tc>
      </w:tr>
    </w:tbl>
    <w:p>
      <w:pPr>
        <w:pStyle w:val="2"/>
        <w:rPr>
          <w:rFonts w:hint="eastAsia" w:ascii="仿宋_GB2312" w:hAnsi="Calibri" w:eastAsia="仿宋_GB2312" w:cs="仿宋"/>
          <w:color w:val="auto"/>
          <w:kern w:val="0"/>
          <w:sz w:val="32"/>
          <w:szCs w:val="32"/>
          <w:highlight w:val="none"/>
          <w:lang w:val="en-US" w:eastAsia="zh-CN" w:bidi="ar-SA"/>
        </w:rPr>
        <w:sectPr>
          <w:pgSz w:w="16838" w:h="11906" w:orient="landscape"/>
          <w:pgMar w:top="1800" w:right="1440" w:bottom="1800" w:left="1440" w:header="851" w:footer="992" w:gutter="0"/>
          <w:cols w:space="425" w:num="1"/>
          <w:titlePg/>
          <w:docGrid w:type="lines" w:linePitch="312" w:charSpace="0"/>
        </w:sect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1" w:name="_Toc32143"/>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五部分 附表</w:t>
      </w:r>
      <w:bookmarkEnd w:id="67"/>
      <w:bookmarkEnd w:id="70"/>
      <w:bookmarkEnd w:id="71"/>
      <w:bookmarkStart w:id="72" w:name="_Toc15396619"/>
    </w:p>
    <w:p>
      <w:pPr>
        <w:pStyle w:val="5"/>
        <w:rPr>
          <w:rFonts w:ascii="仿宋" w:hAnsi="仿宋" w:eastAsia="仿宋"/>
          <w:color w:val="auto"/>
          <w:highlight w:val="none"/>
        </w:rPr>
      </w:pPr>
      <w:bookmarkStart w:id="73" w:name="_Toc19463"/>
      <w:r>
        <w:rPr>
          <w:rFonts w:hint="eastAsia" w:ascii="仿宋" w:hAnsi="仿宋" w:eastAsia="仿宋"/>
          <w:b w:val="0"/>
          <w:color w:val="auto"/>
          <w:highlight w:val="none"/>
        </w:rPr>
        <w:t>一、收</w:t>
      </w:r>
      <w:r>
        <w:rPr>
          <w:rStyle w:val="27"/>
          <w:rFonts w:hint="eastAsia" w:ascii="仿宋" w:hAnsi="仿宋" w:eastAsia="仿宋"/>
          <w:b w:val="0"/>
          <w:bCs w:val="0"/>
          <w:color w:val="auto"/>
          <w:highlight w:val="none"/>
        </w:rPr>
        <w:t>入支出决算总表</w:t>
      </w:r>
      <w:bookmarkEnd w:id="72"/>
      <w:bookmarkEnd w:id="73"/>
    </w:p>
    <w:p>
      <w:pPr>
        <w:pStyle w:val="5"/>
        <w:rPr>
          <w:rFonts w:ascii="仿宋" w:hAnsi="仿宋" w:eastAsia="仿宋"/>
          <w:color w:val="auto"/>
          <w:highlight w:val="none"/>
        </w:rPr>
      </w:pPr>
      <w:bookmarkStart w:id="74" w:name="_Toc8131"/>
      <w:bookmarkStart w:id="75" w:name="_Toc15396620"/>
      <w:r>
        <w:rPr>
          <w:rFonts w:hint="eastAsia" w:ascii="仿宋" w:hAnsi="仿宋" w:eastAsia="仿宋"/>
          <w:b w:val="0"/>
          <w:color w:val="auto"/>
          <w:highlight w:val="none"/>
        </w:rPr>
        <w:t>二、收</w:t>
      </w:r>
      <w:r>
        <w:rPr>
          <w:rStyle w:val="27"/>
          <w:rFonts w:hint="eastAsia" w:ascii="仿宋" w:hAnsi="仿宋" w:eastAsia="仿宋"/>
          <w:b w:val="0"/>
          <w:bCs w:val="0"/>
          <w:color w:val="auto"/>
          <w:highlight w:val="none"/>
        </w:rPr>
        <w:t>入决算表</w:t>
      </w:r>
      <w:bookmarkEnd w:id="74"/>
      <w:bookmarkEnd w:id="75"/>
    </w:p>
    <w:p>
      <w:pPr>
        <w:pStyle w:val="5"/>
        <w:rPr>
          <w:rFonts w:ascii="仿宋" w:hAnsi="仿宋" w:eastAsia="仿宋"/>
          <w:color w:val="auto"/>
          <w:highlight w:val="none"/>
        </w:rPr>
      </w:pPr>
      <w:bookmarkStart w:id="76" w:name="_Toc15396621"/>
      <w:bookmarkStart w:id="77" w:name="_Toc17810"/>
      <w:r>
        <w:rPr>
          <w:rStyle w:val="2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7"/>
          <w:rFonts w:hint="eastAsia" w:ascii="仿宋" w:hAnsi="仿宋" w:eastAsia="仿宋"/>
          <w:b w:val="0"/>
          <w:bCs w:val="0"/>
          <w:color w:val="auto"/>
          <w:highlight w:val="none"/>
        </w:rPr>
        <w:t>出决算表</w:t>
      </w:r>
      <w:bookmarkEnd w:id="76"/>
      <w:bookmarkEnd w:id="77"/>
    </w:p>
    <w:p>
      <w:pPr>
        <w:pStyle w:val="5"/>
        <w:rPr>
          <w:rFonts w:ascii="仿宋" w:hAnsi="仿宋" w:eastAsia="仿宋"/>
          <w:b w:val="0"/>
          <w:color w:val="auto"/>
          <w:highlight w:val="none"/>
        </w:rPr>
      </w:pPr>
      <w:bookmarkStart w:id="78" w:name="_Toc15396622"/>
      <w:bookmarkStart w:id="79" w:name="_Toc5586"/>
      <w:r>
        <w:rPr>
          <w:rStyle w:val="2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政拨款收入支出决算总表</w:t>
      </w:r>
      <w:bookmarkEnd w:id="78"/>
      <w:bookmarkEnd w:id="79"/>
    </w:p>
    <w:p>
      <w:pPr>
        <w:pStyle w:val="5"/>
        <w:rPr>
          <w:rStyle w:val="27"/>
          <w:rFonts w:ascii="仿宋" w:hAnsi="仿宋" w:eastAsia="仿宋"/>
          <w:b w:val="0"/>
          <w:bCs w:val="0"/>
          <w:color w:val="auto"/>
          <w:highlight w:val="none"/>
        </w:rPr>
      </w:pPr>
      <w:bookmarkStart w:id="80" w:name="_Toc12799"/>
      <w:bookmarkStart w:id="81" w:name="_Toc15396623"/>
      <w:r>
        <w:rPr>
          <w:rStyle w:val="2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政拨款支出决算明细表</w:t>
      </w:r>
      <w:bookmarkEnd w:id="80"/>
      <w:bookmarkEnd w:id="81"/>
      <w:bookmarkStart w:id="82" w:name="_Toc15396624"/>
    </w:p>
    <w:p>
      <w:pPr>
        <w:pStyle w:val="5"/>
        <w:rPr>
          <w:rFonts w:ascii="仿宋" w:hAnsi="仿宋" w:eastAsia="仿宋"/>
          <w:color w:val="auto"/>
          <w:highlight w:val="none"/>
        </w:rPr>
      </w:pPr>
      <w:bookmarkStart w:id="83" w:name="_Toc225"/>
      <w:r>
        <w:rPr>
          <w:rStyle w:val="2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般公共预算财政拨款支出决算表</w:t>
      </w:r>
      <w:bookmarkEnd w:id="82"/>
      <w:bookmarkEnd w:id="83"/>
    </w:p>
    <w:p>
      <w:pPr>
        <w:pStyle w:val="5"/>
        <w:rPr>
          <w:rFonts w:ascii="仿宋" w:hAnsi="仿宋" w:eastAsia="仿宋"/>
          <w:color w:val="auto"/>
          <w:highlight w:val="none"/>
        </w:rPr>
      </w:pPr>
      <w:bookmarkStart w:id="84" w:name="_Toc2926"/>
      <w:bookmarkStart w:id="85" w:name="_Toc15396625"/>
      <w:r>
        <w:rPr>
          <w:rStyle w:val="2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般公共预算财政拨款支出决算明细表</w:t>
      </w:r>
      <w:bookmarkEnd w:id="84"/>
      <w:bookmarkEnd w:id="85"/>
    </w:p>
    <w:p>
      <w:pPr>
        <w:pStyle w:val="5"/>
        <w:rPr>
          <w:rFonts w:ascii="仿宋" w:hAnsi="仿宋" w:eastAsia="仿宋"/>
          <w:color w:val="auto"/>
          <w:highlight w:val="none"/>
        </w:rPr>
      </w:pPr>
      <w:bookmarkStart w:id="86" w:name="_Toc8669"/>
      <w:bookmarkStart w:id="87" w:name="_Toc15396626"/>
      <w:r>
        <w:rPr>
          <w:rStyle w:val="2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般公共预算财政拨款基本支出决算表</w:t>
      </w:r>
      <w:bookmarkEnd w:id="86"/>
      <w:bookmarkEnd w:id="87"/>
    </w:p>
    <w:p>
      <w:pPr>
        <w:pStyle w:val="5"/>
        <w:rPr>
          <w:rFonts w:ascii="仿宋" w:hAnsi="仿宋" w:eastAsia="仿宋"/>
          <w:color w:val="auto"/>
          <w:highlight w:val="none"/>
        </w:rPr>
      </w:pPr>
      <w:bookmarkStart w:id="88" w:name="_Toc15396627"/>
      <w:bookmarkStart w:id="89" w:name="_Toc10557"/>
      <w:r>
        <w:rPr>
          <w:rStyle w:val="2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般公共预算财政拨款项目支出决算表</w:t>
      </w:r>
      <w:bookmarkEnd w:id="88"/>
      <w:bookmarkEnd w:id="89"/>
    </w:p>
    <w:p>
      <w:pPr>
        <w:pStyle w:val="5"/>
        <w:rPr>
          <w:rFonts w:ascii="仿宋" w:hAnsi="仿宋" w:eastAsia="仿宋"/>
          <w:color w:val="auto"/>
          <w:highlight w:val="none"/>
        </w:rPr>
      </w:pPr>
      <w:bookmarkStart w:id="90" w:name="_Toc15396628"/>
      <w:bookmarkStart w:id="91" w:name="_Toc11335"/>
      <w:r>
        <w:rPr>
          <w:rStyle w:val="27"/>
          <w:rFonts w:hint="eastAsia" w:ascii="仿宋" w:hAnsi="仿宋" w:eastAsia="仿宋"/>
          <w:b w:val="0"/>
          <w:bCs w:val="0"/>
          <w:color w:val="auto"/>
          <w:highlight w:val="none"/>
        </w:rPr>
        <w:t>十、</w:t>
      </w:r>
      <w:bookmarkEnd w:id="90"/>
      <w:r>
        <w:rPr>
          <w:rFonts w:hint="eastAsia" w:ascii="仿宋" w:hAnsi="仿宋" w:eastAsia="仿宋"/>
          <w:b w:val="0"/>
          <w:color w:val="auto"/>
          <w:highlight w:val="none"/>
        </w:rPr>
        <w:t>政</w:t>
      </w:r>
      <w:r>
        <w:rPr>
          <w:rStyle w:val="27"/>
          <w:rFonts w:hint="eastAsia" w:ascii="仿宋" w:hAnsi="仿宋" w:eastAsia="仿宋"/>
          <w:b w:val="0"/>
          <w:bCs w:val="0"/>
          <w:color w:val="auto"/>
          <w:highlight w:val="none"/>
        </w:rPr>
        <w:t>府性基金预算财政拨款收入支出决算表</w:t>
      </w:r>
      <w:bookmarkEnd w:id="91"/>
    </w:p>
    <w:p>
      <w:pPr>
        <w:pStyle w:val="5"/>
        <w:rPr>
          <w:rFonts w:ascii="仿宋" w:hAnsi="仿宋" w:eastAsia="仿宋"/>
          <w:color w:val="auto"/>
          <w:highlight w:val="none"/>
        </w:rPr>
      </w:pPr>
      <w:bookmarkStart w:id="92" w:name="_Toc15396629"/>
      <w:bookmarkStart w:id="93" w:name="_Toc11290"/>
      <w:r>
        <w:rPr>
          <w:rStyle w:val="27"/>
          <w:rFonts w:hint="eastAsia" w:ascii="仿宋" w:hAnsi="仿宋" w:eastAsia="仿宋"/>
          <w:b w:val="0"/>
          <w:bCs w:val="0"/>
          <w:color w:val="auto"/>
          <w:highlight w:val="none"/>
        </w:rPr>
        <w:t>十一、</w:t>
      </w:r>
      <w:bookmarkEnd w:id="92"/>
      <w:r>
        <w:rPr>
          <w:rFonts w:hint="eastAsia" w:ascii="仿宋" w:hAnsi="仿宋" w:eastAsia="仿宋"/>
          <w:b w:val="0"/>
          <w:color w:val="auto"/>
          <w:highlight w:val="none"/>
        </w:rPr>
        <w:t>国</w:t>
      </w:r>
      <w:r>
        <w:rPr>
          <w:rStyle w:val="27"/>
          <w:rFonts w:hint="eastAsia" w:ascii="仿宋" w:hAnsi="仿宋" w:eastAsia="仿宋"/>
          <w:b w:val="0"/>
          <w:bCs w:val="0"/>
          <w:color w:val="auto"/>
          <w:highlight w:val="none"/>
        </w:rPr>
        <w:t>有资本经营预算</w:t>
      </w:r>
      <w:r>
        <w:rPr>
          <w:rStyle w:val="27"/>
          <w:rFonts w:hint="eastAsia" w:ascii="仿宋" w:hAnsi="仿宋" w:eastAsia="仿宋"/>
          <w:b w:val="0"/>
          <w:bCs w:val="0"/>
          <w:color w:val="auto"/>
          <w:highlight w:val="none"/>
          <w:lang w:eastAsia="zh-CN"/>
        </w:rPr>
        <w:t>财政拨款收入</w:t>
      </w:r>
      <w:r>
        <w:rPr>
          <w:rStyle w:val="27"/>
          <w:rFonts w:hint="eastAsia" w:ascii="仿宋" w:hAnsi="仿宋" w:eastAsia="仿宋"/>
          <w:b w:val="0"/>
          <w:bCs w:val="0"/>
          <w:color w:val="auto"/>
          <w:highlight w:val="none"/>
        </w:rPr>
        <w:t>支出决算表</w:t>
      </w:r>
      <w:bookmarkEnd w:id="93"/>
    </w:p>
    <w:p>
      <w:pPr>
        <w:pStyle w:val="5"/>
        <w:rPr>
          <w:rFonts w:ascii="仿宋" w:hAnsi="仿宋" w:eastAsia="仿宋"/>
          <w:color w:val="auto"/>
          <w:highlight w:val="none"/>
        </w:rPr>
      </w:pPr>
      <w:bookmarkStart w:id="94" w:name="_Toc15396630"/>
      <w:bookmarkStart w:id="95" w:name="_Toc21629"/>
      <w:r>
        <w:rPr>
          <w:rStyle w:val="27"/>
          <w:rFonts w:hint="eastAsia" w:ascii="仿宋" w:hAnsi="仿宋" w:eastAsia="仿宋"/>
          <w:b w:val="0"/>
          <w:bCs w:val="0"/>
          <w:color w:val="auto"/>
          <w:highlight w:val="none"/>
        </w:rPr>
        <w:t>十二、</w:t>
      </w:r>
      <w:bookmarkEnd w:id="94"/>
      <w:r>
        <w:rPr>
          <w:rStyle w:val="27"/>
          <w:rFonts w:hint="eastAsia" w:ascii="仿宋" w:hAnsi="仿宋" w:eastAsia="仿宋"/>
          <w:b w:val="0"/>
          <w:bCs w:val="0"/>
          <w:color w:val="auto"/>
          <w:highlight w:val="none"/>
          <w:lang w:eastAsia="zh-CN"/>
        </w:rPr>
        <w:t>国有资本经营预算财政拨款支出决算表</w:t>
      </w:r>
      <w:bookmarkEnd w:id="95"/>
    </w:p>
    <w:p>
      <w:pPr>
        <w:pStyle w:val="5"/>
        <w:rPr>
          <w:rFonts w:hint="eastAsia" w:eastAsia="仿宋"/>
          <w:color w:val="auto"/>
          <w:highlight w:val="none"/>
          <w:lang w:eastAsia="zh-CN"/>
        </w:rPr>
      </w:pPr>
      <w:bookmarkStart w:id="96" w:name="_Toc15396631"/>
      <w:bookmarkStart w:id="97" w:name="_Toc23469"/>
      <w:r>
        <w:rPr>
          <w:rStyle w:val="27"/>
          <w:rFonts w:hint="eastAsia" w:ascii="仿宋" w:hAnsi="仿宋" w:eastAsia="仿宋"/>
          <w:b w:val="0"/>
          <w:bCs w:val="0"/>
          <w:color w:val="auto"/>
          <w:highlight w:val="none"/>
        </w:rPr>
        <w:t>十三、</w:t>
      </w:r>
      <w:bookmarkEnd w:id="96"/>
      <w:r>
        <w:rPr>
          <w:rStyle w:val="27"/>
          <w:rFonts w:hint="eastAsia" w:ascii="仿宋" w:hAnsi="仿宋" w:eastAsia="仿宋"/>
          <w:b w:val="0"/>
          <w:bCs w:val="0"/>
          <w:color w:val="auto"/>
          <w:highlight w:val="none"/>
          <w:lang w:eastAsia="zh-CN"/>
        </w:rPr>
        <w:t>财政拨款“三公”经费支出决算表</w:t>
      </w:r>
      <w:bookmarkEnd w:id="97"/>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NTE4ZjZiNDZiYzkzMWMwZDFlYjlhYjViMTA4MG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23F24"/>
    <w:rsid w:val="03BB7FBE"/>
    <w:rsid w:val="04EC797F"/>
    <w:rsid w:val="053A62B5"/>
    <w:rsid w:val="0A2032A3"/>
    <w:rsid w:val="0A320F33"/>
    <w:rsid w:val="0B8A37D8"/>
    <w:rsid w:val="0CE02843"/>
    <w:rsid w:val="10120F66"/>
    <w:rsid w:val="10C055FF"/>
    <w:rsid w:val="10DB3A4D"/>
    <w:rsid w:val="118107EC"/>
    <w:rsid w:val="11DD6519"/>
    <w:rsid w:val="13A13340"/>
    <w:rsid w:val="148F7D67"/>
    <w:rsid w:val="16BB723D"/>
    <w:rsid w:val="16D231FD"/>
    <w:rsid w:val="18015F3F"/>
    <w:rsid w:val="1BE8440E"/>
    <w:rsid w:val="1D155CEE"/>
    <w:rsid w:val="1E543408"/>
    <w:rsid w:val="20F57F95"/>
    <w:rsid w:val="21890080"/>
    <w:rsid w:val="21FC1A76"/>
    <w:rsid w:val="22E609D3"/>
    <w:rsid w:val="240371BF"/>
    <w:rsid w:val="25711CC6"/>
    <w:rsid w:val="25C741E6"/>
    <w:rsid w:val="270F3FF9"/>
    <w:rsid w:val="27842671"/>
    <w:rsid w:val="27F136FF"/>
    <w:rsid w:val="294E4079"/>
    <w:rsid w:val="29B50E88"/>
    <w:rsid w:val="29FD04D3"/>
    <w:rsid w:val="2ABE7A3E"/>
    <w:rsid w:val="2CA234A8"/>
    <w:rsid w:val="2EFA178C"/>
    <w:rsid w:val="30B46D73"/>
    <w:rsid w:val="319F7F4E"/>
    <w:rsid w:val="3687188D"/>
    <w:rsid w:val="383D272C"/>
    <w:rsid w:val="38FE7A29"/>
    <w:rsid w:val="39AE70AB"/>
    <w:rsid w:val="3B492FEF"/>
    <w:rsid w:val="3C0C0783"/>
    <w:rsid w:val="3C6424D1"/>
    <w:rsid w:val="3E103D82"/>
    <w:rsid w:val="3F9F3A96"/>
    <w:rsid w:val="41085755"/>
    <w:rsid w:val="429E28B7"/>
    <w:rsid w:val="44246EDE"/>
    <w:rsid w:val="44DC23E0"/>
    <w:rsid w:val="45AC718B"/>
    <w:rsid w:val="48BF60AB"/>
    <w:rsid w:val="493C27E9"/>
    <w:rsid w:val="496F39ED"/>
    <w:rsid w:val="49FF41D3"/>
    <w:rsid w:val="4B101F6A"/>
    <w:rsid w:val="4BE068DB"/>
    <w:rsid w:val="4BF6002B"/>
    <w:rsid w:val="4CD40D75"/>
    <w:rsid w:val="4ECE2238"/>
    <w:rsid w:val="4EFAB164"/>
    <w:rsid w:val="51DB4B86"/>
    <w:rsid w:val="52497B10"/>
    <w:rsid w:val="54574766"/>
    <w:rsid w:val="55333C3E"/>
    <w:rsid w:val="56002BDB"/>
    <w:rsid w:val="56311ACE"/>
    <w:rsid w:val="575651A9"/>
    <w:rsid w:val="577218B7"/>
    <w:rsid w:val="57A61628"/>
    <w:rsid w:val="5C603ED6"/>
    <w:rsid w:val="5F000A91"/>
    <w:rsid w:val="5F2D4A41"/>
    <w:rsid w:val="608B7265"/>
    <w:rsid w:val="636B355E"/>
    <w:rsid w:val="64CA39A1"/>
    <w:rsid w:val="66493BA6"/>
    <w:rsid w:val="678C238A"/>
    <w:rsid w:val="69630ADE"/>
    <w:rsid w:val="6A4E7F61"/>
    <w:rsid w:val="6A813E93"/>
    <w:rsid w:val="6C1F5711"/>
    <w:rsid w:val="6C4A05C8"/>
    <w:rsid w:val="6D3B1A89"/>
    <w:rsid w:val="6F944032"/>
    <w:rsid w:val="70333E81"/>
    <w:rsid w:val="70950B3D"/>
    <w:rsid w:val="71BF4EC2"/>
    <w:rsid w:val="726C5429"/>
    <w:rsid w:val="72734D90"/>
    <w:rsid w:val="7412278C"/>
    <w:rsid w:val="760C25E7"/>
    <w:rsid w:val="77F44ADD"/>
    <w:rsid w:val="782A385C"/>
    <w:rsid w:val="78EA354B"/>
    <w:rsid w:val="7904082E"/>
    <w:rsid w:val="79E7B28D"/>
    <w:rsid w:val="7B494559"/>
    <w:rsid w:val="7BFD45F0"/>
    <w:rsid w:val="7CD96A14"/>
    <w:rsid w:val="7F871D6A"/>
    <w:rsid w:val="7F9F20EE"/>
    <w:rsid w:val="9E3A10E2"/>
    <w:rsid w:val="9F4F2F73"/>
    <w:rsid w:val="D7F7AF75"/>
    <w:rsid w:val="DEF8C9FC"/>
    <w:rsid w:val="DFBD4EBC"/>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3"/>
    <w:qFormat/>
    <w:uiPriority w:val="99"/>
    <w:pPr>
      <w:spacing w:beforeLines="30"/>
    </w:pPr>
    <w:rPr>
      <w:rFonts w:ascii="仿宋_GB2312" w:eastAsia="仿宋_GB2312"/>
      <w:kern w:val="0"/>
      <w:sz w:val="30"/>
    </w:rPr>
  </w:style>
  <w:style w:type="paragraph" w:styleId="3">
    <w:name w:val="index 8"/>
    <w:basedOn w:val="1"/>
    <w:next w:val="1"/>
    <w:qFormat/>
    <w:uiPriority w:val="0"/>
    <w:pPr>
      <w:ind w:left="2940"/>
    </w:p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qFormat/>
    <w:uiPriority w:val="0"/>
    <w:pPr>
      <w:widowControl/>
      <w:spacing w:before="100" w:beforeAutospacing="1" w:after="100" w:afterAutospacing="1"/>
      <w:jc w:val="left"/>
    </w:pPr>
    <w:rPr>
      <w:rFonts w:ascii="宋体" w:cs="宋体"/>
      <w:kern w:val="0"/>
      <w:sz w:val="24"/>
    </w:r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Char"/>
    <w:link w:val="10"/>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Char"/>
    <w:link w:val="9"/>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Char"/>
    <w:link w:val="2"/>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Char"/>
    <w:basedOn w:val="15"/>
    <w:link w:val="4"/>
    <w:qFormat/>
    <w:uiPriority w:val="9"/>
    <w:rPr>
      <w:rFonts w:ascii="Times New Roman" w:hAnsi="Times New Roman"/>
      <w:b/>
      <w:bCs/>
      <w:kern w:val="44"/>
      <w:sz w:val="44"/>
      <w:szCs w:val="44"/>
    </w:rPr>
  </w:style>
  <w:style w:type="character" w:customStyle="1" w:styleId="27">
    <w:name w:val="标题 2 Char"/>
    <w:basedOn w:val="15"/>
    <w:link w:val="5"/>
    <w:qFormat/>
    <w:uiPriority w:val="9"/>
    <w:rPr>
      <w:rFonts w:asciiTheme="majorHAnsi" w:hAnsiTheme="majorHAnsi" w:eastAsiaTheme="majorEastAsia" w:cstheme="majorBidi"/>
      <w:b/>
      <w:bCs/>
      <w:kern w:val="2"/>
      <w:sz w:val="32"/>
      <w:szCs w:val="32"/>
    </w:rPr>
  </w:style>
  <w:style w:type="paragraph" w:customStyle="1" w:styleId="28">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5"/>
    <w:link w:val="8"/>
    <w:semiHidden/>
    <w:qFormat/>
    <w:uiPriority w:val="99"/>
    <w:rPr>
      <w:rFonts w:ascii="Times New Roman" w:hAnsi="Times New Roman"/>
      <w:kern w:val="2"/>
      <w:sz w:val="18"/>
      <w:szCs w:val="18"/>
    </w:rPr>
  </w:style>
  <w:style w:type="character" w:customStyle="1" w:styleId="30">
    <w:name w:val="标题 3 Char"/>
    <w:basedOn w:val="15"/>
    <w:link w:val="6"/>
    <w:qFormat/>
    <w:uiPriority w:val="9"/>
    <w:rPr>
      <w:rFonts w:ascii="Times New Roman" w:hAnsi="Times New Roman"/>
      <w:b/>
      <w:bCs/>
      <w:kern w:val="2"/>
      <w:sz w:val="32"/>
      <w:szCs w:val="32"/>
    </w:rPr>
  </w:style>
  <w:style w:type="paragraph" w:customStyle="1" w:styleId="31">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font51"/>
    <w:basedOn w:val="15"/>
    <w:qFormat/>
    <w:uiPriority w:val="0"/>
    <w:rPr>
      <w:rFonts w:hint="eastAsia" w:ascii="宋体" w:hAnsi="宋体" w:eastAsia="宋体" w:cs="宋体"/>
      <w:color w:val="000000"/>
      <w:sz w:val="18"/>
      <w:szCs w:val="18"/>
      <w:u w:val="none"/>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image" Target="media/image1.png"/><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50640251268422"/>
          <c:y val="0.046748831279218"/>
          <c:w val="0.908359507127325"/>
          <c:h val="0.865363365915852"/>
        </c:manualLayout>
      </c:layout>
      <c:barChart>
        <c:barDir val="col"/>
        <c:grouping val="clustered"/>
        <c:varyColors val="0"/>
        <c:ser>
          <c:idx val="0"/>
          <c:order val="0"/>
          <c:tx>
            <c:strRef>
              <c:f>Sheet1!#REF!</c:f>
              <c:strCache>
                <c:ptCount val="1"/>
                <c:pt idx="0">
                  <c:v/>
                </c:pt>
              </c:strCache>
            </c:strRef>
          </c:tx>
          <c:spPr>
            <a:solidFill>
              <a:schemeClr val="accent1"/>
            </a:solidFill>
            <a:ln>
              <a:noFill/>
            </a:ln>
            <a:effectLst/>
          </c:spPr>
          <c:invertIfNegative val="0"/>
          <c:dLbls>
            <c:delete val="1"/>
          </c:dLbls>
          <c:cat>
            <c:strRef>
              <c:f>Sheet1!$A$2:$A$3</c:f>
              <c:strCache>
                <c:ptCount val="2"/>
                <c:pt idx="0">
                  <c:v>2021年收、支总计</c:v>
                </c:pt>
                <c:pt idx="1">
                  <c:v>2022年收、支总计</c:v>
                </c:pt>
              </c:strCache>
            </c:strRef>
          </c:cat>
          <c:val>
            <c:numRef>
              <c:f>Sheet1!#REF!</c:f>
              <c:numCache>
                <c:formatCode>General</c:formatCode>
                <c:ptCount val="1"/>
                <c:pt idx="0">
                  <c:v>1</c:v>
                </c:pt>
              </c:numCache>
            </c:numRef>
          </c:val>
        </c:ser>
        <c:ser>
          <c:idx val="1"/>
          <c:order val="1"/>
          <c:tx>
            <c:strRef>
              <c:f>Sheet1!$B$1</c:f>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2021年收、支总计</c:v>
                </c:pt>
                <c:pt idx="1">
                  <c:v>2022年收、支总计</c:v>
                </c:pt>
              </c:strCache>
            </c:strRef>
          </c:cat>
          <c:val>
            <c:numRef>
              <c:f>Sheet1!$B$2:$B$3</c:f>
              <c:numCache>
                <c:formatCode>General</c:formatCode>
                <c:ptCount val="2"/>
                <c:pt idx="0">
                  <c:v>450.31</c:v>
                </c:pt>
                <c:pt idx="1">
                  <c:v>472.28</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2021年收、支总计</c:v>
                </c:pt>
                <c:pt idx="1">
                  <c:v>2022年收、支总计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28"/>
        <c:axId val="649160180"/>
        <c:axId val="38442952"/>
      </c:barChart>
      <c:catAx>
        <c:axId val="64916018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442952"/>
        <c:crosses val="autoZero"/>
        <c:auto val="1"/>
        <c:lblAlgn val="ctr"/>
        <c:lblOffset val="100"/>
        <c:noMultiLvlLbl val="0"/>
      </c:catAx>
      <c:valAx>
        <c:axId val="38442952"/>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91601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2022年收入合计</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2022年一般公共预算财政拨款收入</c:v>
                </c:pt>
              </c:strCache>
            </c:strRef>
          </c:cat>
          <c:val>
            <c:numRef>
              <c:f>Sheet1!$B$2</c:f>
              <c:numCache>
                <c:formatCode>General</c:formatCode>
                <c:ptCount val="1"/>
                <c:pt idx="0">
                  <c:v>450.11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2022年支出合计</a:t>
            </a:r>
          </a:p>
        </c:rich>
      </c:tx>
      <c:layout/>
      <c:overlay val="0"/>
      <c:spPr>
        <a:noFill/>
        <a:ln>
          <a:noFill/>
        </a:ln>
        <a:effectLst/>
      </c:spPr>
    </c:title>
    <c:autoTitleDeleted val="0"/>
    <c:plotArea>
      <c:layout/>
      <c:pieChart>
        <c:varyColors val="1"/>
        <c:ser>
          <c:idx val="0"/>
          <c:order val="0"/>
          <c:tx>
            <c:strRef>
              <c:f>Sheet1!$B$1</c:f>
              <c:strCache>
                <c:ptCount val="1"/>
                <c:pt idx="0">
                  <c:v>2022年度支出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342.06</c:v>
                </c:pt>
                <c:pt idx="1">
                  <c:v>121.64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566078762986229"/>
          <c:y val="0.0444290976058932"/>
          <c:w val="0.868857211886929"/>
          <c:h val="0.860359116022099"/>
        </c:manualLayout>
      </c:layout>
      <c:barChart>
        <c:barDir val="col"/>
        <c:grouping val="clustered"/>
        <c:varyColors val="0"/>
        <c:ser>
          <c:idx val="0"/>
          <c:order val="0"/>
          <c:tx>
            <c:strRef>
              <c:f>Sheet1!#REF!</c:f>
              <c:strCache>
                <c:ptCount val="1"/>
                <c:pt idx="0">
                  <c:v/>
                </c:pt>
              </c:strCache>
            </c:strRef>
          </c:tx>
          <c:spPr>
            <a:solidFill>
              <a:schemeClr val="accent1"/>
            </a:solidFill>
            <a:ln>
              <a:noFill/>
            </a:ln>
            <a:effectLst/>
          </c:spPr>
          <c:invertIfNegative val="0"/>
          <c:dLbls>
            <c:delete val="1"/>
          </c:dLbls>
          <c:cat>
            <c:strRef>
              <c:f>Sheet1!$A$2:$A$3</c:f>
              <c:strCache>
                <c:ptCount val="2"/>
                <c:pt idx="0">
                  <c:v>2021年财政拨款收、支总计</c:v>
                </c:pt>
                <c:pt idx="1">
                  <c:v>2022年财政拨款收、支总计</c:v>
                </c:pt>
              </c:strCache>
            </c:strRef>
          </c:cat>
          <c:val>
            <c:numRef>
              <c:f>Sheet1!#REF!</c:f>
              <c:numCache>
                <c:formatCode>General</c:formatCode>
                <c:ptCount val="1"/>
                <c:pt idx="0">
                  <c:v>1</c:v>
                </c:pt>
              </c:numCache>
            </c:numRef>
          </c:val>
        </c:ser>
        <c:ser>
          <c:idx val="1"/>
          <c:order val="1"/>
          <c:tx>
            <c:strRef>
              <c:f>Sheet1!$B$1</c:f>
              <c:strCache>
                <c:ptCount val="1"/>
                <c:pt idx="0">
                  <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2021年财政拨款收、支总计</c:v>
                </c:pt>
                <c:pt idx="1">
                  <c:v>2022年财政拨款收、支总计</c:v>
                </c:pt>
              </c:strCache>
            </c:strRef>
          </c:cat>
          <c:val>
            <c:numRef>
              <c:f>Sheet1!$B$2:$B$3</c:f>
              <c:numCache>
                <c:formatCode>General</c:formatCode>
                <c:ptCount val="2"/>
                <c:pt idx="0">
                  <c:v>450.31</c:v>
                </c:pt>
                <c:pt idx="1">
                  <c:v>472.28</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2021年财政拨款收、支总计</c:v>
                </c:pt>
                <c:pt idx="1">
                  <c:v>2022年财政拨款收、支总计</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46"/>
        <c:overlap val="-28"/>
        <c:axId val="649160180"/>
        <c:axId val="38442952"/>
      </c:barChart>
      <c:catAx>
        <c:axId val="649160180"/>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442952"/>
        <c:crosses val="autoZero"/>
        <c:auto val="1"/>
        <c:lblAlgn val="ctr"/>
        <c:lblOffset val="100"/>
        <c:noMultiLvlLbl val="0"/>
      </c:catAx>
      <c:valAx>
        <c:axId val="38442952"/>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91601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14399613433196"/>
          <c:y val="0.144248704663212"/>
          <c:w val="0.908359507127325"/>
          <c:h val="0.770031088082902"/>
        </c:manualLayout>
      </c:layout>
      <c:barChart>
        <c:barDir val="col"/>
        <c:grouping val="clustered"/>
        <c:varyColors val="0"/>
        <c:ser>
          <c:idx val="0"/>
          <c:order val="0"/>
          <c:tx>
            <c:strRef>
              <c:f>Sheet1!#REF!</c:f>
              <c:strCache>
                <c:ptCount val="1"/>
                <c:pt idx="0">
                  <c:v/>
                </c:pt>
              </c:strCache>
            </c:strRef>
          </c:tx>
          <c:spPr>
            <a:solidFill>
              <a:schemeClr val="accent1"/>
            </a:solidFill>
            <a:ln>
              <a:noFill/>
            </a:ln>
            <a:effectLst/>
          </c:spPr>
          <c:invertIfNegative val="0"/>
          <c:dLbls>
            <c:delete val="1"/>
          </c:dLbls>
          <c:cat>
            <c:strRef>
              <c:f>Sheet1!$A$2:$A$3</c:f>
              <c:strCache>
                <c:ptCount val="2"/>
                <c:pt idx="0">
                  <c:v>2021年一般公共预算财政拨款支出</c:v>
                </c:pt>
                <c:pt idx="1">
                  <c:v>2022年一般公共预算财政拨款支出</c:v>
                </c:pt>
              </c:strCache>
            </c:strRef>
          </c:cat>
          <c:val>
            <c:numRef>
              <c:f>Sheet1!#REF!</c:f>
              <c:numCache>
                <c:formatCode>General</c:formatCode>
                <c:ptCount val="1"/>
                <c:pt idx="0">
                  <c:v>1</c:v>
                </c:pt>
              </c:numCache>
            </c:numRef>
          </c:val>
        </c:ser>
        <c:ser>
          <c:idx val="1"/>
          <c:order val="1"/>
          <c:tx>
            <c:strRef>
              <c:f>Sheet1!$B$1</c:f>
              <c:strCache>
                <c:ptCount val="1"/>
                <c:pt idx="0">
                  <c:v>系列 2</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c:v>
                </c:pt>
                <c:pt idx="1">
                  <c:v>2022年一般公共预算财政拨款支出</c:v>
                </c:pt>
              </c:strCache>
            </c:strRef>
          </c:cat>
          <c:val>
            <c:numRef>
              <c:f>Sheet1!$B$2:$B$3</c:f>
              <c:numCache>
                <c:formatCode>General</c:formatCode>
                <c:ptCount val="2"/>
                <c:pt idx="0">
                  <c:v>416.14</c:v>
                </c:pt>
                <c:pt idx="1">
                  <c:v>463.7</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2021年一般公共预算财政拨款支出</c:v>
                </c:pt>
                <c:pt idx="1">
                  <c:v>2022年一般公共预算财政拨款支出</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36053618"/>
        <c:axId val="383993595"/>
      </c:barChart>
      <c:catAx>
        <c:axId val="360536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3993595"/>
        <c:crosses val="autoZero"/>
        <c:auto val="1"/>
        <c:lblAlgn val="ctr"/>
        <c:lblOffset val="100"/>
        <c:noMultiLvlLbl val="0"/>
      </c:catAx>
      <c:valAx>
        <c:axId val="383993595"/>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05361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2022年“三公”经费财政拨款支出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0.08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Administrator</cp:lastModifiedBy>
  <cp:lastPrinted>2023-07-31T18:35:00Z</cp:lastPrinted>
  <dcterms:modified xsi:type="dcterms:W3CDTF">2023-10-16T06:53:53Z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