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p>
      <w:pPr>
        <w:widowControl/>
        <w:shd w:val="clear" w:color="auto"/>
        <w:spacing w:line="580" w:lineRule="atLeast"/>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p>
      <w:pPr>
        <w:widowControl/>
        <w:shd w:val="clear" w:color="auto"/>
        <w:spacing w:line="580" w:lineRule="atLeast"/>
        <w:jc w:val="center"/>
        <w:outlineLvl w:val="0"/>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Toc29901"/>
      <w:bookmarkStart w:id="1" w:name="_Toc5910"/>
      <w:bookmarkStart w:id="2" w:name="_Toc3107"/>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广元市市级财政国库支付中心</w:t>
      </w:r>
      <w:bookmarkEnd w:id="0"/>
      <w:bookmarkEnd w:id="1"/>
      <w:bookmarkEnd w:id="2"/>
    </w:p>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sectPr>
          <w:footerReference r:id="rId3" w:type="default"/>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2024年部门预算编制说明</w:t>
      </w:r>
    </w:p>
    <w:sdt>
      <w:sdtPr>
        <w:rPr>
          <w:rFonts w:ascii="宋体" w:hAnsi="宋体" w:eastAsia="宋体" w:cs="Times New Roman"/>
          <w:kern w:val="2"/>
          <w:sz w:val="21"/>
          <w:szCs w:val="24"/>
          <w:lang w:val="en-US" w:eastAsia="zh-CN" w:bidi="ar-SA"/>
        </w:rPr>
        <w:id w:val="147472448"/>
        <w15:color w:val="DBDBDB"/>
        <w:docPartObj>
          <w:docPartGallery w:val="Table of Contents"/>
          <w:docPartUnique/>
        </w:docPartObj>
      </w:sdtPr>
      <w:sdtEndPr>
        <w:rPr>
          <w:rFonts w:hint="eastAsia" w:ascii="黑体" w:hAnsi="黑体" w:eastAsia="黑体" w:cs="黑体"/>
          <w:b/>
          <w:kern w:val="2"/>
          <w:sz w:val="21"/>
          <w:szCs w:val="32"/>
          <w:lang w:val="en-US" w:eastAsia="zh-CN" w:bidi="ar-SA"/>
        </w:rPr>
      </w:sdtEndPr>
      <w:sdtContent>
        <w:p>
          <w:pPr>
            <w:spacing w:before="0" w:beforeLines="0" w:after="0" w:afterLines="0" w:line="360" w:lineRule="auto"/>
            <w:ind w:left="0" w:leftChars="0" w:right="0" w:rightChars="0" w:firstLine="0" w:firstLineChars="0"/>
            <w:jc w:val="center"/>
          </w:pPr>
          <w:bookmarkStart w:id="3" w:name="_Toc4336"/>
          <w:bookmarkStart w:id="4" w:name="_Toc1994"/>
          <w:r>
            <w:rPr>
              <w:rFonts w:ascii="宋体" w:hAnsi="宋体" w:eastAsia="宋体"/>
              <w:sz w:val="21"/>
            </w:rPr>
            <w:t>目录</w:t>
          </w:r>
        </w:p>
        <w:p>
          <w:pPr>
            <w:pStyle w:val="16"/>
            <w:tabs>
              <w:tab w:val="right" w:leader="dot" w:pos="8845"/>
            </w:tabs>
            <w:spacing w:line="360" w:lineRule="auto"/>
            <w:rPr>
              <w:b/>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TOC \o "1-2" \h \u </w:instrText>
          </w:r>
          <w:r>
            <w:rPr>
              <w:rFonts w:hint="eastAsia" w:ascii="黑体" w:hAnsi="黑体" w:eastAsia="黑体" w:cs="黑体"/>
              <w:sz w:val="32"/>
              <w:szCs w:val="32"/>
            </w:rPr>
            <w:fldChar w:fldCharType="separate"/>
          </w: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_Toc7989 </w:instrText>
          </w:r>
          <w:r>
            <w:rPr>
              <w:rFonts w:hint="eastAsia" w:ascii="黑体" w:hAnsi="黑体" w:eastAsia="黑体" w:cs="黑体"/>
              <w:b/>
              <w:szCs w:val="32"/>
            </w:rPr>
            <w:fldChar w:fldCharType="separate"/>
          </w:r>
          <w:r>
            <w:rPr>
              <w:rFonts w:hint="eastAsia"/>
              <w:b/>
            </w:rPr>
            <w:t>一、基本职能及主要工作</w:t>
          </w:r>
          <w:r>
            <w:rPr>
              <w:b/>
            </w:rPr>
            <w:tab/>
          </w:r>
          <w:r>
            <w:rPr>
              <w:b/>
            </w:rPr>
            <w:fldChar w:fldCharType="begin"/>
          </w:r>
          <w:r>
            <w:rPr>
              <w:b/>
            </w:rPr>
            <w:instrText xml:space="preserve"> PAGEREF _Toc7989 \h </w:instrText>
          </w:r>
          <w:r>
            <w:rPr>
              <w:b/>
            </w:rPr>
            <w:fldChar w:fldCharType="separate"/>
          </w:r>
          <w:r>
            <w:rPr>
              <w:b/>
            </w:rPr>
            <w:t>3</w:t>
          </w:r>
          <w:r>
            <w:rPr>
              <w:b/>
            </w:rPr>
            <w:fldChar w:fldCharType="end"/>
          </w:r>
          <w:r>
            <w:rPr>
              <w:rFonts w:hint="eastAsia" w:ascii="黑体" w:hAnsi="黑体" w:eastAsia="黑体" w:cs="黑体"/>
              <w:b/>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_Toc31109 </w:instrText>
          </w:r>
          <w:r>
            <w:rPr>
              <w:rFonts w:hint="eastAsia" w:ascii="黑体" w:hAnsi="黑体" w:eastAsia="黑体" w:cs="黑体"/>
              <w:szCs w:val="32"/>
            </w:rPr>
            <w:fldChar w:fldCharType="separate"/>
          </w:r>
          <w:r>
            <w:rPr>
              <w:rFonts w:hint="eastAsia"/>
            </w:rPr>
            <w:t>（一）广元市市级财政国库支付中心职能简介</w:t>
          </w:r>
          <w:r>
            <w:tab/>
          </w:r>
          <w:r>
            <w:fldChar w:fldCharType="begin"/>
          </w:r>
          <w:r>
            <w:instrText xml:space="preserve"> PAGEREF _Toc31109 \h </w:instrText>
          </w:r>
          <w:r>
            <w:fldChar w:fldCharType="separate"/>
          </w:r>
          <w:r>
            <w:t>3</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_Toc17520 </w:instrText>
          </w:r>
          <w:r>
            <w:rPr>
              <w:rFonts w:hint="eastAsia" w:ascii="黑体" w:hAnsi="黑体" w:eastAsia="黑体" w:cs="黑体"/>
              <w:szCs w:val="32"/>
            </w:rPr>
            <w:fldChar w:fldCharType="separate"/>
          </w:r>
          <w:r>
            <w:rPr>
              <w:rFonts w:hint="eastAsia"/>
            </w:rPr>
            <w:t>（二） 广元市市级财政国库支付中心2024年重点工作</w:t>
          </w:r>
          <w:r>
            <w:tab/>
          </w:r>
          <w:r>
            <w:fldChar w:fldCharType="begin"/>
          </w:r>
          <w:r>
            <w:instrText xml:space="preserve"> PAGEREF _Toc17520 \h </w:instrText>
          </w:r>
          <w:r>
            <w:fldChar w:fldCharType="separate"/>
          </w:r>
          <w:r>
            <w:t>3</w:t>
          </w:r>
          <w:r>
            <w:fldChar w:fldCharType="end"/>
          </w:r>
          <w:r>
            <w:rPr>
              <w:rFonts w:hint="eastAsia" w:ascii="黑体" w:hAnsi="黑体" w:eastAsia="黑体" w:cs="黑体"/>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_Toc25292 </w:instrText>
          </w:r>
          <w:r>
            <w:rPr>
              <w:rFonts w:hint="eastAsia" w:ascii="黑体" w:hAnsi="黑体" w:eastAsia="黑体" w:cs="黑体"/>
              <w:b/>
              <w:szCs w:val="32"/>
            </w:rPr>
            <w:fldChar w:fldCharType="separate"/>
          </w:r>
          <w:r>
            <w:rPr>
              <w:rFonts w:hint="eastAsia"/>
              <w:b/>
            </w:rPr>
            <w:t>二、部门预算单位构成</w:t>
          </w:r>
          <w:r>
            <w:rPr>
              <w:b/>
            </w:rPr>
            <w:tab/>
          </w:r>
          <w:r>
            <w:rPr>
              <w:b/>
            </w:rPr>
            <w:fldChar w:fldCharType="begin"/>
          </w:r>
          <w:r>
            <w:rPr>
              <w:b/>
            </w:rPr>
            <w:instrText xml:space="preserve"> PAGEREF _Toc25292 \h </w:instrText>
          </w:r>
          <w:r>
            <w:rPr>
              <w:b/>
            </w:rPr>
            <w:fldChar w:fldCharType="separate"/>
          </w:r>
          <w:r>
            <w:rPr>
              <w:b/>
            </w:rPr>
            <w:t>4</w:t>
          </w:r>
          <w:r>
            <w:rPr>
              <w:b/>
            </w:rPr>
            <w:fldChar w:fldCharType="end"/>
          </w:r>
          <w:r>
            <w:rPr>
              <w:rFonts w:hint="eastAsia" w:ascii="黑体" w:hAnsi="黑体" w:eastAsia="黑体" w:cs="黑体"/>
              <w:b/>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_Toc9295 </w:instrText>
          </w:r>
          <w:r>
            <w:rPr>
              <w:rFonts w:hint="eastAsia" w:ascii="黑体" w:hAnsi="黑体" w:eastAsia="黑体" w:cs="黑体"/>
              <w:b/>
              <w:szCs w:val="32"/>
            </w:rPr>
            <w:fldChar w:fldCharType="separate"/>
          </w:r>
          <w:r>
            <w:rPr>
              <w:rFonts w:hint="eastAsia"/>
              <w:b/>
            </w:rPr>
            <w:t>三、收支预算情况说明</w:t>
          </w:r>
          <w:r>
            <w:rPr>
              <w:b/>
            </w:rPr>
            <w:tab/>
          </w:r>
          <w:r>
            <w:rPr>
              <w:b/>
            </w:rPr>
            <w:fldChar w:fldCharType="begin"/>
          </w:r>
          <w:r>
            <w:rPr>
              <w:b/>
            </w:rPr>
            <w:instrText xml:space="preserve"> PAGEREF _Toc9295 \h </w:instrText>
          </w:r>
          <w:r>
            <w:rPr>
              <w:b/>
            </w:rPr>
            <w:fldChar w:fldCharType="separate"/>
          </w:r>
          <w:r>
            <w:rPr>
              <w:b/>
            </w:rPr>
            <w:t>4</w:t>
          </w:r>
          <w:r>
            <w:rPr>
              <w:b/>
            </w:rPr>
            <w:fldChar w:fldCharType="end"/>
          </w:r>
          <w:r>
            <w:rPr>
              <w:rFonts w:hint="eastAsia" w:ascii="黑体" w:hAnsi="黑体" w:eastAsia="黑体" w:cs="黑体"/>
              <w:b/>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_Toc31792 </w:instrText>
          </w:r>
          <w:r>
            <w:rPr>
              <w:rFonts w:hint="eastAsia" w:ascii="黑体" w:hAnsi="黑体" w:eastAsia="黑体" w:cs="黑体"/>
              <w:szCs w:val="32"/>
            </w:rPr>
            <w:fldChar w:fldCharType="separate"/>
          </w:r>
          <w:r>
            <w:rPr>
              <w:rFonts w:hint="eastAsia"/>
            </w:rPr>
            <w:t>（一）收入预算情况</w:t>
          </w:r>
          <w:r>
            <w:tab/>
          </w:r>
          <w:r>
            <w:fldChar w:fldCharType="begin"/>
          </w:r>
          <w:r>
            <w:instrText xml:space="preserve"> PAGEREF _Toc31792 \h </w:instrText>
          </w:r>
          <w:r>
            <w:fldChar w:fldCharType="separate"/>
          </w:r>
          <w:r>
            <w:t>4</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_Toc2235 </w:instrText>
          </w:r>
          <w:r>
            <w:rPr>
              <w:rFonts w:hint="eastAsia" w:ascii="黑体" w:hAnsi="黑体" w:eastAsia="黑体" w:cs="黑体"/>
              <w:szCs w:val="32"/>
            </w:rPr>
            <w:fldChar w:fldCharType="separate"/>
          </w:r>
          <w:r>
            <w:rPr>
              <w:rFonts w:hint="eastAsia"/>
            </w:rPr>
            <w:t>（二）支出预算情况</w:t>
          </w:r>
          <w:r>
            <w:tab/>
          </w:r>
          <w:r>
            <w:fldChar w:fldCharType="begin"/>
          </w:r>
          <w:r>
            <w:instrText xml:space="preserve"> PAGEREF _Toc2235 \h </w:instrText>
          </w:r>
          <w:r>
            <w:fldChar w:fldCharType="separate"/>
          </w:r>
          <w:r>
            <w:t>4</w:t>
          </w:r>
          <w:r>
            <w:fldChar w:fldCharType="end"/>
          </w:r>
          <w:r>
            <w:rPr>
              <w:rFonts w:hint="eastAsia" w:ascii="黑体" w:hAnsi="黑体" w:eastAsia="黑体" w:cs="黑体"/>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_Toc10820 </w:instrText>
          </w:r>
          <w:r>
            <w:rPr>
              <w:rFonts w:hint="eastAsia" w:ascii="黑体" w:hAnsi="黑体" w:eastAsia="黑体" w:cs="黑体"/>
              <w:b/>
              <w:szCs w:val="32"/>
            </w:rPr>
            <w:fldChar w:fldCharType="separate"/>
          </w:r>
          <w:r>
            <w:rPr>
              <w:rFonts w:hint="eastAsia"/>
              <w:b/>
            </w:rPr>
            <w:t>四、财政拨款收支预算情况说明</w:t>
          </w:r>
          <w:r>
            <w:rPr>
              <w:b/>
            </w:rPr>
            <w:tab/>
          </w:r>
          <w:r>
            <w:rPr>
              <w:b/>
            </w:rPr>
            <w:fldChar w:fldCharType="begin"/>
          </w:r>
          <w:r>
            <w:rPr>
              <w:b/>
            </w:rPr>
            <w:instrText xml:space="preserve"> PAGEREF _Toc10820 \h </w:instrText>
          </w:r>
          <w:r>
            <w:rPr>
              <w:b/>
            </w:rPr>
            <w:fldChar w:fldCharType="separate"/>
          </w:r>
          <w:r>
            <w:rPr>
              <w:b/>
            </w:rPr>
            <w:t>5</w:t>
          </w:r>
          <w:r>
            <w:rPr>
              <w:b/>
            </w:rPr>
            <w:fldChar w:fldCharType="end"/>
          </w:r>
          <w:r>
            <w:rPr>
              <w:rFonts w:hint="eastAsia" w:ascii="黑体" w:hAnsi="黑体" w:eastAsia="黑体" w:cs="黑体"/>
              <w:b/>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_Toc9502 </w:instrText>
          </w:r>
          <w:r>
            <w:rPr>
              <w:rFonts w:hint="eastAsia" w:ascii="黑体" w:hAnsi="黑体" w:eastAsia="黑体" w:cs="黑体"/>
              <w:b/>
              <w:szCs w:val="32"/>
            </w:rPr>
            <w:fldChar w:fldCharType="separate"/>
          </w:r>
          <w:r>
            <w:rPr>
              <w:rFonts w:hint="eastAsia"/>
              <w:b/>
            </w:rPr>
            <w:t>五、一般公共预算当年拨款情况说明</w:t>
          </w:r>
          <w:r>
            <w:rPr>
              <w:b/>
            </w:rPr>
            <w:tab/>
          </w:r>
          <w:r>
            <w:rPr>
              <w:b/>
            </w:rPr>
            <w:fldChar w:fldCharType="begin"/>
          </w:r>
          <w:r>
            <w:rPr>
              <w:b/>
            </w:rPr>
            <w:instrText xml:space="preserve"> PAGEREF _Toc9502 \h </w:instrText>
          </w:r>
          <w:r>
            <w:rPr>
              <w:b/>
            </w:rPr>
            <w:fldChar w:fldCharType="separate"/>
          </w:r>
          <w:r>
            <w:rPr>
              <w:b/>
            </w:rPr>
            <w:t>5</w:t>
          </w:r>
          <w:r>
            <w:rPr>
              <w:b/>
            </w:rPr>
            <w:fldChar w:fldCharType="end"/>
          </w:r>
          <w:r>
            <w:rPr>
              <w:rFonts w:hint="eastAsia" w:ascii="黑体" w:hAnsi="黑体" w:eastAsia="黑体" w:cs="黑体"/>
              <w:b/>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_Toc14172 </w:instrText>
          </w:r>
          <w:r>
            <w:rPr>
              <w:rFonts w:hint="eastAsia" w:ascii="黑体" w:hAnsi="黑体" w:eastAsia="黑体" w:cs="黑体"/>
              <w:szCs w:val="32"/>
            </w:rPr>
            <w:fldChar w:fldCharType="separate"/>
          </w:r>
          <w:r>
            <w:rPr>
              <w:rFonts w:hint="eastAsia"/>
            </w:rPr>
            <w:t>（一）一般公共预算当年拨款规模变化情况</w:t>
          </w:r>
          <w:r>
            <w:tab/>
          </w:r>
          <w:r>
            <w:fldChar w:fldCharType="begin"/>
          </w:r>
          <w:r>
            <w:instrText xml:space="preserve"> PAGEREF _Toc14172 \h </w:instrText>
          </w:r>
          <w:r>
            <w:fldChar w:fldCharType="separate"/>
          </w:r>
          <w:r>
            <w:t>5</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_Toc21678 </w:instrText>
          </w:r>
          <w:r>
            <w:rPr>
              <w:rFonts w:hint="eastAsia" w:ascii="黑体" w:hAnsi="黑体" w:eastAsia="黑体" w:cs="黑体"/>
              <w:szCs w:val="32"/>
            </w:rPr>
            <w:fldChar w:fldCharType="separate"/>
          </w:r>
          <w:r>
            <w:rPr>
              <w:rFonts w:hint="eastAsia"/>
            </w:rPr>
            <w:t>（二）一般公共预算当年拨款结构情况</w:t>
          </w:r>
          <w:r>
            <w:tab/>
          </w:r>
          <w:r>
            <w:fldChar w:fldCharType="begin"/>
          </w:r>
          <w:r>
            <w:instrText xml:space="preserve"> PAGEREF _Toc21678 \h </w:instrText>
          </w:r>
          <w:r>
            <w:fldChar w:fldCharType="separate"/>
          </w:r>
          <w:r>
            <w:t>5</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_Toc11080 </w:instrText>
          </w:r>
          <w:r>
            <w:rPr>
              <w:rFonts w:hint="eastAsia" w:ascii="黑体" w:hAnsi="黑体" w:eastAsia="黑体" w:cs="黑体"/>
              <w:szCs w:val="32"/>
            </w:rPr>
            <w:fldChar w:fldCharType="separate"/>
          </w:r>
          <w:r>
            <w:rPr>
              <w:rFonts w:hint="eastAsia"/>
            </w:rPr>
            <w:t>（三） 一般公共预算当年拨款具体使用情况</w:t>
          </w:r>
          <w:r>
            <w:tab/>
          </w:r>
          <w:r>
            <w:fldChar w:fldCharType="begin"/>
          </w:r>
          <w:r>
            <w:instrText xml:space="preserve"> PAGEREF _Toc11080 \h </w:instrText>
          </w:r>
          <w:r>
            <w:fldChar w:fldCharType="separate"/>
          </w:r>
          <w:r>
            <w:t>5</w:t>
          </w:r>
          <w:r>
            <w:fldChar w:fldCharType="end"/>
          </w:r>
          <w:r>
            <w:rPr>
              <w:rFonts w:hint="eastAsia" w:ascii="黑体" w:hAnsi="黑体" w:eastAsia="黑体" w:cs="黑体"/>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_Toc23483 </w:instrText>
          </w:r>
          <w:r>
            <w:rPr>
              <w:rFonts w:hint="eastAsia" w:ascii="黑体" w:hAnsi="黑体" w:eastAsia="黑体" w:cs="黑体"/>
              <w:b/>
              <w:szCs w:val="32"/>
            </w:rPr>
            <w:fldChar w:fldCharType="separate"/>
          </w:r>
          <w:r>
            <w:rPr>
              <w:rFonts w:hint="eastAsia"/>
              <w:b/>
            </w:rPr>
            <w:t>六、一般公共预算基本支出情况说明</w:t>
          </w:r>
          <w:r>
            <w:rPr>
              <w:b/>
            </w:rPr>
            <w:tab/>
          </w:r>
          <w:r>
            <w:rPr>
              <w:b/>
            </w:rPr>
            <w:fldChar w:fldCharType="begin"/>
          </w:r>
          <w:r>
            <w:rPr>
              <w:b/>
            </w:rPr>
            <w:instrText xml:space="preserve"> PAGEREF _Toc23483 \h </w:instrText>
          </w:r>
          <w:r>
            <w:rPr>
              <w:b/>
            </w:rPr>
            <w:fldChar w:fldCharType="separate"/>
          </w:r>
          <w:r>
            <w:rPr>
              <w:b/>
            </w:rPr>
            <w:t>6</w:t>
          </w:r>
          <w:r>
            <w:rPr>
              <w:b/>
            </w:rPr>
            <w:fldChar w:fldCharType="end"/>
          </w:r>
          <w:r>
            <w:rPr>
              <w:rFonts w:hint="eastAsia" w:ascii="黑体" w:hAnsi="黑体" w:eastAsia="黑体" w:cs="黑体"/>
              <w:b/>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_Toc11725 </w:instrText>
          </w:r>
          <w:r>
            <w:rPr>
              <w:rFonts w:hint="eastAsia" w:ascii="黑体" w:hAnsi="黑体" w:eastAsia="黑体" w:cs="黑体"/>
              <w:b/>
              <w:szCs w:val="32"/>
            </w:rPr>
            <w:fldChar w:fldCharType="separate"/>
          </w:r>
          <w:r>
            <w:rPr>
              <w:rFonts w:hint="eastAsia"/>
              <w:b/>
            </w:rPr>
            <w:t>七、“三公”经费财政拨款预算安排情况说明</w:t>
          </w:r>
          <w:r>
            <w:rPr>
              <w:b/>
            </w:rPr>
            <w:tab/>
          </w:r>
          <w:r>
            <w:rPr>
              <w:b/>
            </w:rPr>
            <w:fldChar w:fldCharType="begin"/>
          </w:r>
          <w:r>
            <w:rPr>
              <w:b/>
            </w:rPr>
            <w:instrText xml:space="preserve"> PAGEREF _Toc11725 \h </w:instrText>
          </w:r>
          <w:r>
            <w:rPr>
              <w:b/>
            </w:rPr>
            <w:fldChar w:fldCharType="separate"/>
          </w:r>
          <w:r>
            <w:rPr>
              <w:b/>
            </w:rPr>
            <w:t>7</w:t>
          </w:r>
          <w:r>
            <w:rPr>
              <w:b/>
            </w:rPr>
            <w:fldChar w:fldCharType="end"/>
          </w:r>
          <w:r>
            <w:rPr>
              <w:rFonts w:hint="eastAsia" w:ascii="黑体" w:hAnsi="黑体" w:eastAsia="黑体" w:cs="黑体"/>
              <w:b/>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_Toc19658 </w:instrText>
          </w:r>
          <w:r>
            <w:rPr>
              <w:rFonts w:hint="eastAsia" w:ascii="黑体" w:hAnsi="黑体" w:eastAsia="黑体" w:cs="黑体"/>
              <w:szCs w:val="32"/>
            </w:rPr>
            <w:fldChar w:fldCharType="separate"/>
          </w:r>
          <w:r>
            <w:rPr>
              <w:rFonts w:hint="eastAsia"/>
            </w:rPr>
            <w:t>（一）公务接待费</w:t>
          </w:r>
          <w:r>
            <w:tab/>
          </w:r>
          <w:r>
            <w:fldChar w:fldCharType="begin"/>
          </w:r>
          <w:r>
            <w:instrText xml:space="preserve"> PAGEREF _Toc19658 \h </w:instrText>
          </w:r>
          <w:r>
            <w:fldChar w:fldCharType="separate"/>
          </w:r>
          <w:r>
            <w:t>7</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_Toc12773 </w:instrText>
          </w:r>
          <w:r>
            <w:rPr>
              <w:rFonts w:hint="eastAsia" w:ascii="黑体" w:hAnsi="黑体" w:eastAsia="黑体" w:cs="黑体"/>
              <w:szCs w:val="32"/>
            </w:rPr>
            <w:fldChar w:fldCharType="separate"/>
          </w:r>
          <w:r>
            <w:rPr>
              <w:rFonts w:hint="eastAsia"/>
            </w:rPr>
            <w:t>（二） 公务用车购置及运行维护费</w:t>
          </w:r>
          <w:r>
            <w:tab/>
          </w:r>
          <w:r>
            <w:fldChar w:fldCharType="begin"/>
          </w:r>
          <w:r>
            <w:instrText xml:space="preserve"> PAGEREF _Toc12773 \h </w:instrText>
          </w:r>
          <w:r>
            <w:fldChar w:fldCharType="separate"/>
          </w:r>
          <w:r>
            <w:t>7</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_Toc30542 </w:instrText>
          </w:r>
          <w:r>
            <w:rPr>
              <w:rFonts w:hint="eastAsia" w:ascii="黑体" w:hAnsi="黑体" w:eastAsia="黑体" w:cs="黑体"/>
              <w:szCs w:val="32"/>
            </w:rP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_Toc30542 \h </w:instrText>
          </w:r>
          <w:r>
            <w:fldChar w:fldCharType="separate"/>
          </w:r>
          <w:r>
            <w:t>7</w:t>
          </w:r>
          <w:r>
            <w:fldChar w:fldCharType="end"/>
          </w:r>
          <w:r>
            <w:rPr>
              <w:rFonts w:hint="eastAsia" w:ascii="黑体" w:hAnsi="黑体" w:eastAsia="黑体" w:cs="黑体"/>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_Toc22548 </w:instrText>
          </w:r>
          <w:r>
            <w:rPr>
              <w:rFonts w:hint="eastAsia" w:ascii="黑体" w:hAnsi="黑体" w:eastAsia="黑体" w:cs="黑体"/>
              <w:b/>
              <w:szCs w:val="32"/>
            </w:rPr>
            <w:fldChar w:fldCharType="separate"/>
          </w:r>
          <w:r>
            <w:rPr>
              <w:rFonts w:hint="eastAsia"/>
              <w:b/>
            </w:rPr>
            <w:t>八、政府性基金预算支出情况说明</w:t>
          </w:r>
          <w:r>
            <w:rPr>
              <w:b/>
            </w:rPr>
            <w:tab/>
          </w:r>
          <w:r>
            <w:rPr>
              <w:b/>
            </w:rPr>
            <w:fldChar w:fldCharType="begin"/>
          </w:r>
          <w:r>
            <w:rPr>
              <w:b/>
            </w:rPr>
            <w:instrText xml:space="preserve"> PAGEREF _Toc22548 \h </w:instrText>
          </w:r>
          <w:r>
            <w:rPr>
              <w:b/>
            </w:rPr>
            <w:fldChar w:fldCharType="separate"/>
          </w:r>
          <w:r>
            <w:rPr>
              <w:b/>
            </w:rPr>
            <w:t>7</w:t>
          </w:r>
          <w:r>
            <w:rPr>
              <w:b/>
            </w:rPr>
            <w:fldChar w:fldCharType="end"/>
          </w:r>
          <w:r>
            <w:rPr>
              <w:rFonts w:hint="eastAsia" w:ascii="黑体" w:hAnsi="黑体" w:eastAsia="黑体" w:cs="黑体"/>
              <w:b/>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_Toc13612 </w:instrText>
          </w:r>
          <w:r>
            <w:rPr>
              <w:rFonts w:hint="eastAsia" w:ascii="黑体" w:hAnsi="黑体" w:eastAsia="黑体" w:cs="黑体"/>
              <w:b/>
              <w:szCs w:val="32"/>
            </w:rPr>
            <w:fldChar w:fldCharType="separate"/>
          </w:r>
          <w:r>
            <w:rPr>
              <w:rFonts w:hint="eastAsia"/>
              <w:b/>
            </w:rPr>
            <w:t>九、国有资本经营预算支出情况说明</w:t>
          </w:r>
          <w:r>
            <w:rPr>
              <w:b/>
            </w:rPr>
            <w:tab/>
          </w:r>
          <w:r>
            <w:rPr>
              <w:b/>
            </w:rPr>
            <w:fldChar w:fldCharType="begin"/>
          </w:r>
          <w:r>
            <w:rPr>
              <w:b/>
            </w:rPr>
            <w:instrText xml:space="preserve"> PAGEREF _Toc13612 \h </w:instrText>
          </w:r>
          <w:r>
            <w:rPr>
              <w:b/>
            </w:rPr>
            <w:fldChar w:fldCharType="separate"/>
          </w:r>
          <w:r>
            <w:rPr>
              <w:b/>
            </w:rPr>
            <w:t>7</w:t>
          </w:r>
          <w:r>
            <w:rPr>
              <w:b/>
            </w:rPr>
            <w:fldChar w:fldCharType="end"/>
          </w:r>
          <w:r>
            <w:rPr>
              <w:rFonts w:hint="eastAsia" w:ascii="黑体" w:hAnsi="黑体" w:eastAsia="黑体" w:cs="黑体"/>
              <w:b/>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_Toc10325 </w:instrText>
          </w:r>
          <w:r>
            <w:rPr>
              <w:rFonts w:hint="eastAsia" w:ascii="黑体" w:hAnsi="黑体" w:eastAsia="黑体" w:cs="黑体"/>
              <w:b/>
              <w:szCs w:val="32"/>
            </w:rPr>
            <w:fldChar w:fldCharType="separate"/>
          </w:r>
          <w:r>
            <w:rPr>
              <w:rFonts w:hint="eastAsia"/>
              <w:b/>
            </w:rPr>
            <w:t>十、其他重要事项的情况说明</w:t>
          </w:r>
          <w:r>
            <w:rPr>
              <w:b/>
            </w:rPr>
            <w:tab/>
          </w:r>
          <w:r>
            <w:rPr>
              <w:b/>
            </w:rPr>
            <w:fldChar w:fldCharType="begin"/>
          </w:r>
          <w:r>
            <w:rPr>
              <w:b/>
            </w:rPr>
            <w:instrText xml:space="preserve"> PAGEREF _Toc10325 \h </w:instrText>
          </w:r>
          <w:r>
            <w:rPr>
              <w:b/>
            </w:rPr>
            <w:fldChar w:fldCharType="separate"/>
          </w:r>
          <w:r>
            <w:rPr>
              <w:b/>
            </w:rPr>
            <w:t>8</w:t>
          </w:r>
          <w:r>
            <w:rPr>
              <w:b/>
            </w:rPr>
            <w:fldChar w:fldCharType="end"/>
          </w:r>
          <w:r>
            <w:rPr>
              <w:rFonts w:hint="eastAsia" w:ascii="黑体" w:hAnsi="黑体" w:eastAsia="黑体" w:cs="黑体"/>
              <w:b/>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_Toc21881 </w:instrText>
          </w:r>
          <w:r>
            <w:rPr>
              <w:rFonts w:hint="eastAsia" w:ascii="黑体" w:hAnsi="黑体" w:eastAsia="黑体" w:cs="黑体"/>
              <w:szCs w:val="32"/>
            </w:rPr>
            <w:fldChar w:fldCharType="separate"/>
          </w:r>
          <w:r>
            <w:rPr>
              <w:rFonts w:hint="eastAsia"/>
            </w:rPr>
            <w:t>（一）机关运行经费</w:t>
          </w:r>
          <w:r>
            <w:tab/>
          </w:r>
          <w:r>
            <w:fldChar w:fldCharType="begin"/>
          </w:r>
          <w:r>
            <w:instrText xml:space="preserve"> PAGEREF _Toc21881 \h </w:instrText>
          </w:r>
          <w:r>
            <w:fldChar w:fldCharType="separate"/>
          </w:r>
          <w:r>
            <w:t>8</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_Toc2148 </w:instrText>
          </w:r>
          <w:r>
            <w:rPr>
              <w:rFonts w:hint="eastAsia" w:ascii="黑体" w:hAnsi="黑体" w:eastAsia="黑体" w:cs="黑体"/>
              <w:szCs w:val="32"/>
            </w:rPr>
            <w:fldChar w:fldCharType="separate"/>
          </w:r>
          <w:r>
            <w:rPr>
              <w:rFonts w:hint="eastAsia"/>
            </w:rPr>
            <w:t>（二）政府采购情况</w:t>
          </w:r>
          <w:r>
            <w:tab/>
          </w:r>
          <w:r>
            <w:fldChar w:fldCharType="begin"/>
          </w:r>
          <w:r>
            <w:instrText xml:space="preserve"> PAGEREF _Toc2148 \h </w:instrText>
          </w:r>
          <w:r>
            <w:fldChar w:fldCharType="separate"/>
          </w:r>
          <w:r>
            <w:t>8</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_Toc5648 </w:instrText>
          </w:r>
          <w:r>
            <w:rPr>
              <w:rFonts w:hint="eastAsia" w:ascii="黑体" w:hAnsi="黑体" w:eastAsia="黑体" w:cs="黑体"/>
              <w:szCs w:val="32"/>
            </w:rPr>
            <w:fldChar w:fldCharType="separate"/>
          </w:r>
          <w:r>
            <w:rPr>
              <w:rFonts w:hint="eastAsia"/>
            </w:rPr>
            <w:t>（三）国有资产占有使用情况</w:t>
          </w:r>
          <w:r>
            <w:tab/>
          </w:r>
          <w:r>
            <w:fldChar w:fldCharType="begin"/>
          </w:r>
          <w:r>
            <w:instrText xml:space="preserve"> PAGEREF _Toc5648 \h </w:instrText>
          </w:r>
          <w:r>
            <w:fldChar w:fldCharType="separate"/>
          </w:r>
          <w:r>
            <w:t>8</w:t>
          </w:r>
          <w:r>
            <w:fldChar w:fldCharType="end"/>
          </w:r>
          <w:r>
            <w:rPr>
              <w:rFonts w:hint="eastAsia" w:ascii="黑体" w:hAnsi="黑体" w:eastAsia="黑体" w:cs="黑体"/>
              <w:szCs w:val="32"/>
            </w:rPr>
            <w:fldChar w:fldCharType="end"/>
          </w:r>
        </w:p>
        <w:p>
          <w:pPr>
            <w:pStyle w:val="17"/>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_Toc14709 </w:instrText>
          </w:r>
          <w:r>
            <w:rPr>
              <w:rFonts w:hint="eastAsia" w:ascii="黑体" w:hAnsi="黑体" w:eastAsia="黑体" w:cs="黑体"/>
              <w:szCs w:val="32"/>
            </w:rPr>
            <w:fldChar w:fldCharType="separate"/>
          </w:r>
          <w:r>
            <w:rPr>
              <w:rFonts w:hint="eastAsia"/>
            </w:rPr>
            <w:t>（四）绩效目标设置情况</w:t>
          </w:r>
          <w:r>
            <w:tab/>
          </w:r>
          <w:r>
            <w:fldChar w:fldCharType="begin"/>
          </w:r>
          <w:r>
            <w:instrText xml:space="preserve"> PAGEREF _Toc14709 \h </w:instrText>
          </w:r>
          <w:r>
            <w:fldChar w:fldCharType="separate"/>
          </w:r>
          <w:r>
            <w:t>8</w:t>
          </w:r>
          <w:r>
            <w:fldChar w:fldCharType="end"/>
          </w:r>
          <w:r>
            <w:rPr>
              <w:rFonts w:hint="eastAsia" w:ascii="黑体" w:hAnsi="黑体" w:eastAsia="黑体" w:cs="黑体"/>
              <w:szCs w:val="32"/>
            </w:rPr>
            <w:fldChar w:fldCharType="end"/>
          </w:r>
        </w:p>
        <w:p>
          <w:pPr>
            <w:pStyle w:val="16"/>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_Toc27380 </w:instrText>
          </w:r>
          <w:r>
            <w:rPr>
              <w:rFonts w:hint="eastAsia" w:ascii="黑体" w:hAnsi="黑体" w:eastAsia="黑体" w:cs="黑体"/>
              <w:b/>
              <w:szCs w:val="32"/>
            </w:rPr>
            <w:fldChar w:fldCharType="separate"/>
          </w:r>
          <w:r>
            <w:rPr>
              <w:rFonts w:hint="eastAsia"/>
              <w:b/>
            </w:rPr>
            <w:t>十一、名词解释</w:t>
          </w:r>
          <w:r>
            <w:rPr>
              <w:b/>
            </w:rPr>
            <w:tab/>
          </w:r>
          <w:r>
            <w:rPr>
              <w:b/>
            </w:rPr>
            <w:fldChar w:fldCharType="begin"/>
          </w:r>
          <w:r>
            <w:rPr>
              <w:b/>
            </w:rPr>
            <w:instrText xml:space="preserve"> PAGEREF _Toc27380 \h </w:instrText>
          </w:r>
          <w:r>
            <w:rPr>
              <w:b/>
            </w:rPr>
            <w:fldChar w:fldCharType="separate"/>
          </w:r>
          <w:r>
            <w:rPr>
              <w:b/>
            </w:rPr>
            <w:t>8</w:t>
          </w:r>
          <w:r>
            <w:rPr>
              <w:b/>
            </w:rPr>
            <w:fldChar w:fldCharType="end"/>
          </w:r>
          <w:r>
            <w:rPr>
              <w:rFonts w:hint="eastAsia" w:ascii="黑体" w:hAnsi="黑体" w:eastAsia="黑体" w:cs="黑体"/>
              <w:b/>
              <w:szCs w:val="32"/>
            </w:rPr>
            <w:fldChar w:fldCharType="end"/>
          </w:r>
          <w:bookmarkStart w:id="50" w:name="_GoBack"/>
          <w:bookmarkEnd w:id="50"/>
        </w:p>
        <w:p>
          <w:pPr>
            <w:pStyle w:val="2"/>
            <w:spacing w:line="360" w:lineRule="auto"/>
            <w:ind w:left="0" w:leftChars="0" w:firstLine="0" w:firstLineChars="0"/>
            <w:rPr>
              <w:rFonts w:hint="eastAsia" w:ascii="黑体" w:hAnsi="黑体" w:eastAsia="黑体" w:cs="黑体"/>
              <w:sz w:val="32"/>
              <w:szCs w:val="32"/>
            </w:rPr>
          </w:pPr>
          <w:r>
            <w:rPr>
              <w:rFonts w:hint="eastAsia" w:ascii="黑体" w:hAnsi="黑体" w:eastAsia="黑体" w:cs="黑体"/>
              <w:b/>
              <w:szCs w:val="32"/>
            </w:rPr>
            <w:fldChar w:fldCharType="end"/>
          </w:r>
        </w:p>
      </w:sdtContent>
    </w:sdt>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5" w:name="_Toc7989"/>
      <w:r>
        <w:rPr>
          <w:rFonts w:hint="eastAsia"/>
        </w:rPr>
        <w:t>一、基本职能及主要工作</w:t>
      </w:r>
      <w:bookmarkEnd w:id="3"/>
      <w:bookmarkEnd w:id="4"/>
      <w:bookmarkEnd w:id="5"/>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6" w:name="_Toc31109"/>
      <w:r>
        <w:rPr>
          <w:rFonts w:hint="eastAsia"/>
        </w:rPr>
        <w:t>（一）广元市市级财政国库支付中心职能简介</w:t>
      </w:r>
      <w:bookmarkEnd w:id="6"/>
    </w:p>
    <w:p>
      <w:pPr>
        <w:keepNext w:val="0"/>
        <w:keepLines w:val="0"/>
        <w:pageBreakBefore w:val="0"/>
        <w:shd w:val="clear"/>
        <w:kinsoku/>
        <w:wordWrap/>
        <w:overflowPunct/>
        <w:topLinePunct w:val="0"/>
        <w:autoSpaceDE w:val="0"/>
        <w:autoSpaceDN w:val="0"/>
        <w:bidi w:val="0"/>
        <w:adjustRightInd w:val="0"/>
        <w:snapToGrid/>
        <w:spacing w:beforeAutospacing="0" w:afterAutospacing="0" w:line="576" w:lineRule="exact"/>
        <w:ind w:firstLine="640" w:firstLineChars="200"/>
        <w:textAlignment w:val="auto"/>
        <w:rPr>
          <w:rFonts w:ascii="楷体_GB2312" w:hAnsi="楷体_GB2312" w:eastAsia="楷体_GB2312" w:cs="楷体_GB2312"/>
          <w:sz w:val="32"/>
          <w:szCs w:val="32"/>
        </w:rPr>
      </w:pPr>
      <w:r>
        <w:rPr>
          <w:rFonts w:ascii="仿宋_GB2312" w:hAnsi="Times New Roman" w:eastAsia="仿宋_GB2312"/>
          <w:sz w:val="32"/>
          <w:szCs w:val="32"/>
        </w:rPr>
        <w:t>配合财政国库部门管理市级国库单一账户体系，协助财政国库管理部门对市级预算单位进行预算控制</w:t>
      </w:r>
      <w:r>
        <w:rPr>
          <w:rFonts w:hint="eastAsia" w:ascii="仿宋_GB2312" w:eastAsia="仿宋_GB2312"/>
          <w:sz w:val="32"/>
          <w:szCs w:val="32"/>
        </w:rPr>
        <w:t>；汇总代理银行支付情况，按日与人民银行进行资金清算，</w:t>
      </w:r>
      <w:r>
        <w:rPr>
          <w:rFonts w:ascii="仿宋_GB2312" w:hAnsi="Times New Roman" w:eastAsia="仿宋_GB2312"/>
          <w:sz w:val="32"/>
          <w:szCs w:val="32"/>
        </w:rPr>
        <w:t>向市财政局报告财政资金支付情况；</w:t>
      </w:r>
      <w:r>
        <w:rPr>
          <w:rFonts w:hint="eastAsia" w:ascii="仿宋_GB2312" w:eastAsia="仿宋_GB2312"/>
          <w:sz w:val="32"/>
          <w:szCs w:val="32"/>
        </w:rPr>
        <w:t>负责预算一体化支付系统管理，配合财政业务科室实施预算单位支付业务动态监控。</w:t>
      </w:r>
    </w:p>
    <w:p>
      <w:pPr>
        <w:pStyle w:val="4"/>
        <w:keepNext w:val="0"/>
        <w:keepLines w:val="0"/>
        <w:pageBreakBefore w:val="0"/>
        <w:numPr>
          <w:ilvl w:val="0"/>
          <w:numId w:val="1"/>
        </w:numPr>
        <w:kinsoku/>
        <w:wordWrap/>
        <w:overflowPunct/>
        <w:topLinePunct w:val="0"/>
        <w:bidi w:val="0"/>
        <w:snapToGrid/>
        <w:spacing w:before="0" w:beforeAutospacing="0" w:after="0" w:afterAutospacing="0" w:line="576" w:lineRule="exact"/>
        <w:textAlignment w:val="auto"/>
      </w:pPr>
      <w:bookmarkStart w:id="7" w:name="_Toc17520"/>
      <w:r>
        <w:rPr>
          <w:rFonts w:hint="eastAsia"/>
        </w:rPr>
        <w:t>广元市市级财政国库支付中心2024年重点工作</w:t>
      </w:r>
      <w:bookmarkEnd w:id="7"/>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
        </w:rPr>
        <w:t>一是深化</w:t>
      </w:r>
      <w:r>
        <w:rPr>
          <w:rFonts w:hint="eastAsia" w:ascii="仿宋_GB2312" w:hAnsi="仿宋_GB2312" w:eastAsia="仿宋_GB2312" w:cs="仿宋_GB2312"/>
          <w:sz w:val="32"/>
          <w:szCs w:val="32"/>
        </w:rPr>
        <w:t>国库集中支付管理改革。按照预算一体化改革要求和进程，进一步优化集中支付方式、流程，扩大授权支付范围，赋予预算单位更多的资金支付自主权。认真贯彻落实“四下基层”工作制度和工作方法，切实加大调研，认真总结分析国库集中支付电子化改革的经验做法，查找改革中存在的问题，及时补足短板，认真研究制定与改革相适应的国库集中支付标准化体系。</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是深化预算执行动态监控管理。按照省财政厅要求，结合我市财政国库集中支付改革实际，进一步优化预算一体化平台动态监控预警规则、处置流程、风险防控等制度设计，确保预算一体化动态监控模块有效运行，实现精准监控，并做好动态监控改革扩面工作，不断扩大动态监控范围，实现监控全覆盖。</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是持续加强主题学习教育。依托“三会一课”、主题党日，通过交流研讨、宣讲阐释、案例教学、线上培训等方式组织中心党员学习，深刻领悟习近平新时代中国特色社会主义思想的真理力量和实践伟力。结合常态化党史学习教育，运用红色教育资源和党性教育基地开展学习，砥砺理想信念和初心使命。同时注重抓好青年党员、离退休干部职工党员的学习，协助工作队带动帮扶村群众的学习，让党的创新理论“飞入寻常百姓家”。认真学习领会中央、省、市重要会议精神，确保局党组安排的各项学习工作任务落地落细。及时传达局党组会议精神，组织党员、干部立足岗位</w:t>
      </w:r>
      <w:r>
        <w:rPr>
          <w:rFonts w:hint="eastAsia" w:ascii="仿宋_GB2312" w:hAnsi="仿宋_GB2312" w:eastAsia="仿宋_GB2312" w:cs="仿宋_GB2312"/>
          <w:sz w:val="32"/>
          <w:szCs w:val="32"/>
          <w:lang w:eastAsia="zh-CN"/>
        </w:rPr>
        <w:t>做</w:t>
      </w:r>
      <w:r>
        <w:rPr>
          <w:rFonts w:hint="eastAsia" w:ascii="仿宋_GB2312" w:hAnsi="仿宋_GB2312" w:eastAsia="仿宋_GB2312" w:cs="仿宋_GB2312"/>
          <w:sz w:val="32"/>
          <w:szCs w:val="32"/>
        </w:rPr>
        <w:t>贡献，积极履职尽责，勇于担当作为，以每名党员、干部职工工作水平的提升，促进中心工作的高质量发展。</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8" w:name="_Toc21918"/>
      <w:bookmarkStart w:id="9" w:name="_Toc29879"/>
      <w:bookmarkStart w:id="10" w:name="_Toc25292"/>
      <w:r>
        <w:rPr>
          <w:rFonts w:hint="eastAsia"/>
        </w:rPr>
        <w:t>二、部门预算单位构成</w:t>
      </w:r>
      <w:bookmarkEnd w:id="8"/>
      <w:bookmarkEnd w:id="9"/>
      <w:bookmarkEnd w:id="10"/>
    </w:p>
    <w:p>
      <w:pPr>
        <w:pStyle w:val="6"/>
        <w:keepNext w:val="0"/>
        <w:keepLines w:val="0"/>
        <w:pageBreakBefore w:val="0"/>
        <w:shd w:val="clear"/>
        <w:kinsoku/>
        <w:wordWrap/>
        <w:overflowPunct/>
        <w:topLinePunct w:val="0"/>
        <w:bidi w:val="0"/>
        <w:snapToGrid/>
        <w:spacing w:beforeAutospacing="0" w:after="0" w:afterAutospacing="0" w:line="576" w:lineRule="exac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广元市市级财政国库支付中心（以下简称市支付中心）系参照公务员法管理事业单位，部门预算仅包括本级预算。</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11" w:name="_Toc9295"/>
      <w:bookmarkStart w:id="12" w:name="_Toc4803"/>
      <w:bookmarkStart w:id="13" w:name="_Toc19017"/>
      <w:r>
        <w:rPr>
          <w:rFonts w:hint="eastAsia"/>
        </w:rPr>
        <w:t>三、收支预算情况说明</w:t>
      </w:r>
      <w:bookmarkEnd w:id="11"/>
      <w:bookmarkEnd w:id="12"/>
      <w:bookmarkEnd w:id="13"/>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w:t>
      </w:r>
      <w:r>
        <w:rPr>
          <w:rFonts w:hint="eastAsia" w:ascii="仿宋_GB2312" w:hAnsi="仿宋_GB2312" w:eastAsia="仿宋_GB2312" w:cs="仿宋_GB2312"/>
          <w:bCs/>
          <w:sz w:val="32"/>
          <w:szCs w:val="32"/>
        </w:rPr>
        <w:t>市支付中心</w:t>
      </w:r>
      <w:r>
        <w:rPr>
          <w:rFonts w:hint="eastAsia" w:ascii="仿宋_GB2312" w:hAnsi="仿宋_GB2312" w:eastAsia="仿宋_GB2312" w:cs="仿宋_GB2312"/>
          <w:sz w:val="32"/>
          <w:szCs w:val="32"/>
        </w:rPr>
        <w:t>所有收入和支出均纳入部门预算管理。收入包括：一般公共预算拨款收入；支出包括：一般公共服务支出、社会保障和就业支出、卫生健康支出、住房保障支出。</w:t>
      </w:r>
      <w:r>
        <w:rPr>
          <w:rFonts w:hint="eastAsia" w:ascii="仿宋_GB2312" w:hAnsi="仿宋_GB2312" w:eastAsia="仿宋_GB2312" w:cs="仿宋_GB2312"/>
          <w:bCs/>
          <w:sz w:val="32"/>
          <w:szCs w:val="32"/>
        </w:rPr>
        <w:t>市支付中心</w:t>
      </w:r>
      <w:r>
        <w:rPr>
          <w:rFonts w:hint="eastAsia" w:ascii="仿宋_GB2312" w:hAnsi="仿宋_GB2312" w:eastAsia="仿宋_GB2312" w:cs="仿宋_GB2312"/>
          <w:sz w:val="32"/>
          <w:szCs w:val="32"/>
        </w:rPr>
        <w:t>2024年收支预算总数594.02万元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比2023年收支预算总数减少18.63万元，主要原因是人员变动。</w:t>
      </w:r>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14" w:name="_Toc31792"/>
      <w:r>
        <w:rPr>
          <w:rFonts w:hint="eastAsia"/>
        </w:rPr>
        <w:t>（一）收入预算情况</w:t>
      </w:r>
      <w:bookmarkEnd w:id="14"/>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市支付中心2024年收入预算594.02万元，其中：一般公共预算拨款收入594.02万元，占100%。</w:t>
      </w:r>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15" w:name="_Toc2235"/>
      <w:r>
        <w:rPr>
          <w:rFonts w:hint="eastAsia"/>
        </w:rPr>
        <w:t>（二）支出预算情况</w:t>
      </w:r>
      <w:bookmarkEnd w:id="15"/>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市支付中心2024年支出预算594.02万元，其中：基本支出563.42万元，占94.85%；项目支出30.6万元，占5.15%。</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16" w:name="_Toc27772"/>
      <w:bookmarkStart w:id="17" w:name="_Toc10820"/>
      <w:bookmarkStart w:id="18" w:name="_Toc10295"/>
      <w:r>
        <w:rPr>
          <w:rFonts w:hint="eastAsia"/>
        </w:rPr>
        <w:t>四、财政拨款收支预算情况说明</w:t>
      </w:r>
      <w:bookmarkEnd w:id="16"/>
      <w:bookmarkEnd w:id="17"/>
      <w:bookmarkEnd w:id="18"/>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市支付中心2024年财政拨款收支预算总数594.02万元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比2023年财政拨款收支预算总数减少18.63万元，主要原因是人员变动。</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收入包括：本年一般公共预算拨款收入594.02万元；支出包括：一般公共服务支出482.16万元、社会保障和就业支出51.43万元、卫生健康支出16.45万元、住房保障支出43.98万元。</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19" w:name="_Toc5998"/>
      <w:bookmarkStart w:id="20" w:name="_Toc9502"/>
      <w:bookmarkStart w:id="21" w:name="_Toc21445"/>
      <w:r>
        <w:rPr>
          <w:rFonts w:hint="eastAsia"/>
        </w:rPr>
        <w:t>五、一般公共预算当年拨款情况说明</w:t>
      </w:r>
      <w:bookmarkEnd w:id="19"/>
      <w:bookmarkEnd w:id="20"/>
      <w:bookmarkEnd w:id="21"/>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22" w:name="_Toc14172"/>
      <w:r>
        <w:rPr>
          <w:rFonts w:hint="eastAsia"/>
        </w:rPr>
        <w:t>（一）一般公共预算当年拨款规模变化情况</w:t>
      </w:r>
      <w:bookmarkEnd w:id="22"/>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市支付中心2024年一般公共预算当年拨款594.02万元，比2023年预算数减少18.63万元，主要原因是人员变动。</w:t>
      </w:r>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23" w:name="_Toc21678"/>
      <w:r>
        <w:rPr>
          <w:rFonts w:hint="eastAsia"/>
        </w:rPr>
        <w:t>（二）一般公共预算当年拨款结构情况</w:t>
      </w:r>
      <w:bookmarkEnd w:id="23"/>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一般公共服务支出482.16万元，占81.17%；社会保障和就业支出51.43万元，占8.66%；卫生健康支出16.45万元，占2.77%；住房保障支出43.98万元，占7.40%。</w:t>
      </w:r>
    </w:p>
    <w:p>
      <w:pPr>
        <w:pStyle w:val="4"/>
        <w:keepNext w:val="0"/>
        <w:keepLines w:val="0"/>
        <w:pageBreakBefore w:val="0"/>
        <w:numPr>
          <w:ilvl w:val="0"/>
          <w:numId w:val="1"/>
        </w:numPr>
        <w:kinsoku/>
        <w:wordWrap/>
        <w:overflowPunct/>
        <w:topLinePunct w:val="0"/>
        <w:bidi w:val="0"/>
        <w:snapToGrid/>
        <w:spacing w:before="0" w:beforeAutospacing="0" w:after="0" w:afterAutospacing="0" w:line="576" w:lineRule="exact"/>
        <w:textAlignment w:val="auto"/>
      </w:pPr>
      <w:bookmarkStart w:id="24" w:name="_Toc11080"/>
      <w:r>
        <w:rPr>
          <w:rFonts w:hint="eastAsia"/>
        </w:rPr>
        <w:t>一般公共预算当年拨款具体使用情况</w:t>
      </w:r>
      <w:bookmarkEnd w:id="24"/>
    </w:p>
    <w:p>
      <w:pPr>
        <w:pStyle w:val="10"/>
        <w:keepNext w:val="0"/>
        <w:keepLines w:val="0"/>
        <w:pageBreakBefore w:val="0"/>
        <w:widowControl/>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1.一般公共服务支出（类）财政事务（款）行政运行（项）202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年预算数为45</w:t>
      </w:r>
      <w:r>
        <w:rPr>
          <w:rFonts w:hint="eastAsia" w:ascii="仿宋_GB2312" w:hAnsi="仿宋_GB2312" w:eastAsia="仿宋_GB2312" w:cs="仿宋_GB2312"/>
          <w:sz w:val="32"/>
          <w:szCs w:val="32"/>
        </w:rPr>
        <w:t>1.56</w:t>
      </w:r>
      <w:r>
        <w:rPr>
          <w:rFonts w:ascii="仿宋_GB2312" w:hAnsi="仿宋_GB2312" w:eastAsia="仿宋_GB2312" w:cs="仿宋_GB2312"/>
          <w:sz w:val="32"/>
          <w:szCs w:val="32"/>
        </w:rPr>
        <w:t>万元，主要用于：工资福利和商品服务支出。</w:t>
      </w:r>
    </w:p>
    <w:p>
      <w:pPr>
        <w:pStyle w:val="10"/>
        <w:keepNext w:val="0"/>
        <w:keepLines w:val="0"/>
        <w:pageBreakBefore w:val="0"/>
        <w:widowControl/>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2.一般公共服务支出（类）财政事务（款）财政国库业务（项）202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年预算数为30.6万元，主要用于：财政国库集中支付管理及中心运行支出。</w:t>
      </w:r>
    </w:p>
    <w:p>
      <w:pPr>
        <w:pStyle w:val="10"/>
        <w:keepNext w:val="0"/>
        <w:keepLines w:val="0"/>
        <w:pageBreakBefore w:val="0"/>
        <w:widowControl/>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3.社会保障和就业支出（类）行政事业单位养老支出（款）机关事业单位基本养老保险缴费支出（项）202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年预算数为5</w:t>
      </w:r>
      <w:r>
        <w:rPr>
          <w:rFonts w:hint="eastAsia" w:ascii="仿宋_GB2312" w:hAnsi="仿宋_GB2312" w:eastAsia="仿宋_GB2312" w:cs="仿宋_GB2312"/>
          <w:sz w:val="32"/>
          <w:szCs w:val="32"/>
        </w:rPr>
        <w:t>1.08</w:t>
      </w:r>
      <w:r>
        <w:rPr>
          <w:rFonts w:ascii="仿宋_GB2312" w:hAnsi="仿宋_GB2312" w:eastAsia="仿宋_GB2312" w:cs="仿宋_GB2312"/>
          <w:sz w:val="32"/>
          <w:szCs w:val="32"/>
        </w:rPr>
        <w:t>万元，主要用于：实施养老保险制度由单位缴纳的基本养老保险支出。</w:t>
      </w:r>
    </w:p>
    <w:p>
      <w:pPr>
        <w:pStyle w:val="10"/>
        <w:keepNext w:val="0"/>
        <w:keepLines w:val="0"/>
        <w:pageBreakBefore w:val="0"/>
        <w:widowControl/>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4.社会保障和就业支出（类）其他社会保障和就业支出（款）其他社会保障和就业支出（项）202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年预算数为</w:t>
      </w:r>
      <w:r>
        <w:rPr>
          <w:rFonts w:hint="eastAsia" w:ascii="仿宋_GB2312" w:hAnsi="仿宋_GB2312" w:eastAsia="仿宋_GB2312" w:cs="仿宋_GB2312"/>
          <w:sz w:val="32"/>
          <w:szCs w:val="32"/>
        </w:rPr>
        <w:t>0.35</w:t>
      </w:r>
      <w:r>
        <w:rPr>
          <w:rFonts w:ascii="仿宋_GB2312" w:hAnsi="仿宋_GB2312" w:eastAsia="仿宋_GB2312" w:cs="仿宋_GB2312"/>
          <w:sz w:val="32"/>
          <w:szCs w:val="32"/>
        </w:rPr>
        <w:t>万元，主要用于：按规定由单位缴纳的工伤保险支出。</w:t>
      </w:r>
    </w:p>
    <w:p>
      <w:pPr>
        <w:pStyle w:val="10"/>
        <w:keepNext w:val="0"/>
        <w:keepLines w:val="0"/>
        <w:pageBreakBefore w:val="0"/>
        <w:widowControl/>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5.卫生健康（类）行政事业单位医疗（款）行政单位医疗（项）202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年预算数为1</w:t>
      </w:r>
      <w:r>
        <w:rPr>
          <w:rFonts w:hint="eastAsia" w:ascii="仿宋_GB2312" w:hAnsi="仿宋_GB2312" w:eastAsia="仿宋_GB2312" w:cs="仿宋_GB2312"/>
          <w:sz w:val="32"/>
          <w:szCs w:val="32"/>
        </w:rPr>
        <w:t>6.45</w:t>
      </w:r>
      <w:r>
        <w:rPr>
          <w:rFonts w:ascii="仿宋_GB2312" w:hAnsi="仿宋_GB2312" w:eastAsia="仿宋_GB2312" w:cs="仿宋_GB2312"/>
          <w:sz w:val="32"/>
          <w:szCs w:val="32"/>
        </w:rPr>
        <w:t>万元，主要用于：机关及参公管理事业单位按规定由单位缴纳的基本医疗保险支出。</w:t>
      </w:r>
    </w:p>
    <w:p>
      <w:pPr>
        <w:pStyle w:val="10"/>
        <w:keepNext w:val="0"/>
        <w:keepLines w:val="0"/>
        <w:pageBreakBefore w:val="0"/>
        <w:widowControl/>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6.住房保障（类）住房改革支出（款）住房公积金（项）202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年预算数为4</w:t>
      </w:r>
      <w:r>
        <w:rPr>
          <w:rFonts w:hint="eastAsia" w:ascii="仿宋_GB2312" w:hAnsi="仿宋_GB2312" w:eastAsia="仿宋_GB2312" w:cs="仿宋_GB2312"/>
          <w:sz w:val="32"/>
          <w:szCs w:val="32"/>
        </w:rPr>
        <w:t>3.98</w:t>
      </w:r>
      <w:r>
        <w:rPr>
          <w:rFonts w:ascii="仿宋_GB2312" w:hAnsi="仿宋_GB2312" w:eastAsia="仿宋_GB2312" w:cs="仿宋_GB2312"/>
          <w:sz w:val="32"/>
          <w:szCs w:val="32"/>
        </w:rPr>
        <w:t>万元，主要用于：部门按规定为职工缴纳的住房公积金支出。</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25" w:name="_Toc32753"/>
      <w:bookmarkStart w:id="26" w:name="_Toc23483"/>
      <w:bookmarkStart w:id="27" w:name="_Toc2237"/>
      <w:r>
        <w:rPr>
          <w:rFonts w:hint="eastAsia"/>
        </w:rPr>
        <w:t>六、一般公共预算基本支出情况说明</w:t>
      </w:r>
      <w:bookmarkEnd w:id="25"/>
      <w:bookmarkEnd w:id="26"/>
      <w:bookmarkEnd w:id="27"/>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市支付中心2024年一般公共预算基本支出563</w:t>
      </w:r>
      <w:r>
        <w:rPr>
          <w:rFonts w:ascii="仿宋_GB2312" w:hAnsi="仿宋_GB2312" w:eastAsia="仿宋_GB2312" w:cs="仿宋_GB2312"/>
          <w:sz w:val="32"/>
          <w:szCs w:val="32"/>
          <w:lang w:val="en"/>
        </w:rPr>
        <w:t>.</w:t>
      </w:r>
      <w:r>
        <w:rPr>
          <w:rFonts w:hint="eastAsia" w:ascii="仿宋_GB2312" w:hAnsi="仿宋_GB2312" w:eastAsia="仿宋_GB2312" w:cs="仿宋_GB2312"/>
          <w:sz w:val="32"/>
          <w:szCs w:val="32"/>
        </w:rPr>
        <w:t>42万元，其中：</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ascii="仿宋_GB2312" w:hAnsi="仿宋_GB2312" w:eastAsia="仿宋_GB2312" w:cs="仿宋_GB2312"/>
          <w:sz w:val="32"/>
          <w:szCs w:val="32"/>
          <w:lang w:val="en"/>
        </w:rPr>
        <w:t>472.37</w:t>
      </w:r>
      <w:r>
        <w:rPr>
          <w:rFonts w:hint="eastAsia" w:ascii="仿宋_GB2312" w:hAnsi="仿宋_GB2312" w:eastAsia="仿宋_GB2312" w:cs="仿宋_GB2312"/>
          <w:sz w:val="32"/>
          <w:szCs w:val="32"/>
        </w:rPr>
        <w:t>万元，主要包括：基本工资、津贴补贴、奖金、机关事业单位基本养老保险缴费</w:t>
      </w:r>
      <w:r>
        <w:rPr>
          <w:rFonts w:hint="eastAsia" w:ascii="仿宋_GB2312" w:hAnsi="仿宋_GB2312" w:eastAsia="仿宋_GB2312" w:cs="仿宋_GB2312"/>
          <w:sz w:val="32"/>
          <w:szCs w:val="32"/>
          <w:lang w:eastAsia="zh-CN"/>
        </w:rPr>
        <w:t>、职工基本医疗保险缴费、其他社会保障缴费、</w:t>
      </w:r>
      <w:r>
        <w:rPr>
          <w:rFonts w:hint="eastAsia" w:ascii="仿宋_GB2312" w:hAnsi="仿宋_GB2312" w:eastAsia="仿宋_GB2312" w:cs="仿宋_GB2312"/>
          <w:sz w:val="32"/>
          <w:szCs w:val="32"/>
        </w:rPr>
        <w:t>住房公积金、生活补助等支出。</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ascii="仿宋_GB2312" w:hAnsi="仿宋_GB2312" w:eastAsia="仿宋_GB2312" w:cs="仿宋_GB2312"/>
          <w:sz w:val="32"/>
          <w:szCs w:val="32"/>
          <w:lang w:val="en"/>
        </w:rPr>
        <w:t>91.05</w:t>
      </w:r>
      <w:r>
        <w:rPr>
          <w:rFonts w:hint="eastAsia" w:ascii="仿宋_GB2312" w:hAnsi="仿宋_GB2312" w:eastAsia="仿宋_GB2312" w:cs="仿宋_GB2312"/>
          <w:sz w:val="32"/>
          <w:szCs w:val="32"/>
        </w:rPr>
        <w:t>万元，主要包括：办公费、印刷费、水费、邮电费、差旅费、维修（护）费、会议费、培训费、公务接待费、劳务费、工会经费、福利费、其他交通费用、党建经费、退休人员活动经费</w:t>
      </w:r>
      <w:r>
        <w:rPr>
          <w:rFonts w:hint="eastAsia"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rPr>
        <w:t>等支出。</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28" w:name="_Toc4300"/>
      <w:bookmarkStart w:id="29" w:name="_Toc28769"/>
      <w:bookmarkStart w:id="30" w:name="_Toc11725"/>
      <w:r>
        <w:rPr>
          <w:rFonts w:hint="eastAsia"/>
        </w:rPr>
        <w:t>七、“三公”经费财政拨款预算安排情况说明</w:t>
      </w:r>
      <w:bookmarkEnd w:id="28"/>
      <w:bookmarkEnd w:id="29"/>
      <w:bookmarkEnd w:id="30"/>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市支付中心2024年“三公”经费财政拨款预算数</w:t>
      </w:r>
      <w:r>
        <w:rPr>
          <w:rFonts w:ascii="仿宋_GB2312" w:hAnsi="仿宋_GB2312" w:eastAsia="仿宋_GB2312" w:cs="仿宋_GB2312"/>
          <w:sz w:val="32"/>
          <w:szCs w:val="32"/>
          <w:lang w:val="en"/>
        </w:rPr>
        <w:t>0.7</w:t>
      </w:r>
      <w:r>
        <w:rPr>
          <w:rFonts w:hint="eastAsia" w:ascii="仿宋_GB2312" w:hAnsi="仿宋_GB2312" w:eastAsia="仿宋_GB2312" w:cs="仿宋_GB2312"/>
          <w:sz w:val="32"/>
          <w:szCs w:val="32"/>
        </w:rPr>
        <w:t>万元，其中：公务接待费</w:t>
      </w:r>
      <w:r>
        <w:rPr>
          <w:rFonts w:ascii="仿宋_GB2312" w:hAnsi="仿宋_GB2312" w:eastAsia="仿宋_GB2312" w:cs="仿宋_GB2312"/>
          <w:sz w:val="32"/>
          <w:szCs w:val="32"/>
          <w:lang w:val="en"/>
        </w:rPr>
        <w:t>0.7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公务用车购置及运行维护费</w:t>
      </w:r>
      <w:r>
        <w:rPr>
          <w:rFonts w:ascii="仿宋_GB2312" w:hAnsi="仿宋_GB2312" w:eastAsia="仿宋_GB2312" w:cs="仿宋_GB2312"/>
          <w:sz w:val="32"/>
          <w:szCs w:val="32"/>
          <w:lang w:val="en"/>
        </w:rPr>
        <w:t>0</w:t>
      </w:r>
      <w:r>
        <w:rPr>
          <w:rFonts w:hint="eastAsia" w:ascii="仿宋_GB2312" w:hAnsi="仿宋_GB2312" w:eastAsia="仿宋_GB2312" w:cs="仿宋_GB2312"/>
          <w:sz w:val="32"/>
          <w:szCs w:val="32"/>
          <w:lang w:val="en"/>
        </w:rPr>
        <w:t>万元</w:t>
      </w:r>
      <w:r>
        <w:rPr>
          <w:rFonts w:hint="eastAsia"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rPr>
        <w:t>因公出国（境）经费</w:t>
      </w:r>
      <w:r>
        <w:rPr>
          <w:rFonts w:ascii="仿宋_GB2312" w:hAnsi="仿宋_GB2312" w:eastAsia="仿宋_GB2312" w:cs="仿宋_GB2312"/>
          <w:sz w:val="32"/>
          <w:szCs w:val="32"/>
          <w:lang w:val="en"/>
        </w:rPr>
        <w:t>0</w:t>
      </w:r>
      <w:r>
        <w:rPr>
          <w:rFonts w:hint="eastAsia" w:ascii="仿宋_GB2312" w:hAnsi="仿宋_GB2312" w:eastAsia="仿宋_GB2312" w:cs="仿宋_GB2312"/>
          <w:sz w:val="32"/>
          <w:szCs w:val="32"/>
          <w:lang w:val="en"/>
        </w:rPr>
        <w:t>万元</w:t>
      </w:r>
      <w:r>
        <w:rPr>
          <w:rFonts w:hint="eastAsia" w:ascii="仿宋_GB2312" w:hAnsi="仿宋_GB2312" w:eastAsia="仿宋_GB2312" w:cs="仿宋_GB2312"/>
          <w:sz w:val="32"/>
          <w:szCs w:val="32"/>
        </w:rPr>
        <w:t>。</w:t>
      </w:r>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31" w:name="_Toc19658"/>
      <w:r>
        <w:rPr>
          <w:rFonts w:hint="eastAsia"/>
        </w:rPr>
        <w:t>（一）公务接待费</w:t>
      </w:r>
      <w:bookmarkEnd w:id="31"/>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公务接待费0.7万元，与2023年预算相比持平。</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pStyle w:val="4"/>
        <w:keepNext w:val="0"/>
        <w:keepLines w:val="0"/>
        <w:pageBreakBefore w:val="0"/>
        <w:numPr>
          <w:ilvl w:val="0"/>
          <w:numId w:val="2"/>
        </w:numPr>
        <w:kinsoku/>
        <w:wordWrap/>
        <w:overflowPunct/>
        <w:topLinePunct w:val="0"/>
        <w:bidi w:val="0"/>
        <w:snapToGrid/>
        <w:spacing w:before="0" w:beforeAutospacing="0" w:after="0" w:afterAutospacing="0" w:line="576" w:lineRule="exact"/>
        <w:ind w:left="-250" w:leftChars="0" w:firstLineChars="0"/>
        <w:textAlignment w:val="auto"/>
      </w:pPr>
      <w:bookmarkStart w:id="32" w:name="_Toc12773"/>
      <w:r>
        <w:rPr>
          <w:rFonts w:hint="eastAsia"/>
        </w:rPr>
        <w:t>公务用车购置及运行维护费</w:t>
      </w:r>
      <w:bookmarkEnd w:id="32"/>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lang w:val="en"/>
        </w:rPr>
      </w:pPr>
      <w:r>
        <w:rPr>
          <w:rFonts w:hint="eastAsia" w:ascii="仿宋_GB2312" w:hAnsi="仿宋_GB2312" w:eastAsia="仿宋_GB2312" w:cs="仿宋_GB2312"/>
          <w:sz w:val="32"/>
          <w:szCs w:val="32"/>
        </w:rPr>
        <w:t>公务用车购置及运行维护费</w:t>
      </w:r>
      <w:r>
        <w:rPr>
          <w:rFonts w:ascii="仿宋_GB2312" w:hAnsi="仿宋_GB2312" w:eastAsia="仿宋_GB2312" w:cs="仿宋_GB2312"/>
          <w:sz w:val="32"/>
          <w:szCs w:val="32"/>
          <w:lang w:val="en"/>
        </w:rPr>
        <w:t>0</w:t>
      </w:r>
      <w:r>
        <w:rPr>
          <w:rFonts w:hint="eastAsia" w:ascii="仿宋_GB2312" w:hAnsi="仿宋_GB2312" w:eastAsia="仿宋_GB2312" w:cs="仿宋_GB2312"/>
          <w:sz w:val="32"/>
          <w:szCs w:val="32"/>
          <w:lang w:val="en"/>
        </w:rPr>
        <w:t>万元，</w:t>
      </w:r>
      <w:r>
        <w:rPr>
          <w:rFonts w:hint="eastAsia" w:ascii="仿宋_GB2312" w:hAnsi="仿宋_GB2312" w:eastAsia="仿宋_GB2312" w:cs="仿宋_GB2312"/>
          <w:sz w:val="32"/>
          <w:szCs w:val="32"/>
        </w:rPr>
        <w:t>与2023年预算相比持平。</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2024年未安排公务用车购置费。2024年安排公务用车运行维护费0万元。</w:t>
      </w:r>
      <w:bookmarkStart w:id="33" w:name="_Toc30542"/>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33"/>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w:t>
      </w:r>
      <w:r>
        <w:rPr>
          <w:rFonts w:ascii="仿宋_GB2312" w:hAnsi="仿宋_GB2312" w:eastAsia="仿宋_GB2312" w:cs="仿宋_GB2312"/>
          <w:sz w:val="32"/>
          <w:szCs w:val="32"/>
          <w:lang w:val="en"/>
        </w:rPr>
        <w:t>0</w:t>
      </w:r>
      <w:r>
        <w:rPr>
          <w:rFonts w:hint="eastAsia" w:ascii="仿宋_GB2312" w:hAnsi="仿宋_GB2312" w:eastAsia="仿宋_GB2312" w:cs="仿宋_GB2312"/>
          <w:sz w:val="32"/>
          <w:szCs w:val="32"/>
          <w:lang w:val="en"/>
        </w:rPr>
        <w:t>万元，</w:t>
      </w:r>
      <w:r>
        <w:rPr>
          <w:rFonts w:hint="eastAsia" w:ascii="仿宋_GB2312" w:hAnsi="仿宋_GB2312" w:eastAsia="仿宋_GB2312" w:cs="仿宋_GB2312"/>
          <w:sz w:val="32"/>
          <w:szCs w:val="32"/>
        </w:rPr>
        <w:t>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年预算相比持平。</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34" w:name="_Toc22548"/>
      <w:bookmarkStart w:id="35" w:name="_Toc31708"/>
      <w:bookmarkStart w:id="36" w:name="_Toc3436"/>
      <w:r>
        <w:rPr>
          <w:rFonts w:hint="eastAsia"/>
        </w:rPr>
        <w:t>八、政府性基金预算支出情况说明</w:t>
      </w:r>
      <w:bookmarkEnd w:id="34"/>
      <w:bookmarkEnd w:id="35"/>
      <w:bookmarkEnd w:id="36"/>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市支付中心2024年无政府性基金预算拨款安排的支出。</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37" w:name="_Toc31766"/>
      <w:bookmarkStart w:id="38" w:name="_Toc13612"/>
      <w:bookmarkStart w:id="39" w:name="_Toc29432"/>
      <w:r>
        <w:rPr>
          <w:rFonts w:hint="eastAsia"/>
        </w:rPr>
        <w:t>九、国有资本经营预算支出情况说明</w:t>
      </w:r>
      <w:bookmarkEnd w:id="37"/>
      <w:bookmarkEnd w:id="38"/>
      <w:bookmarkEnd w:id="39"/>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市支付中心2024年无国有资本经营预算拨款安排的支出。</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bookmarkStart w:id="40" w:name="_Toc10325"/>
      <w:bookmarkStart w:id="41" w:name="_Toc22948"/>
      <w:bookmarkStart w:id="42" w:name="_Toc28970"/>
      <w:r>
        <w:rPr>
          <w:rFonts w:hint="eastAsia"/>
        </w:rPr>
        <w:t>十、其他重要事项的情况说明</w:t>
      </w:r>
      <w:bookmarkEnd w:id="40"/>
      <w:bookmarkEnd w:id="41"/>
      <w:bookmarkEnd w:id="42"/>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43" w:name="_Toc21881"/>
      <w:r>
        <w:rPr>
          <w:rFonts w:hint="eastAsia"/>
        </w:rPr>
        <w:t>（一）机关运行经费</w:t>
      </w:r>
      <w:bookmarkEnd w:id="43"/>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2024年，市支付中心机关运行经费财政拨款预算为91.05万元，比2023年预算减少7.79万元，减少7.88%。主要原因是人员变动。</w:t>
      </w:r>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44" w:name="_Toc2148"/>
      <w:r>
        <w:rPr>
          <w:rFonts w:hint="eastAsia"/>
        </w:rPr>
        <w:t>（二）政府采购情况</w:t>
      </w:r>
      <w:bookmarkEnd w:id="44"/>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2024年，市支付中心安排政府采购预算0万元。</w:t>
      </w:r>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45" w:name="_Toc5648"/>
      <w:r>
        <w:rPr>
          <w:rFonts w:hint="eastAsia"/>
        </w:rPr>
        <w:t>（三）国有资产占有使用情况</w:t>
      </w:r>
      <w:bookmarkEnd w:id="45"/>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截至2023年底，市支付中心共有车辆0辆。单位无价值200万元以上的大型设备。</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pStyle w:val="4"/>
        <w:keepNext w:val="0"/>
        <w:keepLines w:val="0"/>
        <w:pageBreakBefore w:val="0"/>
        <w:kinsoku/>
        <w:wordWrap/>
        <w:overflowPunct/>
        <w:topLinePunct w:val="0"/>
        <w:bidi w:val="0"/>
        <w:snapToGrid/>
        <w:spacing w:before="0" w:beforeAutospacing="0" w:after="0" w:afterAutospacing="0" w:line="576" w:lineRule="exact"/>
        <w:textAlignment w:val="auto"/>
      </w:pPr>
      <w:bookmarkStart w:id="46" w:name="_Toc14709"/>
      <w:r>
        <w:rPr>
          <w:rFonts w:hint="eastAsia"/>
        </w:rPr>
        <w:t>（四）绩效目标设置情况</w:t>
      </w:r>
      <w:bookmarkEnd w:id="46"/>
    </w:p>
    <w:p>
      <w:pPr>
        <w:pStyle w:val="3"/>
        <w:keepNext w:val="0"/>
        <w:keepLines w:val="0"/>
        <w:pageBreakBefore w:val="0"/>
        <w:kinsoku/>
        <w:wordWrap/>
        <w:overflowPunct/>
        <w:topLinePunct w:val="0"/>
        <w:bidi w:val="0"/>
        <w:snapToGrid/>
        <w:spacing w:before="0" w:beforeAutospacing="0" w:after="0" w:afterAutospacing="0" w:line="576" w:lineRule="exact"/>
        <w:textAlignment w:val="auto"/>
        <w:rPr>
          <w:rFonts w:hint="eastAsia" w:ascii="仿宋_GB2312" w:hAnsi="仿宋_GB2312" w:eastAsia="仿宋_GB2312" w:cs="仿宋_GB2312"/>
          <w:b w:val="0"/>
          <w:kern w:val="2"/>
          <w:sz w:val="32"/>
          <w:szCs w:val="32"/>
          <w:lang w:val="en-US" w:eastAsia="zh-CN" w:bidi="ar-SA"/>
        </w:rPr>
      </w:pPr>
      <w:bookmarkStart w:id="47" w:name="_Toc27380"/>
      <w:bookmarkStart w:id="48" w:name="_Toc31603"/>
      <w:bookmarkStart w:id="49" w:name="_Toc32454"/>
      <w:r>
        <w:rPr>
          <w:rFonts w:hint="eastAsia" w:ascii="仿宋_GB2312" w:hAnsi="仿宋_GB2312" w:eastAsia="仿宋_GB2312" w:cs="仿宋_GB2312"/>
          <w:b w:val="0"/>
          <w:kern w:val="2"/>
          <w:sz w:val="32"/>
          <w:szCs w:val="32"/>
          <w:lang w:val="en-US" w:eastAsia="zh-CN" w:bidi="ar-SA"/>
        </w:rPr>
        <w:t xml:space="preserve">2024年市支付中心开展绩效目标管理的项目10个，涉及预算594.02万元。其中：人员类项目6个，涉及预算472.37万元；运转类项目3个，涉及预算91.05万元；特定目标类项目1个，涉及预算30.6万元。 </w:t>
      </w:r>
    </w:p>
    <w:p>
      <w:pPr>
        <w:pStyle w:val="3"/>
        <w:keepNext w:val="0"/>
        <w:keepLines w:val="0"/>
        <w:pageBreakBefore w:val="0"/>
        <w:kinsoku/>
        <w:wordWrap/>
        <w:overflowPunct/>
        <w:topLinePunct w:val="0"/>
        <w:bidi w:val="0"/>
        <w:snapToGrid/>
        <w:spacing w:before="0" w:beforeAutospacing="0" w:after="0" w:afterAutospacing="0" w:line="576" w:lineRule="exact"/>
        <w:textAlignment w:val="auto"/>
      </w:pPr>
      <w:r>
        <w:rPr>
          <w:rFonts w:hint="eastAsia"/>
        </w:rPr>
        <w:t>十一、名词解释</w:t>
      </w:r>
      <w:bookmarkEnd w:id="47"/>
      <w:bookmarkEnd w:id="48"/>
      <w:bookmarkEnd w:id="49"/>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 xml:space="preserve">（一）一般公共预算拨款收入 </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指市财政当年安排的财政预算收入。</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（二）一般公共服务支出（类）财政事务（款）行政运行（项）：</w:t>
      </w:r>
      <w:r>
        <w:rPr>
          <w:rFonts w:hint="eastAsia" w:ascii="仿宋_GB2312" w:hAnsi="仿宋_GB2312" w:eastAsia="仿宋_GB2312" w:cs="仿宋_GB2312"/>
          <w:sz w:val="32"/>
          <w:szCs w:val="32"/>
        </w:rPr>
        <w:t>指机关单位用于保障机构正常运行、开展日常工作的基本支出。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（三）一般公共服务支出（类）财政事务（款）财政国库业务（项）：</w:t>
      </w:r>
      <w:r>
        <w:rPr>
          <w:rFonts w:hint="eastAsia" w:ascii="仿宋_GB2312" w:hAnsi="仿宋_GB2312" w:eastAsia="仿宋_GB2312" w:cs="仿宋_GB2312"/>
          <w:sz w:val="32"/>
          <w:szCs w:val="32"/>
        </w:rPr>
        <w:t>指机关单位开展财政国库集中支付管理工作的项目支出。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（四）社会保障和就业（类）行政事业单位养老支出（款）机关事业单位基本养老保险缴费支出（项）：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（五）社会保障和就业支出（类）其他社会保障和就业支出（款）其他社会保障和就业支出（项）：</w:t>
      </w:r>
      <w:r>
        <w:rPr>
          <w:rFonts w:hint="eastAsia" w:ascii="仿宋_GB2312" w:hAnsi="仿宋_GB2312" w:eastAsia="仿宋_GB2312" w:cs="仿宋_GB2312"/>
          <w:sz w:val="32"/>
          <w:szCs w:val="32"/>
        </w:rPr>
        <w:t>指按规定由单位缴纳的工伤保险支出。</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（六）卫生健康（类）行政事业单位医疗（款）行政单位医疗（项）：</w:t>
      </w:r>
      <w:r>
        <w:rPr>
          <w:rFonts w:hint="eastAsia" w:ascii="仿宋_GB2312" w:hAnsi="仿宋_GB2312" w:eastAsia="仿宋_GB2312" w:cs="仿宋_GB2312"/>
          <w:sz w:val="32"/>
          <w:szCs w:val="32"/>
        </w:rPr>
        <w:t>指机关及参公管理事业单位用于单位应缴纳基本医疗保险支出。</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（七）住房保障（类）住房改革支出（款）住房公积金（项）：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（八）基本支出：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（九）项目支出：</w:t>
      </w:r>
      <w:r>
        <w:rPr>
          <w:rFonts w:hint="eastAsia" w:ascii="仿宋_GB2312" w:hAnsi="仿宋_GB2312" w:eastAsia="仿宋_GB2312" w:cs="仿宋_GB2312"/>
          <w:sz w:val="32"/>
          <w:szCs w:val="32"/>
        </w:rPr>
        <w:t>指在基本支出之外为完成特定行政任务和事业发展目标所发生的支出。</w:t>
      </w:r>
    </w:p>
    <w:p>
      <w:pPr>
        <w:keepNext w:val="0"/>
        <w:keepLines w:val="0"/>
        <w:pageBreakBefore w:val="0"/>
        <w:shd w:val="clear"/>
        <w:kinsoku/>
        <w:wordWrap/>
        <w:overflowPunct/>
        <w:topLinePunct w:val="0"/>
        <w:bidi w:val="0"/>
        <w:snapToGrid/>
        <w:spacing w:beforeAutospacing="0" w:afterAutospacing="0" w:line="576"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（十）“三公”经费：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（十一）机关运行经费：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hd w:val="clear"/>
        <w:spacing w:line="576" w:lineRule="exact"/>
        <w:ind w:firstLine="640" w:firstLineChars="200"/>
        <w:rPr>
          <w:rFonts w:ascii="仿宋_GB2312" w:hAnsi="仿宋_GB2312" w:eastAsia="仿宋_GB2312" w:cs="仿宋_GB2312"/>
          <w:sz w:val="32"/>
          <w:szCs w:val="32"/>
        </w:rPr>
      </w:pP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hd w:val="clear"/>
        <w:spacing w:line="576" w:lineRule="exact"/>
        <w:rPr>
          <w:rFonts w:ascii="仿宋_GB2312" w:hAnsi="仿宋_GB2312" w:eastAsia="仿宋_GB2312" w:cs="仿宋_GB2312"/>
          <w:sz w:val="32"/>
          <w:szCs w:val="32"/>
        </w:rPr>
      </w:pPr>
    </w:p>
    <w:p>
      <w:pPr>
        <w:shd w:val="clear"/>
        <w:spacing w:line="576" w:lineRule="exact"/>
        <w:ind w:firstLine="642" w:firstLineChars="200"/>
        <w:rPr>
          <w:rFonts w:ascii="仿宋_GB2312" w:hAnsi="仿宋_GB2312" w:eastAsia="仿宋_GB2312" w:cs="仿宋_GB2312"/>
          <w:b/>
          <w:bCs/>
          <w:sz w:val="32"/>
          <w:szCs w:val="32"/>
        </w:rPr>
      </w:pP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zql5uc8AAAAF&#10;AQAADwAAAAAAAAABACAAAAA4AAAAZHJzL2Rvd25yZXYueG1sUEsBAhQAFAAAAAgAh07iQOq2OabW&#10;AQAAsgMAAA4AAAAAAAAAAQAgAAAANAEAAGRycy9lMm9Eb2MueG1sUEsFBgAAAAAGAAYAWQEAAHwF&#10;AAAAAA==&#10;">
              <v:fill on="f" focussize="0,0"/>
              <v:stroke on="f"/>
              <v:imagedata o:title=""/>
              <o:lock v:ext="edit" aspectratio="f"/>
              <v:textbox inset="0mm,0mm,0mm,0mm" style="mso-fit-shape-to-text:t;">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B7E80D"/>
    <w:multiLevelType w:val="singleLevel"/>
    <w:tmpl w:val="BAB7E80D"/>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pPr>
        <w:ind w:left="-25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C923A6"/>
    <w:rsid w:val="000D4D82"/>
    <w:rsid w:val="002A42B8"/>
    <w:rsid w:val="003033F1"/>
    <w:rsid w:val="00C923A6"/>
    <w:rsid w:val="012352D1"/>
    <w:rsid w:val="05C13806"/>
    <w:rsid w:val="1F7BF06F"/>
    <w:rsid w:val="1FEE4B73"/>
    <w:rsid w:val="23CE9849"/>
    <w:rsid w:val="25A253E5"/>
    <w:rsid w:val="26DA0E3D"/>
    <w:rsid w:val="2FFEC578"/>
    <w:rsid w:val="39F304DD"/>
    <w:rsid w:val="3CC3FA4A"/>
    <w:rsid w:val="54244390"/>
    <w:rsid w:val="54662A63"/>
    <w:rsid w:val="58064E12"/>
    <w:rsid w:val="5BFEE015"/>
    <w:rsid w:val="5FCD859C"/>
    <w:rsid w:val="63EDCF55"/>
    <w:rsid w:val="63FBFBCF"/>
    <w:rsid w:val="669360FD"/>
    <w:rsid w:val="68FF6A83"/>
    <w:rsid w:val="6DD25F5C"/>
    <w:rsid w:val="6FBBC9CF"/>
    <w:rsid w:val="72BDE561"/>
    <w:rsid w:val="76DFB297"/>
    <w:rsid w:val="78462278"/>
    <w:rsid w:val="7997EA6C"/>
    <w:rsid w:val="7AEAE675"/>
    <w:rsid w:val="7BAFCE5D"/>
    <w:rsid w:val="7D46598C"/>
    <w:rsid w:val="7D4817C5"/>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DF33826"/>
    <w:rsid w:val="DFDD4FB5"/>
    <w:rsid w:val="E7F748B5"/>
    <w:rsid w:val="EE5F3713"/>
    <w:rsid w:val="EFC9D62C"/>
    <w:rsid w:val="F6BE9755"/>
    <w:rsid w:val="F6FFA89B"/>
    <w:rsid w:val="F86F060F"/>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62" w:beforeAutospacing="1" w:after="-2147483648" w:afterAutospacing="1"/>
      <w:ind w:firstLine="880" w:firstLineChars="200"/>
      <w:jc w:val="left"/>
      <w:outlineLvl w:val="0"/>
    </w:pPr>
    <w:rPr>
      <w:rFonts w:hint="eastAsia" w:ascii="宋体" w:hAnsi="宋体" w:eastAsia="黑体"/>
      <w:b/>
      <w:kern w:val="44"/>
      <w:sz w:val="32"/>
      <w:szCs w:val="48"/>
    </w:rPr>
  </w:style>
  <w:style w:type="paragraph" w:styleId="4">
    <w:name w:val="heading 2"/>
    <w:basedOn w:val="1"/>
    <w:next w:val="1"/>
    <w:unhideWhenUsed/>
    <w:qFormat/>
    <w:uiPriority w:val="0"/>
    <w:pPr>
      <w:keepNext w:val="0"/>
      <w:keepLines w:val="0"/>
      <w:spacing w:before="120" w:after="120" w:line="560" w:lineRule="exact"/>
      <w:ind w:firstLine="880" w:firstLineChars="200"/>
      <w:jc w:val="left"/>
      <w:outlineLvl w:val="1"/>
    </w:pPr>
    <w:rPr>
      <w:rFonts w:ascii="Arial" w:hAnsi="Arial" w:eastAsia="楷体" w:cs="Times New Roman"/>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200" w:leftChars="200" w:hanging="200" w:hangingChars="200"/>
    </w:pPr>
  </w:style>
  <w:style w:type="paragraph" w:styleId="5">
    <w:name w:val="caption"/>
    <w:basedOn w:val="1"/>
    <w:next w:val="1"/>
    <w:qFormat/>
    <w:uiPriority w:val="0"/>
    <w:pPr>
      <w:suppressLineNumbers/>
      <w:spacing w:before="120" w:after="120"/>
    </w:pPr>
    <w:rPr>
      <w:i/>
      <w:iCs/>
      <w:sz w:val="24"/>
    </w:rPr>
  </w:style>
  <w:style w:type="paragraph" w:styleId="6">
    <w:name w:val="Body Text"/>
    <w:basedOn w:val="1"/>
    <w:qFormat/>
    <w:uiPriority w:val="0"/>
    <w:pPr>
      <w:spacing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List"/>
    <w:basedOn w:val="6"/>
    <w:qFormat/>
    <w:uiPriority w:val="0"/>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6"/>
    <w:qFormat/>
    <w:uiPriority w:val="0"/>
    <w:pPr>
      <w:keepNext/>
      <w:spacing w:before="240" w:after="120"/>
    </w:pPr>
    <w:rPr>
      <w:rFonts w:ascii="Liberation Sans" w:hAnsi="Liberation Sans" w:eastAsia="Noto Sans CJK SC Regular" w:cs="Noto Sans CJK SC Regular"/>
      <w:sz w:val="28"/>
      <w:szCs w:val="28"/>
    </w:rPr>
  </w:style>
  <w:style w:type="paragraph" w:customStyle="1" w:styleId="15">
    <w:name w:val="Index"/>
    <w:basedOn w:val="1"/>
    <w:qFormat/>
    <w:uiPriority w:val="0"/>
    <w:pPr>
      <w:suppressLineNumber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10</Pages>
  <Words>681</Words>
  <Characters>3884</Characters>
  <Lines>32</Lines>
  <Paragraphs>9</Paragraphs>
  <TotalTime>2</TotalTime>
  <ScaleCrop>false</ScaleCrop>
  <LinksUpToDate>false</LinksUpToDate>
  <CharactersWithSpaces>4556</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admin</dc:creator>
  <cp:lastModifiedBy> </cp:lastModifiedBy>
  <dcterms:modified xsi:type="dcterms:W3CDTF">2024-02-18T10:27:47Z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