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川北幼儿师范高等专科学校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lang w:val="en-US" w:eastAsia="zh-CN"/>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782146042"/>
        <w15:color w:val="DBDBDB"/>
        <w:docPartObj>
          <w:docPartGallery w:val="Table of Contents"/>
          <w:docPartUnique/>
        </w:docPartObj>
      </w:sdtPr>
      <w:sdtEndPr>
        <w:rPr>
          <w:rFonts w:hint="eastAsia" w:ascii="Calibri" w:hAnsi="Calibri" w:eastAsia="宋体" w:cs="Times New Roman"/>
          <w:color w:val="auto"/>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p>
        <w:p>
          <w:pPr>
            <w:pStyle w:val="16"/>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_Toc781424865 </w:instrText>
          </w:r>
          <w:r>
            <w:rPr>
              <w:rFonts w:hint="eastAsia"/>
              <w:lang w:val="en-US" w:eastAsia="zh-CN"/>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_Toc781424865 \h </w:instrText>
          </w:r>
          <w:r>
            <w:fldChar w:fldCharType="separate"/>
          </w:r>
          <w:r>
            <w:fldChar w:fldCharType="end"/>
          </w:r>
          <w:r>
            <w:rPr>
              <w:rFonts w:hint="eastAsia"/>
              <w:lang w:val="en-US" w:eastAsia="zh-CN"/>
            </w:rPr>
            <w:fldChar w:fldCharType="end"/>
          </w:r>
          <w:r>
            <w:rPr>
              <w:rFonts w:hint="default"/>
              <w:lang w:eastAsia="zh-CN"/>
            </w:rPr>
            <w:t>3</w:t>
          </w:r>
        </w:p>
        <w:p>
          <w:pPr>
            <w:pStyle w:val="17"/>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_Toc252786012 </w:instrText>
          </w:r>
          <w:r>
            <w:rPr>
              <w:rFonts w:hint="eastAsia"/>
              <w:lang w:val="en-US" w:eastAsia="zh-CN"/>
            </w:rPr>
            <w:fldChar w:fldCharType="separate"/>
          </w:r>
          <w:r>
            <w:rPr>
              <w:rFonts w:hint="eastAsia" w:ascii="楷体_GB2312" w:hAnsi="楷体_GB2312" w:eastAsia="楷体_GB2312" w:cs="楷体_GB2312"/>
              <w:szCs w:val="32"/>
            </w:rPr>
            <w:t>（一）职能简介</w:t>
          </w:r>
          <w:r>
            <w:tab/>
          </w:r>
          <w:r>
            <w:fldChar w:fldCharType="begin"/>
          </w:r>
          <w:r>
            <w:instrText xml:space="preserve"> PAGEREF _Toc252786012 \h </w:instrText>
          </w:r>
          <w:r>
            <w:fldChar w:fldCharType="separate"/>
          </w:r>
          <w:r>
            <w:fldChar w:fldCharType="end"/>
          </w:r>
          <w:r>
            <w:rPr>
              <w:rFonts w:hint="eastAsia"/>
              <w:lang w:val="en-US" w:eastAsia="zh-CN"/>
            </w:rPr>
            <w:fldChar w:fldCharType="end"/>
          </w:r>
          <w:r>
            <w:rPr>
              <w:rFonts w:hint="default"/>
              <w:lang w:eastAsia="zh-CN"/>
            </w:rPr>
            <w:t>3</w:t>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_Toc1435026819 </w:instrText>
          </w:r>
          <w:r>
            <w:rPr>
              <w:rFonts w:hint="eastAsia"/>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_Toc1435026819 \h </w:instrText>
          </w:r>
          <w:r>
            <w:fldChar w:fldCharType="separate"/>
          </w:r>
          <w:r>
            <w:t>3</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_Toc1322474318 </w:instrText>
          </w:r>
          <w:r>
            <w:rPr>
              <w:rFonts w:hint="eastAsia"/>
              <w:lang w:val="en-US" w:eastAsia="zh-CN"/>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_Toc1322474318 \h </w:instrText>
          </w:r>
          <w:r>
            <w:fldChar w:fldCharType="separate"/>
          </w:r>
          <w:r>
            <w:t>5</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_Toc1709527567 </w:instrText>
          </w:r>
          <w:r>
            <w:rPr>
              <w:rFonts w:hint="eastAsia"/>
              <w:lang w:val="en-US" w:eastAsia="zh-CN"/>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_Toc1709527567 \h </w:instrText>
          </w:r>
          <w:r>
            <w:fldChar w:fldCharType="separate"/>
          </w:r>
          <w:r>
            <w:t>5</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_Toc654286288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_Toc654286288 \h </w:instrText>
          </w:r>
          <w:r>
            <w:fldChar w:fldCharType="separate"/>
          </w:r>
          <w:r>
            <w:t>5</w:t>
          </w:r>
          <w:r>
            <w:fldChar w:fldCharType="end"/>
          </w:r>
          <w:r>
            <w:rPr>
              <w:rFonts w:hint="eastAsia"/>
              <w:lang w:val="en-US" w:eastAsia="zh-CN"/>
            </w:rPr>
            <w:fldChar w:fldCharType="end"/>
          </w:r>
        </w:p>
        <w:p>
          <w:pPr>
            <w:pStyle w:val="17"/>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_Toc334629429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_Toc334629429 \h </w:instrText>
          </w:r>
          <w:r>
            <w:fldChar w:fldCharType="separate"/>
          </w:r>
          <w:r>
            <w:fldChar w:fldCharType="end"/>
          </w:r>
          <w:r>
            <w:rPr>
              <w:rFonts w:hint="eastAsia"/>
              <w:lang w:val="en-US" w:eastAsia="zh-CN"/>
            </w:rPr>
            <w:fldChar w:fldCharType="end"/>
          </w:r>
          <w:r>
            <w:rPr>
              <w:rFonts w:hint="default"/>
              <w:lang w:eastAsia="zh-CN"/>
            </w:rPr>
            <w:t>6</w:t>
          </w:r>
        </w:p>
        <w:p>
          <w:pPr>
            <w:pStyle w:val="16"/>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_Toc1295268697 </w:instrText>
          </w:r>
          <w:r>
            <w:rPr>
              <w:rFonts w:hint="eastAsia"/>
              <w:lang w:val="en-US" w:eastAsia="zh-CN"/>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_Toc1295268697 \h </w:instrText>
          </w:r>
          <w:r>
            <w:fldChar w:fldCharType="separate"/>
          </w:r>
          <w:r>
            <w:fldChar w:fldCharType="end"/>
          </w:r>
          <w:r>
            <w:rPr>
              <w:rFonts w:hint="eastAsia"/>
              <w:lang w:val="en-US" w:eastAsia="zh-CN"/>
            </w:rPr>
            <w:fldChar w:fldCharType="end"/>
          </w:r>
          <w:r>
            <w:rPr>
              <w:rFonts w:hint="default"/>
              <w:lang w:eastAsia="zh-CN"/>
            </w:rPr>
            <w:t>6</w:t>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_Toc1182790102 </w:instrText>
          </w:r>
          <w:r>
            <w:rPr>
              <w:rFonts w:hint="eastAsia"/>
              <w:lang w:val="en-US" w:eastAsia="zh-CN"/>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_Toc1182790102 \h </w:instrText>
          </w:r>
          <w:r>
            <w:fldChar w:fldCharType="separate"/>
          </w:r>
          <w:r>
            <w:t>6</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_Toc1892704367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_Toc1892704367 \h </w:instrText>
          </w:r>
          <w:r>
            <w:fldChar w:fldCharType="separate"/>
          </w:r>
          <w:r>
            <w:t>6</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_Toc30909005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_Toc30909005 \h </w:instrText>
          </w:r>
          <w:r>
            <w:fldChar w:fldCharType="separate"/>
          </w:r>
          <w:r>
            <w:t>6</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_Toc2024344712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_Toc2024344712 \h </w:instrText>
          </w:r>
          <w:r>
            <w:fldChar w:fldCharType="separate"/>
          </w:r>
          <w:r>
            <w:t>6</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_Toc1461961004 </w:instrText>
          </w:r>
          <w:r>
            <w:rPr>
              <w:rFonts w:hint="eastAsia"/>
              <w:lang w:val="en-US" w:eastAsia="zh-CN"/>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_Toc1461961004 \h </w:instrText>
          </w:r>
          <w:r>
            <w:fldChar w:fldCharType="separate"/>
          </w:r>
          <w:r>
            <w:t>7</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_Toc1887974116 </w:instrText>
          </w:r>
          <w:r>
            <w:rPr>
              <w:rFonts w:hint="eastAsia"/>
              <w:lang w:val="en-US" w:eastAsia="zh-CN"/>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_Toc1887974116 \h </w:instrText>
          </w:r>
          <w:r>
            <w:fldChar w:fldCharType="separate"/>
          </w:r>
          <w:r>
            <w:t>7</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_Toc113860633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_Toc113860633 \h </w:instrText>
          </w:r>
          <w:r>
            <w:fldChar w:fldCharType="separate"/>
          </w:r>
          <w:r>
            <w:t>8</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_Toc1390849880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_Toc1390849880 \h </w:instrText>
          </w:r>
          <w:r>
            <w:fldChar w:fldCharType="separate"/>
          </w:r>
          <w:r>
            <w:t>8</w:t>
          </w:r>
          <w:r>
            <w:fldChar w:fldCharType="end"/>
          </w:r>
          <w:r>
            <w:rPr>
              <w:rFonts w:hint="eastAsia"/>
              <w:lang w:val="en-US" w:eastAsia="zh-CN"/>
            </w:rPr>
            <w:fldChar w:fldCharType="end"/>
          </w:r>
        </w:p>
        <w:p>
          <w:pPr>
            <w:pStyle w:val="17"/>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_Toc1393902455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_Toc1393902455 \h </w:instrText>
          </w:r>
          <w:r>
            <w:fldChar w:fldCharType="separate"/>
          </w:r>
          <w:r>
            <w:t>8</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_Toc685614564 </w:instrText>
          </w:r>
          <w:r>
            <w:rPr>
              <w:rFonts w:hint="eastAsia"/>
              <w:lang w:val="en-US" w:eastAsia="zh-CN"/>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_Toc685614564 \h </w:instrText>
          </w:r>
          <w:r>
            <w:fldChar w:fldCharType="separate"/>
          </w:r>
          <w:r>
            <w:t>8</w:t>
          </w:r>
          <w:r>
            <w:fldChar w:fldCharType="end"/>
          </w:r>
          <w:r>
            <w:rPr>
              <w:rFonts w:hint="eastAsia"/>
              <w:lang w:val="en-US" w:eastAsia="zh-CN"/>
            </w:rPr>
            <w:fldChar w:fldCharType="end"/>
          </w:r>
        </w:p>
        <w:p>
          <w:pPr>
            <w:pStyle w:val="16"/>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_Toc1316064486 </w:instrText>
          </w:r>
          <w:r>
            <w:rPr>
              <w:rFonts w:hint="eastAsia"/>
              <w:lang w:val="en-US" w:eastAsia="zh-CN"/>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_Toc1316064486 \h </w:instrText>
          </w:r>
          <w:r>
            <w:fldChar w:fldCharType="separate"/>
          </w:r>
          <w:r>
            <w:fldChar w:fldCharType="end"/>
          </w:r>
          <w:r>
            <w:rPr>
              <w:rFonts w:hint="eastAsia"/>
              <w:lang w:val="en-US" w:eastAsia="zh-CN"/>
            </w:rPr>
            <w:fldChar w:fldCharType="end"/>
          </w:r>
          <w:r>
            <w:rPr>
              <w:rFonts w:hint="default"/>
              <w:lang w:eastAsia="zh-CN"/>
            </w:rPr>
            <w:t>9</w:t>
          </w:r>
        </w:p>
        <w:p>
          <w:pPr>
            <w:pStyle w:val="16"/>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_Toc1724631751 </w:instrText>
          </w:r>
          <w:r>
            <w:rPr>
              <w:rFonts w:hint="eastAsia"/>
              <w:lang w:val="en-US" w:eastAsia="zh-CN"/>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_Toc1724631751 \h </w:instrText>
          </w:r>
          <w:r>
            <w:fldChar w:fldCharType="separate"/>
          </w:r>
          <w:r>
            <w:fldChar w:fldCharType="end"/>
          </w:r>
          <w:r>
            <w:rPr>
              <w:rFonts w:hint="eastAsia"/>
              <w:lang w:val="en-US" w:eastAsia="zh-CN"/>
            </w:rPr>
            <w:fldChar w:fldCharType="end"/>
          </w:r>
          <w:r>
            <w:rPr>
              <w:rFonts w:hint="default"/>
              <w:lang w:eastAsia="zh-CN"/>
            </w:rPr>
            <w:t>9</w:t>
          </w:r>
        </w:p>
        <w:p>
          <w:pPr>
            <w:pStyle w:val="16"/>
            <w:tabs>
              <w:tab w:val="right" w:leader="dot" w:pos="8845"/>
            </w:tabs>
            <w:spacing w:line="360" w:lineRule="auto"/>
            <w:rPr>
              <w:rFonts w:hint="default"/>
            </w:rPr>
          </w:pPr>
          <w:r>
            <w:rPr>
              <w:rFonts w:hint="eastAsia"/>
              <w:lang w:val="en-US" w:eastAsia="zh-CN"/>
            </w:rPr>
            <w:fldChar w:fldCharType="begin"/>
          </w:r>
          <w:r>
            <w:rPr>
              <w:rFonts w:hint="eastAsia"/>
              <w:lang w:val="en-US" w:eastAsia="zh-CN"/>
            </w:rPr>
            <w:instrText xml:space="preserve"> HYPERLINK \l _Toc1055109328 </w:instrText>
          </w:r>
          <w:r>
            <w:rPr>
              <w:rFonts w:hint="eastAsia"/>
              <w:lang w:val="en-US" w:eastAsia="zh-CN"/>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_Toc1055109328 \h </w:instrText>
          </w:r>
          <w:r>
            <w:fldChar w:fldCharType="separate"/>
          </w:r>
          <w:r>
            <w:fldChar w:fldCharType="end"/>
          </w:r>
          <w:r>
            <w:rPr>
              <w:rFonts w:hint="eastAsia"/>
              <w:lang w:val="en-US" w:eastAsia="zh-CN"/>
            </w:rPr>
            <w:fldChar w:fldCharType="end"/>
          </w:r>
          <w:r>
            <w:rPr>
              <w:rFonts w:hint="default"/>
              <w:lang w:eastAsia="zh-CN"/>
            </w:rPr>
            <w:t>9</w:t>
          </w:r>
        </w:p>
        <w:p>
          <w:pPr>
            <w:spacing w:line="360" w:lineRule="auto"/>
            <w:rPr>
              <w:rFonts w:hint="eastAsia" w:ascii="Calibri" w:hAnsi="Calibri" w:eastAsia="宋体" w:cs="Times New Roman"/>
              <w:color w:val="auto"/>
              <w:kern w:val="2"/>
              <w:sz w:val="21"/>
              <w:szCs w:val="24"/>
              <w:lang w:val="en-US" w:eastAsia="zh-CN" w:bidi="ar-SA"/>
            </w:rPr>
          </w:pPr>
          <w:r>
            <w:rPr>
              <w:rFonts w:hint="eastAsia"/>
              <w:lang w:val="en-US" w:eastAsia="zh-CN"/>
            </w:rPr>
            <w:fldChar w:fldCharType="end"/>
          </w:r>
        </w:p>
      </w:sdtContent>
    </w:sdt>
    <w:p>
      <w:pPr>
        <w:pStyle w:val="2"/>
        <w:rPr>
          <w:rFonts w:hint="eastAsia"/>
          <w:lang w:val="en-US" w:eastAsia="zh-CN"/>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rPr>
          <w:rFonts w:hint="eastAsia"/>
          <w:lang w:val="en-US" w:eastAsia="zh-CN"/>
        </w:rPr>
      </w:pPr>
      <w:bookmarkStart w:id="0" w:name="_Toc78142486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52786012"/>
      <w:r>
        <w:rPr>
          <w:rFonts w:hint="eastAsia" w:ascii="楷体_GB2312" w:hAnsi="楷体_GB2312" w:eastAsia="楷体_GB2312" w:cs="楷体_GB2312"/>
          <w:sz w:val="32"/>
          <w:szCs w:val="32"/>
        </w:rPr>
        <w:t>（一）职能简介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川北幼儿师范高等专科学校是经四川省人民政府批准成立的公办全日制普通高等专科学校,负责培养具有普通高等专科学历的师资人才、医药卫生人才及其他职业技术人才，负责幼儿园教师、中小学教师、基层医护人员的培训工作，负责开展人才培养、科学研究、社会服务、文化传承与创新、国际交流与合作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43502681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1.强化党建引领，汇聚高质量发展合力。深入开展习近平新时代中国特色社会主义思想凝心铸魂计划，深入贯彻学校第二次党员大会精神，细化实施强生强师强校战略；持续加强党风廉政建设，落实意识形态责任制，推进校园文化建设，巩固民族团结示范市创建成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聚焦人才培养，落实立德树人根本任务。协同推进思政课程与课程思政建设，健全“一核五聚十育四成”三全育人体系；持续开展爱心培育、行为养成、素质提升三项计划，完善“校-院-班-舍”心理健康四级联动，推进“一站式”学生社区建设，强化“教育、管理、服务”三结合学生工作模式；完善“就业-招生-培养”联动机制，加强大学生就业指导，加快优质创新创业项目孵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强化内涵建设，促进教育教学水平提高。深入实施“对标竞进”活动和“提质培优”行动计划，健全教学工作体系，集中力量推进学前教育、康养旅游专业群建设；做好1+X课证融合、现代学徒制试点和精品课程建设；启动“UGS三位一体”教师教育协同育人改革创新试验区域建设；建设教育教学质量保障和监控体系，确保内部质量平台充分运行，对人才培养全过程实施监控和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激发队伍活力，助力师资建设提质增效。不断深化教师供给侧结构性改革，切实扛起教师队伍建设主体责任；找准学校教师队伍建设的突破口和着力点，抓严抓实师德师风建设；加大学校急需的博士研究生、教授及“双师型”教师引进、培养与认证力度；继续实施科研创新团队培育计划，突出科研的现实性应用型地方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5.发挥办学功能，服务地方社会经济发展。制定落实学校帮扶工作计划，高质量开展对口帮扶；积极组织国培省培项目申报，拓宽培训领域，提升培训质效，打造培训品牌；持续深化与其他高校交流合作。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坚持服务育人，提升学校管理服务效能。进一步提升内部管理，继续完善学校传染病防控体系，强化学生健康教育，规范开展学校艾滋病、结核病等重大传染性疾病防控工作，杜绝重大传染性疾病发生；扎实做好学校后勤保障服务，不断加强校园食品安全监管和从业人员学习培训；完善学校图书馆服务教学科研功能，推进智慧图书馆项目建设，启动图书搬迁项目，实现开馆运行；深化平安校园创建，加强三防体系建设和校园综合治理，开展校园安全隐患排查和整治，有效维护师生生命健康和校园安全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优化育人环境，推进改善学校办学条件。完善财务相关制度及程序，科学合理编制预决算，用好各类专项经费，优化预算费用报销一体化系统；严格招投采购程序，加快房屋产权证办理，完善校内采购评审制度，提高国有资产管理效率和使用效益；推进数字校园建设，提升我校教育信息化水平；图书馆、校史馆投入使用，推进康复实训中心、学前教育实训中心建设，启动教学教辅用房改扩建及附属工程建设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322474318"/>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我校为一级部门预算单位，无附属或下级单位。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709527567"/>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我校所有收入和支出均纳入部门预算管理。收入包括：一般公共预算拨款收入、事业收入、其他收入；支出包括：教育支出、社会保障和就业支出、卫生健康支出、住房保障支出。我校2024年收支预算总数17884.55万元,</w:t>
      </w:r>
      <w:bookmarkStart w:id="5" w:name="_Toc654286288"/>
      <w:r>
        <w:rPr>
          <w:rFonts w:hint="eastAsia" w:ascii="仿宋_GB2312" w:hAnsi="仿宋_GB2312" w:eastAsia="仿宋_GB2312" w:cs="仿宋_GB2312"/>
          <w:sz w:val="32"/>
          <w:szCs w:val="32"/>
          <w:lang w:val="en-US" w:eastAsia="zh-CN"/>
        </w:rPr>
        <w:t>比2023年收支预算总数增加1377.50万元，主要原因是2024年学生人数增加及部分专业学费收费标准上调。</w:t>
      </w:r>
      <w:bookmarkStart w:id="21" w:name="_GoBack"/>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我校2024年收入预算17884.55万元，其中：一般公共预算拨款收入11431.15万元，占63.92%；事业收入6053.40万元，占33.85%；其他收入400万元，占2.23%。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34629429"/>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我校2024年支出预算17884.55万元，其中：基本支出14770.99万元，占82.59%；项目支出3113.56万元，占17.41%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295268697"/>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我校2024年财政拨款收支预算总数11431.15万元,比2023年财政拨款收支预算总数增加718.11万元，主要原因是2024年学生人数增加，财政生均拨款增加。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收入包括：本年一般公共预算拨款收入11431.15万元；支出包括：教育支出10304.76万元、社会保障和就业支出520.62万元、卫生健康支出232.97万元、住房保障支出372.80万元。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182790102"/>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892704367"/>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我校2024年一般公共预算当年拨款11431.15万元，比2023年预算数增加718.11万元，主要原因是2024年学生人数增加，财政生均拨款增加。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30909005"/>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教育支出10304.76万元，占90.15%；社会保障和就业支出520.62万元，占4.55%；卫生健康支出232.97万元，占2.04%；住房保障支出372.80万元，占3.26%。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024344712"/>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1.教育支出（类）职业教育（款）高等职业教育支出（项）2024年预算数为10304.76万元，主要用于：学校基本工资、津贴补贴、奖金、绩效工资、商品与服务支出、生活补助和其他支出。</w:t>
      </w:r>
    </w:p>
    <w:p>
      <w:pPr>
        <w:pStyle w:val="2"/>
        <w:ind w:left="0" w:leftChars="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2.社会保障和就业支出（类）行政事业单位养老支出（款）机关事业单位基本养老保险缴费支出（项）2024年预算数为497.01万元，主要用于：实施养老保险制度由单位缴纳的基本养老保险支出。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3.社会保障和就业支出（类）其他社会保障和就业支出（款）其他社会保障和就业支出（项）2024年预算数23.61万元，主要用于：部门按规定为职工缴纳的失业保险和工伤保险支出。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4.卫生健康支出（类）行政事业单位医疗（款）事业单位医疗（项）2024年预算数为232.97万元，主要用于：事业单位按规定由单位缴纳的基本医疗保险支出。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5.住房保障支出（类）住房改革支出（款）住房公积金（项）2024年预算数为372.80万元，主要用于：部门按规定为职工缴纳的住房公积金支出。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461961004"/>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我校2024年一般公共预算基本支出11170.59万元，其中：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人员经费10560.10万元，主要包括：基本工资、津贴补贴、奖金、绩效工资、</w:t>
      </w:r>
      <w:r>
        <w:rPr>
          <w:rFonts w:hint="default" w:ascii="仿宋_GB2312" w:hAnsi="仿宋_GB2312" w:eastAsia="仿宋_GB2312" w:cs="仿宋_GB2312"/>
          <w:sz w:val="32"/>
          <w:szCs w:val="32"/>
          <w:lang w:eastAsia="zh-CN"/>
        </w:rPr>
        <w:t>机关事业单位基本养老保险缴费、职工基本医疗保险缴费、其他社会保障缴费</w:t>
      </w:r>
      <w:r>
        <w:rPr>
          <w:rFonts w:hint="eastAsia" w:ascii="仿宋_GB2312" w:hAnsi="仿宋_GB2312" w:eastAsia="仿宋_GB2312" w:cs="仿宋_GB2312"/>
          <w:sz w:val="32"/>
          <w:szCs w:val="32"/>
          <w:lang w:val="en-US" w:eastAsia="zh-CN"/>
        </w:rPr>
        <w:t>、住房公积金、</w:t>
      </w:r>
      <w:r>
        <w:rPr>
          <w:rFonts w:hint="default" w:ascii="仿宋_GB2312" w:hAnsi="仿宋_GB2312" w:eastAsia="仿宋_GB2312" w:cs="仿宋_GB2312"/>
          <w:sz w:val="32"/>
          <w:szCs w:val="32"/>
          <w:lang w:eastAsia="zh-CN"/>
        </w:rPr>
        <w:t>其他工资福利支出、</w:t>
      </w:r>
      <w:r>
        <w:rPr>
          <w:rFonts w:hint="eastAsia" w:ascii="仿宋_GB2312" w:hAnsi="仿宋_GB2312" w:eastAsia="仿宋_GB2312" w:cs="仿宋_GB2312"/>
          <w:sz w:val="32"/>
          <w:szCs w:val="32"/>
          <w:lang w:val="en-US" w:eastAsia="zh-CN"/>
        </w:rPr>
        <w:t>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公用经费610.49万元，主要包括：办公费、水费、电费、邮电费、工会经费、福利费、其他交通费用、其他商品和服务支出等支出。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887974116"/>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13860633"/>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390849880"/>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单位现有公务用车4辆，其中：轿车3辆，越野车1辆。主要用于保障学校教学、实习实训、招生宣传等业务相关的出行活动，其经费来源是教育收费收入。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39390245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85614564"/>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316064486"/>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我校2024年无国有资本经营预算拨款安排的支出。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724631751"/>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我校2024年无机关运行经费。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2024年，我校安排政府采购预算1969.04万元，其中：政府采购货物预算916.75万元、政府采购工程预算300万元、政府采购服务预算752.29万元。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截至2023年底，我校共有车辆4辆，</w:t>
      </w:r>
      <w:r>
        <w:rPr>
          <w:rFonts w:hint="default" w:ascii="仿宋_GB2312" w:hAnsi="仿宋_GB2312" w:eastAsia="仿宋_GB2312" w:cs="仿宋_GB2312"/>
          <w:sz w:val="32"/>
          <w:szCs w:val="32"/>
          <w:lang w:eastAsia="zh-CN"/>
        </w:rPr>
        <w:t>其中：一般公务用车4辆，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2024年我校开展绩效目标管理的项目21个，涉及预算17884.55万元。其中：人员类项目6个，涉及预算11408.60万元；运转类项目3个，涉及预算3362.39万元；特定目标类项目12个，涉及预算3113.56万元。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055109328"/>
      <w:r>
        <w:rPr>
          <w:rFonts w:hint="eastAsia" w:ascii="黑体" w:hAnsi="黑体" w:eastAsia="黑体" w:cs="黑体"/>
          <w:sz w:val="32"/>
          <w:szCs w:val="32"/>
          <w:lang w:val="en-US" w:eastAsia="zh-CN"/>
        </w:rPr>
        <w:t>十一、名词解释</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指事业单位开展专业业务活动及辅助活动所取得的收入。主要为学校根据国家有关部门批准的项目和标准收取的学费、住宿费、短期培训费、考试考务费等。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指除上述“一般公共预算拨款收入”“事业收入”等以外的收入。如省考试院建设费、党建活动经费等各类非同级财政拨款收入。</w:t>
      </w:r>
      <w:r>
        <w:rPr>
          <w:rFonts w:hint="eastAsia" w:ascii="楷体_GB2312" w:hAnsi="楷体_GB2312" w:eastAsia="楷体_GB2312" w:cs="楷体_GB2312"/>
          <w:sz w:val="32"/>
          <w:szCs w:val="32"/>
          <w:lang w:val="en-US" w:eastAsia="zh-CN"/>
        </w:rPr>
        <w:br w:type="textWrapping"/>
      </w:r>
      <w:r>
        <w:rPr>
          <w:rFonts w:hint="eastAsia" w:ascii="楷体_GB2312" w:hAnsi="楷体_GB2312" w:eastAsia="楷体_GB2312" w:cs="楷体_GB2312"/>
          <w:sz w:val="32"/>
          <w:szCs w:val="32"/>
          <w:lang w:val="en-US" w:eastAsia="zh-CN"/>
        </w:rPr>
        <w:t xml:space="preserve">    （四）教育支出（类）职业教育（款）高等职业教育支出（项）：</w:t>
      </w:r>
      <w:r>
        <w:rPr>
          <w:rFonts w:hint="eastAsia" w:ascii="仿宋_GB2312" w:hAnsi="仿宋_GB2312" w:eastAsia="仿宋_GB2312" w:cs="仿宋_GB2312"/>
          <w:sz w:val="32"/>
          <w:szCs w:val="32"/>
          <w:lang w:val="en-US" w:eastAsia="zh-CN"/>
        </w:rPr>
        <w:t>指反映各部门举办的本科、专科层次职业教育支出。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（六）社会保障和就业支出（类）其他社会保障和就业支出（款）其他社会保障和就业支出（项）：</w:t>
      </w:r>
      <w:r>
        <w:rPr>
          <w:rFonts w:hint="eastAsia" w:ascii="仿宋_GB2312" w:hAnsi="仿宋_GB2312" w:eastAsia="仿宋_GB2312" w:cs="仿宋_GB2312"/>
          <w:sz w:val="32"/>
          <w:szCs w:val="32"/>
          <w:lang w:val="en-US" w:eastAsia="zh-CN"/>
        </w:rPr>
        <w:t>指部门其他用于社会保障和就业方面的支出。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（七）卫生健康（类）行政事业单位医疗（款）事业单位医疗（项）：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楷体_GB2312" w:hAnsi="楷体_GB2312" w:eastAsia="楷体_GB2312" w:cs="楷体_GB2312"/>
          <w:sz w:val="32"/>
          <w:szCs w:val="32"/>
          <w:lang w:val="en-US" w:eastAsia="zh-CN"/>
        </w:rPr>
        <w:br w:type="textWrapping"/>
      </w:r>
      <w:r>
        <w:rPr>
          <w:rFonts w:hint="eastAsia" w:ascii="楷体_GB2312" w:hAnsi="楷体_GB2312" w:eastAsia="楷体_GB2312" w:cs="楷体_GB2312"/>
          <w:sz w:val="32"/>
          <w:szCs w:val="32"/>
          <w:lang w:val="en-US" w:eastAsia="zh-CN"/>
        </w:rPr>
        <w:t>　  （八）住房保障（类）住房改革支出（款）住房公积金（项）：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（九）基本支出：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Dialog . plain">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ZjdiYWFiN2IyZmQ3YTgwYjEyMWU3ZTUyYWNhMWUifQ=="/>
  </w:docVars>
  <w:rsids>
    <w:rsidRoot w:val="00000000"/>
    <w:rsid w:val="002175C6"/>
    <w:rsid w:val="012352D1"/>
    <w:rsid w:val="02E64D83"/>
    <w:rsid w:val="05887005"/>
    <w:rsid w:val="07726EA4"/>
    <w:rsid w:val="0E143E9D"/>
    <w:rsid w:val="0F341461"/>
    <w:rsid w:val="11AC5821"/>
    <w:rsid w:val="12F068DF"/>
    <w:rsid w:val="17534DF4"/>
    <w:rsid w:val="1974331B"/>
    <w:rsid w:val="1D9F113A"/>
    <w:rsid w:val="1F7BF06F"/>
    <w:rsid w:val="1FEE4B73"/>
    <w:rsid w:val="23CE9849"/>
    <w:rsid w:val="25FC1B69"/>
    <w:rsid w:val="2CE170EE"/>
    <w:rsid w:val="30336543"/>
    <w:rsid w:val="34983880"/>
    <w:rsid w:val="372799D5"/>
    <w:rsid w:val="37CB20F2"/>
    <w:rsid w:val="39F304DD"/>
    <w:rsid w:val="3BEE98A1"/>
    <w:rsid w:val="45DC0B0B"/>
    <w:rsid w:val="4E7D0721"/>
    <w:rsid w:val="4ED40C17"/>
    <w:rsid w:val="50B941BB"/>
    <w:rsid w:val="534E7AD3"/>
    <w:rsid w:val="54244390"/>
    <w:rsid w:val="543D2ED6"/>
    <w:rsid w:val="54662A63"/>
    <w:rsid w:val="55111D29"/>
    <w:rsid w:val="576378C6"/>
    <w:rsid w:val="58064E12"/>
    <w:rsid w:val="5BFEE015"/>
    <w:rsid w:val="5D656145"/>
    <w:rsid w:val="63362C87"/>
    <w:rsid w:val="63EDCF55"/>
    <w:rsid w:val="63FBFBCF"/>
    <w:rsid w:val="65FDB5F0"/>
    <w:rsid w:val="669360FD"/>
    <w:rsid w:val="68FF6A83"/>
    <w:rsid w:val="6AEF6005"/>
    <w:rsid w:val="6B316EBA"/>
    <w:rsid w:val="6E3DB48E"/>
    <w:rsid w:val="6FBBC9CF"/>
    <w:rsid w:val="72BDE561"/>
    <w:rsid w:val="77A1659D"/>
    <w:rsid w:val="77ED81AF"/>
    <w:rsid w:val="78462278"/>
    <w:rsid w:val="7997EA6C"/>
    <w:rsid w:val="7AEAE675"/>
    <w:rsid w:val="7BAFCE5D"/>
    <w:rsid w:val="7D46598C"/>
    <w:rsid w:val="7D9F8F0F"/>
    <w:rsid w:val="7DEA045B"/>
    <w:rsid w:val="7DFB240B"/>
    <w:rsid w:val="7DFE05E7"/>
    <w:rsid w:val="7E0935ED"/>
    <w:rsid w:val="7ED422F0"/>
    <w:rsid w:val="7FB7D6EE"/>
    <w:rsid w:val="7FBBE520"/>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37762CD"/>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0"/>
    <w:pPr>
      <w:ind w:left="200" w:leftChars="200" w:hanging="200" w:hangingChars="200"/>
    </w:pPr>
    <w:rPr>
      <w:szCs w:val="24"/>
    </w:rPr>
  </w:style>
  <w:style w:type="paragraph" w:styleId="3">
    <w:name w:val="caption"/>
    <w:basedOn w:val="1"/>
    <w:next w:val="1"/>
    <w:autoRedefine/>
    <w:qFormat/>
    <w:uiPriority w:val="0"/>
    <w:pPr>
      <w:widowControl w:val="0"/>
      <w:suppressLineNumbers/>
      <w:suppressAutoHyphens/>
      <w:spacing w:before="120" w:after="120"/>
    </w:pPr>
    <w:rPr>
      <w:i/>
      <w:iCs/>
      <w:sz w:val="24"/>
      <w:szCs w:val="24"/>
    </w:rPr>
  </w:style>
  <w:style w:type="paragraph" w:styleId="4">
    <w:name w:val="annotation text"/>
    <w:basedOn w:val="1"/>
    <w:qFormat/>
    <w:uiPriority w:val="0"/>
    <w:pPr>
      <w:jc w:val="left"/>
    </w:p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character" w:customStyle="1" w:styleId="15">
    <w:name w:val="font31"/>
    <w:basedOn w:val="11"/>
    <w:qFormat/>
    <w:uiPriority w:val="0"/>
    <w:rPr>
      <w:rFonts w:ascii="Dialog . plain" w:hAnsi="Dialog . plain" w:eastAsia="Dialog . plain" w:cs="Dialog . plain"/>
      <w:color w:val="000000"/>
      <w:sz w:val="22"/>
      <w:szCs w:val="22"/>
      <w:u w:val="none"/>
    </w:r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Lightning storm</cp:lastModifiedBy>
  <dcterms:modified xsi:type="dcterms:W3CDTF">2024-02-20T04:08:42Z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