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0" w:beforeAutospacing="0" w:after="0" w:afterAutospacing="0" w:line="576" w:lineRule="exact"/>
        <w:ind w:left="0" w:right="0" w:firstLine="0"/>
        <w:jc w:val="center"/>
        <w:textAlignment w:val="auto"/>
        <w:rPr>
          <w:rFonts w:hint="eastAsia" w:ascii="方正小标宋简体" w:hAnsi="方正小标宋简体" w:eastAsia="方正小标宋简体" w:cs="方正小标宋简体"/>
          <w:b w:val="0"/>
          <w:bCs w:val="0"/>
          <w:color w:val="auto"/>
          <w:sz w:val="44"/>
          <w:szCs w:val="44"/>
          <w:lang w:val="en-US" w:eastAsia="zh-CN"/>
        </w:rPr>
      </w:pP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0" w:beforeAutospacing="0" w:after="0" w:afterAutospacing="0" w:line="576" w:lineRule="exact"/>
        <w:ind w:left="0" w:right="0" w:firstLine="0"/>
        <w:jc w:val="center"/>
        <w:textAlignment w:val="auto"/>
        <w:rPr>
          <w:rFonts w:hint="eastAsia" w:ascii="方正小标宋简体" w:hAnsi="方正小标宋简体" w:eastAsia="方正小标宋简体" w:cs="方正小标宋简体"/>
          <w:b w:val="0"/>
          <w:bCs w:val="0"/>
          <w:color w:val="auto"/>
          <w:sz w:val="44"/>
          <w:szCs w:val="44"/>
          <w:lang w:val="en-US" w:eastAsia="zh-CN"/>
        </w:rPr>
      </w:pPr>
      <w:r>
        <w:rPr>
          <w:rFonts w:hint="eastAsia" w:ascii="方正小标宋简体" w:hAnsi="方正小标宋简体" w:eastAsia="方正小标宋简体" w:cs="方正小标宋简体"/>
          <w:b w:val="0"/>
          <w:bCs w:val="0"/>
          <w:color w:val="auto"/>
          <w:sz w:val="44"/>
          <w:szCs w:val="44"/>
          <w:lang w:val="en-US" w:eastAsia="zh-CN"/>
        </w:rPr>
        <w:t>广元国际铁路港管理委员会</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0" w:beforeAutospacing="0" w:after="0" w:afterAutospacing="0" w:line="576" w:lineRule="exact"/>
        <w:ind w:left="0" w:right="0" w:firstLine="0"/>
        <w:jc w:val="center"/>
        <w:textAlignment w:val="auto"/>
        <w:rPr>
          <w:rFonts w:hint="eastAsia" w:ascii="方正小标宋简体" w:hAnsi="方正小标宋简体" w:eastAsia="方正小标宋简体" w:cs="方正小标宋简体"/>
          <w:b w:val="0"/>
          <w:bCs w:val="0"/>
          <w:i w:val="0"/>
          <w:caps w:val="0"/>
          <w:color w:val="333333"/>
          <w:spacing w:val="0"/>
          <w:kern w:val="0"/>
          <w:sz w:val="44"/>
          <w:szCs w:val="44"/>
          <w:shd w:val="clear" w:color="auto" w:fill="FFFFFF"/>
          <w:lang w:val="en-US" w:eastAsia="zh-CN" w:bidi="ar"/>
        </w:rPr>
      </w:pPr>
      <w:r>
        <w:rPr>
          <w:rFonts w:hint="default" w:ascii="方正小标宋简体" w:hAnsi="方正小标宋简体" w:eastAsia="方正小标宋简体" w:cs="方正小标宋简体"/>
          <w:b w:val="0"/>
          <w:bCs w:val="0"/>
          <w:i w:val="0"/>
          <w:caps w:val="0"/>
          <w:color w:val="333333"/>
          <w:spacing w:val="0"/>
          <w:kern w:val="0"/>
          <w:sz w:val="44"/>
          <w:szCs w:val="44"/>
          <w:shd w:val="clear" w:color="auto" w:fill="FFFFFF"/>
          <w:lang w:val="en" w:eastAsia="zh-CN" w:bidi="ar"/>
        </w:rPr>
        <w:t>2024</w:t>
      </w:r>
      <w:r>
        <w:rPr>
          <w:rFonts w:hint="eastAsia" w:ascii="方正小标宋简体" w:hAnsi="方正小标宋简体" w:eastAsia="方正小标宋简体" w:cs="方正小标宋简体"/>
          <w:b w:val="0"/>
          <w:bCs w:val="0"/>
          <w:i w:val="0"/>
          <w:caps w:val="0"/>
          <w:color w:val="333333"/>
          <w:spacing w:val="0"/>
          <w:kern w:val="0"/>
          <w:sz w:val="44"/>
          <w:szCs w:val="44"/>
          <w:shd w:val="clear" w:color="auto" w:fill="FFFFFF"/>
          <w:lang w:val="en-US" w:eastAsia="zh-CN" w:bidi="ar"/>
        </w:rPr>
        <w:t>年部门预算编制说明</w:t>
      </w:r>
    </w:p>
    <w:p>
      <w:pPr>
        <w:pStyle w:val="2"/>
        <w:rPr>
          <w:rFonts w:hint="eastAsia" w:ascii="方正小标宋简体" w:hAnsi="方正小标宋简体" w:eastAsia="方正小标宋简体" w:cs="方正小标宋简体"/>
          <w:b w:val="0"/>
          <w:bCs w:val="0"/>
          <w:i w:val="0"/>
          <w:caps w:val="0"/>
          <w:color w:val="333333"/>
          <w:spacing w:val="0"/>
          <w:kern w:val="0"/>
          <w:sz w:val="44"/>
          <w:szCs w:val="44"/>
          <w:shd w:val="clear" w:color="auto" w:fill="FFFFFF"/>
          <w:lang w:val="en-US" w:eastAsia="zh-CN" w:bidi="ar"/>
        </w:rPr>
      </w:pPr>
    </w:p>
    <w:p>
      <w:pPr>
        <w:pStyle w:val="2"/>
        <w:rPr>
          <w:rFonts w:hint="eastAsia" w:ascii="方正小标宋简体" w:hAnsi="方正小标宋简体" w:eastAsia="方正小标宋简体" w:cs="方正小标宋简体"/>
          <w:b w:val="0"/>
          <w:bCs w:val="0"/>
          <w:i w:val="0"/>
          <w:caps w:val="0"/>
          <w:color w:val="333333"/>
          <w:spacing w:val="0"/>
          <w:kern w:val="0"/>
          <w:sz w:val="44"/>
          <w:szCs w:val="44"/>
          <w:shd w:val="clear" w:color="auto" w:fill="FFFFFF"/>
          <w:lang w:val="en-US" w:eastAsia="zh-CN" w:bidi="ar"/>
        </w:rPr>
      </w:pPr>
    </w:p>
    <w:p>
      <w:pPr>
        <w:pStyle w:val="2"/>
        <w:rPr>
          <w:rFonts w:hint="eastAsia" w:ascii="方正小标宋简体" w:hAnsi="方正小标宋简体" w:eastAsia="方正小标宋简体" w:cs="方正小标宋简体"/>
          <w:b w:val="0"/>
          <w:bCs w:val="0"/>
          <w:i w:val="0"/>
          <w:caps w:val="0"/>
          <w:color w:val="333333"/>
          <w:spacing w:val="0"/>
          <w:kern w:val="0"/>
          <w:sz w:val="44"/>
          <w:szCs w:val="44"/>
          <w:shd w:val="clear" w:color="auto" w:fill="FFFFFF"/>
          <w:lang w:val="en-US" w:eastAsia="zh-CN" w:bidi="ar"/>
        </w:rPr>
      </w:pPr>
    </w:p>
    <w:p>
      <w:pPr>
        <w:pStyle w:val="2"/>
        <w:rPr>
          <w:rFonts w:hint="eastAsia" w:ascii="方正小标宋简体" w:hAnsi="方正小标宋简体" w:eastAsia="方正小标宋简体" w:cs="方正小标宋简体"/>
          <w:b w:val="0"/>
          <w:bCs w:val="0"/>
          <w:i w:val="0"/>
          <w:caps w:val="0"/>
          <w:color w:val="333333"/>
          <w:spacing w:val="0"/>
          <w:kern w:val="0"/>
          <w:sz w:val="44"/>
          <w:szCs w:val="44"/>
          <w:shd w:val="clear" w:color="auto" w:fill="FFFFFF"/>
          <w:lang w:val="en-US" w:eastAsia="zh-CN" w:bidi="ar"/>
        </w:rPr>
      </w:pPr>
    </w:p>
    <w:p>
      <w:pPr>
        <w:pStyle w:val="2"/>
        <w:rPr>
          <w:rFonts w:hint="eastAsia" w:ascii="方正小标宋简体" w:hAnsi="方正小标宋简体" w:eastAsia="方正小标宋简体" w:cs="方正小标宋简体"/>
          <w:b w:val="0"/>
          <w:bCs w:val="0"/>
          <w:i w:val="0"/>
          <w:caps w:val="0"/>
          <w:color w:val="333333"/>
          <w:spacing w:val="0"/>
          <w:kern w:val="0"/>
          <w:sz w:val="44"/>
          <w:szCs w:val="44"/>
          <w:shd w:val="clear" w:color="auto" w:fill="FFFFFF"/>
          <w:lang w:val="en-US" w:eastAsia="zh-CN" w:bidi="ar"/>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pStyle w:val="2"/>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pStyle w:val="2"/>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pStyle w:val="2"/>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pStyle w:val="2"/>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pStyle w:val="2"/>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pStyle w:val="2"/>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pStyle w:val="2"/>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pStyle w:val="2"/>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pStyle w:val="2"/>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sdt>
      <w:sdtPr>
        <w:rPr>
          <w:rFonts w:ascii="宋体" w:hAnsi="宋体" w:eastAsia="宋体" w:cs="Times New Roman"/>
          <w:color w:val="auto"/>
          <w:kern w:val="2"/>
          <w:sz w:val="21"/>
          <w:szCs w:val="24"/>
          <w:lang w:val="en-US" w:eastAsia="zh-CN" w:bidi="ar-SA"/>
        </w:rPr>
        <w:id w:val="495253899"/>
        <w15:color w:val="DBDBDB"/>
        <w:docPartObj>
          <w:docPartGallery w:val="Table of Contents"/>
          <w:docPartUnique/>
        </w:docPartObj>
      </w:sdtPr>
      <w:sdtEndPr>
        <w:rPr>
          <w:rFonts w:ascii="宋体" w:hAnsi="宋体" w:eastAsia="宋体" w:cs="Times New Roman"/>
          <w:color w:val="auto"/>
          <w:kern w:val="2"/>
          <w:sz w:val="21"/>
          <w:szCs w:val="24"/>
          <w:lang w:val="en-US" w:eastAsia="zh-CN" w:bidi="ar-SA"/>
        </w:rPr>
      </w:sdtEndPr>
      <w:sdtContent>
        <w:p>
          <w:pPr>
            <w:spacing w:before="0" w:beforeLines="0" w:after="0" w:afterLines="0" w:line="240" w:lineRule="auto"/>
            <w:ind w:left="0" w:leftChars="0" w:right="0" w:rightChars="0" w:firstLine="0" w:firstLineChars="0"/>
            <w:jc w:val="center"/>
          </w:pPr>
          <w:r>
            <w:rPr>
              <w:rFonts w:ascii="宋体" w:hAnsi="宋体" w:eastAsia="宋体"/>
              <w:sz w:val="21"/>
            </w:rPr>
            <w:t>目录</w:t>
          </w:r>
        </w:p>
        <w:p>
          <w:pPr>
            <w:pStyle w:val="14"/>
            <w:tabs>
              <w:tab w:val="right" w:leader="dot" w:pos="8845"/>
            </w:tabs>
            <w:spacing w:line="360" w:lineRule="auto"/>
          </w:pPr>
          <w:r>
            <w:fldChar w:fldCharType="begin"/>
          </w:r>
          <w:r>
            <w:instrText xml:space="preserve">TOC \o "1-3" \h \u </w:instrText>
          </w:r>
          <w:r>
            <w:fldChar w:fldCharType="separate"/>
          </w:r>
        </w:p>
        <w:p>
          <w:pPr>
            <w:pStyle w:val="14"/>
            <w:tabs>
              <w:tab w:val="right" w:leader="dot" w:pos="8845"/>
            </w:tabs>
            <w:spacing w:line="360" w:lineRule="auto"/>
          </w:pPr>
          <w:r>
            <w:fldChar w:fldCharType="begin"/>
          </w:r>
          <w:r>
            <w:instrText xml:space="preserve"> HYPERLINK \l _Toc2075322980 </w:instrText>
          </w:r>
          <w:r>
            <w:fldChar w:fldCharType="separate"/>
          </w:r>
          <w:r>
            <w:rPr>
              <w:rFonts w:hint="eastAsia" w:ascii="黑体" w:hAnsi="黑体" w:eastAsia="黑体" w:cs="黑体"/>
              <w:szCs w:val="32"/>
              <w:lang w:val="en-US" w:eastAsia="zh-CN"/>
            </w:rPr>
            <w:t>一、基本职能及主要工作</w:t>
          </w:r>
          <w:r>
            <w:tab/>
          </w:r>
          <w:r>
            <w:fldChar w:fldCharType="begin"/>
          </w:r>
          <w:r>
            <w:instrText xml:space="preserve"> PAGEREF _Toc2075322980 \h </w:instrText>
          </w:r>
          <w:r>
            <w:fldChar w:fldCharType="separate"/>
          </w:r>
          <w:r>
            <w:t>2</w:t>
          </w:r>
          <w:r>
            <w:fldChar w:fldCharType="end"/>
          </w:r>
          <w:r>
            <w:fldChar w:fldCharType="end"/>
          </w:r>
        </w:p>
        <w:p>
          <w:pPr>
            <w:pStyle w:val="15"/>
            <w:tabs>
              <w:tab w:val="right" w:leader="dot" w:pos="8845"/>
            </w:tabs>
            <w:spacing w:line="360" w:lineRule="auto"/>
          </w:pPr>
          <w:r>
            <w:fldChar w:fldCharType="begin"/>
          </w:r>
          <w:r>
            <w:instrText xml:space="preserve"> HYPERLINK \l _Toc1285637660 </w:instrText>
          </w:r>
          <w:r>
            <w:fldChar w:fldCharType="separate"/>
          </w:r>
          <w:r>
            <w:rPr>
              <w:rFonts w:hint="eastAsia" w:ascii="楷体_GB2312" w:hAnsi="楷体_GB2312" w:eastAsia="楷体_GB2312" w:cs="楷体_GB2312"/>
              <w:szCs w:val="32"/>
              <w:lang w:val="en-US" w:eastAsia="zh-CN"/>
            </w:rPr>
            <w:t>（一）单位职能简介</w:t>
          </w:r>
          <w:r>
            <w:tab/>
          </w:r>
          <w:r>
            <w:fldChar w:fldCharType="begin"/>
          </w:r>
          <w:r>
            <w:instrText xml:space="preserve"> PAGEREF _Toc1285637660 \h </w:instrText>
          </w:r>
          <w:r>
            <w:fldChar w:fldCharType="separate"/>
          </w:r>
          <w:r>
            <w:t>2</w:t>
          </w:r>
          <w:r>
            <w:fldChar w:fldCharType="end"/>
          </w:r>
          <w:r>
            <w:fldChar w:fldCharType="end"/>
          </w:r>
        </w:p>
        <w:p>
          <w:pPr>
            <w:pStyle w:val="15"/>
            <w:tabs>
              <w:tab w:val="right" w:leader="dot" w:pos="8845"/>
            </w:tabs>
            <w:spacing w:line="360" w:lineRule="auto"/>
          </w:pPr>
          <w:r>
            <w:fldChar w:fldCharType="begin"/>
          </w:r>
          <w:r>
            <w:instrText xml:space="preserve"> HYPERLINK \l _Toc627732374 </w:instrText>
          </w:r>
          <w:r>
            <w:fldChar w:fldCharType="separate"/>
          </w:r>
          <w:r>
            <w:rPr>
              <w:rFonts w:hint="eastAsia" w:ascii="楷体_GB2312" w:hAnsi="楷体_GB2312" w:eastAsia="楷体_GB2312" w:cs="楷体_GB2312"/>
              <w:szCs w:val="32"/>
            </w:rPr>
            <w:t>（二）</w:t>
          </w:r>
          <w:r>
            <w:rPr>
              <w:rFonts w:hint="eastAsia" w:ascii="楷体_GB2312" w:hAnsi="楷体_GB2312" w:eastAsia="楷体_GB2312" w:cs="楷体_GB2312"/>
              <w:szCs w:val="32"/>
              <w:lang w:val="en-US"/>
            </w:rPr>
            <w:t>2024</w:t>
          </w:r>
          <w:r>
            <w:rPr>
              <w:rFonts w:hint="eastAsia" w:ascii="楷体_GB2312" w:hAnsi="楷体_GB2312" w:eastAsia="楷体_GB2312" w:cs="楷体_GB2312"/>
              <w:szCs w:val="32"/>
            </w:rPr>
            <w:t>年重点工作</w:t>
          </w:r>
          <w:r>
            <w:tab/>
          </w:r>
          <w:r>
            <w:fldChar w:fldCharType="begin"/>
          </w:r>
          <w:r>
            <w:instrText xml:space="preserve"> PAGEREF _Toc627732374 \h </w:instrText>
          </w:r>
          <w:r>
            <w:fldChar w:fldCharType="separate"/>
          </w:r>
          <w:r>
            <w:t>3</w:t>
          </w:r>
          <w:r>
            <w:fldChar w:fldCharType="end"/>
          </w:r>
          <w:r>
            <w:fldChar w:fldCharType="end"/>
          </w:r>
        </w:p>
        <w:p>
          <w:pPr>
            <w:pStyle w:val="14"/>
            <w:tabs>
              <w:tab w:val="right" w:leader="dot" w:pos="8845"/>
            </w:tabs>
            <w:spacing w:line="360" w:lineRule="auto"/>
          </w:pPr>
          <w:r>
            <w:fldChar w:fldCharType="begin"/>
          </w:r>
          <w:r>
            <w:instrText xml:space="preserve"> HYPERLINK \l _Toc22967797 </w:instrText>
          </w:r>
          <w:r>
            <w:fldChar w:fldCharType="separate"/>
          </w:r>
          <w:r>
            <w:rPr>
              <w:rFonts w:hint="eastAsia" w:ascii="黑体" w:hAnsi="黑体" w:eastAsia="黑体" w:cs="黑体"/>
              <w:szCs w:val="32"/>
              <w:lang w:val="en-US" w:eastAsia="zh-CN"/>
            </w:rPr>
            <w:t>二、部门预算单位构成</w:t>
          </w:r>
          <w:r>
            <w:tab/>
          </w:r>
          <w:r>
            <w:fldChar w:fldCharType="begin"/>
          </w:r>
          <w:r>
            <w:instrText xml:space="preserve"> PAGEREF _Toc22967797 \h </w:instrText>
          </w:r>
          <w:r>
            <w:fldChar w:fldCharType="separate"/>
          </w:r>
          <w:r>
            <w:t>6</w:t>
          </w:r>
          <w:r>
            <w:fldChar w:fldCharType="end"/>
          </w:r>
          <w:r>
            <w:fldChar w:fldCharType="end"/>
          </w:r>
        </w:p>
        <w:p>
          <w:pPr>
            <w:pStyle w:val="14"/>
            <w:tabs>
              <w:tab w:val="right" w:leader="dot" w:pos="8845"/>
            </w:tabs>
            <w:spacing w:line="360" w:lineRule="auto"/>
          </w:pPr>
          <w:r>
            <w:fldChar w:fldCharType="begin"/>
          </w:r>
          <w:r>
            <w:instrText xml:space="preserve"> HYPERLINK \l _Toc200894450 </w:instrText>
          </w:r>
          <w:r>
            <w:fldChar w:fldCharType="separate"/>
          </w:r>
          <w:r>
            <w:rPr>
              <w:rFonts w:hint="eastAsia" w:ascii="黑体" w:hAnsi="黑体" w:eastAsia="黑体" w:cs="黑体"/>
              <w:szCs w:val="32"/>
              <w:lang w:val="en-US" w:eastAsia="zh-CN"/>
            </w:rPr>
            <w:t>三、收支预算情况说明</w:t>
          </w:r>
          <w:r>
            <w:tab/>
          </w:r>
          <w:r>
            <w:fldChar w:fldCharType="begin"/>
          </w:r>
          <w:r>
            <w:instrText xml:space="preserve"> PAGEREF _Toc200894450 \h </w:instrText>
          </w:r>
          <w:r>
            <w:fldChar w:fldCharType="separate"/>
          </w:r>
          <w:r>
            <w:t>6</w:t>
          </w:r>
          <w:r>
            <w:fldChar w:fldCharType="end"/>
          </w:r>
          <w:r>
            <w:fldChar w:fldCharType="end"/>
          </w:r>
        </w:p>
        <w:p>
          <w:pPr>
            <w:pStyle w:val="15"/>
            <w:tabs>
              <w:tab w:val="right" w:leader="dot" w:pos="8845"/>
            </w:tabs>
            <w:spacing w:line="360" w:lineRule="auto"/>
          </w:pPr>
          <w:r>
            <w:fldChar w:fldCharType="begin"/>
          </w:r>
          <w:r>
            <w:instrText xml:space="preserve"> HYPERLINK \l _Toc929896847 </w:instrText>
          </w:r>
          <w:r>
            <w:fldChar w:fldCharType="separate"/>
          </w:r>
          <w:r>
            <w:rPr>
              <w:rFonts w:hint="eastAsia" w:ascii="楷体_GB2312" w:hAnsi="楷体_GB2312" w:eastAsia="楷体_GB2312" w:cs="楷体_GB2312"/>
              <w:szCs w:val="32"/>
              <w:lang w:val="en-US" w:eastAsia="zh-CN"/>
            </w:rPr>
            <w:t>（一）收入预算情况</w:t>
          </w:r>
          <w:r>
            <w:tab/>
          </w:r>
          <w:r>
            <w:fldChar w:fldCharType="begin"/>
          </w:r>
          <w:r>
            <w:instrText xml:space="preserve"> PAGEREF _Toc929896847 \h </w:instrText>
          </w:r>
          <w:r>
            <w:fldChar w:fldCharType="separate"/>
          </w:r>
          <w:r>
            <w:t>6</w:t>
          </w:r>
          <w:r>
            <w:fldChar w:fldCharType="end"/>
          </w:r>
          <w:r>
            <w:fldChar w:fldCharType="end"/>
          </w:r>
        </w:p>
        <w:p>
          <w:pPr>
            <w:pStyle w:val="15"/>
            <w:tabs>
              <w:tab w:val="right" w:leader="dot" w:pos="8845"/>
            </w:tabs>
            <w:spacing w:line="360" w:lineRule="auto"/>
          </w:pPr>
          <w:r>
            <w:fldChar w:fldCharType="begin"/>
          </w:r>
          <w:r>
            <w:instrText xml:space="preserve"> HYPERLINK \l _Toc530653602 </w:instrText>
          </w:r>
          <w:r>
            <w:fldChar w:fldCharType="separate"/>
          </w:r>
          <w:r>
            <w:rPr>
              <w:rFonts w:hint="eastAsia" w:ascii="楷体_GB2312" w:hAnsi="楷体_GB2312" w:eastAsia="楷体_GB2312" w:cs="楷体_GB2312"/>
              <w:szCs w:val="32"/>
              <w:lang w:val="en-US" w:eastAsia="zh-CN"/>
            </w:rPr>
            <w:t>（二）支出预算情况</w:t>
          </w:r>
          <w:r>
            <w:tab/>
          </w:r>
          <w:r>
            <w:fldChar w:fldCharType="begin"/>
          </w:r>
          <w:r>
            <w:instrText xml:space="preserve"> PAGEREF _Toc530653602 \h </w:instrText>
          </w:r>
          <w:r>
            <w:fldChar w:fldCharType="separate"/>
          </w:r>
          <w:r>
            <w:t>6</w:t>
          </w:r>
          <w:r>
            <w:fldChar w:fldCharType="end"/>
          </w:r>
          <w:r>
            <w:fldChar w:fldCharType="end"/>
          </w:r>
        </w:p>
        <w:p>
          <w:pPr>
            <w:pStyle w:val="14"/>
            <w:tabs>
              <w:tab w:val="right" w:leader="dot" w:pos="8845"/>
            </w:tabs>
            <w:spacing w:line="360" w:lineRule="auto"/>
          </w:pPr>
          <w:r>
            <w:fldChar w:fldCharType="begin"/>
          </w:r>
          <w:r>
            <w:instrText xml:space="preserve"> HYPERLINK \l _Toc208037201 </w:instrText>
          </w:r>
          <w:r>
            <w:fldChar w:fldCharType="separate"/>
          </w:r>
          <w:r>
            <w:rPr>
              <w:rFonts w:hint="eastAsia" w:ascii="黑体" w:hAnsi="黑体" w:eastAsia="黑体" w:cs="黑体"/>
              <w:szCs w:val="32"/>
              <w:lang w:val="en-US" w:eastAsia="zh-CN"/>
            </w:rPr>
            <w:t>四、财政拨款收支预算情况说明</w:t>
          </w:r>
          <w:r>
            <w:tab/>
          </w:r>
          <w:r>
            <w:fldChar w:fldCharType="begin"/>
          </w:r>
          <w:r>
            <w:instrText xml:space="preserve"> PAGEREF _Toc208037201 \h </w:instrText>
          </w:r>
          <w:r>
            <w:fldChar w:fldCharType="separate"/>
          </w:r>
          <w:r>
            <w:t>6</w:t>
          </w:r>
          <w:r>
            <w:fldChar w:fldCharType="end"/>
          </w:r>
          <w:r>
            <w:fldChar w:fldCharType="end"/>
          </w:r>
        </w:p>
        <w:p>
          <w:pPr>
            <w:pStyle w:val="14"/>
            <w:tabs>
              <w:tab w:val="right" w:leader="dot" w:pos="8845"/>
            </w:tabs>
            <w:spacing w:line="360" w:lineRule="auto"/>
          </w:pPr>
          <w:r>
            <w:fldChar w:fldCharType="begin"/>
          </w:r>
          <w:r>
            <w:instrText xml:space="preserve"> HYPERLINK \l _Toc2102280582 </w:instrText>
          </w:r>
          <w:r>
            <w:fldChar w:fldCharType="separate"/>
          </w:r>
          <w:r>
            <w:rPr>
              <w:rFonts w:hint="eastAsia" w:ascii="黑体" w:hAnsi="黑体" w:eastAsia="黑体" w:cs="黑体"/>
              <w:szCs w:val="32"/>
              <w:lang w:val="en-US" w:eastAsia="zh-CN"/>
            </w:rPr>
            <w:t>五、一般公共预算当年拨款情况说明</w:t>
          </w:r>
          <w:r>
            <w:tab/>
          </w:r>
          <w:r>
            <w:fldChar w:fldCharType="begin"/>
          </w:r>
          <w:r>
            <w:instrText xml:space="preserve"> PAGEREF _Toc2102280582 \h </w:instrText>
          </w:r>
          <w:r>
            <w:fldChar w:fldCharType="separate"/>
          </w:r>
          <w:r>
            <w:t>7</w:t>
          </w:r>
          <w:r>
            <w:fldChar w:fldCharType="end"/>
          </w:r>
          <w:r>
            <w:fldChar w:fldCharType="end"/>
          </w:r>
        </w:p>
        <w:p>
          <w:pPr>
            <w:pStyle w:val="15"/>
            <w:tabs>
              <w:tab w:val="right" w:leader="dot" w:pos="8845"/>
            </w:tabs>
            <w:spacing w:line="360" w:lineRule="auto"/>
          </w:pPr>
          <w:r>
            <w:fldChar w:fldCharType="begin"/>
          </w:r>
          <w:r>
            <w:instrText xml:space="preserve"> HYPERLINK \l _Toc126350098 </w:instrText>
          </w:r>
          <w:r>
            <w:fldChar w:fldCharType="separate"/>
          </w:r>
          <w:r>
            <w:rPr>
              <w:rFonts w:hint="eastAsia" w:ascii="楷体_GB2312" w:hAnsi="楷体_GB2312" w:eastAsia="楷体_GB2312" w:cs="楷体_GB2312"/>
              <w:szCs w:val="32"/>
              <w:lang w:val="en-US" w:eastAsia="zh-CN"/>
            </w:rPr>
            <w:t>（一）一般公共预算当年拨款规模变化情况</w:t>
          </w:r>
          <w:r>
            <w:tab/>
          </w:r>
          <w:r>
            <w:fldChar w:fldCharType="begin"/>
          </w:r>
          <w:r>
            <w:instrText xml:space="preserve"> PAGEREF _Toc126350098 \h </w:instrText>
          </w:r>
          <w:r>
            <w:fldChar w:fldCharType="separate"/>
          </w:r>
          <w:r>
            <w:t>7</w:t>
          </w:r>
          <w:r>
            <w:fldChar w:fldCharType="end"/>
          </w:r>
          <w:r>
            <w:fldChar w:fldCharType="end"/>
          </w:r>
        </w:p>
        <w:p>
          <w:pPr>
            <w:pStyle w:val="15"/>
            <w:tabs>
              <w:tab w:val="right" w:leader="dot" w:pos="8845"/>
            </w:tabs>
            <w:spacing w:line="360" w:lineRule="auto"/>
          </w:pPr>
          <w:r>
            <w:fldChar w:fldCharType="begin"/>
          </w:r>
          <w:r>
            <w:instrText xml:space="preserve"> HYPERLINK \l _Toc1570298392 </w:instrText>
          </w:r>
          <w:r>
            <w:fldChar w:fldCharType="separate"/>
          </w:r>
          <w:r>
            <w:rPr>
              <w:rFonts w:hint="eastAsia" w:ascii="楷体_GB2312" w:hAnsi="楷体_GB2312" w:eastAsia="楷体_GB2312" w:cs="楷体_GB2312"/>
              <w:szCs w:val="32"/>
              <w:lang w:val="en-US" w:eastAsia="zh-CN"/>
            </w:rPr>
            <w:t>（二）一般公共预算当年拨款结构情况</w:t>
          </w:r>
          <w:r>
            <w:tab/>
          </w:r>
          <w:r>
            <w:fldChar w:fldCharType="begin"/>
          </w:r>
          <w:r>
            <w:instrText xml:space="preserve"> PAGEREF _Toc1570298392 \h </w:instrText>
          </w:r>
          <w:r>
            <w:fldChar w:fldCharType="separate"/>
          </w:r>
          <w:r>
            <w:t>7</w:t>
          </w:r>
          <w:r>
            <w:fldChar w:fldCharType="end"/>
          </w:r>
          <w:r>
            <w:fldChar w:fldCharType="end"/>
          </w:r>
        </w:p>
        <w:p>
          <w:pPr>
            <w:pStyle w:val="15"/>
            <w:tabs>
              <w:tab w:val="right" w:leader="dot" w:pos="8845"/>
            </w:tabs>
            <w:spacing w:line="360" w:lineRule="auto"/>
          </w:pPr>
          <w:r>
            <w:fldChar w:fldCharType="begin"/>
          </w:r>
          <w:r>
            <w:instrText xml:space="preserve"> HYPERLINK \l _Toc141238905 </w:instrText>
          </w:r>
          <w:r>
            <w:fldChar w:fldCharType="separate"/>
          </w:r>
          <w:r>
            <w:rPr>
              <w:rFonts w:hint="eastAsia" w:ascii="楷体_GB2312" w:hAnsi="楷体_GB2312" w:eastAsia="楷体_GB2312" w:cs="楷体_GB2312"/>
              <w:szCs w:val="32"/>
              <w:lang w:val="en-US" w:eastAsia="zh-CN"/>
            </w:rPr>
            <w:t>（三）一般公共预算当年拨款具体使用情况</w:t>
          </w:r>
          <w:r>
            <w:tab/>
          </w:r>
          <w:r>
            <w:fldChar w:fldCharType="begin"/>
          </w:r>
          <w:r>
            <w:instrText xml:space="preserve"> PAGEREF _Toc141238905 \h </w:instrText>
          </w:r>
          <w:r>
            <w:fldChar w:fldCharType="separate"/>
          </w:r>
          <w:r>
            <w:t>7</w:t>
          </w:r>
          <w:r>
            <w:fldChar w:fldCharType="end"/>
          </w:r>
          <w:r>
            <w:fldChar w:fldCharType="end"/>
          </w:r>
        </w:p>
        <w:p>
          <w:pPr>
            <w:pStyle w:val="14"/>
            <w:tabs>
              <w:tab w:val="right" w:leader="dot" w:pos="8845"/>
            </w:tabs>
            <w:spacing w:line="360" w:lineRule="auto"/>
          </w:pPr>
          <w:r>
            <w:fldChar w:fldCharType="begin"/>
          </w:r>
          <w:r>
            <w:instrText xml:space="preserve"> HYPERLINK \l _Toc369028538 </w:instrText>
          </w:r>
          <w:r>
            <w:fldChar w:fldCharType="separate"/>
          </w:r>
          <w:r>
            <w:rPr>
              <w:rFonts w:hint="eastAsia" w:ascii="黑体" w:hAnsi="黑体" w:eastAsia="黑体" w:cs="黑体"/>
              <w:szCs w:val="32"/>
              <w:lang w:val="en-US" w:eastAsia="zh-CN"/>
            </w:rPr>
            <w:t>六、一般公共预算基本支出情况说明</w:t>
          </w:r>
          <w:r>
            <w:tab/>
          </w:r>
          <w:r>
            <w:fldChar w:fldCharType="begin"/>
          </w:r>
          <w:r>
            <w:instrText xml:space="preserve"> PAGEREF _Toc369028538 \h </w:instrText>
          </w:r>
          <w:r>
            <w:fldChar w:fldCharType="separate"/>
          </w:r>
          <w:r>
            <w:t>8</w:t>
          </w:r>
          <w:r>
            <w:fldChar w:fldCharType="end"/>
          </w:r>
          <w:r>
            <w:fldChar w:fldCharType="end"/>
          </w:r>
        </w:p>
        <w:p>
          <w:pPr>
            <w:pStyle w:val="14"/>
            <w:tabs>
              <w:tab w:val="right" w:leader="dot" w:pos="8845"/>
            </w:tabs>
            <w:spacing w:line="360" w:lineRule="auto"/>
          </w:pPr>
          <w:r>
            <w:fldChar w:fldCharType="begin"/>
          </w:r>
          <w:r>
            <w:instrText xml:space="preserve"> HYPERLINK \l _Toc1903456391 </w:instrText>
          </w:r>
          <w:r>
            <w:fldChar w:fldCharType="separate"/>
          </w:r>
          <w:r>
            <w:rPr>
              <w:rFonts w:hint="eastAsia" w:ascii="黑体" w:hAnsi="黑体" w:eastAsia="黑体" w:cs="黑体"/>
              <w:szCs w:val="32"/>
              <w:lang w:val="en-US" w:eastAsia="zh-CN"/>
            </w:rPr>
            <w:t>七、“三公”经费财政拨款预算安排情况说明</w:t>
          </w:r>
          <w:r>
            <w:tab/>
          </w:r>
          <w:r>
            <w:fldChar w:fldCharType="begin"/>
          </w:r>
          <w:r>
            <w:instrText xml:space="preserve"> PAGEREF _Toc1903456391 \h </w:instrText>
          </w:r>
          <w:r>
            <w:fldChar w:fldCharType="separate"/>
          </w:r>
          <w:r>
            <w:t>8</w:t>
          </w:r>
          <w:r>
            <w:fldChar w:fldCharType="end"/>
          </w:r>
          <w:r>
            <w:fldChar w:fldCharType="end"/>
          </w:r>
        </w:p>
        <w:p>
          <w:pPr>
            <w:pStyle w:val="15"/>
            <w:tabs>
              <w:tab w:val="right" w:leader="dot" w:pos="8845"/>
            </w:tabs>
            <w:spacing w:line="360" w:lineRule="auto"/>
          </w:pPr>
          <w:r>
            <w:fldChar w:fldCharType="begin"/>
          </w:r>
          <w:r>
            <w:instrText xml:space="preserve"> HYPERLINK \l _Toc1035392363 </w:instrText>
          </w:r>
          <w:r>
            <w:fldChar w:fldCharType="separate"/>
          </w:r>
          <w:r>
            <w:rPr>
              <w:rFonts w:hint="eastAsia" w:ascii="楷体_GB2312" w:hAnsi="楷体_GB2312" w:eastAsia="楷体_GB2312" w:cs="楷体_GB2312"/>
              <w:szCs w:val="32"/>
              <w:lang w:val="en-US" w:eastAsia="zh-CN"/>
            </w:rPr>
            <w:t>（一）公务接待费</w:t>
          </w:r>
          <w:r>
            <w:tab/>
          </w:r>
          <w:r>
            <w:fldChar w:fldCharType="begin"/>
          </w:r>
          <w:r>
            <w:instrText xml:space="preserve"> PAGEREF _Toc1035392363 \h </w:instrText>
          </w:r>
          <w:r>
            <w:fldChar w:fldCharType="separate"/>
          </w:r>
          <w:r>
            <w:t>8</w:t>
          </w:r>
          <w:r>
            <w:fldChar w:fldCharType="end"/>
          </w:r>
          <w:r>
            <w:fldChar w:fldCharType="end"/>
          </w:r>
        </w:p>
        <w:p>
          <w:pPr>
            <w:pStyle w:val="15"/>
            <w:tabs>
              <w:tab w:val="right" w:leader="dot" w:pos="8845"/>
            </w:tabs>
            <w:spacing w:line="360" w:lineRule="auto"/>
          </w:pPr>
          <w:r>
            <w:fldChar w:fldCharType="begin"/>
          </w:r>
          <w:r>
            <w:instrText xml:space="preserve"> HYPERLINK \l _Toc1349528298 </w:instrText>
          </w:r>
          <w:r>
            <w:fldChar w:fldCharType="separate"/>
          </w:r>
          <w:r>
            <w:rPr>
              <w:rFonts w:hint="eastAsia" w:ascii="楷体_GB2312" w:hAnsi="楷体_GB2312" w:eastAsia="楷体_GB2312" w:cs="楷体_GB2312"/>
              <w:szCs w:val="32"/>
              <w:lang w:val="en-US" w:eastAsia="zh-CN"/>
            </w:rPr>
            <w:t>（二） 公务用车购置及运行维护费</w:t>
          </w:r>
          <w:r>
            <w:tab/>
          </w:r>
          <w:r>
            <w:fldChar w:fldCharType="begin"/>
          </w:r>
          <w:r>
            <w:instrText xml:space="preserve"> PAGEREF _Toc1349528298 \h </w:instrText>
          </w:r>
          <w:r>
            <w:fldChar w:fldCharType="separate"/>
          </w:r>
          <w:r>
            <w:t>9</w:t>
          </w:r>
          <w:r>
            <w:fldChar w:fldCharType="end"/>
          </w:r>
          <w:r>
            <w:fldChar w:fldCharType="end"/>
          </w:r>
        </w:p>
        <w:p>
          <w:pPr>
            <w:pStyle w:val="15"/>
            <w:tabs>
              <w:tab w:val="right" w:leader="dot" w:pos="8845"/>
            </w:tabs>
            <w:spacing w:line="360" w:lineRule="auto"/>
          </w:pPr>
          <w:r>
            <w:fldChar w:fldCharType="begin"/>
          </w:r>
          <w:r>
            <w:instrText xml:space="preserve"> HYPERLINK \l _Toc753914783 </w:instrText>
          </w:r>
          <w:r>
            <w:fldChar w:fldCharType="separate"/>
          </w:r>
          <w:r>
            <w:rPr>
              <w:rFonts w:hint="eastAsia" w:ascii="仿宋_GB2312" w:hAnsi="仿宋_GB2312" w:eastAsia="仿宋_GB2312" w:cs="仿宋_GB2312"/>
              <w:szCs w:val="32"/>
              <w:lang w:val="en-US" w:eastAsia="zh-CN"/>
            </w:rPr>
            <w:t>（</w:t>
          </w:r>
          <w:r>
            <w:rPr>
              <w:rFonts w:hint="eastAsia" w:ascii="楷体_GB2312" w:hAnsi="楷体_GB2312" w:eastAsia="楷体_GB2312" w:cs="楷体_GB2312"/>
              <w:szCs w:val="32"/>
              <w:lang w:val="en-US" w:eastAsia="zh-CN"/>
            </w:rPr>
            <w:t>三）因公出国（境）经费</w:t>
          </w:r>
          <w:r>
            <w:tab/>
          </w:r>
          <w:r>
            <w:fldChar w:fldCharType="begin"/>
          </w:r>
          <w:r>
            <w:instrText xml:space="preserve"> PAGEREF _Toc753914783 \h </w:instrText>
          </w:r>
          <w:r>
            <w:fldChar w:fldCharType="separate"/>
          </w:r>
          <w:r>
            <w:t>9</w:t>
          </w:r>
          <w:r>
            <w:fldChar w:fldCharType="end"/>
          </w:r>
          <w:r>
            <w:fldChar w:fldCharType="end"/>
          </w:r>
        </w:p>
        <w:p>
          <w:pPr>
            <w:pStyle w:val="14"/>
            <w:tabs>
              <w:tab w:val="right" w:leader="dot" w:pos="8845"/>
            </w:tabs>
            <w:spacing w:line="360" w:lineRule="auto"/>
          </w:pPr>
          <w:r>
            <w:fldChar w:fldCharType="begin"/>
          </w:r>
          <w:r>
            <w:instrText xml:space="preserve"> HYPERLINK \l _Toc626637779 </w:instrText>
          </w:r>
          <w:r>
            <w:fldChar w:fldCharType="separate"/>
          </w:r>
          <w:r>
            <w:rPr>
              <w:rFonts w:hint="eastAsia" w:ascii="黑体" w:hAnsi="黑体" w:eastAsia="黑体" w:cs="黑体"/>
              <w:szCs w:val="32"/>
              <w:lang w:val="en-US" w:eastAsia="zh-CN"/>
            </w:rPr>
            <w:t>八、政府性基金预算支出情况说明</w:t>
          </w:r>
          <w:r>
            <w:tab/>
          </w:r>
          <w:r>
            <w:fldChar w:fldCharType="begin"/>
          </w:r>
          <w:r>
            <w:instrText xml:space="preserve"> PAGEREF _Toc626637779 \h </w:instrText>
          </w:r>
          <w:r>
            <w:fldChar w:fldCharType="separate"/>
          </w:r>
          <w:r>
            <w:t>9</w:t>
          </w:r>
          <w:r>
            <w:fldChar w:fldCharType="end"/>
          </w:r>
          <w:r>
            <w:fldChar w:fldCharType="end"/>
          </w:r>
        </w:p>
        <w:p>
          <w:pPr>
            <w:pStyle w:val="14"/>
            <w:tabs>
              <w:tab w:val="right" w:leader="dot" w:pos="8845"/>
            </w:tabs>
            <w:spacing w:line="360" w:lineRule="auto"/>
          </w:pPr>
          <w:r>
            <w:fldChar w:fldCharType="begin"/>
          </w:r>
          <w:r>
            <w:instrText xml:space="preserve"> HYPERLINK \l _Toc211829349 </w:instrText>
          </w:r>
          <w:r>
            <w:fldChar w:fldCharType="separate"/>
          </w:r>
          <w:r>
            <w:rPr>
              <w:rFonts w:hint="eastAsia" w:ascii="黑体" w:hAnsi="黑体" w:eastAsia="黑体" w:cs="黑体"/>
              <w:szCs w:val="32"/>
              <w:lang w:val="en-US" w:eastAsia="zh-CN"/>
            </w:rPr>
            <w:t>九、国有资本经营预算支出情况说明</w:t>
          </w:r>
          <w:r>
            <w:tab/>
          </w:r>
          <w:r>
            <w:fldChar w:fldCharType="begin"/>
          </w:r>
          <w:r>
            <w:instrText xml:space="preserve"> PAGEREF _Toc211829349 \h </w:instrText>
          </w:r>
          <w:r>
            <w:fldChar w:fldCharType="separate"/>
          </w:r>
          <w:r>
            <w:t>9</w:t>
          </w:r>
          <w:r>
            <w:fldChar w:fldCharType="end"/>
          </w:r>
          <w:r>
            <w:fldChar w:fldCharType="end"/>
          </w:r>
        </w:p>
        <w:p>
          <w:pPr>
            <w:pStyle w:val="14"/>
            <w:tabs>
              <w:tab w:val="right" w:leader="dot" w:pos="8845"/>
            </w:tabs>
            <w:spacing w:line="360" w:lineRule="auto"/>
          </w:pPr>
          <w:r>
            <w:fldChar w:fldCharType="begin"/>
          </w:r>
          <w:r>
            <w:instrText xml:space="preserve"> HYPERLINK \l _Toc285588229 </w:instrText>
          </w:r>
          <w:r>
            <w:fldChar w:fldCharType="separate"/>
          </w:r>
          <w:r>
            <w:rPr>
              <w:rFonts w:hint="eastAsia" w:ascii="黑体" w:hAnsi="黑体" w:eastAsia="黑体" w:cs="黑体"/>
              <w:szCs w:val="32"/>
              <w:lang w:val="en-US" w:eastAsia="zh-CN"/>
            </w:rPr>
            <w:t>十、其他重要事项的情况说明</w:t>
          </w:r>
          <w:r>
            <w:tab/>
          </w:r>
          <w:r>
            <w:fldChar w:fldCharType="begin"/>
          </w:r>
          <w:r>
            <w:instrText xml:space="preserve"> PAGEREF _Toc285588229 \h </w:instrText>
          </w:r>
          <w:r>
            <w:fldChar w:fldCharType="separate"/>
          </w:r>
          <w:r>
            <w:t>9</w:t>
          </w:r>
          <w:r>
            <w:fldChar w:fldCharType="end"/>
          </w:r>
          <w:r>
            <w:fldChar w:fldCharType="end"/>
          </w:r>
        </w:p>
        <w:p>
          <w:pPr>
            <w:pStyle w:val="14"/>
            <w:tabs>
              <w:tab w:val="right" w:leader="dot" w:pos="8845"/>
            </w:tabs>
            <w:spacing w:line="360" w:lineRule="auto"/>
          </w:pPr>
          <w:r>
            <w:fldChar w:fldCharType="begin"/>
          </w:r>
          <w:r>
            <w:instrText xml:space="preserve"> HYPERLINK \l _Toc1797832084 </w:instrText>
          </w:r>
          <w:r>
            <w:fldChar w:fldCharType="separate"/>
          </w:r>
          <w:r>
            <w:rPr>
              <w:rFonts w:hint="eastAsia" w:ascii="黑体" w:hAnsi="黑体" w:eastAsia="黑体" w:cs="黑体"/>
              <w:szCs w:val="32"/>
              <w:lang w:val="en-US" w:eastAsia="zh-CN"/>
            </w:rPr>
            <w:t>十一、名词解释</w:t>
          </w:r>
          <w:r>
            <w:tab/>
          </w:r>
          <w:r>
            <w:fldChar w:fldCharType="begin"/>
          </w:r>
          <w:r>
            <w:instrText xml:space="preserve"> PAGEREF _Toc1797832084 \h </w:instrText>
          </w:r>
          <w:r>
            <w:fldChar w:fldCharType="separate"/>
          </w:r>
          <w:r>
            <w:t>10</w:t>
          </w:r>
          <w:r>
            <w:fldChar w:fldCharType="end"/>
          </w:r>
          <w:r>
            <w:fldChar w:fldCharType="end"/>
          </w:r>
        </w:p>
        <w:p>
          <w:pPr>
            <w:spacing w:line="360" w:lineRule="auto"/>
          </w:pPr>
          <w:r>
            <w:fldChar w:fldCharType="end"/>
          </w:r>
        </w:p>
      </w:sdtContent>
    </w:sdt>
    <w:p>
      <w:pPr>
        <w:spacing w:line="300" w:lineRule="auto"/>
      </w:pP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300" w:lineRule="auto"/>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0" w:name="_Toc2075322980"/>
      <w:r>
        <w:rPr>
          <w:rFonts w:hint="eastAsia" w:ascii="黑体" w:hAnsi="黑体" w:eastAsia="黑体" w:cs="黑体"/>
          <w:sz w:val="32"/>
          <w:szCs w:val="32"/>
          <w:lang w:val="en-US" w:eastAsia="zh-CN"/>
        </w:rPr>
        <w:t>一、基本职能及主要工作</w:t>
      </w:r>
      <w:bookmarkEnd w:id="0"/>
    </w:p>
    <w:p>
      <w:pPr>
        <w:keepNext w:val="0"/>
        <w:keepLines w:val="0"/>
        <w:pageBreakBefore w:val="0"/>
        <w:widowControl w:val="0"/>
        <w:suppressAutoHyphens/>
        <w:kinsoku/>
        <w:wordWrap/>
        <w:overflowPunct/>
        <w:topLinePunct w:val="0"/>
        <w:autoSpaceDE/>
        <w:autoSpaceDN/>
        <w:bidi w:val="0"/>
        <w:adjustRightInd/>
        <w:snapToGrid/>
        <w:spacing w:line="576" w:lineRule="exact"/>
        <w:ind w:firstLine="585" w:firstLineChars="183"/>
        <w:textAlignment w:val="auto"/>
        <w:outlineLvl w:val="1"/>
        <w:rPr>
          <w:rFonts w:hint="eastAsia" w:ascii="楷体_GB2312" w:hAnsi="楷体_GB2312" w:eastAsia="楷体_GB2312" w:cs="楷体_GB2312"/>
          <w:color w:val="auto"/>
          <w:sz w:val="32"/>
          <w:szCs w:val="32"/>
          <w:lang w:val="en-US" w:eastAsia="zh-CN"/>
        </w:rPr>
      </w:pPr>
      <w:bookmarkStart w:id="1" w:name="_Toc1285637660"/>
      <w:r>
        <w:rPr>
          <w:rFonts w:hint="eastAsia" w:ascii="楷体_GB2312" w:hAnsi="楷体_GB2312" w:eastAsia="楷体_GB2312" w:cs="楷体_GB2312"/>
          <w:color w:val="auto"/>
          <w:sz w:val="32"/>
          <w:szCs w:val="32"/>
          <w:lang w:val="en-US" w:eastAsia="zh-CN"/>
        </w:rPr>
        <w:t>（一）单位职能简介</w:t>
      </w:r>
      <w:bookmarkEnd w:id="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1．贯彻执行党中央和省委、市委关于园区和产业功能区的法律、法规和政策。</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2．负责机关党建和广元国际铁路港规划区企事业单位党的建设、组织建设等工作。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3．负责广元国际铁路港发展建设的总体推进。</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4．负责现代物流、国际贸易、保税加工等主导产业的发展。</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5．负责项目招商引资、对外合作和宣传推介等工作。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6．统筹协调全市铁路建设。负责争取铁路项目。统筹协调铁路建设征地拆迁。负责竣工铁路项目遗留问题处理。负责铁路港运转资金的筹集、使用和管理。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7．负责港区综合开发利用和基础设施建设管理。配合有关部门编制国土空间规划。负责港区建设用地计划的申报。</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8．负责港区企业服务、经济指标考核。配合有关部门开展生态环境保护、企业安全生产、信访维稳等工作。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9．协调有关部门派出机构、分支机构和国有平台公司。</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10．完成市委、市政府交办的其他工作任务。</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2" w:name="_Toc627732374"/>
      <w:r>
        <w:rPr>
          <w:rFonts w:hint="eastAsia" w:ascii="楷体_GB2312" w:hAnsi="楷体_GB2312" w:eastAsia="楷体_GB2312" w:cs="楷体_GB2312"/>
          <w:sz w:val="32"/>
          <w:szCs w:val="32"/>
        </w:rPr>
        <w:t>（二）</w:t>
      </w:r>
      <w:r>
        <w:rPr>
          <w:rFonts w:hint="eastAsia" w:ascii="楷体_GB2312" w:hAnsi="楷体_GB2312" w:eastAsia="楷体_GB2312" w:cs="楷体_GB2312"/>
          <w:sz w:val="32"/>
          <w:szCs w:val="32"/>
          <w:lang w:val="en-US"/>
        </w:rPr>
        <w:t>2024</w:t>
      </w:r>
      <w:r>
        <w:rPr>
          <w:rFonts w:hint="eastAsia" w:ascii="楷体_GB2312" w:hAnsi="楷体_GB2312" w:eastAsia="楷体_GB2312" w:cs="楷体_GB2312"/>
          <w:sz w:val="32"/>
          <w:szCs w:val="32"/>
        </w:rPr>
        <w:t>年重点工作</w:t>
      </w:r>
      <w:bookmarkEnd w:id="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2024年，我们将坚定以习近平新时代中国特色社会主义思想为指引，深入贯彻落实“1345”发展战略，围绕打造“一区两中心两基地”，坚持“强枢纽、畅通道、搭平台、兴产业”工作思路，突出铁路建设、项目投资、班列运营、高铁快运、多式联运“五大重点”，着力推动广元国际铁路港建设从“打基础、搞建设”向“抓运营、提质效”转变，确保全年实施项目10个以上（其中新开工4个以上），力争开工建设广巴铁路扩能改造工程，签约落地重大项目4个以上；中老班列（广元）实现图定化运行，全年开行国际班列24列以上；力争开行“点对点”跨省高铁快运线路；全市铁路货运量增长10%以上。</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一）着力在铁路建设上抓谋长远、强争取，持续巩固广元枢纽地位。加大广巴铁路扩能改造前期工作协调力度，力争年内启动建设。统筹推进全市铁路专用线规划建设，力争年内开工建设广元广汇煤炭储备基地、中煤广元燃煤发电项目等铁路专用线，协调推进广元港苍溪港区、西南煤炭储备基地、川北粮食现代物流园区等铁路专用线前期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二）着力在项目投资上提增量、补短板，不断完善国际陆港功能。围绕“1+8+3”铁路枢纽总图规划，精准做好谋划包装，常态化储备项目总投资保持在400亿元以上。积极争取央省预算内、地方政府专项债等各类资金，全年争取到位资金7亿元以上。开工建设广元国际铁路物流园多式联运中心、川陕甘铁路冷链及粮食供应链产业园等项目，全力推进国际铁路物流园、中欧国际木材物流园、高铁快运物流基地（二期）等项目建设，协调加快下西大道、西二环延伸段等项目建设。聚焦物流贸易基地、高铁快运物流分拨中心等“揭榜攻坚”项目，集中全力开展招商引资，确保在高铁快运、仓储物流、跨境贸易等领域实现较大突破，全年签约港区重点项目4个以上。</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三）着力在国际班列上拓通道、强运营，带动跨境贸易实现突破。围绕打造“一带一路”国际班列组货基地，着力完善国际班列组货功能，高质量运营铁路综合物流基地、海关监管作业场所。不断拓展中欧、中老、中亚、西部陆海新通道等国际国内物流通道，逐步打通宁波港、广州港等出海通道。探索开行国内定制班列、国际回程班列，稳步提高重箱率、货运量，推动中老班列首次实现图定，确保每月稳定开行国际班列2列以上。</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四）着力在高铁快运上开新路、作示范，擦亮高铁货运金字招牌。围绕打造全国高铁快运创新示范基地，持续运营好广元至成都高铁快运试点线路。加强与国铁集团、中铁快运等对接沟通，全力争取将广元纳入全国高铁快运网络规划和地区性重要节点城市，支持广元运用高铁货运动车组列车，力争2024年开行“点对点”跨省高铁快运。加强与高铁快运行业协会、科研院校等交流合作，发起成立全国高铁快运联盟，探索推动高铁货运场站设施、技术装备、运输组织等系列标准制定，打造高铁快运示范样板。</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五）着力在多式联运上提能力、增效率，逐步做强枢纽组货优势。围绕打造嘉陵江上游铁公水多式联运中心，加快完善多式联运智慧服务平台功能，推动铁、公、水顺畅衔接和高效中转。积极推进多式联运“一单制”“一箱制”，探索培育多式联运经营人，组建多式联运经济联合体，形成运转协调、服务高效的多式联运组织体系。加快港区智能化仓储设施建设，布局建设一批冷藏库、恒温仓等多类别高标仓，规划建设集装箱箱管中心等转运功能性设施。积极引导周边区域货源向港区集结，力争全年铁路货运量达到600万吨以上。</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3" w:name="_Toc22967797"/>
      <w:r>
        <w:rPr>
          <w:rFonts w:hint="eastAsia" w:ascii="黑体" w:hAnsi="黑体" w:eastAsia="黑体" w:cs="黑体"/>
          <w:sz w:val="32"/>
          <w:szCs w:val="32"/>
          <w:lang w:val="en-US" w:eastAsia="zh-CN"/>
        </w:rPr>
        <w:t>二、部门预算单位构成</w:t>
      </w:r>
      <w:bookmarkEnd w:id="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color w:val="auto"/>
          <w:kern w:val="2"/>
          <w:sz w:val="32"/>
          <w:szCs w:val="32"/>
          <w:lang w:val="en-US" w:eastAsia="zh-CN" w:bidi="ar-SA"/>
        </w:rPr>
      </w:pPr>
      <w:r>
        <w:rPr>
          <w:rFonts w:hint="eastAsia" w:ascii="Times New Roman" w:hAnsi="Times New Roman" w:eastAsia="仿宋_GB2312" w:cs="Times New Roman"/>
          <w:color w:val="auto"/>
          <w:kern w:val="2"/>
          <w:sz w:val="32"/>
          <w:szCs w:val="32"/>
          <w:lang w:val="en-US" w:eastAsia="zh-CN" w:bidi="ar-SA"/>
        </w:rPr>
        <w:t>广元国际铁路港管理委员会为市一级参照公务员法管理的事业单位</w:t>
      </w:r>
      <w:r>
        <w:rPr>
          <w:rFonts w:hint="eastAsia" w:ascii="Times New Roman" w:hAnsi="Times New Roman" w:eastAsia="仿宋_GB2312" w:cs="Times New Roman"/>
          <w:color w:val="auto"/>
          <w:kern w:val="2"/>
          <w:sz w:val="32"/>
          <w:szCs w:val="32"/>
          <w:lang w:val="en" w:eastAsia="zh-CN" w:bidi="ar-SA"/>
        </w:rPr>
        <w:t>，暂无</w:t>
      </w:r>
      <w:r>
        <w:rPr>
          <w:rFonts w:hint="eastAsia" w:ascii="Times New Roman" w:hAnsi="Times New Roman" w:eastAsia="仿宋_GB2312" w:cs="Times New Roman"/>
          <w:color w:val="auto"/>
          <w:kern w:val="2"/>
          <w:sz w:val="32"/>
          <w:szCs w:val="32"/>
          <w:lang w:val="en-US" w:eastAsia="zh-CN" w:bidi="ar-SA"/>
        </w:rPr>
        <w:t>下属二级预算单位。</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4" w:name="_Toc200894450"/>
      <w:r>
        <w:rPr>
          <w:rFonts w:hint="eastAsia" w:ascii="黑体" w:hAnsi="黑体" w:eastAsia="黑体" w:cs="黑体"/>
          <w:sz w:val="32"/>
          <w:szCs w:val="32"/>
          <w:lang w:val="en-US" w:eastAsia="zh-CN"/>
        </w:rPr>
        <w:t>三、收支预算情况说明</w:t>
      </w:r>
      <w:bookmarkEnd w:id="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auto"/>
          <w:kern w:val="2"/>
          <w:sz w:val="32"/>
          <w:szCs w:val="32"/>
          <w:lang w:val="en-US" w:eastAsia="zh-CN" w:bidi="ar-SA"/>
        </w:rPr>
        <w:t>按照综合预算的原则，广元国际铁路港管理委员会所有收入和支出均纳入部门预算管理。收入包括：一般公共预算拨款收入；支出包括：</w:t>
      </w:r>
      <w:r>
        <w:rPr>
          <w:rFonts w:hint="eastAsia" w:ascii="仿宋_GB2312" w:hAnsi="仿宋_GB2312" w:eastAsia="仿宋_GB2312" w:cs="仿宋_GB2312"/>
          <w:sz w:val="32"/>
          <w:szCs w:val="32"/>
          <w:lang w:val="en-US" w:eastAsia="zh-CN"/>
        </w:rPr>
        <w:t>一般公共服务支出、社会保障和就业支出、卫生健康支出、住房保障支出</w:t>
      </w:r>
      <w:r>
        <w:rPr>
          <w:rFonts w:hint="eastAsia" w:ascii="仿宋_GB2312" w:hAnsi="仿宋_GB2312" w:eastAsia="仿宋_GB2312" w:cs="仿宋_GB2312"/>
          <w:color w:val="auto"/>
          <w:kern w:val="2"/>
          <w:sz w:val="32"/>
          <w:szCs w:val="32"/>
          <w:lang w:val="en-US" w:eastAsia="zh-CN" w:bidi="ar-SA"/>
        </w:rPr>
        <w:t>。广元国际铁路港管理委员会2024年收支总预算797.94万元</w:t>
      </w:r>
      <w:r>
        <w:rPr>
          <w:rFonts w:hint="eastAsia" w:ascii="仿宋_GB2312" w:hAnsi="仿宋_GB2312" w:eastAsia="仿宋_GB2312" w:cs="仿宋_GB2312"/>
          <w:sz w:val="32"/>
          <w:szCs w:val="32"/>
          <w:lang w:val="en-US" w:eastAsia="zh-CN"/>
        </w:rPr>
        <w:t>,比2023年收支预算总数增加62.68万元，主要原因是</w:t>
      </w:r>
      <w:r>
        <w:rPr>
          <w:rFonts w:hint="eastAsia" w:ascii="仿宋_GB2312" w:hAnsi="仿宋_GB2312" w:eastAsia="仿宋_GB2312" w:cs="仿宋_GB2312"/>
          <w:color w:val="auto"/>
          <w:kern w:val="2"/>
          <w:sz w:val="32"/>
          <w:szCs w:val="32"/>
          <w:lang w:val="en-US" w:eastAsia="zh-CN" w:bidi="ar-SA"/>
        </w:rPr>
        <w:t>单位人员增加</w:t>
      </w:r>
      <w:r>
        <w:rPr>
          <w:rFonts w:hint="eastAsia" w:ascii="仿宋_GB2312" w:hAnsi="仿宋_GB2312" w:eastAsia="仿宋_GB2312" w:cs="仿宋_GB2312"/>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5" w:name="_Toc929896847"/>
      <w:r>
        <w:rPr>
          <w:rFonts w:hint="eastAsia" w:ascii="楷体_GB2312" w:hAnsi="楷体_GB2312" w:eastAsia="楷体_GB2312" w:cs="楷体_GB2312"/>
          <w:sz w:val="32"/>
          <w:szCs w:val="32"/>
          <w:lang w:val="en-US" w:eastAsia="zh-CN"/>
        </w:rPr>
        <w:t>（一）收入预算情况</w:t>
      </w:r>
      <w:bookmarkEnd w:id="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Times New Roman"/>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广元国际铁路港管理委员会2024年收入预算797.94万元，其中：一般公共预算拨款收入797.94万元，占100%。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6" w:name="_Toc530653602"/>
      <w:r>
        <w:rPr>
          <w:rFonts w:hint="eastAsia" w:ascii="楷体_GB2312" w:hAnsi="楷体_GB2312" w:eastAsia="楷体_GB2312" w:cs="楷体_GB2312"/>
          <w:sz w:val="32"/>
          <w:szCs w:val="32"/>
          <w:lang w:val="en-US" w:eastAsia="zh-CN"/>
        </w:rPr>
        <w:t>（二）支出预算情况</w:t>
      </w:r>
      <w:bookmarkEnd w:id="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广元国际铁路港管理委员会2024年支出预算797.94万元，其中：基本支出693.55万元，占86.92%；项目支出104.39万元，占13.08%。</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7" w:name="_Toc208037201"/>
      <w:r>
        <w:rPr>
          <w:rFonts w:hint="eastAsia" w:ascii="黑体" w:hAnsi="黑体" w:eastAsia="黑体" w:cs="黑体"/>
          <w:sz w:val="32"/>
          <w:szCs w:val="32"/>
          <w:lang w:val="en-US" w:eastAsia="zh-CN"/>
        </w:rPr>
        <w:t>四、财政拨款收支预算情况说明</w:t>
      </w:r>
      <w:bookmarkEnd w:id="7"/>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left="0" w:right="0" w:firstLine="668"/>
        <w:jc w:val="both"/>
        <w:textAlignment w:val="auto"/>
        <w:rPr>
          <w:rFonts w:hint="eastAsia" w:ascii="Times New Roman" w:hAnsi="Times New Roman" w:eastAsia="仿宋_GB2312" w:cs="Times New Roman"/>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广元国际铁路港管理委员会2024年财政拨款收支总预算797.94万元,</w:t>
      </w:r>
      <w:r>
        <w:rPr>
          <w:rFonts w:hint="eastAsia" w:ascii="仿宋_GB2312" w:hAnsi="仿宋_GB2312" w:eastAsia="仿宋_GB2312" w:cs="仿宋_GB2312"/>
          <w:sz w:val="32"/>
          <w:szCs w:val="32"/>
          <w:lang w:val="en-US" w:eastAsia="zh-CN"/>
        </w:rPr>
        <w:t>比2023年财政拨款收支预算总数增加62.68</w:t>
      </w:r>
      <w:r>
        <w:rPr>
          <w:rFonts w:hint="eastAsia" w:ascii="仿宋_GB2312" w:hAnsi="仿宋_GB2312" w:eastAsia="仿宋_GB2312" w:cs="仿宋_GB2312"/>
          <w:color w:val="auto"/>
          <w:kern w:val="2"/>
          <w:sz w:val="32"/>
          <w:szCs w:val="32"/>
          <w:lang w:val="en-US" w:eastAsia="zh-CN" w:bidi="ar-SA"/>
        </w:rPr>
        <w:t>万元，主要原因是单位人员增加。</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w:t>
      </w:r>
      <w:r>
        <w:rPr>
          <w:rFonts w:hint="eastAsia" w:ascii="仿宋_GB2312" w:hAnsi="仿宋_GB2312" w:eastAsia="仿宋_GB2312" w:cs="仿宋_GB2312"/>
          <w:color w:val="auto"/>
          <w:kern w:val="2"/>
          <w:sz w:val="32"/>
          <w:szCs w:val="32"/>
          <w:lang w:val="en-US" w:eastAsia="zh-CN" w:bidi="ar-SA"/>
        </w:rPr>
        <w:t>797.94</w:t>
      </w:r>
      <w:r>
        <w:rPr>
          <w:rFonts w:hint="eastAsia" w:ascii="仿宋_GB2312" w:hAnsi="仿宋_GB2312" w:eastAsia="仿宋_GB2312" w:cs="仿宋_GB2312"/>
          <w:sz w:val="32"/>
          <w:szCs w:val="32"/>
          <w:lang w:val="en-US" w:eastAsia="zh-CN"/>
        </w:rPr>
        <w:t>万元；支出包括：一般公共服务支出660.13万元、社会保障和就业支出63.68万元、卫生健康支出20.21万元、住房保障支出53.92万元。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8" w:name="_Toc2102280582"/>
      <w:r>
        <w:rPr>
          <w:rFonts w:hint="eastAsia" w:ascii="黑体" w:hAnsi="黑体" w:eastAsia="黑体" w:cs="黑体"/>
          <w:sz w:val="32"/>
          <w:szCs w:val="32"/>
          <w:lang w:val="en-US" w:eastAsia="zh-CN"/>
        </w:rPr>
        <w:t>五、一般公共预算当年拨款情况说明</w:t>
      </w:r>
      <w:bookmarkEnd w:id="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9" w:name="_Toc126350098"/>
      <w:r>
        <w:rPr>
          <w:rFonts w:hint="eastAsia" w:ascii="楷体_GB2312" w:hAnsi="楷体_GB2312" w:eastAsia="楷体_GB2312" w:cs="楷体_GB2312"/>
          <w:sz w:val="32"/>
          <w:szCs w:val="32"/>
          <w:lang w:val="en-US" w:eastAsia="zh-CN"/>
        </w:rPr>
        <w:t>（一）一般公共预算当年拨款规模变化情况</w:t>
      </w:r>
      <w:bookmarkEnd w:id="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auto"/>
          <w:kern w:val="2"/>
          <w:sz w:val="32"/>
          <w:szCs w:val="32"/>
          <w:lang w:val="en-US" w:eastAsia="zh-CN" w:bidi="ar-SA"/>
        </w:rPr>
        <w:t>广元国际铁路港管理委员会</w:t>
      </w:r>
      <w:r>
        <w:rPr>
          <w:rFonts w:hint="eastAsia" w:ascii="仿宋_GB2312" w:hAnsi="仿宋_GB2312" w:eastAsia="仿宋_GB2312" w:cs="仿宋_GB2312"/>
          <w:sz w:val="32"/>
          <w:szCs w:val="32"/>
          <w:lang w:val="en-US" w:eastAsia="zh-CN"/>
        </w:rPr>
        <w:t>2024年一般公共预算当年拨款</w:t>
      </w:r>
      <w:r>
        <w:rPr>
          <w:rFonts w:hint="eastAsia" w:ascii="仿宋_GB2312" w:hAnsi="仿宋_GB2312" w:eastAsia="仿宋_GB2312" w:cs="仿宋_GB2312"/>
          <w:color w:val="auto"/>
          <w:kern w:val="2"/>
          <w:sz w:val="32"/>
          <w:szCs w:val="32"/>
          <w:lang w:val="en-US" w:eastAsia="zh-CN" w:bidi="ar-SA"/>
        </w:rPr>
        <w:t>797.94</w:t>
      </w:r>
      <w:r>
        <w:rPr>
          <w:rFonts w:hint="eastAsia" w:ascii="仿宋_GB2312" w:hAnsi="仿宋_GB2312" w:eastAsia="仿宋_GB2312" w:cs="仿宋_GB2312"/>
          <w:sz w:val="32"/>
          <w:szCs w:val="32"/>
          <w:lang w:val="en-US" w:eastAsia="zh-CN"/>
        </w:rPr>
        <w:t>万元，比2023年预算数增加62.68万元，主要原因是</w:t>
      </w:r>
      <w:r>
        <w:rPr>
          <w:rFonts w:hint="eastAsia" w:ascii="仿宋_GB2312" w:hAnsi="仿宋_GB2312" w:eastAsia="仿宋_GB2312" w:cs="仿宋_GB2312"/>
          <w:color w:val="auto"/>
          <w:kern w:val="2"/>
          <w:sz w:val="32"/>
          <w:szCs w:val="32"/>
          <w:lang w:val="en-US" w:eastAsia="zh-CN" w:bidi="ar-SA"/>
        </w:rPr>
        <w:t>单位人员增加</w:t>
      </w:r>
      <w:r>
        <w:rPr>
          <w:rFonts w:hint="eastAsia" w:ascii="仿宋_GB2312" w:hAnsi="仿宋_GB2312" w:eastAsia="仿宋_GB2312" w:cs="仿宋_GB2312"/>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0" w:name="_Toc1570298392"/>
      <w:r>
        <w:rPr>
          <w:rFonts w:hint="eastAsia" w:ascii="楷体_GB2312" w:hAnsi="楷体_GB2312" w:eastAsia="楷体_GB2312" w:cs="楷体_GB2312"/>
          <w:sz w:val="32"/>
          <w:szCs w:val="32"/>
          <w:lang w:val="en-US" w:eastAsia="zh-CN"/>
        </w:rPr>
        <w:t>（二）一般公共预算当年拨款结构情况</w:t>
      </w:r>
      <w:bookmarkEnd w:id="1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一般公共服务支出660.13万元，占82.73%；社会保障和就业支出63.68万元，占7.98%；卫生健康支出20.21万元，占2.53%；住房保障支出53.92万元，占6.76%。</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仿宋_GB2312" w:hAnsi="仿宋_GB2312" w:eastAsia="仿宋_GB2312" w:cs="仿宋_GB2312"/>
          <w:sz w:val="32"/>
          <w:szCs w:val="32"/>
          <w:lang w:val="en-US" w:eastAsia="zh-CN"/>
        </w:rPr>
      </w:pPr>
      <w:bookmarkStart w:id="11" w:name="_Toc141238905"/>
      <w:r>
        <w:rPr>
          <w:rFonts w:hint="eastAsia" w:ascii="楷体_GB2312" w:hAnsi="楷体_GB2312" w:eastAsia="楷体_GB2312" w:cs="楷体_GB2312"/>
          <w:sz w:val="32"/>
          <w:szCs w:val="32"/>
          <w:lang w:val="en-US" w:eastAsia="zh-CN"/>
        </w:rPr>
        <w:t>（三）一般公共预算当年拨款具体使用情况</w:t>
      </w:r>
      <w:bookmarkEnd w:id="11"/>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left="0" w:right="0" w:firstLine="668"/>
        <w:jc w:val="both"/>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 一般公共服务（类）其他一般公共服务支出（款）其他一般公共服务支出（项）</w:t>
      </w:r>
      <w:r>
        <w:rPr>
          <w:rFonts w:hint="eastAsia" w:ascii="仿宋_GB2312" w:hAnsi="仿宋_GB2312" w:eastAsia="仿宋_GB2312" w:cs="仿宋_GB2312"/>
          <w:sz w:val="32"/>
          <w:szCs w:val="32"/>
          <w:lang w:val="en-US" w:eastAsia="zh-CN"/>
        </w:rPr>
        <w:t>2024</w:t>
      </w:r>
      <w:r>
        <w:rPr>
          <w:rFonts w:hint="eastAsia" w:ascii="仿宋_GB2312" w:hAnsi="仿宋_GB2312" w:eastAsia="仿宋_GB2312" w:cs="仿宋_GB2312"/>
          <w:color w:val="auto"/>
          <w:kern w:val="2"/>
          <w:sz w:val="32"/>
          <w:szCs w:val="32"/>
          <w:lang w:val="en-US" w:eastAsia="zh-CN" w:bidi="ar-SA"/>
        </w:rPr>
        <w:t>年预算数为660.13万元，主要用于：反映本单位的基本支出。</w:t>
      </w:r>
    </w:p>
    <w:p>
      <w:pPr>
        <w:pStyle w:val="2"/>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2.社会保障和就业（类）行政事业单位养老支出（款）机关事业单位基本养老保险缴费支出（项）2024年预算数为63.68万元，主要用于：实施养老保险制度由单位缴纳的基本养老保险支出。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3.卫生健康（类）行政事业单位医疗（款）行政单位医疗（项）2024年预算数为20.21万元，主要用于：机关及参公管理事业单位按规定由单位缴纳的基本医疗保险支出。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4.住房保障（类）住房改革支出（款）住房公积金（项）2024年预算数为53.92万元，主要用于：部门按规定为职工缴纳的住房公积金支出。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2" w:name="_Toc369028538"/>
      <w:r>
        <w:rPr>
          <w:rFonts w:hint="eastAsia" w:ascii="黑体" w:hAnsi="黑体" w:eastAsia="黑体" w:cs="黑体"/>
          <w:sz w:val="32"/>
          <w:szCs w:val="32"/>
          <w:lang w:val="en-US" w:eastAsia="zh-CN"/>
        </w:rPr>
        <w:t>六、一般公共预算基本支出情况说明</w:t>
      </w:r>
      <w:bookmarkEnd w:id="1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auto"/>
          <w:kern w:val="2"/>
          <w:sz w:val="32"/>
          <w:szCs w:val="32"/>
          <w:lang w:val="en-US" w:eastAsia="zh-CN" w:bidi="ar-SA"/>
        </w:rPr>
        <w:t>广元国际铁路港管理委员会</w:t>
      </w:r>
      <w:r>
        <w:rPr>
          <w:rFonts w:hint="eastAsia" w:ascii="仿宋_GB2312" w:hAnsi="仿宋_GB2312" w:eastAsia="仿宋_GB2312" w:cs="仿宋_GB2312"/>
          <w:sz w:val="32"/>
          <w:szCs w:val="32"/>
          <w:lang w:val="en-US" w:eastAsia="zh-CN"/>
        </w:rPr>
        <w:t>2024年一般公共预算基本支出693.55万元，其中：</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人员经费589.17万元，主要包括：基本工资、津贴补贴、奖金、绩效工资、机关事业单位基本养老保险缴费、职工基本医疗保险缴费、其他社会保障缴费、住房公积金、退休人员绩效补助等支出。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公用经费104.38万元，主要包括：办公费、印刷费、手续费、水费、电费、差旅费、会议费、培训费、公务接待费、工会经费、福利费、其他交通费用、党建经费、退休人员活动经费、其他商品和服务支出等支出。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3" w:name="_Toc1903456391"/>
      <w:r>
        <w:rPr>
          <w:rFonts w:hint="eastAsia" w:ascii="黑体" w:hAnsi="黑体" w:eastAsia="黑体" w:cs="黑体"/>
          <w:sz w:val="32"/>
          <w:szCs w:val="32"/>
          <w:lang w:val="en-US" w:eastAsia="zh-CN"/>
        </w:rPr>
        <w:t>七、“三公”经费财政拨款预算安排情况说明</w:t>
      </w:r>
      <w:bookmarkEnd w:id="1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auto"/>
          <w:kern w:val="2"/>
          <w:sz w:val="32"/>
          <w:szCs w:val="32"/>
          <w:lang w:val="en-US" w:eastAsia="zh-CN" w:bidi="ar-SA"/>
        </w:rPr>
        <w:t>广元国际铁路港管理委员会</w:t>
      </w:r>
      <w:r>
        <w:rPr>
          <w:rFonts w:hint="eastAsia" w:ascii="仿宋_GB2312" w:hAnsi="仿宋_GB2312" w:eastAsia="仿宋_GB2312" w:cs="仿宋_GB2312"/>
          <w:sz w:val="32"/>
          <w:szCs w:val="32"/>
          <w:lang w:val="en-US" w:eastAsia="zh-CN"/>
        </w:rPr>
        <w:t>2024年“三公”经费财政拨款预算数</w:t>
      </w:r>
      <w:r>
        <w:rPr>
          <w:rFonts w:hint="eastAsia" w:ascii="仿宋_GB2312" w:hAnsi="仿宋_GB2312" w:eastAsia="仿宋_GB2312" w:cs="仿宋_GB2312"/>
          <w:color w:val="auto"/>
          <w:kern w:val="2"/>
          <w:sz w:val="32"/>
          <w:szCs w:val="32"/>
          <w:lang w:val="en-US" w:eastAsia="zh-CN" w:bidi="ar-SA"/>
        </w:rPr>
        <w:t>4.8</w:t>
      </w:r>
      <w:r>
        <w:rPr>
          <w:rFonts w:hint="eastAsia" w:ascii="仿宋_GB2312" w:hAnsi="仿宋_GB2312" w:eastAsia="仿宋_GB2312" w:cs="仿宋_GB2312"/>
          <w:sz w:val="32"/>
          <w:szCs w:val="32"/>
          <w:lang w:val="en-US" w:eastAsia="zh-CN"/>
        </w:rPr>
        <w:t>万元，其中：公务接待费</w:t>
      </w:r>
      <w:r>
        <w:rPr>
          <w:rFonts w:hint="eastAsia" w:ascii="仿宋_GB2312" w:hAnsi="仿宋_GB2312" w:eastAsia="仿宋_GB2312" w:cs="仿宋_GB2312"/>
          <w:color w:val="auto"/>
          <w:kern w:val="2"/>
          <w:sz w:val="32"/>
          <w:szCs w:val="32"/>
          <w:lang w:val="en-US" w:eastAsia="zh-CN" w:bidi="ar-SA"/>
        </w:rPr>
        <w:t>4.8</w:t>
      </w:r>
      <w:r>
        <w:rPr>
          <w:rFonts w:hint="eastAsia" w:ascii="仿宋_GB2312" w:hAnsi="仿宋_GB2312" w:eastAsia="仿宋_GB2312" w:cs="仿宋_GB2312"/>
          <w:sz w:val="32"/>
          <w:szCs w:val="32"/>
          <w:lang w:val="en-US" w:eastAsia="zh-CN"/>
        </w:rPr>
        <w:t>万元，公务用车购置及运行维护费</w:t>
      </w:r>
      <w:r>
        <w:rPr>
          <w:rFonts w:hint="eastAsia" w:ascii="仿宋_GB2312" w:hAnsi="仿宋_GB2312" w:eastAsia="仿宋_GB2312" w:cs="仿宋_GB2312"/>
          <w:color w:val="auto"/>
          <w:kern w:val="2"/>
          <w:sz w:val="32"/>
          <w:szCs w:val="32"/>
          <w:lang w:val="en-US" w:eastAsia="zh-CN" w:bidi="ar-SA"/>
        </w:rPr>
        <w:t>0</w:t>
      </w:r>
      <w:r>
        <w:rPr>
          <w:rFonts w:hint="eastAsia" w:ascii="仿宋_GB2312" w:hAnsi="仿宋_GB2312" w:eastAsia="仿宋_GB2312" w:cs="仿宋_GB2312"/>
          <w:sz w:val="32"/>
          <w:szCs w:val="32"/>
          <w:lang w:val="en-US" w:eastAsia="zh-CN"/>
        </w:rPr>
        <w:t>万元，因公出国（境）经费</w:t>
      </w:r>
      <w:r>
        <w:rPr>
          <w:rFonts w:hint="eastAsia" w:ascii="仿宋_GB2312" w:hAnsi="仿宋_GB2312" w:eastAsia="仿宋_GB2312" w:cs="仿宋_GB2312"/>
          <w:color w:val="auto"/>
          <w:kern w:val="2"/>
          <w:sz w:val="32"/>
          <w:szCs w:val="32"/>
          <w:lang w:val="en-US" w:eastAsia="zh-CN" w:bidi="ar-SA"/>
        </w:rPr>
        <w:t>0</w:t>
      </w:r>
      <w:r>
        <w:rPr>
          <w:rFonts w:hint="eastAsia" w:ascii="仿宋_GB2312" w:hAnsi="仿宋_GB2312" w:eastAsia="仿宋_GB2312" w:cs="仿宋_GB2312"/>
          <w:sz w:val="32"/>
          <w:szCs w:val="32"/>
          <w:lang w:val="en-US" w:eastAsia="zh-CN"/>
        </w:rPr>
        <w:t>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4" w:name="_Toc1035392363"/>
      <w:r>
        <w:rPr>
          <w:rFonts w:hint="eastAsia" w:ascii="楷体_GB2312" w:hAnsi="楷体_GB2312" w:eastAsia="楷体_GB2312" w:cs="楷体_GB2312"/>
          <w:sz w:val="32"/>
          <w:szCs w:val="32"/>
          <w:lang w:val="en-US" w:eastAsia="zh-CN"/>
        </w:rPr>
        <w:t>（一）公务接待费</w:t>
      </w:r>
      <w:bookmarkEnd w:id="1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公务接待费与2023年预算相比持平。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2024年公务接待费计划用于执行接待考察调研、检查指导等公务活动开支的交通费、住宿费、用餐费等。</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5" w:name="_Toc1349528298"/>
      <w:r>
        <w:rPr>
          <w:rFonts w:hint="eastAsia" w:ascii="楷体_GB2312" w:hAnsi="楷体_GB2312" w:eastAsia="楷体_GB2312" w:cs="楷体_GB2312"/>
          <w:sz w:val="32"/>
          <w:szCs w:val="32"/>
          <w:lang w:val="en-US" w:eastAsia="zh-CN"/>
        </w:rPr>
        <w:t>公务用车购置及运行维护费</w:t>
      </w:r>
      <w:bookmarkEnd w:id="15"/>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公务用车购置及运行维护费与2023年预算相比持平。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单位现有公务用车0辆。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2024年未安排公务用车购置费。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2024年未安排公务用车运行维护费。</w:t>
      </w:r>
    </w:p>
    <w:p>
      <w:pPr>
        <w:keepNext w:val="0"/>
        <w:keepLines w:val="0"/>
        <w:pageBreakBefore w:val="0"/>
        <w:widowControl w:val="0"/>
        <w:kinsoku/>
        <w:wordWrap/>
        <w:overflowPunct/>
        <w:topLinePunct w:val="0"/>
        <w:autoSpaceDE/>
        <w:autoSpaceDN/>
        <w:bidi w:val="0"/>
        <w:adjustRightInd/>
        <w:snapToGrid/>
        <w:spacing w:line="576" w:lineRule="exact"/>
        <w:textAlignment w:val="auto"/>
        <w:outlineLvl w:val="1"/>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bookmarkStart w:id="16" w:name="_Toc753914783"/>
      <w:r>
        <w:rPr>
          <w:rFonts w:hint="eastAsia" w:ascii="仿宋_GB2312" w:hAnsi="仿宋_GB2312" w:eastAsia="仿宋_GB2312" w:cs="仿宋_GB2312"/>
          <w:sz w:val="32"/>
          <w:szCs w:val="32"/>
          <w:lang w:val="en-US" w:eastAsia="zh-CN"/>
        </w:rPr>
        <w:t>（</w:t>
      </w:r>
      <w:r>
        <w:rPr>
          <w:rFonts w:hint="eastAsia" w:ascii="楷体_GB2312" w:hAnsi="楷体_GB2312" w:eastAsia="楷体_GB2312" w:cs="楷体_GB2312"/>
          <w:sz w:val="32"/>
          <w:szCs w:val="32"/>
          <w:lang w:val="en-US" w:eastAsia="zh-CN"/>
        </w:rPr>
        <w:t>三）因公出国（境）经费</w:t>
      </w:r>
      <w:bookmarkEnd w:id="1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因公出国（境）经费与2023年预算相比持平，无预算安排。</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7" w:name="_Toc626637779"/>
      <w:r>
        <w:rPr>
          <w:rFonts w:hint="eastAsia" w:ascii="黑体" w:hAnsi="黑体" w:eastAsia="黑体" w:cs="黑体"/>
          <w:sz w:val="32"/>
          <w:szCs w:val="32"/>
          <w:lang w:val="en-US" w:eastAsia="zh-CN"/>
        </w:rPr>
        <w:t>八、政府性基金预算支出情况说明</w:t>
      </w:r>
      <w:bookmarkEnd w:id="1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auto"/>
          <w:kern w:val="2"/>
          <w:sz w:val="32"/>
          <w:szCs w:val="32"/>
          <w:lang w:val="en-US" w:eastAsia="zh-CN" w:bidi="ar-SA"/>
        </w:rPr>
        <w:t>广元国际铁路港管理委员会</w:t>
      </w:r>
      <w:r>
        <w:rPr>
          <w:rFonts w:hint="eastAsia" w:ascii="仿宋_GB2312" w:hAnsi="仿宋_GB2312" w:eastAsia="仿宋_GB2312" w:cs="仿宋_GB2312"/>
          <w:sz w:val="32"/>
          <w:szCs w:val="32"/>
          <w:lang w:val="en-US" w:eastAsia="zh-CN"/>
        </w:rPr>
        <w:t>2024年无政府性基金预算拨款安排的支出。</w:t>
      </w:r>
      <w:bookmarkStart w:id="21" w:name="_GoBack"/>
      <w:bookmarkEnd w:id="2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8" w:name="_Toc211829349"/>
      <w:r>
        <w:rPr>
          <w:rFonts w:hint="eastAsia" w:ascii="黑体" w:hAnsi="黑体" w:eastAsia="黑体" w:cs="黑体"/>
          <w:sz w:val="32"/>
          <w:szCs w:val="32"/>
          <w:lang w:val="en-US" w:eastAsia="zh-CN"/>
        </w:rPr>
        <w:t>九、国有资本经营预算支出情况说明</w:t>
      </w:r>
      <w:bookmarkEnd w:id="1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auto"/>
          <w:kern w:val="2"/>
          <w:sz w:val="32"/>
          <w:szCs w:val="32"/>
          <w:lang w:val="en-US" w:eastAsia="zh-CN" w:bidi="ar-SA"/>
        </w:rPr>
        <w:t>广元国际铁路港管理委员会</w:t>
      </w:r>
      <w:r>
        <w:rPr>
          <w:rFonts w:hint="eastAsia" w:ascii="仿宋_GB2312" w:hAnsi="仿宋_GB2312" w:eastAsia="仿宋_GB2312" w:cs="仿宋_GB2312"/>
          <w:sz w:val="32"/>
          <w:szCs w:val="32"/>
          <w:lang w:val="en-US" w:eastAsia="zh-CN"/>
        </w:rPr>
        <w:t>2024年无国有资本经营预算拨款安排的支出。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9" w:name="_Toc285588229"/>
      <w:r>
        <w:rPr>
          <w:rFonts w:hint="eastAsia" w:ascii="黑体" w:hAnsi="黑体" w:eastAsia="黑体" w:cs="黑体"/>
          <w:sz w:val="32"/>
          <w:szCs w:val="32"/>
          <w:lang w:val="en-US" w:eastAsia="zh-CN"/>
        </w:rPr>
        <w:t>十、其他重要事项的情况说明</w:t>
      </w:r>
      <w:bookmarkEnd w:id="1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（一）机关运行经费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w:t>
      </w:r>
      <w:r>
        <w:rPr>
          <w:rFonts w:hint="eastAsia" w:ascii="仿宋_GB2312" w:hAnsi="仿宋_GB2312" w:eastAsia="仿宋_GB2312" w:cs="仿宋_GB2312"/>
          <w:color w:val="auto"/>
          <w:kern w:val="2"/>
          <w:sz w:val="32"/>
          <w:szCs w:val="32"/>
          <w:lang w:val="en-US" w:eastAsia="zh-CN" w:bidi="ar-SA"/>
        </w:rPr>
        <w:t>广元国际铁路港管理委员会</w:t>
      </w:r>
      <w:r>
        <w:rPr>
          <w:rFonts w:hint="eastAsia" w:ascii="仿宋_GB2312" w:hAnsi="仿宋_GB2312" w:eastAsia="仿宋_GB2312" w:cs="仿宋_GB2312"/>
          <w:sz w:val="32"/>
          <w:szCs w:val="32"/>
          <w:lang w:val="en-US" w:eastAsia="zh-CN"/>
        </w:rPr>
        <w:t>的机关运行经费财政拨款预算为104.38万元，比2023年预算增加4.72万元，增长4.74%。主要原因</w:t>
      </w:r>
      <w:r>
        <w:rPr>
          <w:rFonts w:hint="eastAsia" w:ascii="仿宋_GB2312" w:hAnsi="仿宋_GB2312" w:eastAsia="仿宋_GB2312" w:cs="仿宋_GB2312"/>
          <w:color w:val="auto"/>
          <w:kern w:val="2"/>
          <w:sz w:val="32"/>
          <w:szCs w:val="32"/>
          <w:lang w:val="en-US" w:eastAsia="zh-CN" w:bidi="ar-SA"/>
        </w:rPr>
        <w:t>单位人员增加</w:t>
      </w:r>
      <w:r>
        <w:rPr>
          <w:rFonts w:hint="eastAsia" w:ascii="仿宋_GB2312" w:hAnsi="仿宋_GB2312" w:eastAsia="仿宋_GB2312" w:cs="仿宋_GB2312"/>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（二）政府采购情况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2024年，</w:t>
      </w:r>
      <w:r>
        <w:rPr>
          <w:rFonts w:hint="eastAsia" w:ascii="仿宋_GB2312" w:hAnsi="仿宋_GB2312" w:eastAsia="仿宋_GB2312" w:cs="仿宋_GB2312"/>
          <w:color w:val="auto"/>
          <w:kern w:val="2"/>
          <w:sz w:val="32"/>
          <w:szCs w:val="32"/>
          <w:lang w:val="en-US" w:eastAsia="zh-CN" w:bidi="ar-SA"/>
        </w:rPr>
        <w:t>广元国际铁路港管理委员会</w:t>
      </w:r>
      <w:r>
        <w:rPr>
          <w:rFonts w:hint="eastAsia" w:ascii="仿宋_GB2312" w:hAnsi="仿宋_GB2312" w:eastAsia="仿宋_GB2312" w:cs="仿宋_GB2312"/>
          <w:sz w:val="32"/>
          <w:szCs w:val="32"/>
          <w:lang w:val="en-US" w:eastAsia="zh-CN"/>
        </w:rPr>
        <w:t>安排政府采购预算0万元。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（三）国有资产占有使用情况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截至2023年底，</w:t>
      </w:r>
      <w:r>
        <w:rPr>
          <w:rFonts w:hint="eastAsia" w:ascii="仿宋_GB2312" w:hAnsi="仿宋_GB2312" w:eastAsia="仿宋_GB2312" w:cs="仿宋_GB2312"/>
          <w:color w:val="auto"/>
          <w:kern w:val="2"/>
          <w:sz w:val="32"/>
          <w:szCs w:val="32"/>
          <w:lang w:val="en-US" w:eastAsia="zh-CN" w:bidi="ar-SA"/>
        </w:rPr>
        <w:t>广元国际铁路港管理委员会</w:t>
      </w:r>
      <w:r>
        <w:rPr>
          <w:rFonts w:hint="eastAsia" w:ascii="仿宋_GB2312" w:hAnsi="仿宋_GB2312" w:eastAsia="仿宋_GB2312" w:cs="仿宋_GB2312"/>
          <w:sz w:val="32"/>
          <w:szCs w:val="32"/>
          <w:lang w:val="en-US" w:eastAsia="zh-CN"/>
        </w:rPr>
        <w:t>共有车辆0辆。单位无价值200万元以上的大型设备。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2024年部门预算未安排购置车辆及单位价值200万元以上大型设备。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val="en-US" w:eastAsia="zh-CN"/>
        </w:rPr>
        <w:t>（四）绩效目标设置情况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w:t>
      </w:r>
      <w:r>
        <w:rPr>
          <w:rFonts w:hint="eastAsia" w:ascii="仿宋_GB2312" w:hAnsi="仿宋_GB2312" w:eastAsia="仿宋_GB2312" w:cs="仿宋_GB2312"/>
          <w:color w:val="auto"/>
          <w:kern w:val="2"/>
          <w:sz w:val="32"/>
          <w:szCs w:val="32"/>
          <w:lang w:val="en-US" w:eastAsia="zh-CN" w:bidi="ar-SA"/>
        </w:rPr>
        <w:t>广元国际铁路港管理委员会</w:t>
      </w:r>
      <w:r>
        <w:rPr>
          <w:rFonts w:hint="eastAsia" w:ascii="仿宋_GB2312" w:hAnsi="仿宋_GB2312" w:eastAsia="仿宋_GB2312" w:cs="仿宋_GB2312"/>
          <w:sz w:val="32"/>
          <w:szCs w:val="32"/>
          <w:lang w:val="en-US" w:eastAsia="zh-CN"/>
        </w:rPr>
        <w:t>开展绩效目标管理的项目18个，涉及预算</w:t>
      </w:r>
      <w:r>
        <w:rPr>
          <w:rFonts w:hint="eastAsia" w:ascii="仿宋_GB2312" w:hAnsi="仿宋_GB2312" w:eastAsia="仿宋_GB2312" w:cs="仿宋_GB2312"/>
          <w:color w:val="auto"/>
          <w:kern w:val="2"/>
          <w:sz w:val="32"/>
          <w:szCs w:val="32"/>
          <w:lang w:val="en-US" w:eastAsia="zh-CN" w:bidi="ar-SA"/>
        </w:rPr>
        <w:t>797.94</w:t>
      </w:r>
      <w:r>
        <w:rPr>
          <w:rFonts w:hint="eastAsia" w:ascii="仿宋_GB2312" w:hAnsi="仿宋_GB2312" w:eastAsia="仿宋_GB2312" w:cs="仿宋_GB2312"/>
          <w:sz w:val="32"/>
          <w:szCs w:val="32"/>
          <w:lang w:val="en-US" w:eastAsia="zh-CN"/>
        </w:rPr>
        <w:t>万元。其中：人员类项目8个，涉及预算 589.17万元；运转类项目4个，涉及预算104.38万元；特定目标类项目6个，涉及预算104.39万元。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0" w:name="_Toc1797832084"/>
      <w:r>
        <w:rPr>
          <w:rFonts w:hint="eastAsia" w:ascii="黑体" w:hAnsi="黑体" w:eastAsia="黑体" w:cs="黑体"/>
          <w:sz w:val="32"/>
          <w:szCs w:val="32"/>
          <w:lang w:val="en-US" w:eastAsia="zh-CN"/>
        </w:rPr>
        <w:t>十一、名词解释</w:t>
      </w:r>
      <w:bookmarkEnd w:id="2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（一）财政拨款收入</w:t>
      </w:r>
      <w:r>
        <w:rPr>
          <w:rFonts w:hint="default" w:ascii="楷体_GB2312" w:hAnsi="楷体_GB2312" w:eastAsia="楷体_GB2312" w:cs="楷体_GB2312"/>
          <w:sz w:val="32"/>
          <w:szCs w:val="32"/>
          <w:lang w:val="en-US" w:eastAsia="zh-CN"/>
        </w:rPr>
        <w:t>:</w:t>
      </w:r>
      <w:r>
        <w:rPr>
          <w:rFonts w:hint="eastAsia" w:ascii="仿宋_GB2312" w:hAnsi="仿宋_GB2312" w:eastAsia="仿宋_GB2312" w:cs="仿宋_GB2312"/>
          <w:sz w:val="32"/>
          <w:szCs w:val="32"/>
          <w:lang w:val="en-US" w:eastAsia="zh-CN"/>
        </w:rPr>
        <w:t>指市财政当年安排的财政预算收入。按现行管理制度</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部门预算中反映的财政拨款包括一般公共预算拨款和政府性基金预算拨款。</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（二）</w:t>
      </w:r>
      <w:r>
        <w:rPr>
          <w:rFonts w:hint="eastAsia" w:ascii="楷体_GB2312" w:hAnsi="楷体_GB2312" w:eastAsia="楷体_GB2312" w:cs="楷体_GB2312"/>
          <w:color w:val="auto"/>
          <w:sz w:val="32"/>
          <w:szCs w:val="32"/>
          <w:lang w:val="en-US" w:eastAsia="zh-CN"/>
        </w:rPr>
        <w:t>一般公共服务（类）其他一般公共服务支出（款）其他一般公共服务支出（项）</w:t>
      </w:r>
      <w:r>
        <w:rPr>
          <w:rFonts w:hint="eastAsia" w:ascii="楷体_GB2312" w:hAnsi="楷体_GB2312" w:eastAsia="楷体_GB2312" w:cs="楷体_GB2312"/>
          <w:sz w:val="32"/>
          <w:szCs w:val="32"/>
          <w:lang w:val="en-US" w:eastAsia="zh-CN"/>
        </w:rPr>
        <w:t>：</w:t>
      </w:r>
      <w:r>
        <w:rPr>
          <w:rFonts w:hint="eastAsia" w:ascii="仿宋_GB2312" w:hAnsi="仿宋_GB2312" w:eastAsia="仿宋_GB2312" w:cs="仿宋_GB2312"/>
          <w:sz w:val="32"/>
          <w:szCs w:val="32"/>
          <w:lang w:val="en-US" w:eastAsia="zh-CN"/>
        </w:rPr>
        <w:t>指机关单位用于保障机构正常运行、开展日常工作的基本支出。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（三）社会保障和就业（类）行政事业单位养老支出（款）机关事业单位基本养老保险缴费支出（项）：</w:t>
      </w:r>
      <w:r>
        <w:rPr>
          <w:rFonts w:hint="eastAsia" w:ascii="仿宋_GB2312" w:hAnsi="仿宋_GB2312" w:eastAsia="仿宋_GB2312" w:cs="仿宋_GB2312"/>
          <w:sz w:val="32"/>
          <w:szCs w:val="32"/>
          <w:lang w:val="en-US" w:eastAsia="zh-CN"/>
        </w:rPr>
        <w:t>指部门实施养老保险制度由单位缴纳的养老保险的支出。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（四）卫生健康（类）行政事业单位医疗（款）行政单位医疗（项）：</w:t>
      </w:r>
      <w:r>
        <w:rPr>
          <w:rFonts w:hint="eastAsia" w:ascii="仿宋_GB2312" w:hAnsi="仿宋_GB2312" w:eastAsia="仿宋_GB2312" w:cs="仿宋_GB2312"/>
          <w:sz w:val="32"/>
          <w:szCs w:val="32"/>
          <w:lang w:val="en-US" w:eastAsia="zh-CN"/>
        </w:rPr>
        <w:t>指机关及参公管理事业单位用于单位应缴纳基本医疗保险支出。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（五）住房保障（类）住房改革支出（款）住房公积金（项）：</w:t>
      </w:r>
      <w:r>
        <w:rPr>
          <w:rFonts w:hint="eastAsia" w:ascii="仿宋_GB2312" w:hAnsi="仿宋_GB2312" w:eastAsia="仿宋_GB2312" w:cs="仿宋_GB2312"/>
          <w:sz w:val="32"/>
          <w:szCs w:val="32"/>
          <w:lang w:val="en-US" w:eastAsia="zh-CN"/>
        </w:rPr>
        <w:t>指按照《住房公积金管理条例》的规定，由单位及其在职职工缴存的长期住房储金。</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（六）基本支出：</w:t>
      </w:r>
      <w:r>
        <w:rPr>
          <w:rFonts w:hint="eastAsia" w:ascii="仿宋_GB2312" w:hAnsi="仿宋_GB2312" w:eastAsia="仿宋_GB2312" w:cs="仿宋_GB2312"/>
          <w:sz w:val="32"/>
          <w:szCs w:val="32"/>
          <w:lang w:val="en-US" w:eastAsia="zh-CN"/>
        </w:rPr>
        <w:t>指为保证机构正常运转，完成日常工作任务而发生的人员支出和公用支出。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（七）项目支出：</w:t>
      </w:r>
      <w:r>
        <w:rPr>
          <w:rFonts w:hint="eastAsia" w:ascii="仿宋_GB2312" w:hAnsi="仿宋_GB2312" w:eastAsia="仿宋_GB2312" w:cs="仿宋_GB2312"/>
          <w:sz w:val="32"/>
          <w:szCs w:val="32"/>
          <w:lang w:val="en-US" w:eastAsia="zh-CN"/>
        </w:rPr>
        <w:t>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（八）“三公”经费：</w:t>
      </w:r>
      <w:r>
        <w:rPr>
          <w:rFonts w:hint="eastAsia" w:ascii="仿宋_GB2312" w:hAnsi="仿宋_GB2312" w:eastAsia="仿宋_GB2312" w:cs="仿宋_GB2312"/>
          <w:sz w:val="32"/>
          <w:szCs w:val="32"/>
          <w:lang w:val="en-US" w:eastAsia="zh-CN"/>
        </w:rPr>
        <w:t>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w:t>
      </w:r>
      <w:r>
        <w:rPr>
          <w:rFonts w:hint="eastAsia" w:ascii="楷体_GB2312" w:hAnsi="楷体_GB2312" w:eastAsia="楷体_GB2312" w:cs="楷体_GB2312"/>
          <w:sz w:val="32"/>
          <w:szCs w:val="32"/>
          <w:lang w:val="en-US" w:eastAsia="zh-CN"/>
        </w:rPr>
        <w:t>（九）机关运行经费：</w:t>
      </w:r>
      <w:r>
        <w:rPr>
          <w:rFonts w:hint="eastAsia" w:ascii="仿宋_GB2312" w:hAnsi="仿宋_GB2312" w:eastAsia="仿宋_GB2312" w:cs="仿宋_GB2312"/>
          <w:sz w:val="32"/>
          <w:szCs w:val="32"/>
          <w:lang w:val="en-US" w:eastAsia="zh-CN"/>
        </w:rPr>
        <w:t>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585" w:firstLineChars="183"/>
        <w:textAlignment w:val="auto"/>
        <w:rPr>
          <w:rFonts w:hint="eastAsia"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附件：部门预算公开表</w:t>
      </w: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仿宋_GB2312"/>
          <w:b/>
          <w:bCs/>
          <w:sz w:val="32"/>
          <w:szCs w:val="32"/>
          <w:lang w:eastAsia="zh-CN"/>
        </w:rPr>
      </w:pPr>
    </w:p>
    <w:sectPr>
      <w:footerReference r:id="rId3" w:type="default"/>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swiss"/>
    <w:pitch w:val="default"/>
    <w:sig w:usb0="00000000" w:usb1="00000000" w:usb2="00000001" w:usb3="00000000" w:csb0="0000019F" w:csb1="00000000"/>
  </w:font>
  <w:font w:name="Lucida Sans">
    <w:panose1 w:val="020B0602030504020204"/>
    <w:charset w:val="00"/>
    <w:family w:val="auto"/>
    <w:pitch w:val="default"/>
    <w:sig w:usb0="00000000" w:usb1="00000000" w:usb2="00000000" w:usb3="00000000" w:csb0="00003F00" w:csb1="01000000"/>
  </w:font>
  <w:font w:name="仿宋|Ь....">
    <w:altName w:val="Times New Roman"/>
    <w:panose1 w:val="00000000000000000000"/>
    <w:charset w:val="00"/>
    <w:family w:val="roman"/>
    <w:pitch w:val="default"/>
    <w:sig w:usb0="00000000" w:usb1="00000000" w:usb2="00000010" w:usb3="00000000" w:csb0="00040000" w:csb1="00000000"/>
  </w:font>
  <w:font w:name="Liberation Sans">
    <w:panose1 w:val="020B0604020202020204"/>
    <w:charset w:val="00"/>
    <w:family w:val="swiss"/>
    <w:pitch w:val="default"/>
    <w:sig w:usb0="A00002AF" w:usb1="500078FB" w:usb2="00000000" w:usb3="00000000" w:csb0="6000009F" w:csb1="DFD70000"/>
  </w:font>
  <w:font w:name="Noto Sans CJK SC Regular">
    <w:panose1 w:val="020B0500000000000000"/>
    <w:charset w:val="86"/>
    <w:family w:val="auto"/>
    <w:pitch w:val="default"/>
    <w:sig w:usb0="30000003" w:usb1="2BDF3C10" w:usb2="00000016" w:usb3="00000000" w:csb0="602E0107"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Comic Sans MS">
    <w:panose1 w:val="030F0702030302020204"/>
    <w:charset w:val="00"/>
    <w:family w:val="auto"/>
    <w:pitch w:val="default"/>
    <w:sig w:usb0="000002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BYAAABkcnMvUEsBAhQAFAAAAAgAh07iQM6p&#10;ebnPAAAABQEAAA8AAAAAAAAAAQAgAAAAOAAAAGRycy9kb3ducmV2LnhtbFBLAQIUABQAAAAIAIdO&#10;4kBteV5o3QEAAL4DAAAOAAAAAAAAAAEAIAAAADQBAABkcnMvZTJvRG9jLnhtbFBLBQYAAAAABgAG&#10;AFkBAACDBQAAAAA=&#10;">
              <v:fill on="f" focussize="0,0"/>
              <v:stroke on="f"/>
              <v:imagedata o:title=""/>
              <o:lock v:ext="edit" aspectratio="f"/>
              <v:textbox inset="0mm,0mm,0mm,0mm" style="mso-fit-shape-to-text:t;">
                <w:txbxContent>
                  <w:p>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FCE1D6"/>
    <w:multiLevelType w:val="singleLevel"/>
    <w:tmpl w:val="5BFCE1D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c5MTc1YWUzNDk5OThmNzcwNDRiNmRkMjhiZTRiMmMifQ=="/>
  </w:docVars>
  <w:rsids>
    <w:rsidRoot w:val="00000000"/>
    <w:rsid w:val="012352D1"/>
    <w:rsid w:val="1F7BF06F"/>
    <w:rsid w:val="1FEE4B73"/>
    <w:rsid w:val="23CE9849"/>
    <w:rsid w:val="37DBAC54"/>
    <w:rsid w:val="39F304DD"/>
    <w:rsid w:val="54244390"/>
    <w:rsid w:val="54662A63"/>
    <w:rsid w:val="58064E12"/>
    <w:rsid w:val="5BFEE015"/>
    <w:rsid w:val="63EDCF55"/>
    <w:rsid w:val="63FBFBCF"/>
    <w:rsid w:val="669360FD"/>
    <w:rsid w:val="68FF6A83"/>
    <w:rsid w:val="6FBBC9CF"/>
    <w:rsid w:val="72BDE561"/>
    <w:rsid w:val="758F1E95"/>
    <w:rsid w:val="78462278"/>
    <w:rsid w:val="7997EA6C"/>
    <w:rsid w:val="7AEAE675"/>
    <w:rsid w:val="7AF21FF5"/>
    <w:rsid w:val="7BAFCE5D"/>
    <w:rsid w:val="7D46598C"/>
    <w:rsid w:val="7DFB240B"/>
    <w:rsid w:val="7E0935ED"/>
    <w:rsid w:val="7E2F91ED"/>
    <w:rsid w:val="7FCF2AF7"/>
    <w:rsid w:val="9FEF033D"/>
    <w:rsid w:val="A27FF1E5"/>
    <w:rsid w:val="AFDEB5A7"/>
    <w:rsid w:val="AFEA7FBF"/>
    <w:rsid w:val="B83F4767"/>
    <w:rsid w:val="BF930F07"/>
    <w:rsid w:val="BFBB8F58"/>
    <w:rsid w:val="BFCE8436"/>
    <w:rsid w:val="C3F7EB7A"/>
    <w:rsid w:val="CFF5FEEC"/>
    <w:rsid w:val="D3DD9064"/>
    <w:rsid w:val="D6F76A0C"/>
    <w:rsid w:val="D7ECE8D2"/>
    <w:rsid w:val="DFDD4FB5"/>
    <w:rsid w:val="E7F748B5"/>
    <w:rsid w:val="EE5F3713"/>
    <w:rsid w:val="EEFE999C"/>
    <w:rsid w:val="EFC9D62C"/>
    <w:rsid w:val="F6BE9755"/>
    <w:rsid w:val="F6FFA89B"/>
    <w:rsid w:val="F7FF3821"/>
    <w:rsid w:val="FAE4EFE1"/>
    <w:rsid w:val="FB5B319B"/>
    <w:rsid w:val="FB9B6F12"/>
    <w:rsid w:val="FBB66A4A"/>
    <w:rsid w:val="FDEE6989"/>
    <w:rsid w:val="FF5E7DB8"/>
    <w:rsid w:val="FF77E367"/>
    <w:rsid w:val="FFD576EB"/>
    <w:rsid w:val="FFFBE8B7"/>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10">
    <w:name w:val="Default Paragraph Font"/>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仿宋|Ь...." w:hAnsi="Calibri" w:eastAsia="仿宋|Ь...." w:cs="仿宋|Ь...."/>
      <w:color w:val="000000"/>
      <w:sz w:val="24"/>
      <w:szCs w:val="24"/>
      <w:lang w:val="en-US" w:eastAsia="zh-CN" w:bidi="ar-SA"/>
    </w:rPr>
  </w:style>
  <w:style w:type="paragraph" w:styleId="3">
    <w:name w:val="caption"/>
    <w:basedOn w:val="1"/>
    <w:next w:val="1"/>
    <w:qFormat/>
    <w:uiPriority w:val="0"/>
    <w:pPr>
      <w:widowControl w:val="0"/>
      <w:suppressLineNumbers/>
      <w:suppressAutoHyphens/>
      <w:spacing w:before="120" w:after="120"/>
    </w:pPr>
    <w:rPr>
      <w:i/>
      <w:iCs/>
      <w:sz w:val="24"/>
      <w:szCs w:val="24"/>
    </w:rPr>
  </w:style>
  <w:style w:type="paragraph" w:styleId="4">
    <w:name w:val="Body Text"/>
    <w:basedOn w:val="1"/>
    <w:qFormat/>
    <w:uiPriority w:val="0"/>
    <w:pPr>
      <w:spacing w:before="0" w:after="140" w:line="276" w:lineRule="auto"/>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List"/>
    <w:basedOn w:val="4"/>
    <w:qFormat/>
    <w:uiPriority w:val="0"/>
  </w:style>
  <w:style w:type="paragraph" w:styleId="8">
    <w:name w:val="Normal (Web)"/>
    <w:basedOn w:val="1"/>
    <w:qFormat/>
    <w:uiPriority w:val="0"/>
    <w:rPr>
      <w:sz w:val="24"/>
    </w:rPr>
  </w:style>
  <w:style w:type="character" w:customStyle="1" w:styleId="11">
    <w:name w:val="默认段落字体1"/>
    <w:qFormat/>
    <w:uiPriority w:val="0"/>
  </w:style>
  <w:style w:type="paragraph" w:customStyle="1" w:styleId="12">
    <w:name w:val="Heading"/>
    <w:basedOn w:val="1"/>
    <w:next w:val="4"/>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3">
    <w:name w:val="Index"/>
    <w:basedOn w:val="1"/>
    <w:qFormat/>
    <w:uiPriority w:val="0"/>
    <w:pPr>
      <w:widowControl w:val="0"/>
      <w:suppressLineNumbers/>
      <w:suppressAutoHyphens/>
    </w:pPr>
  </w:style>
  <w:style w:type="paragraph" w:customStyle="1" w:styleId="14">
    <w:name w:val="WPSOffice手动目录 1"/>
    <w:qFormat/>
    <w:uiPriority w:val="0"/>
    <w:pPr>
      <w:ind w:leftChars="0"/>
    </w:pPr>
    <w:rPr>
      <w:rFonts w:ascii="Times New Roman" w:hAnsi="Times New Roman" w:eastAsia="宋体" w:cs="Times New Roman"/>
      <w:sz w:val="20"/>
      <w:szCs w:val="20"/>
    </w:rPr>
  </w:style>
  <w:style w:type="paragraph" w:customStyle="1" w:styleId="15">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7</TotalTime>
  <ScaleCrop>false</ScaleCrop>
  <LinksUpToDate>false</LinksUpToDate>
  <Application>WPS Office_11.8.2.1125_F1E327BC-269C-435d-A152-05C5408002CA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2018-12-01T01:47:00Z</dcterms:created>
  <dc:creator>admin</dc:creator>
  <cp:lastModifiedBy> </cp:lastModifiedBy>
  <dcterms:modified xsi:type="dcterms:W3CDTF">2024-02-06T17:14:15Z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2052-11.8.2.1125</vt:lpwstr>
  </property>
  <property fmtid="{D5CDD505-2E9C-101B-9397-08002B2CF9AE}" pid="3" name="ICV">
    <vt:lpwstr>96081F72B7444D3C8C1C7DDAED24732C_13</vt:lpwstr>
  </property>
</Properties>
</file>