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503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广元市住房公积金管理中心</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59563"/>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_Toc10197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_Toc10197 \h </w:instrText>
          </w:r>
          <w:r>
            <w:rPr>
              <w:b/>
            </w:rPr>
            <w:fldChar w:fldCharType="separate"/>
          </w:r>
          <w:r>
            <w:rPr>
              <w:b/>
            </w:rPr>
            <w:t>3</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_Toc7427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（一）职能简介</w:t>
          </w:r>
          <w:r>
            <w:tab/>
          </w:r>
          <w:r>
            <w:fldChar w:fldCharType="begin"/>
          </w:r>
          <w:r>
            <w:instrText xml:space="preserve"> PAGEREF _Toc7427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_Toc15349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_Toc15349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_Toc2014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_Toc2014 \h </w:instrText>
          </w:r>
          <w:r>
            <w:rPr>
              <w:b/>
            </w:rPr>
            <w:fldChar w:fldCharType="separate"/>
          </w:r>
          <w:r>
            <w:rPr>
              <w:b/>
            </w:rPr>
            <w:t>4</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_Toc32087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_Toc32087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_Toc22268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_Toc22268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_Toc2769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_Toc2769 \h </w:instrText>
          </w:r>
          <w:r>
            <w:rPr>
              <w:b/>
            </w:rPr>
            <w:fldChar w:fldCharType="separate"/>
          </w:r>
          <w:r>
            <w:rPr>
              <w:b/>
            </w:rPr>
            <w:t>5</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_Toc8246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_Toc8246 \h </w:instrText>
          </w:r>
          <w:r>
            <w:rPr>
              <w:b/>
            </w:rPr>
            <w:fldChar w:fldCharType="separate"/>
          </w:r>
          <w:r>
            <w:rPr>
              <w:b/>
            </w:rPr>
            <w:t>5</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_Toc13251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_Toc13251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_Toc2715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_Toc2715 \h </w:instrText>
          </w:r>
          <w:r>
            <w:fldChar w:fldCharType="separate"/>
          </w:r>
          <w:r>
            <w:t>6</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_Toc27529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_Toc27529 \h </w:instrText>
          </w:r>
          <w:r>
            <w:fldChar w:fldCharType="separate"/>
          </w:r>
          <w:r>
            <w:t>6</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_Toc2700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_Toc2700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_Toc20879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_Toc20879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_Toc5135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_Toc5135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_Toc15078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_Toc15078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_Toc7308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_Toc7308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_Toc20870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_Toc20870 \h </w:instrText>
          </w:r>
          <w:r>
            <w:rPr>
              <w:b/>
            </w:rPr>
            <w:fldChar w:fldCharType="separate"/>
          </w:r>
          <w:r>
            <w:rPr>
              <w:b/>
            </w:rPr>
            <w:t>8</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_Toc20360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_Toc20360 \h </w:instrText>
          </w:r>
          <w:r>
            <w:rPr>
              <w:b/>
            </w:rPr>
            <w:fldChar w:fldCharType="separate"/>
          </w:r>
          <w:r>
            <w:rPr>
              <w:b/>
            </w:rPr>
            <w:t>8</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_Toc16035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_Toc16035 \h </w:instrText>
          </w:r>
          <w:r>
            <w:rPr>
              <w:b/>
            </w:rPr>
            <w:fldChar w:fldCharType="separate"/>
          </w:r>
          <w:r>
            <w:rPr>
              <w:b/>
            </w:rPr>
            <w:t>8</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_Toc13851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_Toc13851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_Toc16584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_Toc16584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_Toc20276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_Toc20276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_Toc21386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_Toc21386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_Toc18155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_Toc18155 \h </w:instrText>
          </w:r>
          <w:r>
            <w:rPr>
              <w:b/>
            </w:rPr>
            <w:fldChar w:fldCharType="separate"/>
          </w:r>
          <w:r>
            <w:rPr>
              <w:b/>
            </w:rPr>
            <w:t>9</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360" w:lineRule="auto"/>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0197"/>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7427"/>
      <w:r>
        <w:rPr>
          <w:rFonts w:hint="eastAsia" w:ascii="楷体_GB2312" w:hAnsi="楷体_GB2312" w:eastAsia="楷体_GB2312" w:cs="楷体_GB2312"/>
          <w:sz w:val="32"/>
          <w:szCs w:val="32"/>
        </w:rPr>
        <w:t>（一）职能简介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市住房公积金管理中心为市人民政府直属正县级事业单位。下设苍溪、旺苍、剑阁、青川、利州、昭化、朝天、宝轮管理部共8个派出机构。总编制65名，在职人员56人，聘用人员2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人，退休人员1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主要职能职责如下：</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1.编制、执行住房公积金的归集、使用计划；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2.负责记载职工住房公积金的缴存、提取、使用等情况；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3.负责住房公积金的核算；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4.审批住房公积金的提取、使用；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5.负责住房公积金的保值和归还；</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6.编制住房公积金归集、使用计划执行情况的报告；</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7.承办住房公积金管理委员会决定的其他事</w:t>
      </w:r>
      <w:r>
        <w:rPr>
          <w:rFonts w:hint="eastAsia" w:ascii="楷体_GB2312" w:hAnsi="楷体_GB2312" w:eastAsia="楷体_GB2312" w:cs="楷体_GB2312"/>
          <w:sz w:val="32"/>
          <w:szCs w:val="32"/>
        </w:rPr>
        <w:t>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534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坚持党建引领促发展。以高质量党建引领高质量发展，坚定不移推动中央、省委和市委决策部署在公积金系统落地落实</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强覆盖，惠民生，不断推进制度扩面工作。全面纵深宣传，普及政策促扩面，坚持从上至下宣传引导的原则，推进纵深制度宣传，加强部门联动，齐抓共管促扩面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强基础、稳增长、支持住房市场稳增提质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进一步支持房地产平稳发展，住房公积金提取额稳步提升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改革，优服务，践行人民至上的理念。不断深化数字化建设、提升服务效能、优化营商环境。持续深化“全程网办”，延伸服务触角，使住房公积金网络办理率达到95%以上，提升服务效率达20%以上，真正实现让“信息多跑路，群众少跑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调政策、控风险，提升管理水平。严格落实自内检查和外部监督，防范业务风险，加强贷款逾期风险防控，建立健全全方位、多层次、立体化风险防控体系，贷款逾期率始终保持≤省控指标 1‰ 。</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3.加强党风廉政建设。紧扣“清廉广元 生态社会”定义，更加突显全面从严治党引领保障作用，通过抓党风、促政风、带社风、淳民风，上下同心同向，久久为功，推进形成良好政治生态，以机关廉洁带动社会廉洁，以奋发有为的实干姿态打造“清廉公积金”干部队伍。</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4.坚持文化建设创品牌。持续巩固“全国文明单位”荣誉，当好典型示范，从严要求，自我加压，争当培育和践行社会主义核心价值观的排头兵、精神文明创建的领头雁。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014"/>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left="638" w:leftChars="304" w:firstLine="0" w:firstLineChars="0"/>
        <w:textAlignment w:val="auto"/>
        <w:rPr>
          <w:rFonts w:hint="eastAsia" w:ascii="黑体" w:hAnsi="黑体" w:eastAsia="黑体" w:cs="黑体"/>
          <w:sz w:val="32"/>
          <w:szCs w:val="32"/>
        </w:rPr>
      </w:pPr>
      <w:r>
        <w:rPr>
          <w:rFonts w:hint="eastAsia" w:ascii="仿宋_GB2312" w:hAnsi="仿宋_GB2312" w:eastAsia="仿宋_GB2312" w:cs="仿宋_GB2312"/>
          <w:b w:val="0"/>
          <w:bCs w:val="0"/>
          <w:sz w:val="32"/>
          <w:szCs w:val="32"/>
          <w:lang w:val="en-US" w:eastAsia="zh-CN"/>
        </w:rPr>
        <w:t>从预算单位构成看，市住房公积金管理中心属一级预算单位。</w:t>
      </w:r>
      <w:r>
        <w:rPr>
          <w:rFonts w:hint="eastAsia" w:ascii="黑体" w:hAnsi="黑体" w:eastAsia="黑体" w:cs="黑体"/>
          <w:sz w:val="32"/>
          <w:szCs w:val="32"/>
          <w:lang w:val="en-US" w:eastAsia="zh-CN"/>
        </w:rPr>
        <w:t>三、收支预算情况说明</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市住房公积金管理中心所有收入和支出均纳入部门预算管理。收入包括：一般公共预算拨款收入；支出包括：社会保障和就业支出、卫生健康支出、住房保障支出市住房公积金管理中心2024年收支预算总数1518.06万元，比2023年收支预算总数1461.65，增加56.41万元，主要原因是目标考核奖统一纳入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32087"/>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市住房公积金管理中心2024年收入预算1518.06万元，其中：一般公共预算拨款收入1518.06万元，占100%。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2268"/>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市住房公积金管理中心2024年支出预算1518.06万元，其中：基本支出1210.04万元，占79.71%；项目支出308.02万元，占20.29%。</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769"/>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市住房公积金管理中心2024年财政拨款收支总预算1518.06万元，比2023年财政拨款收支总预算增加1461.65万元增加56.41万元，主要原因是目标考核奖统一纳入预算。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收入包括：本年一般公共预算拨款收入1518.06万元，支出包括：社会保障和就业支出137.78万元、卫生健康支出30.42万元、住房保障支出1349.86万元。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8246"/>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3251"/>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市住房公积金管理中心2024年一般公共预算当年拨款1518.06万元，比2023年预算数1461.65增加56.41万元，主要原因是目标考核奖统一纳入预算。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715"/>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社会保障和就业支出137.78万元，占9.08%；卫生健康支出30.42万元，占2%；住房保障支出1349.86万元，占88.92%。</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7529"/>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1.社会保障和就业（类）行政事业单位养老支出（款）事业单位离退休（项）2024年预算数为42.84万元，主要用于：离退休人员经费支出。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2.社会保障和就业（类）行政事业单位养老支出（款）机关事业单位基本养老保险缴费支出（项）2024年预算数为94.94万元，主要用于：实施养老保险制度由单位缴纳的基本养老保险支出。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3.卫生健康（类）行政事业单位医疗（款）事业单位医疗（项）2024年预算数为30.42万元，主要用于：本部门按规定由单位缴纳的基本医疗保险支出。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4.住房保障（类）住房改革支出（款）住房公积金（项）2024年预算数为80.86万元，主要用于：部门按规定为职工缴纳的住房公积金支出。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5.住房保障（类）城乡社区住宅（款）住房公积金管理（项）2024年预算数为960.98万元，主要用于：部门按规定支付给职工的人员经费及公用经费支出。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6.住房保障（类）城乡社区住宅（款）其他城乡社区住宅支出（项）2023年预算数为308.02万元，主要用于：项目经费、乡村振兴、设备购置支出。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700"/>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市住房公积金管理中心2024年一般公共预算基本支出1518.06万元，其中：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人员经费1073.02万元，主要包括：基本工资、津贴补贴、奖金、机关事业单位基本养老保险缴费、职工基本医疗保险缴费、其他社会保障缴费、住房公积金、生活补助等支出。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公用经费137.02万元，主要包括：办公费、水费、电费、物业管理费、差旅费、租赁费、会议费、培训费、公务接待费、工会经费、福利费、公务用车运行维护费、其他交通费用、其他商品和服务支出等支出。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0879"/>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市住房公积金管理中心2024年“三公”经费财政拨款预算数9.7万元，其中：公务接待费0.4万元，公务用车购置及运行维护费9.3万元，因公出国（境）经费0万元。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5135"/>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2024年公务接待费0.4万元，与2023年预算数0.39万元相比增长0.01万元。</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507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2024年公务用车购置及运行维护费9.30万元，与2023年预算数持平。单位登记在册公务用车8辆，实际在用5辆，其中：轿车4辆，越野车1辆，公车改革时封存3辆。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安排公务用车运行维护费9.3万元，用于5辆公务用车燃油、过路（桥）、维修、保险等方面支出，主要保障机关领导及各科室到各县区调研、检查；保留车辆的县区管理部到市上开会及开展各项专项业务检查等使用。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6" w:name="_Toc730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市住房公积金管理中心2024年和2023年因公出国（境）经费为0万元。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0870"/>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0360"/>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市住房公积金管理中心2024年无国有资本经营预算拨款安排的支出。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6035"/>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3851"/>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市住房公积金管理中心属于全额拨款的事业单位，不属于填报机关运行经费的单位。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6584"/>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2024年，市住房公积金管理中心安排政府采购预算3.3万元，主要用于办公设备购置。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0276"/>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截至2023年底，市住房公积金管理中心共有车辆8辆，其中，其他用车5辆，车改封存3辆。单位价值200万元以上大型设备0套。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1386"/>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4" w:name="_Toc18155"/>
      <w:r>
        <w:rPr>
          <w:rFonts w:hint="eastAsia" w:ascii="仿宋_GB2312" w:hAnsi="仿宋_GB2312" w:eastAsia="仿宋_GB2312" w:cs="仿宋_GB2312"/>
          <w:sz w:val="32"/>
          <w:szCs w:val="32"/>
          <w:highlight w:val="none"/>
          <w:lang w:val="en-US" w:eastAsia="zh-CN"/>
        </w:rPr>
        <w:t>2024年市住房公积金管理中心开展绩效目标管理的项目20个，涉及预算1518.06万元。其中：人员类项目8个，涉及预算1073.02万元；运转类项目5个，涉及预算137.02万元；特定目标类项目7个，涉及预算308.02万元。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十一、名词解释</w:t>
      </w:r>
      <w:bookmarkEnd w:id="24"/>
      <w:bookmarkStart w:id="26" w:name="_GoBack"/>
      <w:bookmarkEnd w:id="26"/>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outlineLvl w:val="1"/>
        <w:rPr>
          <w:rFonts w:hint="eastAsia" w:ascii="仿宋_GB2312" w:hAnsi="仿宋_GB2312" w:eastAsia="仿宋_GB2312" w:cs="仿宋_GB2312"/>
          <w:sz w:val="32"/>
          <w:szCs w:val="32"/>
          <w:lang w:val="en-US" w:eastAsia="zh-CN"/>
        </w:rPr>
      </w:pPr>
      <w:bookmarkStart w:id="25" w:name="_Toc32274"/>
      <w:r>
        <w:rPr>
          <w:rFonts w:hint="eastAsia" w:ascii="仿宋_GB2312" w:hAnsi="仿宋_GB2312" w:eastAsia="仿宋_GB2312" w:cs="仿宋_GB2312"/>
          <w:sz w:val="32"/>
          <w:szCs w:val="32"/>
          <w:lang w:val="en-US" w:eastAsia="zh-CN"/>
        </w:rPr>
        <w:t>一般公共预算拨款收入：指市级财政当年拨付的资金。</w:t>
      </w:r>
      <w:bookmarkEnd w:id="25"/>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社会保障和就业（类）行政事业单位养老支出（款）事业单位离退休（项）：指事业单位离退休人员的支出。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卫生健康（类）行政事业单位医疗（款）事业单位医疗（项）：指事业单位用于单位应缴纳基本医疗保险支出。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住房保障（类）城乡社区住宅（款）住房公积金管理（项）：经财政部门批准用于公积金管理机构的管理费用支出。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住房保障（类）城乡社区住宅（款）其他城乡社区住宅支出（项）：其他用于城乡社区住宅方面的支出。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D87C1E"/>
    <w:multiLevelType w:val="singleLevel"/>
    <w:tmpl w:val="10D87C1E"/>
    <w:lvl w:ilvl="0" w:tentative="0">
      <w:start w:val="1"/>
      <w:numFmt w:val="chineseCounting"/>
      <w:suff w:val="nothing"/>
      <w:lvlText w:val="（%1）"/>
      <w:lvlJc w:val="left"/>
      <w:pPr>
        <w:ind w:left="0" w:firstLine="42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7FD71D6"/>
    <w:rsid w:val="1F7BF06F"/>
    <w:rsid w:val="1FDF4137"/>
    <w:rsid w:val="1FEE4B73"/>
    <w:rsid w:val="23CE9849"/>
    <w:rsid w:val="26834513"/>
    <w:rsid w:val="27FFB9CE"/>
    <w:rsid w:val="2A766E94"/>
    <w:rsid w:val="2EEF1228"/>
    <w:rsid w:val="2F9BDBF7"/>
    <w:rsid w:val="2FCFBF49"/>
    <w:rsid w:val="317FA99F"/>
    <w:rsid w:val="32FD0D15"/>
    <w:rsid w:val="39F304DD"/>
    <w:rsid w:val="3DA17891"/>
    <w:rsid w:val="3E7E61B4"/>
    <w:rsid w:val="3FB3B780"/>
    <w:rsid w:val="3FC5C404"/>
    <w:rsid w:val="3FDD5837"/>
    <w:rsid w:val="47DF9CA4"/>
    <w:rsid w:val="4FFFD8DB"/>
    <w:rsid w:val="53FD30F0"/>
    <w:rsid w:val="54244390"/>
    <w:rsid w:val="54662A63"/>
    <w:rsid w:val="578FD843"/>
    <w:rsid w:val="57D7EF64"/>
    <w:rsid w:val="58064E12"/>
    <w:rsid w:val="5BE26297"/>
    <w:rsid w:val="5BFBEC42"/>
    <w:rsid w:val="5BFEE015"/>
    <w:rsid w:val="5DFF88D1"/>
    <w:rsid w:val="5EEF92BD"/>
    <w:rsid w:val="5EEFF9A3"/>
    <w:rsid w:val="5F4E9728"/>
    <w:rsid w:val="5F7F4D55"/>
    <w:rsid w:val="5FD0FA51"/>
    <w:rsid w:val="5FDD7215"/>
    <w:rsid w:val="5FDF259E"/>
    <w:rsid w:val="624A4645"/>
    <w:rsid w:val="63EDCF55"/>
    <w:rsid w:val="63FBFBCF"/>
    <w:rsid w:val="667804C9"/>
    <w:rsid w:val="669360FD"/>
    <w:rsid w:val="676B2392"/>
    <w:rsid w:val="67DF5D61"/>
    <w:rsid w:val="68FF6A83"/>
    <w:rsid w:val="6E0760F7"/>
    <w:rsid w:val="6F84222E"/>
    <w:rsid w:val="6FBBC9CF"/>
    <w:rsid w:val="6FEF9F31"/>
    <w:rsid w:val="72BDE561"/>
    <w:rsid w:val="72F268B2"/>
    <w:rsid w:val="76B9D7C0"/>
    <w:rsid w:val="771F303E"/>
    <w:rsid w:val="77A9B18F"/>
    <w:rsid w:val="77BF997B"/>
    <w:rsid w:val="77F72B16"/>
    <w:rsid w:val="78462278"/>
    <w:rsid w:val="78CD9187"/>
    <w:rsid w:val="7959F98B"/>
    <w:rsid w:val="7997EA6C"/>
    <w:rsid w:val="79BE966C"/>
    <w:rsid w:val="79EFA99E"/>
    <w:rsid w:val="7ADF47EA"/>
    <w:rsid w:val="7AEAE675"/>
    <w:rsid w:val="7BAD57A0"/>
    <w:rsid w:val="7BAFCE5D"/>
    <w:rsid w:val="7BFFAD0D"/>
    <w:rsid w:val="7D46598C"/>
    <w:rsid w:val="7D9F0E77"/>
    <w:rsid w:val="7DEF8337"/>
    <w:rsid w:val="7DFB240B"/>
    <w:rsid w:val="7E0935ED"/>
    <w:rsid w:val="7E8AA159"/>
    <w:rsid w:val="7EC77A46"/>
    <w:rsid w:val="7EDBF3E0"/>
    <w:rsid w:val="7F9D5F21"/>
    <w:rsid w:val="7FCF2AF7"/>
    <w:rsid w:val="7FD775F8"/>
    <w:rsid w:val="7FD7AA82"/>
    <w:rsid w:val="7FF8EA9F"/>
    <w:rsid w:val="7FFBF1BA"/>
    <w:rsid w:val="7FFE7DBE"/>
    <w:rsid w:val="9EF20053"/>
    <w:rsid w:val="9F95CA9D"/>
    <w:rsid w:val="9FB428A0"/>
    <w:rsid w:val="9FEF033D"/>
    <w:rsid w:val="A27FF1E5"/>
    <w:rsid w:val="A33BA88F"/>
    <w:rsid w:val="ABFC223A"/>
    <w:rsid w:val="AFDEB5A7"/>
    <w:rsid w:val="AFEA7FBF"/>
    <w:rsid w:val="B693B751"/>
    <w:rsid w:val="B777D61E"/>
    <w:rsid w:val="B7EF824D"/>
    <w:rsid w:val="B83F4767"/>
    <w:rsid w:val="B8EE5AC2"/>
    <w:rsid w:val="B8FFB787"/>
    <w:rsid w:val="BD6D4E81"/>
    <w:rsid w:val="BEDDEBCA"/>
    <w:rsid w:val="BF930F07"/>
    <w:rsid w:val="BFC3F374"/>
    <w:rsid w:val="BFCE8436"/>
    <w:rsid w:val="BFFFF8B0"/>
    <w:rsid w:val="C3F7EB7A"/>
    <w:rsid w:val="CEBFB65C"/>
    <w:rsid w:val="CF5F30C4"/>
    <w:rsid w:val="CFB8A4D1"/>
    <w:rsid w:val="CFDDE03E"/>
    <w:rsid w:val="CFF5FEEC"/>
    <w:rsid w:val="D3DD9064"/>
    <w:rsid w:val="D6F76A0C"/>
    <w:rsid w:val="D6FE712A"/>
    <w:rsid w:val="D7ECE8D2"/>
    <w:rsid w:val="D9FE3C3C"/>
    <w:rsid w:val="DDAECF84"/>
    <w:rsid w:val="DE5B54FF"/>
    <w:rsid w:val="DE7DF3F5"/>
    <w:rsid w:val="DEFF98F5"/>
    <w:rsid w:val="DFCF2969"/>
    <w:rsid w:val="DFDD4FB5"/>
    <w:rsid w:val="E2FD2548"/>
    <w:rsid w:val="E7F748B5"/>
    <w:rsid w:val="EB9BA0B9"/>
    <w:rsid w:val="EBBF2642"/>
    <w:rsid w:val="EE5F2906"/>
    <w:rsid w:val="EE5F3713"/>
    <w:rsid w:val="EEAF367B"/>
    <w:rsid w:val="EF7FC2AE"/>
    <w:rsid w:val="EFC9D62C"/>
    <w:rsid w:val="EFFD7597"/>
    <w:rsid w:val="F0BE365D"/>
    <w:rsid w:val="F5FD2458"/>
    <w:rsid w:val="F6BE9755"/>
    <w:rsid w:val="F6FFA89B"/>
    <w:rsid w:val="F77D4830"/>
    <w:rsid w:val="F7BFB065"/>
    <w:rsid w:val="FAE4EFE1"/>
    <w:rsid w:val="FB9B6F12"/>
    <w:rsid w:val="FBB66A4A"/>
    <w:rsid w:val="FBFA56A4"/>
    <w:rsid w:val="FCF53195"/>
    <w:rsid w:val="FCFFE216"/>
    <w:rsid w:val="FD3B8B11"/>
    <w:rsid w:val="FD79FDCA"/>
    <w:rsid w:val="FD9FF34A"/>
    <w:rsid w:val="FDC85F71"/>
    <w:rsid w:val="FDEE6989"/>
    <w:rsid w:val="FEBE3B3E"/>
    <w:rsid w:val="FEE34237"/>
    <w:rsid w:val="FEFF313E"/>
    <w:rsid w:val="FF3DC257"/>
    <w:rsid w:val="FF5E7DB8"/>
    <w:rsid w:val="FF67AAA3"/>
    <w:rsid w:val="FF77E367"/>
    <w:rsid w:val="FF7E39A6"/>
    <w:rsid w:val="FFCD0AD0"/>
    <w:rsid w:val="FFD576EB"/>
    <w:rsid w:val="FFDF82D3"/>
    <w:rsid w:val="FFF7AA48"/>
    <w:rsid w:val="FFFB8989"/>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 </cp:lastModifiedBy>
  <dcterms:modified xsi:type="dcterms:W3CDTF">2024-02-18T17:47:37Z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