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053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t>广元市荣山地区人民检察院</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t>2024年部门预算编制说明</w:t>
      </w: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br w:type="page"/>
      </w:r>
    </w:p>
    <w:sdt>
      <w:sdtPr>
        <w:rPr>
          <w:rFonts w:ascii="宋体" w:hAnsi="宋体" w:eastAsia="宋体" w:cs="Times New Roman"/>
          <w:color w:val="auto"/>
          <w:kern w:val="2"/>
          <w:sz w:val="21"/>
          <w:szCs w:val="24"/>
          <w:lang w:val="en-US" w:eastAsia="zh-CN" w:bidi="ar-SA"/>
        </w:rPr>
        <w:id w:val="147454871"/>
        <w15:color w:val="DBDBDB"/>
        <w:docPartObj>
          <w:docPartGallery w:val="Table of Contents"/>
          <w:docPartUnique/>
        </w:docPartObj>
      </w:sdtPr>
      <w:sdtEndPr>
        <w:rPr>
          <w:rFonts w:hint="eastAsia"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rPr>
              <w:sz w:val="24"/>
              <w:szCs w:val="24"/>
            </w:rPr>
          </w:pPr>
          <w:r>
            <w:rPr>
              <w:rFonts w:ascii="宋体" w:hAnsi="宋体" w:eastAsia="宋体"/>
              <w:sz w:val="24"/>
              <w:szCs w:val="24"/>
            </w:rPr>
            <w:t>目录</w:t>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val="0"/>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b w:val="0"/>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separate"/>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_Toc19563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highlight w:val="none"/>
              <w:lang w:val="en-US" w:eastAsia="zh-CN"/>
            </w:rPr>
            <w:t>一、基本职能及主要工作</w:t>
          </w:r>
          <w:r>
            <w:rPr>
              <w:b/>
              <w:sz w:val="24"/>
              <w:szCs w:val="24"/>
            </w:rPr>
            <w:tab/>
          </w:r>
          <w:r>
            <w:rPr>
              <w:b/>
              <w:sz w:val="24"/>
              <w:szCs w:val="24"/>
            </w:rPr>
            <w:fldChar w:fldCharType="begin"/>
          </w:r>
          <w:r>
            <w:rPr>
              <w:b/>
              <w:sz w:val="24"/>
              <w:szCs w:val="24"/>
            </w:rPr>
            <w:instrText xml:space="preserve"> PAGEREF _Toc19563 \h </w:instrText>
          </w:r>
          <w:r>
            <w:rPr>
              <w:b/>
              <w:sz w:val="24"/>
              <w:szCs w:val="24"/>
            </w:rPr>
            <w:fldChar w:fldCharType="separate"/>
          </w:r>
          <w:r>
            <w:rPr>
              <w:b/>
              <w:sz w:val="24"/>
              <w:szCs w:val="24"/>
            </w:rPr>
            <w:t>3</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_Toc12447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highlight w:val="none"/>
            </w:rPr>
            <w:t>（一）</w:t>
          </w:r>
          <w:r>
            <w:rPr>
              <w:rFonts w:hint="eastAsia" w:ascii="楷体_GB2312" w:hAnsi="楷体_GB2312" w:eastAsia="楷体_GB2312" w:cs="楷体_GB2312"/>
              <w:sz w:val="24"/>
              <w:szCs w:val="24"/>
              <w:highlight w:val="none"/>
              <w:lang w:val="en-US" w:eastAsia="zh-CN"/>
            </w:rPr>
            <w:t>广元市荣山地区人民检察院</w:t>
          </w:r>
          <w:r>
            <w:rPr>
              <w:rFonts w:hint="eastAsia" w:ascii="楷体_GB2312" w:hAnsi="楷体_GB2312" w:eastAsia="楷体_GB2312" w:cs="楷体_GB2312"/>
              <w:sz w:val="24"/>
              <w:szCs w:val="24"/>
              <w:highlight w:val="none"/>
            </w:rPr>
            <w:t>职能简介</w:t>
          </w:r>
          <w:r>
            <w:rPr>
              <w:sz w:val="24"/>
              <w:szCs w:val="24"/>
            </w:rPr>
            <w:tab/>
          </w:r>
          <w:r>
            <w:rPr>
              <w:sz w:val="24"/>
              <w:szCs w:val="24"/>
            </w:rPr>
            <w:fldChar w:fldCharType="begin"/>
          </w:r>
          <w:r>
            <w:rPr>
              <w:sz w:val="24"/>
              <w:szCs w:val="24"/>
            </w:rPr>
            <w:instrText xml:space="preserve"> PAGEREF _Toc12447 \h </w:instrText>
          </w:r>
          <w:r>
            <w:rPr>
              <w:sz w:val="24"/>
              <w:szCs w:val="24"/>
            </w:rPr>
            <w:fldChar w:fldCharType="separate"/>
          </w:r>
          <w:r>
            <w:rPr>
              <w:sz w:val="24"/>
              <w:szCs w:val="24"/>
            </w:rPr>
            <w:t>3</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_Toc23917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highlight w:val="none"/>
            </w:rPr>
            <w:t>（二）</w:t>
          </w:r>
          <w:r>
            <w:rPr>
              <w:rFonts w:hint="eastAsia" w:ascii="楷体_GB2312" w:hAnsi="楷体_GB2312" w:eastAsia="楷体_GB2312" w:cs="楷体_GB2312"/>
              <w:sz w:val="24"/>
              <w:szCs w:val="24"/>
              <w:highlight w:val="none"/>
              <w:lang w:val="en-US" w:eastAsia="zh-CN"/>
            </w:rPr>
            <w:t>广元市荣山地区人民检察院</w:t>
          </w:r>
          <w:r>
            <w:rPr>
              <w:rFonts w:hint="eastAsia" w:ascii="楷体_GB2312" w:hAnsi="楷体_GB2312" w:eastAsia="楷体_GB2312" w:cs="楷体_GB2312"/>
              <w:sz w:val="24"/>
              <w:szCs w:val="24"/>
              <w:highlight w:val="none"/>
              <w:lang w:val="en-US"/>
            </w:rPr>
            <w:t>2024</w:t>
          </w:r>
          <w:r>
            <w:rPr>
              <w:rFonts w:hint="eastAsia" w:ascii="楷体_GB2312" w:hAnsi="楷体_GB2312" w:eastAsia="楷体_GB2312" w:cs="楷体_GB2312"/>
              <w:sz w:val="24"/>
              <w:szCs w:val="24"/>
              <w:highlight w:val="none"/>
            </w:rPr>
            <w:t>年重点工作</w:t>
          </w:r>
          <w:r>
            <w:rPr>
              <w:sz w:val="24"/>
              <w:szCs w:val="24"/>
            </w:rPr>
            <w:tab/>
          </w:r>
          <w:r>
            <w:rPr>
              <w:sz w:val="24"/>
              <w:szCs w:val="24"/>
            </w:rPr>
            <w:fldChar w:fldCharType="begin"/>
          </w:r>
          <w:r>
            <w:rPr>
              <w:sz w:val="24"/>
              <w:szCs w:val="24"/>
            </w:rPr>
            <w:instrText xml:space="preserve"> PAGEREF _Toc23917 \h </w:instrText>
          </w:r>
          <w:r>
            <w:rPr>
              <w:sz w:val="24"/>
              <w:szCs w:val="24"/>
            </w:rPr>
            <w:fldChar w:fldCharType="separate"/>
          </w:r>
          <w:r>
            <w:rPr>
              <w:sz w:val="24"/>
              <w:szCs w:val="24"/>
            </w:rPr>
            <w:t>4</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_Toc28023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highlight w:val="none"/>
              <w:lang w:val="en-US" w:eastAsia="zh-CN"/>
            </w:rPr>
            <w:t>二、部门预算单位构成</w:t>
          </w:r>
          <w:r>
            <w:rPr>
              <w:b/>
              <w:sz w:val="24"/>
              <w:szCs w:val="24"/>
            </w:rPr>
            <w:tab/>
          </w:r>
          <w:r>
            <w:rPr>
              <w:b/>
              <w:sz w:val="24"/>
              <w:szCs w:val="24"/>
            </w:rPr>
            <w:fldChar w:fldCharType="begin"/>
          </w:r>
          <w:r>
            <w:rPr>
              <w:b/>
              <w:sz w:val="24"/>
              <w:szCs w:val="24"/>
            </w:rPr>
            <w:instrText xml:space="preserve"> PAGEREF _Toc28023 \h </w:instrText>
          </w:r>
          <w:r>
            <w:rPr>
              <w:b/>
              <w:sz w:val="24"/>
              <w:szCs w:val="24"/>
            </w:rPr>
            <w:fldChar w:fldCharType="separate"/>
          </w:r>
          <w:r>
            <w:rPr>
              <w:b/>
              <w:sz w:val="24"/>
              <w:szCs w:val="24"/>
            </w:rPr>
            <w:t>6</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_Toc20968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highlight w:val="none"/>
              <w:lang w:val="en-US" w:eastAsia="zh-CN"/>
            </w:rPr>
            <w:t>三、收支预算情况说明</w:t>
          </w:r>
          <w:r>
            <w:rPr>
              <w:b/>
              <w:sz w:val="24"/>
              <w:szCs w:val="24"/>
            </w:rPr>
            <w:tab/>
          </w:r>
          <w:r>
            <w:rPr>
              <w:b/>
              <w:sz w:val="24"/>
              <w:szCs w:val="24"/>
            </w:rPr>
            <w:fldChar w:fldCharType="begin"/>
          </w:r>
          <w:r>
            <w:rPr>
              <w:b/>
              <w:sz w:val="24"/>
              <w:szCs w:val="24"/>
            </w:rPr>
            <w:instrText xml:space="preserve"> PAGEREF _Toc20968 \h </w:instrText>
          </w:r>
          <w:r>
            <w:rPr>
              <w:b/>
              <w:sz w:val="24"/>
              <w:szCs w:val="24"/>
            </w:rPr>
            <w:fldChar w:fldCharType="separate"/>
          </w:r>
          <w:r>
            <w:rPr>
              <w:b/>
              <w:sz w:val="24"/>
              <w:szCs w:val="24"/>
            </w:rPr>
            <w:t>6</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_Toc7956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highlight w:val="none"/>
              <w:lang w:val="en-US" w:eastAsia="zh-CN"/>
            </w:rPr>
            <w:t>（一）收入预算情况</w:t>
          </w:r>
          <w:r>
            <w:rPr>
              <w:sz w:val="24"/>
              <w:szCs w:val="24"/>
            </w:rPr>
            <w:tab/>
          </w:r>
          <w:r>
            <w:rPr>
              <w:sz w:val="24"/>
              <w:szCs w:val="24"/>
            </w:rPr>
            <w:fldChar w:fldCharType="begin"/>
          </w:r>
          <w:r>
            <w:rPr>
              <w:sz w:val="24"/>
              <w:szCs w:val="24"/>
            </w:rPr>
            <w:instrText xml:space="preserve"> PAGEREF _Toc7956 \h </w:instrText>
          </w:r>
          <w:r>
            <w:rPr>
              <w:sz w:val="24"/>
              <w:szCs w:val="24"/>
            </w:rPr>
            <w:fldChar w:fldCharType="separate"/>
          </w:r>
          <w:r>
            <w:rPr>
              <w:sz w:val="24"/>
              <w:szCs w:val="24"/>
            </w:rPr>
            <w:t>7</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_Toc24451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highlight w:val="none"/>
              <w:lang w:val="en-US" w:eastAsia="zh-CN"/>
            </w:rPr>
            <w:t>（二）支出预算情况</w:t>
          </w:r>
          <w:r>
            <w:rPr>
              <w:sz w:val="24"/>
              <w:szCs w:val="24"/>
            </w:rPr>
            <w:tab/>
          </w:r>
          <w:r>
            <w:rPr>
              <w:sz w:val="24"/>
              <w:szCs w:val="24"/>
            </w:rPr>
            <w:fldChar w:fldCharType="begin"/>
          </w:r>
          <w:r>
            <w:rPr>
              <w:sz w:val="24"/>
              <w:szCs w:val="24"/>
            </w:rPr>
            <w:instrText xml:space="preserve"> PAGEREF _Toc24451 \h </w:instrText>
          </w:r>
          <w:r>
            <w:rPr>
              <w:sz w:val="24"/>
              <w:szCs w:val="24"/>
            </w:rPr>
            <w:fldChar w:fldCharType="separate"/>
          </w:r>
          <w:r>
            <w:rPr>
              <w:sz w:val="24"/>
              <w:szCs w:val="24"/>
            </w:rPr>
            <w:t>7</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_Toc8208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highlight w:val="none"/>
              <w:lang w:val="en-US" w:eastAsia="zh-CN"/>
            </w:rPr>
            <w:t>四、财政拨款收支预算情况说明</w:t>
          </w:r>
          <w:r>
            <w:rPr>
              <w:b/>
              <w:sz w:val="24"/>
              <w:szCs w:val="24"/>
            </w:rPr>
            <w:tab/>
          </w:r>
          <w:r>
            <w:rPr>
              <w:b/>
              <w:sz w:val="24"/>
              <w:szCs w:val="24"/>
            </w:rPr>
            <w:fldChar w:fldCharType="begin"/>
          </w:r>
          <w:r>
            <w:rPr>
              <w:b/>
              <w:sz w:val="24"/>
              <w:szCs w:val="24"/>
            </w:rPr>
            <w:instrText xml:space="preserve"> PAGEREF _Toc8208 \h </w:instrText>
          </w:r>
          <w:r>
            <w:rPr>
              <w:b/>
              <w:sz w:val="24"/>
              <w:szCs w:val="24"/>
            </w:rPr>
            <w:fldChar w:fldCharType="separate"/>
          </w:r>
          <w:r>
            <w:rPr>
              <w:b/>
              <w:sz w:val="24"/>
              <w:szCs w:val="24"/>
            </w:rPr>
            <w:t>7</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_Toc11216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highlight w:val="none"/>
              <w:lang w:val="en-US" w:eastAsia="zh-CN"/>
            </w:rPr>
            <w:t>五、一般公共预算当年拨款情况说明</w:t>
          </w:r>
          <w:r>
            <w:rPr>
              <w:b/>
              <w:sz w:val="24"/>
              <w:szCs w:val="24"/>
            </w:rPr>
            <w:tab/>
          </w:r>
          <w:r>
            <w:rPr>
              <w:b/>
              <w:sz w:val="24"/>
              <w:szCs w:val="24"/>
            </w:rPr>
            <w:fldChar w:fldCharType="begin"/>
          </w:r>
          <w:r>
            <w:rPr>
              <w:b/>
              <w:sz w:val="24"/>
              <w:szCs w:val="24"/>
            </w:rPr>
            <w:instrText xml:space="preserve"> PAGEREF _Toc11216 \h </w:instrText>
          </w:r>
          <w:r>
            <w:rPr>
              <w:b/>
              <w:sz w:val="24"/>
              <w:szCs w:val="24"/>
            </w:rPr>
            <w:fldChar w:fldCharType="separate"/>
          </w:r>
          <w:r>
            <w:rPr>
              <w:b/>
              <w:sz w:val="24"/>
              <w:szCs w:val="24"/>
            </w:rPr>
            <w:t>7</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_Toc26503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highlight w:val="none"/>
              <w:lang w:val="en-US" w:eastAsia="zh-CN"/>
            </w:rPr>
            <w:t>（一）一般公共预算当年拨款规模变化情况</w:t>
          </w:r>
          <w:r>
            <w:rPr>
              <w:sz w:val="24"/>
              <w:szCs w:val="24"/>
            </w:rPr>
            <w:tab/>
          </w:r>
          <w:r>
            <w:rPr>
              <w:sz w:val="24"/>
              <w:szCs w:val="24"/>
            </w:rPr>
            <w:fldChar w:fldCharType="begin"/>
          </w:r>
          <w:r>
            <w:rPr>
              <w:sz w:val="24"/>
              <w:szCs w:val="24"/>
            </w:rPr>
            <w:instrText xml:space="preserve"> PAGEREF _Toc26503 \h </w:instrText>
          </w:r>
          <w:r>
            <w:rPr>
              <w:sz w:val="24"/>
              <w:szCs w:val="24"/>
            </w:rPr>
            <w:fldChar w:fldCharType="separate"/>
          </w:r>
          <w:r>
            <w:rPr>
              <w:sz w:val="24"/>
              <w:szCs w:val="24"/>
            </w:rPr>
            <w:t>7</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_Toc490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highlight w:val="none"/>
              <w:lang w:val="en-US" w:eastAsia="zh-CN"/>
            </w:rPr>
            <w:t>（二）一般公共预算当年拨款结构情况</w:t>
          </w:r>
          <w:r>
            <w:rPr>
              <w:sz w:val="24"/>
              <w:szCs w:val="24"/>
            </w:rPr>
            <w:tab/>
          </w:r>
          <w:r>
            <w:rPr>
              <w:sz w:val="24"/>
              <w:szCs w:val="24"/>
            </w:rPr>
            <w:fldChar w:fldCharType="begin"/>
          </w:r>
          <w:r>
            <w:rPr>
              <w:sz w:val="24"/>
              <w:szCs w:val="24"/>
            </w:rPr>
            <w:instrText xml:space="preserve"> PAGEREF _Toc490 \h </w:instrText>
          </w:r>
          <w:r>
            <w:rPr>
              <w:sz w:val="24"/>
              <w:szCs w:val="24"/>
            </w:rPr>
            <w:fldChar w:fldCharType="separate"/>
          </w:r>
          <w:r>
            <w:rPr>
              <w:sz w:val="24"/>
              <w:szCs w:val="24"/>
            </w:rPr>
            <w:t>7</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_Toc19159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highlight w:val="none"/>
              <w:lang w:val="en-US" w:eastAsia="zh-CN"/>
            </w:rPr>
            <w:t>（三）一般公共预算当年拨款具体使用情况</w:t>
          </w:r>
          <w:r>
            <w:rPr>
              <w:sz w:val="24"/>
              <w:szCs w:val="24"/>
            </w:rPr>
            <w:tab/>
          </w:r>
          <w:r>
            <w:rPr>
              <w:sz w:val="24"/>
              <w:szCs w:val="24"/>
            </w:rPr>
            <w:fldChar w:fldCharType="begin"/>
          </w:r>
          <w:r>
            <w:rPr>
              <w:sz w:val="24"/>
              <w:szCs w:val="24"/>
            </w:rPr>
            <w:instrText xml:space="preserve"> PAGEREF _Toc19159 \h </w:instrText>
          </w:r>
          <w:r>
            <w:rPr>
              <w:sz w:val="24"/>
              <w:szCs w:val="24"/>
            </w:rPr>
            <w:fldChar w:fldCharType="separate"/>
          </w:r>
          <w:r>
            <w:rPr>
              <w:sz w:val="24"/>
              <w:szCs w:val="24"/>
            </w:rPr>
            <w:t>8</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_Toc26044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highlight w:val="none"/>
              <w:lang w:val="en-US" w:eastAsia="zh-CN"/>
            </w:rPr>
            <w:t>六、一般公共预算基本支出情况说明</w:t>
          </w:r>
          <w:r>
            <w:rPr>
              <w:b/>
              <w:sz w:val="24"/>
              <w:szCs w:val="24"/>
            </w:rPr>
            <w:tab/>
          </w:r>
          <w:r>
            <w:rPr>
              <w:b/>
              <w:sz w:val="24"/>
              <w:szCs w:val="24"/>
            </w:rPr>
            <w:fldChar w:fldCharType="begin"/>
          </w:r>
          <w:r>
            <w:rPr>
              <w:b/>
              <w:sz w:val="24"/>
              <w:szCs w:val="24"/>
            </w:rPr>
            <w:instrText xml:space="preserve"> PAGEREF _Toc26044 \h </w:instrText>
          </w:r>
          <w:r>
            <w:rPr>
              <w:b/>
              <w:sz w:val="24"/>
              <w:szCs w:val="24"/>
            </w:rPr>
            <w:fldChar w:fldCharType="separate"/>
          </w:r>
          <w:r>
            <w:rPr>
              <w:b/>
              <w:sz w:val="24"/>
              <w:szCs w:val="24"/>
            </w:rPr>
            <w:t>9</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_Toc14906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仿宋_GB2312" w:hAnsi="仿宋_GB2312" w:eastAsia="仿宋_GB2312" w:cs="仿宋_GB2312"/>
              <w:b/>
              <w:sz w:val="24"/>
              <w:szCs w:val="24"/>
              <w:lang w:val="en-US" w:eastAsia="zh-CN"/>
            </w:rPr>
            <w:t xml:space="preserve">七、 </w:t>
          </w:r>
          <w:r>
            <w:rPr>
              <w:rFonts w:hint="eastAsia" w:ascii="黑体" w:hAnsi="黑体" w:eastAsia="黑体" w:cs="黑体"/>
              <w:b/>
              <w:sz w:val="24"/>
              <w:szCs w:val="24"/>
              <w:highlight w:val="none"/>
              <w:lang w:val="en-US" w:eastAsia="zh-CN"/>
            </w:rPr>
            <w:t>“三公”经费财政拨款预算安排情况说明</w:t>
          </w:r>
          <w:r>
            <w:rPr>
              <w:b/>
              <w:sz w:val="24"/>
              <w:szCs w:val="24"/>
            </w:rPr>
            <w:tab/>
          </w:r>
          <w:r>
            <w:rPr>
              <w:b/>
              <w:sz w:val="24"/>
              <w:szCs w:val="24"/>
            </w:rPr>
            <w:fldChar w:fldCharType="begin"/>
          </w:r>
          <w:r>
            <w:rPr>
              <w:b/>
              <w:sz w:val="24"/>
              <w:szCs w:val="24"/>
            </w:rPr>
            <w:instrText xml:space="preserve"> PAGEREF _Toc14906 \h </w:instrText>
          </w:r>
          <w:r>
            <w:rPr>
              <w:b/>
              <w:sz w:val="24"/>
              <w:szCs w:val="24"/>
            </w:rPr>
            <w:fldChar w:fldCharType="separate"/>
          </w:r>
          <w:r>
            <w:rPr>
              <w:b/>
              <w:sz w:val="24"/>
              <w:szCs w:val="24"/>
            </w:rPr>
            <w:t>9</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_Toc31402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仿宋_GB2312" w:hAnsi="仿宋_GB2312" w:eastAsia="仿宋_GB2312" w:cs="仿宋_GB2312"/>
              <w:sz w:val="24"/>
              <w:szCs w:val="24"/>
              <w:highlight w:val="none"/>
              <w:lang w:val="en-US" w:eastAsia="zh-CN"/>
            </w:rPr>
            <w:t>（一）</w:t>
          </w:r>
          <w:r>
            <w:rPr>
              <w:rFonts w:hint="eastAsia" w:ascii="楷体_GB2312" w:hAnsi="楷体_GB2312" w:eastAsia="楷体_GB2312" w:cs="楷体_GB2312"/>
              <w:sz w:val="24"/>
              <w:szCs w:val="24"/>
              <w:highlight w:val="none"/>
              <w:lang w:val="en-US" w:eastAsia="zh-CN"/>
            </w:rPr>
            <w:t>公务接待费</w:t>
          </w:r>
          <w:r>
            <w:rPr>
              <w:sz w:val="24"/>
              <w:szCs w:val="24"/>
            </w:rPr>
            <w:tab/>
          </w:r>
          <w:r>
            <w:rPr>
              <w:sz w:val="24"/>
              <w:szCs w:val="24"/>
            </w:rPr>
            <w:fldChar w:fldCharType="begin"/>
          </w:r>
          <w:r>
            <w:rPr>
              <w:sz w:val="24"/>
              <w:szCs w:val="24"/>
            </w:rPr>
            <w:instrText xml:space="preserve"> PAGEREF _Toc31402 \h </w:instrText>
          </w:r>
          <w:r>
            <w:rPr>
              <w:sz w:val="24"/>
              <w:szCs w:val="24"/>
            </w:rPr>
            <w:fldChar w:fldCharType="separate"/>
          </w:r>
          <w:r>
            <w:rPr>
              <w:sz w:val="24"/>
              <w:szCs w:val="24"/>
            </w:rPr>
            <w:t>10</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_Toc14157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仿宋_GB2312" w:hAnsi="仿宋_GB2312" w:eastAsia="仿宋_GB2312" w:cs="仿宋_GB2312"/>
              <w:sz w:val="24"/>
              <w:szCs w:val="24"/>
              <w:lang w:val="en-US" w:eastAsia="zh-CN"/>
            </w:rPr>
            <w:t xml:space="preserve">（一） </w:t>
          </w:r>
          <w:r>
            <w:rPr>
              <w:rFonts w:hint="eastAsia" w:ascii="楷体_GB2312" w:hAnsi="楷体_GB2312" w:eastAsia="楷体_GB2312" w:cs="楷体_GB2312"/>
              <w:sz w:val="24"/>
              <w:szCs w:val="24"/>
              <w:highlight w:val="none"/>
              <w:lang w:val="en-US" w:eastAsia="zh-CN"/>
            </w:rPr>
            <w:t>公务用车购置及运行维护费</w:t>
          </w:r>
          <w:r>
            <w:rPr>
              <w:sz w:val="24"/>
              <w:szCs w:val="24"/>
            </w:rPr>
            <w:tab/>
          </w:r>
          <w:r>
            <w:rPr>
              <w:sz w:val="24"/>
              <w:szCs w:val="24"/>
            </w:rPr>
            <w:fldChar w:fldCharType="begin"/>
          </w:r>
          <w:r>
            <w:rPr>
              <w:sz w:val="24"/>
              <w:szCs w:val="24"/>
            </w:rPr>
            <w:instrText xml:space="preserve"> PAGEREF _Toc14157 \h </w:instrText>
          </w:r>
          <w:r>
            <w:rPr>
              <w:sz w:val="24"/>
              <w:szCs w:val="24"/>
            </w:rPr>
            <w:fldChar w:fldCharType="separate"/>
          </w:r>
          <w:r>
            <w:rPr>
              <w:sz w:val="24"/>
              <w:szCs w:val="24"/>
            </w:rPr>
            <w:t>10</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_Toc8319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 xml:space="preserve">（二） </w:t>
          </w:r>
          <w:r>
            <w:rPr>
              <w:rFonts w:hint="eastAsia" w:ascii="楷体_GB2312" w:hAnsi="楷体_GB2312" w:eastAsia="楷体_GB2312" w:cs="楷体_GB2312"/>
              <w:sz w:val="24"/>
              <w:szCs w:val="24"/>
              <w:highlight w:val="none"/>
              <w:lang w:val="en-US" w:eastAsia="zh-CN"/>
            </w:rPr>
            <w:t>因公出国（境）经费</w:t>
          </w:r>
          <w:r>
            <w:rPr>
              <w:sz w:val="24"/>
              <w:szCs w:val="24"/>
            </w:rPr>
            <w:tab/>
          </w:r>
          <w:r>
            <w:rPr>
              <w:sz w:val="24"/>
              <w:szCs w:val="24"/>
            </w:rPr>
            <w:fldChar w:fldCharType="begin"/>
          </w:r>
          <w:r>
            <w:rPr>
              <w:sz w:val="24"/>
              <w:szCs w:val="24"/>
            </w:rPr>
            <w:instrText xml:space="preserve"> PAGEREF _Toc8319 \h </w:instrText>
          </w:r>
          <w:r>
            <w:rPr>
              <w:sz w:val="24"/>
              <w:szCs w:val="24"/>
            </w:rPr>
            <w:fldChar w:fldCharType="separate"/>
          </w:r>
          <w:r>
            <w:rPr>
              <w:sz w:val="24"/>
              <w:szCs w:val="24"/>
            </w:rPr>
            <w:t>10</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_Toc31942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 xml:space="preserve">八、 </w:t>
          </w:r>
          <w:r>
            <w:rPr>
              <w:rFonts w:hint="eastAsia" w:ascii="黑体" w:hAnsi="黑体" w:eastAsia="黑体" w:cs="黑体"/>
              <w:b/>
              <w:sz w:val="24"/>
              <w:szCs w:val="24"/>
              <w:highlight w:val="none"/>
              <w:lang w:val="en-US" w:eastAsia="zh-CN"/>
            </w:rPr>
            <w:t>政府性基金预算支出情况说明</w:t>
          </w:r>
          <w:r>
            <w:rPr>
              <w:b/>
              <w:sz w:val="24"/>
              <w:szCs w:val="24"/>
            </w:rPr>
            <w:tab/>
          </w:r>
          <w:r>
            <w:rPr>
              <w:b/>
              <w:sz w:val="24"/>
              <w:szCs w:val="24"/>
            </w:rPr>
            <w:fldChar w:fldCharType="begin"/>
          </w:r>
          <w:r>
            <w:rPr>
              <w:b/>
              <w:sz w:val="24"/>
              <w:szCs w:val="24"/>
            </w:rPr>
            <w:instrText xml:space="preserve"> PAGEREF _Toc31942 \h </w:instrText>
          </w:r>
          <w:r>
            <w:rPr>
              <w:b/>
              <w:sz w:val="24"/>
              <w:szCs w:val="24"/>
            </w:rPr>
            <w:fldChar w:fldCharType="separate"/>
          </w:r>
          <w:r>
            <w:rPr>
              <w:b/>
              <w:sz w:val="24"/>
              <w:szCs w:val="24"/>
            </w:rPr>
            <w:t>10</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_Toc202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 xml:space="preserve">九、 </w:t>
          </w:r>
          <w:r>
            <w:rPr>
              <w:rFonts w:hint="eastAsia" w:ascii="黑体" w:hAnsi="黑体" w:eastAsia="黑体" w:cs="黑体"/>
              <w:b/>
              <w:sz w:val="24"/>
              <w:szCs w:val="24"/>
              <w:highlight w:val="none"/>
              <w:lang w:val="en-US" w:eastAsia="zh-CN"/>
            </w:rPr>
            <w:t>国有资本经营预算支出情况说明</w:t>
          </w:r>
          <w:r>
            <w:rPr>
              <w:b/>
              <w:sz w:val="24"/>
              <w:szCs w:val="24"/>
            </w:rPr>
            <w:tab/>
          </w:r>
          <w:r>
            <w:rPr>
              <w:b/>
              <w:sz w:val="24"/>
              <w:szCs w:val="24"/>
            </w:rPr>
            <w:fldChar w:fldCharType="begin"/>
          </w:r>
          <w:r>
            <w:rPr>
              <w:b/>
              <w:sz w:val="24"/>
              <w:szCs w:val="24"/>
            </w:rPr>
            <w:instrText xml:space="preserve"> PAGEREF _Toc202 \h </w:instrText>
          </w:r>
          <w:r>
            <w:rPr>
              <w:b/>
              <w:sz w:val="24"/>
              <w:szCs w:val="24"/>
            </w:rPr>
            <w:fldChar w:fldCharType="separate"/>
          </w:r>
          <w:r>
            <w:rPr>
              <w:b/>
              <w:sz w:val="24"/>
              <w:szCs w:val="24"/>
            </w:rPr>
            <w:t>11</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sz w:val="24"/>
              <w:szCs w:val="24"/>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_Toc18662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仿宋_GB2312" w:hAnsi="仿宋_GB2312" w:eastAsia="仿宋_GB2312" w:cs="仿宋_GB2312"/>
              <w:b/>
              <w:sz w:val="24"/>
              <w:szCs w:val="24"/>
              <w:lang w:val="en-US" w:eastAsia="zh-CN"/>
            </w:rPr>
            <w:t xml:space="preserve">十、 </w:t>
          </w:r>
          <w:r>
            <w:rPr>
              <w:rFonts w:hint="eastAsia" w:ascii="黑体" w:hAnsi="黑体" w:eastAsia="黑体" w:cs="黑体"/>
              <w:b/>
              <w:sz w:val="24"/>
              <w:szCs w:val="24"/>
              <w:highlight w:val="none"/>
              <w:lang w:val="en-US" w:eastAsia="zh-CN"/>
            </w:rPr>
            <w:t>其他重要事项的情况说明</w:t>
          </w:r>
          <w:r>
            <w:rPr>
              <w:b/>
              <w:sz w:val="24"/>
              <w:szCs w:val="24"/>
            </w:rPr>
            <w:tab/>
          </w:r>
          <w:r>
            <w:rPr>
              <w:b/>
              <w:sz w:val="24"/>
              <w:szCs w:val="24"/>
            </w:rPr>
            <w:fldChar w:fldCharType="begin"/>
          </w:r>
          <w:r>
            <w:rPr>
              <w:b/>
              <w:sz w:val="24"/>
              <w:szCs w:val="24"/>
            </w:rPr>
            <w:instrText xml:space="preserve"> PAGEREF _Toc18662 \h </w:instrText>
          </w:r>
          <w:r>
            <w:rPr>
              <w:b/>
              <w:sz w:val="24"/>
              <w:szCs w:val="24"/>
            </w:rPr>
            <w:fldChar w:fldCharType="separate"/>
          </w:r>
          <w:r>
            <w:rPr>
              <w:b/>
              <w:sz w:val="24"/>
              <w:szCs w:val="24"/>
            </w:rPr>
            <w:t>11</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_Toc22537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highlight w:val="none"/>
              <w:lang w:val="en-US" w:eastAsia="zh-CN"/>
            </w:rPr>
            <w:t>（一）机关运行经费</w:t>
          </w:r>
          <w:r>
            <w:rPr>
              <w:sz w:val="24"/>
              <w:szCs w:val="24"/>
            </w:rPr>
            <w:tab/>
          </w:r>
          <w:r>
            <w:rPr>
              <w:sz w:val="24"/>
              <w:szCs w:val="24"/>
            </w:rPr>
            <w:fldChar w:fldCharType="begin"/>
          </w:r>
          <w:r>
            <w:rPr>
              <w:sz w:val="24"/>
              <w:szCs w:val="24"/>
            </w:rPr>
            <w:instrText xml:space="preserve"> PAGEREF _Toc22537 \h </w:instrText>
          </w:r>
          <w:r>
            <w:rPr>
              <w:sz w:val="24"/>
              <w:szCs w:val="24"/>
            </w:rPr>
            <w:fldChar w:fldCharType="separate"/>
          </w:r>
          <w:r>
            <w:rPr>
              <w:sz w:val="24"/>
              <w:szCs w:val="24"/>
            </w:rPr>
            <w:t>11</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_Toc2153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 xml:space="preserve">（二） </w:t>
          </w:r>
          <w:r>
            <w:rPr>
              <w:rFonts w:hint="eastAsia" w:ascii="楷体_GB2312" w:hAnsi="楷体_GB2312" w:eastAsia="楷体_GB2312" w:cs="楷体_GB2312"/>
              <w:sz w:val="24"/>
              <w:szCs w:val="24"/>
              <w:highlight w:val="none"/>
              <w:lang w:val="en-US" w:eastAsia="zh-CN"/>
            </w:rPr>
            <w:t>政府采购情况</w:t>
          </w:r>
          <w:r>
            <w:rPr>
              <w:sz w:val="24"/>
              <w:szCs w:val="24"/>
            </w:rPr>
            <w:tab/>
          </w:r>
          <w:r>
            <w:rPr>
              <w:sz w:val="24"/>
              <w:szCs w:val="24"/>
            </w:rPr>
            <w:fldChar w:fldCharType="begin"/>
          </w:r>
          <w:r>
            <w:rPr>
              <w:sz w:val="24"/>
              <w:szCs w:val="24"/>
            </w:rPr>
            <w:instrText xml:space="preserve"> PAGEREF _Toc2153 \h </w:instrText>
          </w:r>
          <w:r>
            <w:rPr>
              <w:sz w:val="24"/>
              <w:szCs w:val="24"/>
            </w:rPr>
            <w:fldChar w:fldCharType="separate"/>
          </w:r>
          <w:r>
            <w:rPr>
              <w:sz w:val="24"/>
              <w:szCs w:val="24"/>
            </w:rPr>
            <w:t>11</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_Toc24923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 xml:space="preserve">（三） </w:t>
          </w:r>
          <w:r>
            <w:rPr>
              <w:rFonts w:hint="eastAsia" w:ascii="楷体_GB2312" w:hAnsi="楷体_GB2312" w:eastAsia="楷体_GB2312" w:cs="楷体_GB2312"/>
              <w:sz w:val="24"/>
              <w:szCs w:val="24"/>
              <w:highlight w:val="none"/>
              <w:lang w:val="en-US" w:eastAsia="zh-CN"/>
            </w:rPr>
            <w:t>国有资产占有使用情况</w:t>
          </w:r>
          <w:r>
            <w:rPr>
              <w:sz w:val="24"/>
              <w:szCs w:val="24"/>
            </w:rPr>
            <w:tab/>
          </w:r>
          <w:r>
            <w:rPr>
              <w:sz w:val="24"/>
              <w:szCs w:val="24"/>
            </w:rPr>
            <w:fldChar w:fldCharType="begin"/>
          </w:r>
          <w:r>
            <w:rPr>
              <w:sz w:val="24"/>
              <w:szCs w:val="24"/>
            </w:rPr>
            <w:instrText xml:space="preserve"> PAGEREF _Toc24923 \h </w:instrText>
          </w:r>
          <w:r>
            <w:rPr>
              <w:sz w:val="24"/>
              <w:szCs w:val="24"/>
            </w:rPr>
            <w:fldChar w:fldCharType="separate"/>
          </w:r>
          <w:r>
            <w:rPr>
              <w:sz w:val="24"/>
              <w:szCs w:val="24"/>
            </w:rPr>
            <w:t>11</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sz w:val="24"/>
              <w:szCs w:val="24"/>
            </w:rPr>
          </w:pP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instrText xml:space="preserve"> HYPERLINK \l _Toc19970 </w:instrText>
          </w:r>
          <w:r>
            <w:rPr>
              <w:rFonts w:hint="eastAsia" w:ascii="方正小标宋简体" w:hAnsi="方正小标宋简体" w:eastAsia="方正小标宋简体" w:cs="方正小标宋简体"/>
              <w:bCs w:val="0"/>
              <w:i w:val="0"/>
              <w:caps w:val="0"/>
              <w:spacing w:val="0"/>
              <w:kern w:val="0"/>
              <w:sz w:val="24"/>
              <w:szCs w:val="24"/>
              <w:highlight w:val="none"/>
              <w:shd w:val="clear" w:color="auto" w:fill="FFFFFF"/>
              <w:lang w:val="en-US" w:eastAsia="zh-CN" w:bidi="ar"/>
            </w:rPr>
            <w:fldChar w:fldCharType="separate"/>
          </w:r>
          <w:r>
            <w:rPr>
              <w:rFonts w:hint="eastAsia" w:ascii="楷体_GB2312" w:hAnsi="楷体_GB2312" w:eastAsia="楷体_GB2312" w:cs="楷体_GB2312"/>
              <w:sz w:val="24"/>
              <w:szCs w:val="24"/>
              <w:lang w:val="en-US" w:eastAsia="zh-CN"/>
            </w:rPr>
            <w:t xml:space="preserve">（四） </w:t>
          </w:r>
          <w:r>
            <w:rPr>
              <w:rFonts w:hint="eastAsia" w:ascii="楷体_GB2312" w:hAnsi="楷体_GB2312" w:eastAsia="楷体_GB2312" w:cs="楷体_GB2312"/>
              <w:sz w:val="24"/>
              <w:szCs w:val="24"/>
              <w:highlight w:val="none"/>
              <w:lang w:val="en-US" w:eastAsia="zh-CN"/>
            </w:rPr>
            <w:t>绩效目标设置情况</w:t>
          </w:r>
          <w:r>
            <w:rPr>
              <w:sz w:val="24"/>
              <w:szCs w:val="24"/>
            </w:rPr>
            <w:tab/>
          </w:r>
          <w:r>
            <w:rPr>
              <w:sz w:val="24"/>
              <w:szCs w:val="24"/>
            </w:rPr>
            <w:fldChar w:fldCharType="begin"/>
          </w:r>
          <w:r>
            <w:rPr>
              <w:sz w:val="24"/>
              <w:szCs w:val="24"/>
            </w:rPr>
            <w:instrText xml:space="preserve"> PAGEREF _Toc19970 \h </w:instrText>
          </w:r>
          <w:r>
            <w:rPr>
              <w:sz w:val="24"/>
              <w:szCs w:val="24"/>
            </w:rPr>
            <w:fldChar w:fldCharType="separate"/>
          </w:r>
          <w:r>
            <w:rPr>
              <w:sz w:val="24"/>
              <w:szCs w:val="24"/>
            </w:rPr>
            <w:t>11</w:t>
          </w:r>
          <w:r>
            <w:rPr>
              <w:sz w:val="24"/>
              <w:szCs w:val="24"/>
            </w:rPr>
            <w:fldChar w:fldCharType="end"/>
          </w:r>
          <w:r>
            <w:rPr>
              <w:rFonts w:hint="eastAsia" w:ascii="方正小标宋简体" w:hAnsi="方正小标宋简体" w:eastAsia="方正小标宋简体" w:cs="方正小标宋简体"/>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instrText xml:space="preserve"> HYPERLINK \l _Toc16524 </w:instrText>
          </w:r>
          <w:r>
            <w:rPr>
              <w:rFonts w:hint="eastAsia" w:ascii="方正小标宋简体" w:hAnsi="方正小标宋简体" w:eastAsia="方正小标宋简体" w:cs="方正小标宋简体"/>
              <w:b/>
              <w:bCs w:val="0"/>
              <w:i w:val="0"/>
              <w:caps w:val="0"/>
              <w:spacing w:val="0"/>
              <w:kern w:val="0"/>
              <w:sz w:val="24"/>
              <w:szCs w:val="24"/>
              <w:highlight w:val="none"/>
              <w:shd w:val="clear" w:color="auto" w:fill="FFFFFF"/>
              <w:lang w:val="en-US" w:eastAsia="zh-CN" w:bidi="ar"/>
            </w:rPr>
            <w:fldChar w:fldCharType="separate"/>
          </w:r>
          <w:r>
            <w:rPr>
              <w:rFonts w:hint="eastAsia" w:ascii="黑体" w:hAnsi="黑体" w:eastAsia="黑体" w:cs="黑体"/>
              <w:b/>
              <w:sz w:val="24"/>
              <w:szCs w:val="24"/>
              <w:lang w:val="en-US" w:eastAsia="zh-CN"/>
            </w:rPr>
            <w:t xml:space="preserve">十一、 </w:t>
          </w:r>
          <w:r>
            <w:rPr>
              <w:rFonts w:hint="eastAsia" w:ascii="黑体" w:hAnsi="黑体" w:eastAsia="黑体" w:cs="黑体"/>
              <w:b/>
              <w:sz w:val="24"/>
              <w:szCs w:val="24"/>
              <w:highlight w:val="none"/>
              <w:lang w:val="en-US" w:eastAsia="zh-CN"/>
            </w:rPr>
            <w:t>名词解释</w:t>
          </w:r>
          <w:r>
            <w:rPr>
              <w:b/>
              <w:sz w:val="24"/>
              <w:szCs w:val="24"/>
            </w:rPr>
            <w:tab/>
          </w:r>
          <w:r>
            <w:rPr>
              <w:b/>
              <w:sz w:val="24"/>
              <w:szCs w:val="24"/>
            </w:rPr>
            <w:fldChar w:fldCharType="begin"/>
          </w:r>
          <w:r>
            <w:rPr>
              <w:b/>
              <w:sz w:val="24"/>
              <w:szCs w:val="24"/>
            </w:rPr>
            <w:instrText xml:space="preserve"> PAGEREF _Toc16524 \h </w:instrText>
          </w:r>
          <w:r>
            <w:rPr>
              <w:b/>
              <w:sz w:val="24"/>
              <w:szCs w:val="24"/>
            </w:rPr>
            <w:fldChar w:fldCharType="separate"/>
          </w:r>
          <w:r>
            <w:rPr>
              <w:b/>
              <w:sz w:val="24"/>
              <w:szCs w:val="24"/>
            </w:rPr>
            <w:t>12</w:t>
          </w:r>
          <w:r>
            <w:rPr>
              <w:b/>
              <w:sz w:val="24"/>
              <w:szCs w:val="24"/>
            </w:rPr>
            <w:fldChar w:fldCharType="end"/>
          </w: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p>
          <w:pP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br w:type="page"/>
          </w:r>
        </w:p>
        <w:p>
          <w:pPr>
            <w:pStyle w:val="14"/>
            <w:tabs>
              <w:tab w:val="right" w:leader="dot" w:pos="8845"/>
            </w:tabs>
            <w:spacing w:line="360" w:lineRule="auto"/>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360" w:lineRule="auto"/>
            <w:ind w:left="0" w:right="0" w:firstLine="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kern w:val="0"/>
              <w:sz w:val="24"/>
              <w:szCs w:val="24"/>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 w:name="_Toc19563"/>
      <w:r>
        <w:rPr>
          <w:rFonts w:hint="eastAsia" w:ascii="黑体" w:hAnsi="黑体" w:eastAsia="黑体" w:cs="黑体"/>
          <w:sz w:val="32"/>
          <w:szCs w:val="32"/>
          <w:highlight w:val="none"/>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 w:name="_Toc12447"/>
      <w:r>
        <w:rPr>
          <w:rFonts w:hint="eastAsia" w:ascii="楷体_GB2312" w:hAnsi="楷体_GB2312" w:eastAsia="楷体_GB2312" w:cs="楷体_GB2312"/>
          <w:sz w:val="32"/>
          <w:szCs w:val="32"/>
          <w:highlight w:val="none"/>
        </w:rPr>
        <w:t>（一）</w:t>
      </w:r>
      <w:r>
        <w:rPr>
          <w:rFonts w:hint="eastAsia" w:ascii="楷体_GB2312" w:hAnsi="楷体_GB2312" w:eastAsia="楷体_GB2312" w:cs="楷体_GB2312"/>
          <w:sz w:val="32"/>
          <w:szCs w:val="32"/>
          <w:highlight w:val="none"/>
          <w:lang w:val="en-US" w:eastAsia="zh-CN"/>
        </w:rPr>
        <w:t>广元市荣山地区人民检察院</w:t>
      </w:r>
      <w:r>
        <w:rPr>
          <w:rFonts w:hint="eastAsia" w:ascii="楷体_GB2312" w:hAnsi="楷体_GB2312" w:eastAsia="楷体_GB2312" w:cs="楷体_GB2312"/>
          <w:sz w:val="32"/>
          <w:szCs w:val="32"/>
          <w:highlight w:val="none"/>
        </w:rPr>
        <w:t>职能简介</w:t>
      </w:r>
      <w:bookmarkEnd w:id="2"/>
    </w:p>
    <w:p>
      <w:pPr>
        <w:widowControl/>
        <w:shd w:val="clear" w:color="auto"/>
        <w:autoSpaceDE w:val="0"/>
        <w:spacing w:before="20" w:after="20" w:line="240" w:lineRule="atLeast"/>
        <w:ind w:firstLine="643"/>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1、负责对刑罚执行机关罪犯收出监、狱政管理、教育改造、劳动改造、生活卫生、禁闭和警械具使用、安全防范等执法活动的检察监督。</w:t>
      </w:r>
    </w:p>
    <w:p>
      <w:pPr>
        <w:widowControl/>
        <w:shd w:val="clear" w:color="auto"/>
        <w:autoSpaceDE w:val="0"/>
        <w:spacing w:before="20" w:after="20" w:line="240" w:lineRule="atLeast"/>
        <w:ind w:firstLine="643"/>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负责办理刑事执行违法（违规）案件、检察建议案件，办理罪犯脱逃、非正常死亡等事故检察案件。对广元监狱侦查的罪犯又犯罪案件审查逮捕、审查起诉和出庭支持公诉，对监狱的立案、侦查活动和人民法院的审判活动是否合法实行监督。</w:t>
      </w:r>
    </w:p>
    <w:p>
      <w:pPr>
        <w:widowControl/>
        <w:shd w:val="clear" w:color="auto"/>
        <w:autoSpaceDE w:val="0"/>
        <w:spacing w:before="20" w:after="20" w:line="240" w:lineRule="atLeast"/>
        <w:ind w:firstLine="643"/>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对广元监狱提请减刑、假释和人民法院审理、裁定减刑、假释以及执行活动是否合法实行监督。对广元监狱提请暂予监外执行和监狱管理机关决定暂予监外执行以及执行活动是否合法实行监督。对在广元监狱刑罚执行检察监督中发现的各类犯罪案件线索，依法移送。</w:t>
      </w:r>
    </w:p>
    <w:p>
      <w:pPr>
        <w:widowControl/>
        <w:shd w:val="clear" w:color="auto"/>
        <w:autoSpaceDE w:val="0"/>
        <w:spacing w:before="20" w:after="20" w:line="240" w:lineRule="atLeast"/>
        <w:ind w:firstLine="643"/>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4、对广元监狱司法工作人员利用职权实施的非法拘禁、刑讯逼供、非法搜查等侵犯公民权利、损害司法公正犯罪，以及按照刑事诉讼法规定需要由人民检察院直接受理的其他重大犯罪案件进行侦查。</w:t>
      </w:r>
    </w:p>
    <w:p>
      <w:pPr>
        <w:widowControl/>
        <w:shd w:val="clear" w:color="auto"/>
        <w:autoSpaceDE w:val="0"/>
        <w:spacing w:before="20" w:after="20" w:line="240" w:lineRule="atLeast"/>
        <w:ind w:firstLine="643"/>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5、受理广元监狱罪犯及其法定代理人、近亲属的控告、举报和申诉。</w:t>
      </w:r>
    </w:p>
    <w:p>
      <w:pPr>
        <w:widowControl/>
        <w:shd w:val="clear" w:color="auto"/>
        <w:autoSpaceDE w:val="0"/>
        <w:spacing w:before="20" w:after="20" w:line="240" w:lineRule="atLeast"/>
        <w:ind w:firstLine="643"/>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6、开展对罪犯的法制宣传教育。</w:t>
      </w:r>
    </w:p>
    <w:p>
      <w:pPr>
        <w:widowControl/>
        <w:shd w:val="clear" w:color="auto"/>
        <w:autoSpaceDE w:val="0"/>
        <w:spacing w:before="20" w:after="20" w:line="240" w:lineRule="atLeast"/>
        <w:ind w:firstLine="643"/>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7、负责开展对广元监狱的巡回检察工作和其他监狱的交叉巡回检察工作。</w:t>
      </w:r>
    </w:p>
    <w:p>
      <w:pPr>
        <w:widowControl/>
        <w:shd w:val="clear" w:color="auto"/>
        <w:autoSpaceDE w:val="0"/>
        <w:spacing w:before="20" w:after="20" w:line="240" w:lineRule="atLeast"/>
        <w:ind w:firstLine="643"/>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8、负责本院的思想政治工作和队伍建设，依法管理检察官和其他检察人员。</w:t>
      </w:r>
    </w:p>
    <w:p>
      <w:pPr>
        <w:widowControl/>
        <w:shd w:val="clear" w:color="auto"/>
        <w:autoSpaceDE w:val="0"/>
        <w:spacing w:before="20" w:after="20" w:line="240" w:lineRule="atLeast"/>
        <w:ind w:firstLine="643"/>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9、规划和管理本院的计划、财务、装备和后勤保障工作。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3" w:name="_Toc23917"/>
      <w:r>
        <w:rPr>
          <w:rFonts w:hint="eastAsia" w:ascii="楷体_GB2312" w:hAnsi="楷体_GB2312" w:eastAsia="楷体_GB2312" w:cs="楷体_GB2312"/>
          <w:sz w:val="32"/>
          <w:szCs w:val="32"/>
          <w:highlight w:val="none"/>
        </w:rPr>
        <w:t>（二）</w:t>
      </w:r>
      <w:r>
        <w:rPr>
          <w:rFonts w:hint="eastAsia" w:ascii="楷体_GB2312" w:hAnsi="楷体_GB2312" w:eastAsia="楷体_GB2312" w:cs="楷体_GB2312"/>
          <w:sz w:val="32"/>
          <w:szCs w:val="32"/>
          <w:highlight w:val="none"/>
          <w:lang w:val="en-US" w:eastAsia="zh-CN"/>
        </w:rPr>
        <w:t>广元市荣山地区人民检察院</w:t>
      </w:r>
      <w:r>
        <w:rPr>
          <w:rFonts w:hint="eastAsia" w:ascii="楷体_GB2312" w:hAnsi="楷体_GB2312" w:eastAsia="楷体_GB2312" w:cs="楷体_GB2312"/>
          <w:sz w:val="32"/>
          <w:szCs w:val="32"/>
          <w:highlight w:val="none"/>
          <w:lang w:val="en-US"/>
        </w:rPr>
        <w:t>2024</w:t>
      </w:r>
      <w:r>
        <w:rPr>
          <w:rFonts w:hint="eastAsia" w:ascii="楷体_GB2312" w:hAnsi="楷体_GB2312" w:eastAsia="楷体_GB2312" w:cs="楷体_GB2312"/>
          <w:sz w:val="32"/>
          <w:szCs w:val="32"/>
          <w:highlight w:val="none"/>
        </w:rPr>
        <w:t>年重点工作</w:t>
      </w:r>
      <w:bookmarkEnd w:id="3"/>
    </w:p>
    <w:p>
      <w:pPr>
        <w:pStyle w:val="4"/>
        <w:keepNext w:val="0"/>
        <w:keepLines w:val="0"/>
        <w:pageBreakBefore w:val="0"/>
        <w:widowControl w:val="0"/>
        <w:shd w:val="clear"/>
        <w:kinsoku/>
        <w:wordWrap/>
        <w:overflowPunct/>
        <w:topLinePunct w:val="0"/>
        <w:autoSpaceDE/>
        <w:autoSpaceDN/>
        <w:bidi w:val="0"/>
        <w:adjustRightInd/>
        <w:spacing w:line="576"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强化政治引领，抓牢队伍建设。坚持以习近平新时代中国特色社会主义思想为指导，深入贯彻习近平法治思想和习近平总书记对政法工作、检察工作的重要指示精神，始终坚持党对检察工作的绝对领导。对标“五强”基层院建设总体要求，结合实际加强基层基础建设，坚持不懈加强队伍建设，积极参加上级组织的各项业务培训，持续深化开展“执检微课堂”教育培训，提升干警素能，进一步提振“不服输 敢争先”精气神，切实把目标任务转化成实干实绩。坚持理念引领，提升监督质效。牢固树立“双赢、多赢、共赢”监督理念，以求极致的精神做实日常监督，切实巩固“一级规范化检察室”成果，扎实开展派驻检察工作，提升发现监狱刑事执行活动中存在的深层次问题的能力；坚持“在办案中监督，在监督中办案”理念，全面实现“由办事到办案模式”转变，进一步加大案件实质化审查和公开听证工作力度，切实提高监督实效；进一步深化“派驻+巡回”的检察监督方式，以发现监管执法深层次问题和司法工作人员职务犯罪线索为价值追求，集中点位、针对性地对监狱开展专项巡回检察，实现派驻与巡回检察深度融合，全面提升刑事执行检察监督现代化水平和法律监督实效。提升办案质效，推进执检工作现代化。认真贯彻落实“高质效办好每一个案件”要求，准确认识和理解案件质量主要评价指标变化的内涵，根据目标任务及时调整各项业务方向，有效发挥考核的“指挥棒”“风向标”作用，着力实现从重视数量规模到更加注重办案质效的转变；同时发挥检察一体化制度优势和派出检察机关资源优势，强化部门与部门之间、与市院、省院业务部门之间、与检察监督对象之间的沟通交流，创新“减假暂”办案机制，进一步提升刑事执行检察办案质效。</w:t>
      </w:r>
    </w:p>
    <w:p>
      <w:pPr>
        <w:pStyle w:val="4"/>
        <w:keepNext w:val="0"/>
        <w:keepLines w:val="0"/>
        <w:pageBreakBefore w:val="0"/>
        <w:widowControl w:val="0"/>
        <w:shd w:val="clear"/>
        <w:kinsoku/>
        <w:wordWrap/>
        <w:overflowPunct/>
        <w:topLinePunct w:val="0"/>
        <w:autoSpaceDE/>
        <w:autoSpaceDN/>
        <w:bidi w:val="0"/>
        <w:adjustRightInd/>
        <w:spacing w:line="576"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楷体_GB2312" w:hAnsi="楷体_GB2312" w:eastAsia="楷体_GB2312" w:cs="楷体_GB2312"/>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构建公开听证工作规范化工作机制。结合当前减刑假释暂予监外执行案件采用公开听证方式进行审查尚无规范的工作机制，拟创新制订《减刑假释暂予监外执行案件公开听证实施办法》，进一步规范公开听证案件标准、程序等内容，确保案件办理质量。大力推进刑执检察数字化、信息化办案机制规范化建设。认真贯彻落实省院关于减刑假释案件信息化办理试点工作要求，以“数字革命”赋能新时代法律监督工作，拟会同刑罚执行机关、审判机关创新制订《“减假暂”信息化办案工作实施办法》，明确各办案机关落实信息化办案工作职责和衔接配合，促进案件信息化规范办理。</w:t>
      </w:r>
    </w:p>
    <w:p>
      <w:pPr>
        <w:pStyle w:val="4"/>
        <w:keepNext w:val="0"/>
        <w:keepLines w:val="0"/>
        <w:pageBreakBefore w:val="0"/>
        <w:widowControl w:val="0"/>
        <w:shd w:val="clear"/>
        <w:kinsoku/>
        <w:wordWrap/>
        <w:overflowPunct/>
        <w:topLinePunct w:val="0"/>
        <w:autoSpaceDE/>
        <w:autoSpaceDN/>
        <w:bidi w:val="0"/>
        <w:adjustRightInd/>
        <w:spacing w:line="576" w:lineRule="exact"/>
        <w:ind w:firstLine="640" w:firstLineChars="200"/>
        <w:jc w:val="both"/>
        <w:textAlignment w:val="auto"/>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积极探索创新，加强巡回检察品牌建设。结合实际，创新巡回检察工作新机制，及时制定2024年对广元监狱巡回检察计划，兼顾发现监管执法问题，积极开展岗位大练兵，努力提升巡回检察发现刑罚执行中深层次问题的能力，强化“巡回检察轻骑兵”专业办案团队建设，着力打造巡回检察“广元名片”。加强调研归纳，重视刑执检察经验总结。积极培育和报送涉“减假暂”典型案例，进一步加强检察调研工作，努力形成执检队伍建设和执检业务建设的高质量调研文章。强化数字检察在刑事执行工作中的运用。坚持大数据赋能，深入实施数字检察战略，促进法律监督提质增效，在着力做好“计分考核罪犯法律监督系统”应用基础上，进一步探索刑执检察监督模型创新，助推刑事执行检察现代化不断取得新的成效。</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4" w:name="_Toc28023"/>
      <w:r>
        <w:rPr>
          <w:rFonts w:hint="eastAsia" w:ascii="黑体" w:hAnsi="黑体" w:eastAsia="黑体" w:cs="黑体"/>
          <w:sz w:val="32"/>
          <w:szCs w:val="32"/>
          <w:highlight w:val="none"/>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广元市荣山地区人民检察院无下属二级预算单位。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5" w:name="_Toc20968"/>
      <w:r>
        <w:rPr>
          <w:rFonts w:hint="eastAsia" w:ascii="黑体" w:hAnsi="黑体" w:eastAsia="黑体" w:cs="黑体"/>
          <w:sz w:val="32"/>
          <w:szCs w:val="32"/>
          <w:highlight w:val="none"/>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lang w:val="en-US" w:eastAsia="zh-CN"/>
        </w:rPr>
        <w:t>按照综合预算的原则，广元市荣山地区人民检察院所有收入和支出均纳入部门预算管理。收入包括：一般公共预算拨款收</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入；</w:t>
      </w:r>
      <w:r>
        <w:rPr>
          <w:rFonts w:hint="eastAsia" w:ascii="仿宋_GB2312" w:hAnsi="仿宋_GB2312" w:eastAsia="仿宋_GB2312" w:cs="仿宋_GB2312"/>
          <w:sz w:val="32"/>
          <w:szCs w:val="32"/>
          <w:highlight w:val="none"/>
          <w:lang w:val="en-US" w:eastAsia="zh-CN"/>
        </w:rPr>
        <w:t>支出包括：</w:t>
      </w:r>
      <w:r>
        <w:rPr>
          <w:rFonts w:hint="eastAsia" w:ascii="仿宋" w:hAnsi="仿宋" w:eastAsia="仿宋" w:cs="仿宋"/>
          <w:i w:val="0"/>
          <w:caps w:val="0"/>
          <w:color w:val="333333"/>
          <w:spacing w:val="0"/>
          <w:kern w:val="0"/>
          <w:sz w:val="32"/>
          <w:szCs w:val="32"/>
          <w:highlight w:val="none"/>
          <w:shd w:val="clear" w:color="auto" w:fill="FFFFFF"/>
          <w:lang w:val="en-US" w:eastAsia="zh-CN" w:bidi="ar"/>
        </w:rPr>
        <w:t>公共安全支出</w:t>
      </w:r>
      <w:r>
        <w:rPr>
          <w:rFonts w:hint="eastAsia" w:ascii="仿宋_GB2312" w:hAnsi="仿宋_GB2312" w:eastAsia="仿宋_GB2312" w:cs="仿宋_GB2312"/>
          <w:sz w:val="32"/>
          <w:szCs w:val="32"/>
          <w:highlight w:val="none"/>
          <w:lang w:val="en-US" w:eastAsia="zh-CN"/>
        </w:rPr>
        <w:t>、社会保障和就业支出、卫生健康支出、住房保障支出。广元市荣山地区人民检察院2024年收支预算总数401.83万元，比2023年收支预算总数减少69.28万元，主要原因是2024年在2023年的基础上减少3人，</w:t>
      </w:r>
      <w:r>
        <w:rPr>
          <w:rFonts w:hint="eastAsia" w:ascii="仿宋_GB2312" w:hAnsi="仿宋_GB2312" w:eastAsia="仿宋_GB2312" w:cs="仿宋_GB2312"/>
          <w:color w:val="auto"/>
          <w:sz w:val="32"/>
          <w:szCs w:val="32"/>
          <w:highlight w:val="none"/>
          <w:lang w:val="en-US" w:eastAsia="zh-CN"/>
        </w:rPr>
        <w:t>随之人员经费和公用经费下降。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6" w:name="_Toc7956"/>
      <w:r>
        <w:rPr>
          <w:rFonts w:hint="eastAsia" w:ascii="楷体_GB2312" w:hAnsi="楷体_GB2312" w:eastAsia="楷体_GB2312" w:cs="楷体_GB2312"/>
          <w:sz w:val="32"/>
          <w:szCs w:val="32"/>
          <w:highlight w:val="none"/>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广元市荣山地区人民检察院2024年收入预算401.83万元，其中：一般公共预算拨款收入401.83万元，占100%。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7" w:name="_Toc24451"/>
      <w:r>
        <w:rPr>
          <w:rFonts w:hint="eastAsia" w:ascii="楷体_GB2312" w:hAnsi="楷体_GB2312" w:eastAsia="楷体_GB2312" w:cs="楷体_GB2312"/>
          <w:sz w:val="32"/>
          <w:szCs w:val="32"/>
          <w:highlight w:val="none"/>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广元市荣山地区人民检察院2024年支出预算401.83万元，其中：基本支出353.89万元，占88.07%；项目支出47.94万元，占11.93%</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8" w:name="_Toc8208"/>
      <w:r>
        <w:rPr>
          <w:rFonts w:hint="eastAsia" w:ascii="黑体" w:hAnsi="黑体" w:eastAsia="黑体" w:cs="黑体"/>
          <w:sz w:val="32"/>
          <w:szCs w:val="32"/>
          <w:highlight w:val="none"/>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广元市荣山地区人民检察院2024年财政拨款收支预算总数401.83万元，比2023年财政拨款收支预算总数减少69.28万元，主要原因是2024年在2023年的基础上减少3</w:t>
      </w:r>
      <w:r>
        <w:rPr>
          <w:rFonts w:hint="eastAsia" w:ascii="仿宋_GB2312" w:hAnsi="仿宋_GB2312" w:eastAsia="仿宋_GB2312" w:cs="仿宋_GB2312"/>
          <w:color w:val="auto"/>
          <w:sz w:val="32"/>
          <w:szCs w:val="32"/>
          <w:highlight w:val="none"/>
          <w:lang w:val="en-US" w:eastAsia="zh-CN"/>
        </w:rPr>
        <w:t>人，随之人员经费和公用经费下降。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收入包括：本年一般公共预算拨款收入401.83万元；支出包括：</w:t>
      </w:r>
      <w:r>
        <w:rPr>
          <w:rFonts w:hint="eastAsia" w:ascii="仿宋" w:hAnsi="仿宋" w:eastAsia="仿宋" w:cs="仿宋"/>
          <w:i w:val="0"/>
          <w:caps w:val="0"/>
          <w:color w:val="333333"/>
          <w:spacing w:val="0"/>
          <w:kern w:val="0"/>
          <w:sz w:val="32"/>
          <w:szCs w:val="32"/>
          <w:highlight w:val="none"/>
          <w:shd w:val="clear" w:color="auto" w:fill="FFFFFF"/>
          <w:lang w:val="en-US" w:eastAsia="zh-CN" w:bidi="ar"/>
        </w:rPr>
        <w:t>公共安全支出</w:t>
      </w:r>
      <w:r>
        <w:rPr>
          <w:rFonts w:hint="eastAsia" w:ascii="仿宋_GB2312" w:hAnsi="仿宋_GB2312" w:eastAsia="仿宋_GB2312" w:cs="仿宋_GB2312"/>
          <w:sz w:val="32"/>
          <w:szCs w:val="32"/>
          <w:highlight w:val="none"/>
          <w:lang w:val="en-US" w:eastAsia="zh-CN"/>
        </w:rPr>
        <w:t>345.91万元、社会保障和就业支出25.25万元、卫生健康支出8.21万元、住房保障支出22.46万元。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9" w:name="_Toc11216"/>
      <w:r>
        <w:rPr>
          <w:rFonts w:hint="eastAsia" w:ascii="黑体" w:hAnsi="黑体" w:eastAsia="黑体" w:cs="黑体"/>
          <w:sz w:val="32"/>
          <w:szCs w:val="32"/>
          <w:highlight w:val="none"/>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0" w:name="_Toc26503"/>
      <w:r>
        <w:rPr>
          <w:rFonts w:hint="eastAsia" w:ascii="楷体_GB2312" w:hAnsi="楷体_GB2312" w:eastAsia="楷体_GB2312" w:cs="楷体_GB2312"/>
          <w:sz w:val="32"/>
          <w:szCs w:val="32"/>
          <w:highlight w:val="none"/>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广元市荣山地区人民检察院2024年一般公共预算当年拨款401.83万元，比2023年预算数减少69.28万元，主要原因是2024年在2023年的基础上减少3人，随之人员经费和公用经费下降。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1" w:name="_Toc490"/>
      <w:r>
        <w:rPr>
          <w:rFonts w:hint="eastAsia" w:ascii="楷体_GB2312" w:hAnsi="楷体_GB2312" w:eastAsia="楷体_GB2312" w:cs="楷体_GB2312"/>
          <w:sz w:val="32"/>
          <w:szCs w:val="32"/>
          <w:highlight w:val="none"/>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i w:val="0"/>
          <w:caps w:val="0"/>
          <w:color w:val="auto"/>
          <w:spacing w:val="0"/>
          <w:kern w:val="0"/>
          <w:sz w:val="32"/>
          <w:szCs w:val="32"/>
          <w:highlight w:val="none"/>
          <w:shd w:val="clear" w:color="auto" w:fill="FFFFFF"/>
          <w:lang w:val="en-US" w:eastAsia="zh-CN" w:bidi="ar"/>
        </w:rPr>
        <w:t>公共安全支出</w:t>
      </w:r>
      <w:r>
        <w:rPr>
          <w:rFonts w:hint="eastAsia" w:ascii="仿宋_GB2312" w:hAnsi="仿宋_GB2312" w:eastAsia="仿宋_GB2312" w:cs="仿宋_GB2312"/>
          <w:sz w:val="32"/>
          <w:szCs w:val="32"/>
          <w:highlight w:val="none"/>
          <w:lang w:val="en-US" w:eastAsia="zh-CN"/>
        </w:rPr>
        <w:t>345.91万元，占86.08%；社会保障和就业支出25.25万元，占6.28%；卫生健康支出8.21万元，占2.04%；住房保障支出22.46万元，占5.59%。</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2" w:name="_Toc19159"/>
      <w:r>
        <w:rPr>
          <w:rFonts w:hint="eastAsia" w:ascii="楷体_GB2312" w:hAnsi="楷体_GB2312" w:eastAsia="楷体_GB2312" w:cs="楷体_GB2312"/>
          <w:sz w:val="32"/>
          <w:szCs w:val="32"/>
          <w:highlight w:val="none"/>
          <w:lang w:val="en-US" w:eastAsia="zh-CN"/>
        </w:rPr>
        <w:t>（三）一般公共预算当年拨款具体使用情况</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公共安全（类）检察（款）行政运行（项）2024年预算数为312.95万元，主要用于：行政人员工资、津贴补贴、奖金、其他工资福利支出、办公经费、会议费、培训费、委托业务费、公务接待费、公务用车运行维护费、维修（护）费、其他商品和服务支出、其他对个人和家庭补助等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公共安全（类）检察（款）一般行政管理事务（项）2024年预算数为22.04万元，主要用于：开展刑罚执行监督工作所需的办公经费、会议费、培训费、委托业务费等。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公共安全（类）检察（款）事业运行（项）2024年预算数为10.92万元，主要用于：事业人员工资、奖金津补贴、其他工资福利支出、办公经费等。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4.社会保障和就业（类）行政事业单位养老支出（款）机关事业单位基本养老保险缴费支出（项）2024年预算数为25.04万元，主要用于：单位缴纳的养老保险支出。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5.社会保障和就业（类）其他社会保障和就业支出（款）其他社会保障和就业支出（项）2024年预算数为0.21万元，主要用于：单位缴纳失业保险支出。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6.卫生健康（类）行政事业单位医疗（款）行政单位医疗（项）2024年预算数为8.21万元，主要用于：机关及参公管理事业单位按规定由单位缴纳的基本医疗保险支出。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7.住房保障（类）住房改革支出（款）住房公积金（项）2024年预算数为22.46万元，主要用于：部门按规定为职工缴纳的住房公积金支出。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highlight w:val="none"/>
          <w:lang w:val="en-US" w:eastAsia="zh-CN"/>
        </w:rPr>
      </w:pPr>
      <w:bookmarkStart w:id="13" w:name="_Toc26044"/>
      <w:r>
        <w:rPr>
          <w:rFonts w:hint="eastAsia" w:ascii="黑体" w:hAnsi="黑体" w:eastAsia="黑体" w:cs="黑体"/>
          <w:sz w:val="32"/>
          <w:szCs w:val="32"/>
          <w:highlight w:val="none"/>
          <w:lang w:val="en-US" w:eastAsia="zh-CN"/>
        </w:rPr>
        <w:t>六、一般公共预算基本支出情况说明</w:t>
      </w:r>
      <w:bookmarkEnd w:id="1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广元市荣山地区人民检察院2024年一般公共预算基本支出</w:t>
      </w:r>
      <w:r>
        <w:rPr>
          <w:rFonts w:hint="eastAsia" w:ascii="仿宋_GB2312" w:hAnsi="仿宋_GB2312" w:eastAsia="仿宋_GB2312" w:cs="仿宋_GB2312"/>
          <w:b w:val="0"/>
          <w:bCs w:val="0"/>
          <w:color w:val="auto"/>
          <w:sz w:val="32"/>
          <w:szCs w:val="32"/>
          <w:highlight w:val="none"/>
          <w:lang w:val="en-US" w:eastAsia="zh-CN"/>
        </w:rPr>
        <w:t>353.89</w:t>
      </w:r>
      <w:r>
        <w:rPr>
          <w:rFonts w:hint="eastAsia" w:ascii="仿宋_GB2312" w:hAnsi="仿宋_GB2312" w:eastAsia="仿宋_GB2312" w:cs="仿宋_GB2312"/>
          <w:sz w:val="32"/>
          <w:szCs w:val="32"/>
          <w:highlight w:val="none"/>
          <w:lang w:val="en-US" w:eastAsia="zh-CN"/>
        </w:rPr>
        <w:t>万元，其中：</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人员经费314万元，主要包括：</w:t>
      </w:r>
      <w:r>
        <w:rPr>
          <w:rFonts w:hint="eastAsia" w:ascii="仿宋_GB2312" w:hAnsi="仿宋_GB2312" w:eastAsia="仿宋_GB2312" w:cs="仿宋_GB2312"/>
          <w:color w:val="auto"/>
          <w:sz w:val="32"/>
          <w:szCs w:val="32"/>
          <w:highlight w:val="none"/>
          <w:lang w:val="en-US" w:eastAsia="zh-CN"/>
        </w:rPr>
        <w:t>基本工资、津贴补贴、奖金、绩效工资、机关事业单位基本养老保险缴费、职工基本医疗保险缴费、其他社会保障缴费、住房公积金、其他工资福利支出、生活补助等支出。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39.89万元，主要包括：办公费、印刷费、邮电费、差旅费、维修（护）费、租赁费、培训费、公务接待费、劳务费、委托业务费、工会经费、福利费、公务用车运行维护费、其他交通费用、其他商品和服务支出</w:t>
      </w:r>
      <w:r>
        <w:rPr>
          <w:rFonts w:hint="eastAsia" w:ascii="仿宋_GB2312" w:hAnsi="仿宋_GB2312" w:eastAsia="仿宋_GB2312" w:cs="仿宋_GB2312"/>
          <w:color w:val="auto"/>
          <w:sz w:val="32"/>
          <w:szCs w:val="32"/>
          <w:highlight w:val="none"/>
          <w:lang w:val="en-US" w:eastAsia="zh-CN"/>
        </w:rPr>
        <w:t>等支出</w:t>
      </w:r>
      <w:r>
        <w:rPr>
          <w:rFonts w:hint="eastAsia" w:ascii="仿宋_GB2312" w:hAnsi="仿宋_GB2312" w:eastAsia="仿宋_GB2312" w:cs="仿宋_GB2312"/>
          <w:sz w:val="32"/>
          <w:szCs w:val="32"/>
          <w:highlight w:val="none"/>
          <w:lang w:val="en-US" w:eastAsia="zh-CN"/>
        </w:rPr>
        <w:t>。</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outlineLvl w:val="0"/>
        <w:rPr>
          <w:rFonts w:hint="eastAsia" w:ascii="仿宋_GB2312" w:hAnsi="仿宋_GB2312" w:eastAsia="仿宋_GB2312" w:cs="仿宋_GB2312"/>
          <w:sz w:val="32"/>
          <w:szCs w:val="32"/>
          <w:highlight w:val="none"/>
          <w:lang w:val="en-US" w:eastAsia="zh-CN"/>
        </w:rPr>
      </w:pPr>
      <w:bookmarkStart w:id="14" w:name="_Toc14906"/>
      <w:r>
        <w:rPr>
          <w:rFonts w:hint="eastAsia" w:ascii="黑体" w:hAnsi="黑体" w:eastAsia="黑体" w:cs="黑体"/>
          <w:sz w:val="32"/>
          <w:szCs w:val="32"/>
          <w:highlight w:val="none"/>
          <w:lang w:val="en-US" w:eastAsia="zh-CN"/>
        </w:rPr>
        <w:t>“三公”经费财政拨款预算安排情况说明</w:t>
      </w:r>
      <w:bookmarkEnd w:id="1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广元市荣山地区人民检察院2024年“三公”经费财政拨款预算数2.35万元，其中：公务接待费0.75万元，公务用车购置及运行维护费1.6万元，因公出国（境）经费0万元。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highlight w:val="none"/>
          <w:lang w:val="en-US" w:eastAsia="zh-CN"/>
        </w:rPr>
      </w:pPr>
      <w:bookmarkStart w:id="15" w:name="_Toc31402"/>
      <w:r>
        <w:rPr>
          <w:rFonts w:hint="eastAsia" w:ascii="仿宋_GB2312" w:hAnsi="仿宋_GB2312" w:eastAsia="仿宋_GB2312" w:cs="仿宋_GB2312"/>
          <w:sz w:val="32"/>
          <w:szCs w:val="32"/>
          <w:highlight w:val="none"/>
          <w:lang w:val="en-US" w:eastAsia="zh-CN"/>
        </w:rPr>
        <w:t>（一）</w:t>
      </w:r>
      <w:r>
        <w:rPr>
          <w:rFonts w:hint="eastAsia" w:ascii="楷体_GB2312" w:hAnsi="楷体_GB2312" w:eastAsia="楷体_GB2312" w:cs="楷体_GB2312"/>
          <w:sz w:val="32"/>
          <w:szCs w:val="32"/>
          <w:highlight w:val="none"/>
          <w:lang w:val="en-US" w:eastAsia="zh-CN"/>
        </w:rPr>
        <w:t>公务接待费</w:t>
      </w:r>
      <w:bookmarkEnd w:id="15"/>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公务接待费与2023年预算相比持平。</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2024年公务接待费计划用于执行接待考察调研、检查指导等公务活动开支的交通费、住宿费、用餐费等。</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1"/>
        <w:rPr>
          <w:rFonts w:hint="eastAsia" w:ascii="仿宋_GB2312" w:hAnsi="仿宋_GB2312" w:eastAsia="仿宋_GB2312" w:cs="仿宋_GB2312"/>
          <w:sz w:val="32"/>
          <w:szCs w:val="32"/>
          <w:highlight w:val="none"/>
          <w:lang w:val="en-US" w:eastAsia="zh-CN"/>
        </w:rPr>
      </w:pPr>
      <w:bookmarkStart w:id="16" w:name="_Toc14157"/>
      <w:r>
        <w:rPr>
          <w:rFonts w:hint="eastAsia" w:ascii="楷体_GB2312" w:hAnsi="楷体_GB2312" w:eastAsia="楷体_GB2312" w:cs="楷体_GB2312"/>
          <w:sz w:val="32"/>
          <w:szCs w:val="32"/>
          <w:highlight w:val="none"/>
          <w:lang w:val="en-US" w:eastAsia="zh-CN"/>
        </w:rPr>
        <w:t>公务用车购置及运行维护费</w:t>
      </w:r>
      <w:bookmarkEnd w:id="16"/>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公务用车购置及运行维护费与2023年预算相比持平。</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单位现有公务用车3辆，其中：轿车3辆。</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2024年未安排公务用车购置费。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2024年安排公务用车运行维护费1.6万元，用于3辆公务用车燃油、过路（桥）、维修、保险等方面支出，主要保障刑罚执行监督检察工作正常运行。</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highlight w:val="none"/>
          <w:lang w:val="en-US" w:eastAsia="zh-CN"/>
        </w:rPr>
      </w:pPr>
      <w:bookmarkStart w:id="17" w:name="_Toc8319"/>
      <w:r>
        <w:rPr>
          <w:rFonts w:hint="eastAsia" w:ascii="楷体_GB2312" w:hAnsi="楷体_GB2312" w:eastAsia="楷体_GB2312" w:cs="楷体_GB2312"/>
          <w:sz w:val="32"/>
          <w:szCs w:val="32"/>
          <w:highlight w:val="none"/>
          <w:lang w:val="en-US" w:eastAsia="zh-CN"/>
        </w:rPr>
        <w:t>因公出国（境）经费</w:t>
      </w:r>
      <w:bookmarkEnd w:id="17"/>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因公出国（境）经费与2023年预算相比持平，未安排预算资金。</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18" w:name="_Toc31942"/>
      <w:r>
        <w:rPr>
          <w:rFonts w:hint="eastAsia" w:ascii="黑体" w:hAnsi="黑体" w:eastAsia="黑体" w:cs="黑体"/>
          <w:b w:val="0"/>
          <w:bCs w:val="0"/>
          <w:sz w:val="32"/>
          <w:szCs w:val="32"/>
          <w:highlight w:val="none"/>
          <w:lang w:val="en-US" w:eastAsia="zh-CN"/>
        </w:rPr>
        <w:t>政府性基金预算支出情况说明</w:t>
      </w:r>
      <w:bookmarkEnd w:id="18"/>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广元市荣山地区人民检察院2024年无政府性基金预算拨款安排的支出。</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19" w:name="_Toc202"/>
      <w:r>
        <w:rPr>
          <w:rFonts w:hint="eastAsia" w:ascii="黑体" w:hAnsi="黑体" w:eastAsia="黑体" w:cs="黑体"/>
          <w:b w:val="0"/>
          <w:bCs w:val="0"/>
          <w:sz w:val="32"/>
          <w:szCs w:val="32"/>
          <w:highlight w:val="none"/>
          <w:lang w:val="en-US" w:eastAsia="zh-CN"/>
        </w:rPr>
        <w:t>国有资本经营预算支出情况说明</w:t>
      </w:r>
      <w:bookmarkEnd w:id="19"/>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广元市荣山地区人民检察院2024年无国有资本经营预算拨款安排的支出。</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20" w:name="_Toc18662"/>
      <w:r>
        <w:rPr>
          <w:rFonts w:hint="eastAsia" w:ascii="黑体" w:hAnsi="黑体" w:eastAsia="黑体" w:cs="黑体"/>
          <w:b w:val="0"/>
          <w:bCs w:val="0"/>
          <w:sz w:val="32"/>
          <w:szCs w:val="32"/>
          <w:highlight w:val="none"/>
          <w:lang w:val="en-US" w:eastAsia="zh-CN"/>
        </w:rPr>
        <w:t>其他重要事项的情况说明</w:t>
      </w:r>
      <w:bookmarkEnd w:id="20"/>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outlineLvl w:val="1"/>
        <w:rPr>
          <w:rFonts w:hint="eastAsia" w:ascii="仿宋_GB2312" w:hAnsi="仿宋_GB2312" w:eastAsia="仿宋_GB2312" w:cs="仿宋_GB2312"/>
          <w:sz w:val="32"/>
          <w:szCs w:val="32"/>
          <w:highlight w:val="none"/>
          <w:lang w:val="en-US" w:eastAsia="zh-CN"/>
        </w:rPr>
      </w:pPr>
      <w:bookmarkStart w:id="21" w:name="_Toc22537"/>
      <w:r>
        <w:rPr>
          <w:rFonts w:hint="eastAsia" w:ascii="楷体_GB2312" w:hAnsi="楷体_GB2312" w:eastAsia="楷体_GB2312" w:cs="楷体_GB2312"/>
          <w:sz w:val="32"/>
          <w:szCs w:val="32"/>
          <w:highlight w:val="none"/>
          <w:lang w:val="en-US" w:eastAsia="zh-CN"/>
        </w:rPr>
        <w:t>（一）机关运行经费</w:t>
      </w:r>
      <w:bookmarkEnd w:id="2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2024年，广元市荣山地区人民检察院机关运行经费财政拨款预算为39.89万元，比2023年预算减少7.82万元，下</w:t>
      </w:r>
      <w:r>
        <w:rPr>
          <w:rFonts w:hint="eastAsia" w:ascii="仿宋_GB2312" w:hAnsi="仿宋_GB2312" w:eastAsia="仿宋_GB2312" w:cs="仿宋_GB2312"/>
          <w:color w:val="auto"/>
          <w:sz w:val="32"/>
          <w:szCs w:val="32"/>
          <w:highlight w:val="none"/>
          <w:lang w:val="en-US" w:eastAsia="zh-CN"/>
        </w:rPr>
        <w:t>降16.39%。</w:t>
      </w:r>
      <w:r>
        <w:rPr>
          <w:rFonts w:hint="eastAsia" w:ascii="仿宋_GB2312" w:hAnsi="仿宋_GB2312" w:eastAsia="仿宋_GB2312" w:cs="仿宋_GB2312"/>
          <w:sz w:val="32"/>
          <w:szCs w:val="32"/>
          <w:highlight w:val="none"/>
          <w:lang w:val="en-US" w:eastAsia="zh-CN"/>
        </w:rPr>
        <w:t>主要原因人员减少，导致机关运行经费减少。</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highlight w:val="none"/>
          <w:lang w:val="en-US" w:eastAsia="zh-CN"/>
        </w:rPr>
      </w:pPr>
      <w:bookmarkStart w:id="22" w:name="_Toc2153"/>
      <w:r>
        <w:rPr>
          <w:rFonts w:hint="eastAsia" w:ascii="楷体_GB2312" w:hAnsi="楷体_GB2312" w:eastAsia="楷体_GB2312" w:cs="楷体_GB2312"/>
          <w:sz w:val="32"/>
          <w:szCs w:val="32"/>
          <w:highlight w:val="none"/>
          <w:lang w:val="en-US" w:eastAsia="zh-CN"/>
        </w:rPr>
        <w:t>政府采购情况</w:t>
      </w:r>
      <w:bookmarkEnd w:id="22"/>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2024年，广元市荣山地区人民检察院未安排政府采购预算。</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highlight w:val="none"/>
          <w:lang w:val="en-US" w:eastAsia="zh-CN"/>
        </w:rPr>
      </w:pPr>
      <w:bookmarkStart w:id="23" w:name="_Toc24923"/>
      <w:r>
        <w:rPr>
          <w:rFonts w:hint="eastAsia" w:ascii="楷体_GB2312" w:hAnsi="楷体_GB2312" w:eastAsia="楷体_GB2312" w:cs="楷体_GB2312"/>
          <w:sz w:val="32"/>
          <w:szCs w:val="32"/>
          <w:highlight w:val="none"/>
          <w:lang w:val="en-US" w:eastAsia="zh-CN"/>
        </w:rPr>
        <w:t>国有资产占有使用情况</w:t>
      </w:r>
      <w:bookmarkEnd w:id="2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截至2023年底，广元市荣山地区人民检察院共有车辆3辆，其中，执法执勤用车3辆。单位无价值200万元以上的大型设备。  </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2024年预算未安排购置车辆及单位价值200万元以上大型设</w:t>
      </w:r>
      <w:r>
        <w:rPr>
          <w:rFonts w:hint="eastAsia" w:ascii="仿宋_GB2312" w:hAnsi="仿宋_GB2312" w:eastAsia="仿宋_GB2312" w:cs="仿宋_GB2312"/>
          <w:color w:val="auto"/>
          <w:sz w:val="32"/>
          <w:szCs w:val="32"/>
          <w:highlight w:val="none"/>
          <w:lang w:val="en-US" w:eastAsia="zh-CN"/>
        </w:rPr>
        <w:t>备。</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highlight w:val="none"/>
          <w:lang w:val="en-US" w:eastAsia="zh-CN"/>
        </w:rPr>
      </w:pPr>
      <w:bookmarkStart w:id="24" w:name="_Toc19970"/>
      <w:r>
        <w:rPr>
          <w:rFonts w:hint="eastAsia" w:ascii="楷体_GB2312" w:hAnsi="楷体_GB2312" w:eastAsia="楷体_GB2312" w:cs="楷体_GB2312"/>
          <w:sz w:val="32"/>
          <w:szCs w:val="32"/>
          <w:highlight w:val="none"/>
          <w:lang w:val="en-US" w:eastAsia="zh-CN"/>
        </w:rPr>
        <w:t>绩效目标设置情况</w:t>
      </w:r>
      <w:bookmarkEnd w:id="2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2024年广元市荣山地区人民检察院开展绩效目标管理的项</w:t>
      </w:r>
      <w:r>
        <w:rPr>
          <w:rFonts w:hint="eastAsia" w:ascii="仿宋_GB2312" w:hAnsi="仿宋_GB2312" w:eastAsia="仿宋_GB2312" w:cs="仿宋_GB2312"/>
          <w:b w:val="0"/>
          <w:bCs w:val="0"/>
          <w:color w:val="auto"/>
          <w:sz w:val="32"/>
          <w:szCs w:val="32"/>
          <w:highlight w:val="none"/>
          <w:lang w:val="en-US" w:eastAsia="zh-CN"/>
        </w:rPr>
        <w:t>目16个，</w:t>
      </w:r>
      <w:r>
        <w:rPr>
          <w:rFonts w:hint="eastAsia" w:ascii="仿宋_GB2312" w:hAnsi="仿宋_GB2312" w:eastAsia="仿宋_GB2312" w:cs="仿宋_GB2312"/>
          <w:color w:val="auto"/>
          <w:sz w:val="32"/>
          <w:szCs w:val="32"/>
          <w:highlight w:val="none"/>
          <w:lang w:val="en-US" w:eastAsia="zh-CN"/>
        </w:rPr>
        <w:t>涉及预算</w:t>
      </w:r>
      <w:r>
        <w:rPr>
          <w:rFonts w:hint="eastAsia" w:ascii="仿宋" w:hAnsi="仿宋" w:eastAsia="仿宋" w:cs="仿宋"/>
          <w:i w:val="0"/>
          <w:caps w:val="0"/>
          <w:color w:val="auto"/>
          <w:spacing w:val="0"/>
          <w:kern w:val="0"/>
          <w:sz w:val="32"/>
          <w:szCs w:val="32"/>
          <w:highlight w:val="none"/>
          <w:shd w:val="clear" w:color="auto" w:fill="FFFFFF"/>
          <w:lang w:val="en-US" w:eastAsia="zh-CN" w:bidi="ar"/>
        </w:rPr>
        <w:t>401.83</w:t>
      </w:r>
      <w:r>
        <w:rPr>
          <w:rFonts w:hint="eastAsia" w:ascii="仿宋_GB2312" w:hAnsi="仿宋_GB2312" w:eastAsia="仿宋_GB2312" w:cs="仿宋_GB2312"/>
          <w:color w:val="auto"/>
          <w:sz w:val="32"/>
          <w:szCs w:val="32"/>
          <w:highlight w:val="none"/>
          <w:lang w:val="en-US" w:eastAsia="zh-CN"/>
        </w:rPr>
        <w:t>万元。其中：人员类项目8个，涉及预算 314万元；运转类项目4个，涉及预算39.89万元；特定目标类项目4个，涉及预算47.94万元。</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0"/>
        <w:rPr>
          <w:rFonts w:hint="eastAsia" w:ascii="黑体" w:hAnsi="黑体" w:eastAsia="黑体" w:cs="黑体"/>
          <w:sz w:val="32"/>
          <w:szCs w:val="32"/>
          <w:highlight w:val="none"/>
          <w:lang w:val="en-US" w:eastAsia="zh-CN"/>
        </w:rPr>
      </w:pPr>
      <w:bookmarkStart w:id="25" w:name="_Toc16524"/>
      <w:r>
        <w:rPr>
          <w:rFonts w:hint="eastAsia" w:ascii="黑体" w:hAnsi="黑体" w:eastAsia="黑体" w:cs="黑体"/>
          <w:sz w:val="32"/>
          <w:szCs w:val="32"/>
          <w:highlight w:val="none"/>
          <w:lang w:val="en-US" w:eastAsia="zh-CN"/>
        </w:rPr>
        <w:t>名词解释</w:t>
      </w:r>
      <w:bookmarkEnd w:id="25"/>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w:t>
      </w:r>
      <w:r>
        <w:rPr>
          <w:rFonts w:hint="default" w:ascii="仿宋_GB2312" w:hAnsi="仿宋_GB2312" w:eastAsia="仿宋_GB2312" w:cs="仿宋_GB2312"/>
          <w:color w:val="auto"/>
          <w:sz w:val="32"/>
          <w:szCs w:val="32"/>
          <w:highlight w:val="none"/>
          <w:lang w:eastAsia="zh-CN"/>
          <w:woUserID w:val="1"/>
        </w:rPr>
        <w:t>财政</w:t>
      </w:r>
      <w:bookmarkStart w:id="26" w:name="_GoBack"/>
      <w:bookmarkEnd w:id="26"/>
      <w:r>
        <w:rPr>
          <w:rFonts w:hint="default" w:ascii="仿宋_GB2312" w:hAnsi="仿宋_GB2312" w:eastAsia="仿宋_GB2312" w:cs="仿宋_GB2312"/>
          <w:color w:val="auto"/>
          <w:sz w:val="32"/>
          <w:szCs w:val="32"/>
          <w:highlight w:val="none"/>
          <w:lang w:eastAsia="zh-CN"/>
          <w:woUserID w:val="1"/>
        </w:rPr>
        <w:t xml:space="preserve">拨款收入 </w:t>
      </w:r>
      <w:r>
        <w:rPr>
          <w:rFonts w:hint="eastAsia" w:ascii="仿宋_GB2312" w:hAnsi="仿宋_GB2312" w:eastAsia="仿宋_GB2312" w:cs="仿宋_GB2312"/>
          <w:color w:val="auto"/>
          <w:sz w:val="32"/>
          <w:szCs w:val="32"/>
          <w:highlight w:val="none"/>
          <w:lang w:val="en-US" w:eastAsia="zh-CN"/>
        </w:rPr>
        <w:t>：指市财政当年安排的财政</w:t>
      </w:r>
      <w:r>
        <w:rPr>
          <w:rFonts w:hint="eastAsia" w:ascii="仿宋_GB2312" w:hAnsi="仿宋_GB2312" w:eastAsia="仿宋_GB2312" w:cs="仿宋_GB2312"/>
          <w:sz w:val="32"/>
          <w:szCs w:val="32"/>
          <w:highlight w:val="none"/>
          <w:lang w:val="en-US" w:eastAsia="zh-CN"/>
        </w:rPr>
        <w:t>预算收入。按现行管理制度，部门预算中反映的财政拨款包括一般公共预算拨款和政府性基金预算拨款。</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（二）公共安全（类）检察（款）行政运行（项）：指单位用于保障机构正常运行、开展日常工作的基本支出。</w:t>
      </w:r>
      <w:r>
        <w:rPr>
          <w:rFonts w:hint="eastAsia" w:ascii="仿宋_GB2312" w:hAnsi="仿宋_GB2312" w:eastAsia="仿宋_GB2312" w:cs="仿宋_GB2312"/>
          <w:color w:val="auto"/>
          <w:sz w:val="32"/>
          <w:szCs w:val="32"/>
          <w:highlight w:val="none"/>
          <w:lang w:val="en-US" w:eastAsia="zh-CN"/>
        </w:rPr>
        <w:br w:type="textWrapping"/>
      </w:r>
      <w:r>
        <w:rPr>
          <w:rFonts w:hint="eastAsia" w:ascii="仿宋_GB2312" w:hAnsi="仿宋_GB2312" w:eastAsia="仿宋_GB2312" w:cs="仿宋_GB2312"/>
          <w:color w:val="auto"/>
          <w:sz w:val="32"/>
          <w:szCs w:val="32"/>
          <w:highlight w:val="none"/>
          <w:lang w:val="en-US" w:eastAsia="zh-CN"/>
        </w:rPr>
        <w:t>　　（三）公共安全（类）检察（款）一般行政管理事务（项）：指单位未单独设置项级科目的其他项目支出。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（四）公共安全（类）检察（款）事业运行（项）：指用于事业单位的基本支出。</w:t>
      </w:r>
      <w:r>
        <w:rPr>
          <w:rFonts w:hint="eastAsia" w:ascii="仿宋_GB2312" w:hAnsi="仿宋_GB2312" w:eastAsia="仿宋_GB2312" w:cs="仿宋_GB2312"/>
          <w:color w:val="auto"/>
          <w:sz w:val="32"/>
          <w:szCs w:val="32"/>
          <w:highlight w:val="none"/>
          <w:lang w:val="en-US" w:eastAsia="zh-CN"/>
        </w:rPr>
        <w:br w:type="textWrapping"/>
      </w:r>
      <w:r>
        <w:rPr>
          <w:rFonts w:hint="eastAsia" w:ascii="仿宋_GB2312" w:hAnsi="仿宋_GB2312" w:eastAsia="仿宋_GB2312" w:cs="仿宋_GB2312"/>
          <w:color w:val="auto"/>
          <w:sz w:val="32"/>
          <w:szCs w:val="32"/>
          <w:highlight w:val="none"/>
          <w:lang w:val="en-US" w:eastAsia="zh-CN"/>
        </w:rPr>
        <w:t>　　（五）社会保障和就业（类）行政事业单位养老支出（款）机关事业单位基本养老保险缴费支出（项）：指机关事业单位实施养老保险制度由单位缴纳的基本养老保险费支出。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（六）社会保障和就业（类）其他社会保障和就业支出（款）其他社会保障和就业支出（项）：指部门实施养老保险制度缴纳单位缴纳的生育、工伤保险和失业保险支出。　</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（七）卫生健康（类）行政事业单位医疗（款）行政单位医疗（项）：指机关及参公管理事业单位用于单位应缴纳基本医疗保险支出。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（八）住房保障（类）住房改革支出（款）住房公积金（项）：指按照《住房公积金管理条例》的规定，由单位及其在职职工缴存的长期住房储金。</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（九）基本支出：指为保证机构正常运转，完成日常工作任务而发生的人员支出和公用支出。</w:t>
      </w:r>
      <w:r>
        <w:rPr>
          <w:rFonts w:hint="eastAsia" w:ascii="仿宋_GB2312" w:hAnsi="仿宋_GB2312" w:eastAsia="仿宋_GB2312" w:cs="仿宋_GB2312"/>
          <w:color w:val="auto"/>
          <w:sz w:val="32"/>
          <w:szCs w:val="32"/>
          <w:highlight w:val="none"/>
          <w:lang w:val="en-US" w:eastAsia="zh-CN"/>
        </w:rPr>
        <w:br w:type="textWrapping"/>
      </w:r>
      <w:r>
        <w:rPr>
          <w:rFonts w:hint="eastAsia" w:ascii="仿宋_GB2312" w:hAnsi="仿宋_GB2312" w:eastAsia="仿宋_GB2312" w:cs="仿宋_GB2312"/>
          <w:color w:val="auto"/>
          <w:sz w:val="32"/>
          <w:szCs w:val="32"/>
          <w:highlight w:val="none"/>
          <w:lang w:val="en-US" w:eastAsia="zh-CN"/>
        </w:rPr>
        <w:t>　　（十）项目支出：指在基本支出之外为完成特定行政任务和事业发展目标所发生的支出。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（十一）“三公”经费：纳入市级财政预算管理</w:t>
      </w:r>
      <w:r>
        <w:rPr>
          <w:rFonts w:hint="eastAsia" w:ascii="仿宋_GB2312" w:hAnsi="仿宋_GB2312" w:eastAsia="仿宋_GB2312" w:cs="仿宋_GB2312"/>
          <w:sz w:val="32"/>
          <w:szCs w:val="32"/>
          <w:highlight w:val="none"/>
          <w:lang w:val="en-US" w:eastAsia="zh-CN"/>
        </w:rPr>
        <w:t>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xml:space="preserve">    </w:t>
      </w:r>
      <w:r>
        <w:rPr>
          <w:rFonts w:hint="eastAsia" w:ascii="楷体_GB2312" w:hAnsi="楷体_GB2312" w:eastAsia="楷体_GB2312" w:cs="楷体_GB2312"/>
          <w:sz w:val="32"/>
          <w:szCs w:val="32"/>
          <w:highlight w:val="none"/>
          <w:lang w:val="en-US" w:eastAsia="zh-CN"/>
        </w:rPr>
        <w:t>（十二）</w:t>
      </w:r>
      <w:r>
        <w:rPr>
          <w:rFonts w:hint="eastAsia" w:ascii="仿宋_GB2312" w:hAnsi="仿宋_GB2312" w:eastAsia="仿宋_GB2312" w:cs="仿宋_GB2312"/>
          <w:sz w:val="32"/>
          <w:szCs w:val="32"/>
          <w:highlight w:val="none"/>
          <w:lang w:val="en-US" w:eastAsia="zh-CN"/>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highlight w:val="none"/>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2010600030101010101"/>
    <w:charset w:val="7A"/>
    <w:family w:val="auto"/>
    <w:pitch w:val="default"/>
    <w:sig w:usb0="00000000" w:usb1="00000000" w:usb2="00000006" w:usb3="00000000" w:csb0="00040001"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Noto Serif CJK SC"/>
    <w:panose1 w:val="020B0500000000000000"/>
    <w:charset w:val="86"/>
    <w:family w:val="auto"/>
    <w:pitch w:val="default"/>
    <w:sig w:usb0="00000000" w:usb1="00000000" w:usb2="00000016" w:usb3="00000000" w:csb0="602E0107" w:csb1="00000000"/>
  </w:font>
  <w:font w:name="方正小标宋简体">
    <w:altName w:val="Times New Roman"/>
    <w:panose1 w:val="02000000000000000000"/>
    <w:charset w:val="86"/>
    <w:family w:val="auto"/>
    <w:pitch w:val="default"/>
    <w:sig w:usb0="00000000" w:usb1="00000000" w:usb2="00000000" w:usb3="00000000" w:csb0="00040000" w:csb1="00000000"/>
  </w:font>
  <w:font w:name="楷体_GB2312">
    <w:altName w:val="汉仪楷体KW"/>
    <w:panose1 w:val="02010609030101010101"/>
    <w:charset w:val="86"/>
    <w:family w:val="auto"/>
    <w:pitch w:val="default"/>
    <w:sig w:usb0="00000000" w:usb1="00000000" w:usb2="00000000" w:usb3="00000000" w:csb0="00040000" w:csb1="00000000"/>
  </w:font>
  <w:font w:name="仿宋_GB2312">
    <w:altName w:val="Times New Roman"/>
    <w:panose1 w:val="02010609030101010101"/>
    <w:charset w:val="86"/>
    <w:family w:val="modern"/>
    <w:pitch w:val="default"/>
    <w:sig w:usb0="00000000" w:usb1="00000000" w:usb2="00000010" w:usb3="00000000" w:csb0="00040000" w:csb1="00000000"/>
  </w:font>
  <w:font w:name="仿宋">
    <w:altName w:val="Times New Roman"/>
    <w:panose1 w:val="02010609060101010101"/>
    <w:charset w:val="86"/>
    <w:family w:val="auto"/>
    <w:pitch w:val="default"/>
    <w:sig w:usb0="00000000" w:usb1="00000000" w:usb2="00000016" w:usb3="00000000" w:csb0="00040001" w:csb1="00000000"/>
  </w:font>
  <w:font w:name="Noto Serif CJK SC">
    <w:panose1 w:val="02020400000000000000"/>
    <w:charset w:val="86"/>
    <w:family w:val="auto"/>
    <w:pitch w:val="default"/>
    <w:sig w:usb0="30000083" w:usb1="2BDF3C10" w:usb2="00000016" w:usb3="00000000" w:csb0="602E0107" w:csb1="00000000"/>
  </w:font>
  <w:font w:name="方正小标宋_GBK">
    <w:altName w:val="Times New Roman"/>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方正仿宋_GBK">
    <w:altName w:val="Times New Roman"/>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乐见体">
    <w:panose1 w:val="02020400000000000000"/>
    <w:charset w:val="86"/>
    <w:family w:val="auto"/>
    <w:pitch w:val="default"/>
    <w:sig w:usb0="80000003" w:usb1="08012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A8C35"/>
    <w:multiLevelType w:val="singleLevel"/>
    <w:tmpl w:val="92FA8C35"/>
    <w:lvl w:ilvl="0" w:tentative="0">
      <w:start w:val="2"/>
      <w:numFmt w:val="chineseCounting"/>
      <w:suff w:val="nothing"/>
      <w:lvlText w:val="（%1）"/>
      <w:lvlJc w:val="left"/>
      <w:rPr>
        <w:rFonts w:hint="eastAsia"/>
      </w:rPr>
    </w:lvl>
  </w:abstractNum>
  <w:abstractNum w:abstractNumId="1">
    <w:nsid w:val="A9B22321"/>
    <w:multiLevelType w:val="singleLevel"/>
    <w:tmpl w:val="A9B22321"/>
    <w:lvl w:ilvl="0" w:tentative="0">
      <w:start w:val="7"/>
      <w:numFmt w:val="chineseCounting"/>
      <w:suff w:val="nothing"/>
      <w:lvlText w:val="%1、"/>
      <w:lvlJc w:val="left"/>
      <w:rPr>
        <w:rFonts w:hint="eastAsia"/>
        <w:b/>
        <w:bCs/>
      </w:rPr>
    </w:lvl>
  </w:abstractNum>
  <w:abstractNum w:abstractNumId="2">
    <w:nsid w:val="59C4CE62"/>
    <w:multiLevelType w:val="singleLevel"/>
    <w:tmpl w:val="59C4CE62"/>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D481B10"/>
    <w:rsid w:val="128F0390"/>
    <w:rsid w:val="1532009B"/>
    <w:rsid w:val="16956E3C"/>
    <w:rsid w:val="16DB2490"/>
    <w:rsid w:val="17B7951A"/>
    <w:rsid w:val="1C633A51"/>
    <w:rsid w:val="1DF28FD0"/>
    <w:rsid w:val="1DFFE519"/>
    <w:rsid w:val="1F7BF06F"/>
    <w:rsid w:val="1FEE4B73"/>
    <w:rsid w:val="23CE9849"/>
    <w:rsid w:val="263469B4"/>
    <w:rsid w:val="29EE6B69"/>
    <w:rsid w:val="2D0F37A2"/>
    <w:rsid w:val="39F304DD"/>
    <w:rsid w:val="3BD71988"/>
    <w:rsid w:val="46FF4F19"/>
    <w:rsid w:val="47505984"/>
    <w:rsid w:val="4E0F9138"/>
    <w:rsid w:val="54244390"/>
    <w:rsid w:val="54662A63"/>
    <w:rsid w:val="58064E12"/>
    <w:rsid w:val="5BFEE015"/>
    <w:rsid w:val="5D596AD8"/>
    <w:rsid w:val="5FFB8017"/>
    <w:rsid w:val="62A019CE"/>
    <w:rsid w:val="63EDCF55"/>
    <w:rsid w:val="63FBFBCF"/>
    <w:rsid w:val="64AF4728"/>
    <w:rsid w:val="669360FD"/>
    <w:rsid w:val="68FF6A83"/>
    <w:rsid w:val="6D9257A1"/>
    <w:rsid w:val="6FBBC9CF"/>
    <w:rsid w:val="72BDE561"/>
    <w:rsid w:val="72BFDBA1"/>
    <w:rsid w:val="78462278"/>
    <w:rsid w:val="78BF3A2A"/>
    <w:rsid w:val="7997EA6C"/>
    <w:rsid w:val="7A3B430F"/>
    <w:rsid w:val="7AEAE675"/>
    <w:rsid w:val="7BAFCE5D"/>
    <w:rsid w:val="7D3F0F15"/>
    <w:rsid w:val="7D46598C"/>
    <w:rsid w:val="7DFB240B"/>
    <w:rsid w:val="7E0935ED"/>
    <w:rsid w:val="7E324A15"/>
    <w:rsid w:val="7E934852"/>
    <w:rsid w:val="7F7F1F0B"/>
    <w:rsid w:val="7FAF3FFA"/>
    <w:rsid w:val="7FCDEA76"/>
    <w:rsid w:val="7FCF2AF7"/>
    <w:rsid w:val="7FE7BF3A"/>
    <w:rsid w:val="9FEF033D"/>
    <w:rsid w:val="A27FF1E5"/>
    <w:rsid w:val="AFDEB5A7"/>
    <w:rsid w:val="AFEA7FBF"/>
    <w:rsid w:val="B83F4767"/>
    <w:rsid w:val="BEFF61DC"/>
    <w:rsid w:val="BF930F07"/>
    <w:rsid w:val="BFCE8436"/>
    <w:rsid w:val="C3F7EB7A"/>
    <w:rsid w:val="C59F4B41"/>
    <w:rsid w:val="CFF5FEEC"/>
    <w:rsid w:val="D3DD9064"/>
    <w:rsid w:val="D6F76A0C"/>
    <w:rsid w:val="D7ECE8D2"/>
    <w:rsid w:val="D8E71ECE"/>
    <w:rsid w:val="DFDD4FB5"/>
    <w:rsid w:val="E7F748B5"/>
    <w:rsid w:val="EE5F3713"/>
    <w:rsid w:val="EFC9D62C"/>
    <w:rsid w:val="EFFFA373"/>
    <w:rsid w:val="F6BE9755"/>
    <w:rsid w:val="F6F30229"/>
    <w:rsid w:val="F6FFA89B"/>
    <w:rsid w:val="F7FF6B7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正文-公1"/>
    <w:basedOn w:val="1"/>
    <w:qFormat/>
    <w:uiPriority w:val="99"/>
    <w:pPr>
      <w:ind w:firstLine="200" w:firstLineChars="200"/>
    </w:pPr>
    <w:rPr>
      <w:rFonts w:ascii="Times New Roman" w:hAnsi="Times New Roman"/>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 WWO_wpscloud_20240126182319-534a0df1c3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admin</dc:creator>
  <cp:lastModifiedBy>玖千余为春秋</cp:lastModifiedBy>
  <dcterms:modified xsi:type="dcterms:W3CDTF">2024-02-02T21:24:07Z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ECECEC94F6B541E4B81A67B6C9612DA2_13</vt:lpwstr>
  </property>
</Properties>
</file>