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suppressAutoHyphens/>
        <w:spacing w:line="580" w:lineRule="atLeast"/>
        <w:jc w:val="center"/>
        <w:rPr>
          <w:rFonts w:hint="eastAsia" w:ascii="宋体" w:hAnsi="宋体" w:eastAsia="宋体"/>
          <w:b/>
          <w:bCs/>
          <w:kern w:val="0"/>
          <w:sz w:val="44"/>
          <w:szCs w:val="44"/>
          <w:shd w:val="clear" w:color="auto" w:fill="FFFFFF"/>
        </w:rPr>
      </w:pPr>
      <w:bookmarkStart w:id="0" w:name="_Toc20428"/>
    </w:p>
    <w:p>
      <w:pPr>
        <w:widowControl/>
        <w:shd w:val="clear" w:color="auto"/>
        <w:suppressAutoHyphens/>
        <w:spacing w:line="580" w:lineRule="atLeast"/>
        <w:jc w:val="center"/>
        <w:rPr>
          <w:rFonts w:hint="eastAsia" w:ascii="宋体" w:hAnsi="宋体" w:eastAsia="宋体"/>
          <w:b/>
          <w:bCs/>
          <w:kern w:val="0"/>
          <w:sz w:val="44"/>
          <w:szCs w:val="44"/>
          <w:shd w:val="clear" w:color="auto" w:fill="FFFFFF"/>
        </w:rPr>
      </w:pPr>
    </w:p>
    <w:p>
      <w:pPr>
        <w:widowControl/>
        <w:shd w:val="clear" w:color="auto"/>
        <w:suppressAutoHyphens/>
        <w:spacing w:line="580" w:lineRule="atLeast"/>
        <w:jc w:val="center"/>
        <w:outlineLvl w:val="0"/>
        <w:rPr>
          <w:rFonts w:hint="eastAsia" w:ascii="宋体" w:hAnsi="宋体" w:eastAsia="宋体"/>
          <w:b/>
          <w:bCs/>
          <w:kern w:val="0"/>
          <w:sz w:val="44"/>
          <w:szCs w:val="44"/>
          <w:shd w:val="clear" w:color="auto" w:fill="FFFFFF"/>
        </w:rPr>
      </w:pPr>
      <w:bookmarkStart w:id="1" w:name="_Toc7286"/>
      <w:r>
        <w:rPr>
          <w:rFonts w:hint="eastAsia" w:ascii="宋体" w:hAnsi="宋体" w:eastAsia="宋体"/>
          <w:b/>
          <w:bCs/>
          <w:kern w:val="0"/>
          <w:sz w:val="44"/>
          <w:szCs w:val="44"/>
          <w:shd w:val="clear" w:color="auto" w:fill="FFFFFF"/>
        </w:rPr>
        <w:t>广元市广播电视台</w:t>
      </w:r>
      <w:bookmarkEnd w:id="0"/>
      <w:bookmarkEnd w:id="1"/>
    </w:p>
    <w:p>
      <w:pPr>
        <w:pStyle w:val="2"/>
      </w:pPr>
    </w:p>
    <w:p>
      <w:pPr>
        <w:widowControl/>
        <w:shd w:val="clear" w:color="auto"/>
        <w:suppressAutoHyphens/>
        <w:spacing w:line="580" w:lineRule="atLeast"/>
        <w:jc w:val="center"/>
        <w:rPr>
          <w:rFonts w:hint="eastAsia" w:ascii="宋体" w:hAnsi="宋体" w:eastAsia="宋体"/>
          <w:b/>
          <w:bCs/>
          <w:kern w:val="0"/>
          <w:sz w:val="44"/>
          <w:szCs w:val="44"/>
          <w:shd w:val="clear" w:color="auto" w:fill="FFFFFF"/>
        </w:rPr>
        <w:sectPr>
          <w:pgSz w:w="11906" w:h="16838"/>
          <w:pgMar w:top="1440" w:right="1800" w:bottom="1440" w:left="1800" w:header="720" w:footer="720" w:gutter="0"/>
          <w:cols w:space="720" w:num="1"/>
          <w:docGrid w:type="lines" w:linePitch="312" w:charSpace="0"/>
        </w:sectPr>
      </w:pPr>
      <w:r>
        <w:rPr>
          <w:rFonts w:hint="eastAsia" w:ascii="宋体" w:hAnsi="宋体" w:eastAsia="宋体"/>
          <w:b/>
          <w:bCs/>
          <w:kern w:val="0"/>
          <w:sz w:val="44"/>
          <w:szCs w:val="44"/>
          <w:shd w:val="clear" w:color="auto" w:fill="FFFFFF"/>
        </w:rPr>
        <w:t>2024年部门预算编制说明</w:t>
      </w:r>
      <w:bookmarkStart w:id="2" w:name="_Toc12961"/>
    </w:p>
    <w:sdt>
      <w:sdtPr>
        <w:rPr>
          <w:rFonts w:ascii="宋体" w:hAnsi="宋体" w:eastAsia="宋体" w:cs="宋体"/>
          <w:kern w:val="2"/>
          <w:sz w:val="21"/>
          <w:szCs w:val="22"/>
          <w:lang w:val="en-US" w:eastAsia="zh-CN" w:bidi="ar-SA"/>
        </w:rPr>
        <w:id w:val="147465268"/>
        <w15:color w:val="DBDBDB"/>
        <w:docPartObj>
          <w:docPartGallery w:val="Table of Contents"/>
          <w:docPartUnique/>
        </w:docPartObj>
      </w:sdtPr>
      <w:sdtEndPr>
        <w:rPr>
          <w:rFonts w:ascii="Calibri" w:hAnsi="Calibri" w:eastAsia="Times New Roman" w:cs="宋体"/>
          <w:b/>
          <w:kern w:val="2"/>
          <w:sz w:val="24"/>
          <w:szCs w:val="22"/>
          <w:lang w:val="en-US" w:eastAsia="zh-CN" w:bidi="ar-SA"/>
        </w:rPr>
      </w:sdtEndPr>
      <w:sdtContent>
        <w:p>
          <w:pPr>
            <w:spacing w:before="0" w:beforeLines="0" w:after="0" w:afterLines="0" w:line="360" w:lineRule="auto"/>
            <w:ind w:left="0" w:leftChars="0" w:right="0" w:rightChars="0" w:firstLine="0" w:firstLineChars="0"/>
            <w:jc w:val="center"/>
          </w:pPr>
          <w:r>
            <w:rPr>
              <w:rFonts w:ascii="宋体" w:hAnsi="宋体" w:eastAsia="宋体"/>
              <w:sz w:val="21"/>
            </w:rPr>
            <w:t>目录</w:t>
          </w:r>
        </w:p>
        <w:p>
          <w:pPr>
            <w:pStyle w:val="29"/>
            <w:tabs>
              <w:tab w:val="right" w:leader="dot" w:pos="8306"/>
            </w:tabs>
            <w:spacing w:line="360" w:lineRule="auto"/>
            <w:rPr>
              <w:b/>
            </w:rPr>
          </w:pPr>
          <w:r>
            <w:fldChar w:fldCharType="begin"/>
          </w:r>
          <w:r>
            <w:instrText xml:space="preserve">TOC \o "1-2" \h \u </w:instrText>
          </w:r>
          <w:r>
            <w:fldChar w:fldCharType="separate"/>
          </w:r>
          <w:r>
            <w:rPr>
              <w:b/>
            </w:rPr>
            <w:fldChar w:fldCharType="begin"/>
          </w:r>
          <w:r>
            <w:rPr>
              <w:b/>
            </w:rPr>
            <w:instrText xml:space="preserve"> HYPERLINK \l _Toc27970 </w:instrText>
          </w:r>
          <w:r>
            <w:rPr>
              <w:b/>
            </w:rPr>
            <w:fldChar w:fldCharType="separate"/>
          </w:r>
          <w:r>
            <w:rPr>
              <w:rFonts w:hint="eastAsia" w:ascii="黑体" w:hAnsi="宋体" w:eastAsia="黑体" w:cs="黑体"/>
              <w:b/>
              <w:bCs w:val="0"/>
              <w:kern w:val="0"/>
              <w:szCs w:val="32"/>
              <w:shd w:val="clear" w:color="auto" w:fill="FFFFFF"/>
            </w:rPr>
            <w:t>一、基本职能及主要工作</w:t>
          </w:r>
          <w:r>
            <w:rPr>
              <w:b/>
            </w:rPr>
            <w:tab/>
          </w:r>
          <w:r>
            <w:rPr>
              <w:b/>
            </w:rPr>
            <w:fldChar w:fldCharType="begin"/>
          </w:r>
          <w:r>
            <w:rPr>
              <w:b/>
            </w:rPr>
            <w:instrText xml:space="preserve"> PAGEREF _Toc27970 \h </w:instrText>
          </w:r>
          <w:r>
            <w:rPr>
              <w:b/>
            </w:rPr>
            <w:fldChar w:fldCharType="separate"/>
          </w:r>
          <w:r>
            <w:rPr>
              <w:b/>
            </w:rPr>
            <w:t>1</w:t>
          </w:r>
          <w:r>
            <w:rPr>
              <w:b/>
            </w:rPr>
            <w:fldChar w:fldCharType="end"/>
          </w:r>
          <w:r>
            <w:rPr>
              <w:b/>
            </w:rPr>
            <w:fldChar w:fldCharType="end"/>
          </w:r>
        </w:p>
        <w:p>
          <w:pPr>
            <w:pStyle w:val="30"/>
            <w:tabs>
              <w:tab w:val="right" w:leader="dot" w:pos="8306"/>
            </w:tabs>
            <w:spacing w:line="360" w:lineRule="auto"/>
          </w:pPr>
          <w:r>
            <w:fldChar w:fldCharType="begin"/>
          </w:r>
          <w:r>
            <w:instrText xml:space="preserve"> HYPERLINK \l _Toc10597 </w:instrText>
          </w:r>
          <w:r>
            <w:fldChar w:fldCharType="separate"/>
          </w:r>
          <w:r>
            <w:rPr>
              <w:rFonts w:hint="default"/>
            </w:rPr>
            <w:t xml:space="preserve">（一） </w:t>
          </w:r>
          <w:r>
            <w:rPr>
              <w:rFonts w:hint="eastAsia"/>
            </w:rPr>
            <w:t>广元市广播电视台职能简介</w:t>
          </w:r>
          <w:r>
            <w:tab/>
          </w:r>
          <w:r>
            <w:fldChar w:fldCharType="begin"/>
          </w:r>
          <w:r>
            <w:instrText xml:space="preserve"> PAGEREF _Toc10597 \h </w:instrText>
          </w:r>
          <w:r>
            <w:fldChar w:fldCharType="separate"/>
          </w:r>
          <w:r>
            <w:t>1</w:t>
          </w:r>
          <w:r>
            <w:fldChar w:fldCharType="end"/>
          </w:r>
          <w:r>
            <w:fldChar w:fldCharType="end"/>
          </w:r>
        </w:p>
        <w:p>
          <w:pPr>
            <w:pStyle w:val="30"/>
            <w:tabs>
              <w:tab w:val="right" w:leader="dot" w:pos="8306"/>
            </w:tabs>
            <w:spacing w:line="360" w:lineRule="auto"/>
          </w:pPr>
          <w:r>
            <w:fldChar w:fldCharType="begin"/>
          </w:r>
          <w:r>
            <w:instrText xml:space="preserve"> HYPERLINK \l _Toc11092 </w:instrText>
          </w:r>
          <w:r>
            <w:fldChar w:fldCharType="separate"/>
          </w:r>
          <w:r>
            <w:rPr>
              <w:rFonts w:hint="default" w:ascii="宋体" w:hAnsi="宋体" w:cs="宋体"/>
              <w:szCs w:val="28"/>
            </w:rPr>
            <w:t xml:space="preserve">（二） </w:t>
          </w:r>
          <w:r>
            <w:rPr>
              <w:rFonts w:hint="eastAsia" w:ascii="宋体" w:hAnsi="宋体" w:cs="宋体"/>
              <w:szCs w:val="28"/>
            </w:rPr>
            <w:t>广元市广播电视台2024年重点工作</w:t>
          </w:r>
          <w:r>
            <w:tab/>
          </w:r>
          <w:r>
            <w:fldChar w:fldCharType="begin"/>
          </w:r>
          <w:r>
            <w:instrText xml:space="preserve"> PAGEREF _Toc11092 \h </w:instrText>
          </w:r>
          <w:r>
            <w:fldChar w:fldCharType="separate"/>
          </w:r>
          <w:r>
            <w:t>1</w:t>
          </w:r>
          <w:r>
            <w:fldChar w:fldCharType="end"/>
          </w:r>
          <w:r>
            <w:fldChar w:fldCharType="end"/>
          </w:r>
        </w:p>
        <w:p>
          <w:pPr>
            <w:pStyle w:val="29"/>
            <w:tabs>
              <w:tab w:val="right" w:leader="dot" w:pos="8306"/>
            </w:tabs>
            <w:spacing w:line="360" w:lineRule="auto"/>
            <w:rPr>
              <w:b/>
            </w:rPr>
          </w:pPr>
          <w:r>
            <w:rPr>
              <w:b/>
            </w:rPr>
            <w:fldChar w:fldCharType="begin"/>
          </w:r>
          <w:r>
            <w:rPr>
              <w:b/>
            </w:rPr>
            <w:instrText xml:space="preserve"> HYPERLINK \l _Toc24417 </w:instrText>
          </w:r>
          <w:r>
            <w:rPr>
              <w:b/>
            </w:rPr>
            <w:fldChar w:fldCharType="separate"/>
          </w:r>
          <w:r>
            <w:rPr>
              <w:rFonts w:hint="eastAsia" w:ascii="黑体" w:hAnsi="宋体" w:eastAsia="黑体" w:cs="黑体"/>
              <w:b/>
              <w:bCs w:val="0"/>
              <w:kern w:val="0"/>
              <w:szCs w:val="32"/>
              <w:shd w:val="clear" w:color="auto" w:fill="FFFFFF"/>
            </w:rPr>
            <w:t>二、部门预算单位构成</w:t>
          </w:r>
          <w:r>
            <w:rPr>
              <w:b/>
            </w:rPr>
            <w:tab/>
          </w:r>
          <w:r>
            <w:rPr>
              <w:b/>
            </w:rPr>
            <w:fldChar w:fldCharType="begin"/>
          </w:r>
          <w:r>
            <w:rPr>
              <w:b/>
            </w:rPr>
            <w:instrText xml:space="preserve"> PAGEREF _Toc24417 \h </w:instrText>
          </w:r>
          <w:r>
            <w:rPr>
              <w:b/>
            </w:rPr>
            <w:fldChar w:fldCharType="separate"/>
          </w:r>
          <w:r>
            <w:rPr>
              <w:b/>
            </w:rPr>
            <w:t>3</w:t>
          </w:r>
          <w:r>
            <w:rPr>
              <w:b/>
            </w:rPr>
            <w:fldChar w:fldCharType="end"/>
          </w:r>
          <w:r>
            <w:rPr>
              <w:b/>
            </w:rPr>
            <w:fldChar w:fldCharType="end"/>
          </w:r>
        </w:p>
        <w:p>
          <w:pPr>
            <w:pStyle w:val="29"/>
            <w:tabs>
              <w:tab w:val="right" w:leader="dot" w:pos="8306"/>
            </w:tabs>
            <w:spacing w:line="360" w:lineRule="auto"/>
            <w:rPr>
              <w:b/>
            </w:rPr>
          </w:pPr>
          <w:r>
            <w:rPr>
              <w:b/>
            </w:rPr>
            <w:fldChar w:fldCharType="begin"/>
          </w:r>
          <w:r>
            <w:rPr>
              <w:b/>
            </w:rPr>
            <w:instrText xml:space="preserve"> HYPERLINK \l _Toc3893 </w:instrText>
          </w:r>
          <w:r>
            <w:rPr>
              <w:b/>
            </w:rPr>
            <w:fldChar w:fldCharType="separate"/>
          </w:r>
          <w:r>
            <w:rPr>
              <w:rFonts w:hint="eastAsia" w:ascii="黑体" w:hAnsi="宋体" w:eastAsia="黑体" w:cs="黑体"/>
              <w:b/>
              <w:bCs w:val="0"/>
              <w:kern w:val="0"/>
              <w:szCs w:val="32"/>
              <w:shd w:val="clear" w:color="auto" w:fill="FFFFFF"/>
            </w:rPr>
            <w:t>三、收支预算情况说明</w:t>
          </w:r>
          <w:r>
            <w:rPr>
              <w:b/>
            </w:rPr>
            <w:tab/>
          </w:r>
          <w:r>
            <w:rPr>
              <w:b/>
            </w:rPr>
            <w:fldChar w:fldCharType="begin"/>
          </w:r>
          <w:r>
            <w:rPr>
              <w:b/>
            </w:rPr>
            <w:instrText xml:space="preserve"> PAGEREF _Toc3893 \h </w:instrText>
          </w:r>
          <w:r>
            <w:rPr>
              <w:b/>
            </w:rPr>
            <w:fldChar w:fldCharType="separate"/>
          </w:r>
          <w:r>
            <w:rPr>
              <w:b/>
            </w:rPr>
            <w:t>3</w:t>
          </w:r>
          <w:r>
            <w:rPr>
              <w:b/>
            </w:rPr>
            <w:fldChar w:fldCharType="end"/>
          </w:r>
          <w:r>
            <w:rPr>
              <w:b/>
            </w:rPr>
            <w:fldChar w:fldCharType="end"/>
          </w:r>
        </w:p>
        <w:p>
          <w:pPr>
            <w:pStyle w:val="30"/>
            <w:tabs>
              <w:tab w:val="right" w:leader="dot" w:pos="8306"/>
            </w:tabs>
            <w:spacing w:line="360" w:lineRule="auto"/>
          </w:pPr>
          <w:r>
            <w:fldChar w:fldCharType="begin"/>
          </w:r>
          <w:r>
            <w:instrText xml:space="preserve"> HYPERLINK \l _Toc6641 </w:instrText>
          </w:r>
          <w:r>
            <w:fldChar w:fldCharType="separate"/>
          </w:r>
          <w:r>
            <w:rPr>
              <w:rFonts w:hint="eastAsia"/>
            </w:rPr>
            <w:t>（一） 收入预算情况</w:t>
          </w:r>
          <w:r>
            <w:tab/>
          </w:r>
          <w:r>
            <w:fldChar w:fldCharType="begin"/>
          </w:r>
          <w:r>
            <w:instrText xml:space="preserve"> PAGEREF _Toc6641 \h </w:instrText>
          </w:r>
          <w:r>
            <w:fldChar w:fldCharType="separate"/>
          </w:r>
          <w:r>
            <w:t>4</w:t>
          </w:r>
          <w:r>
            <w:fldChar w:fldCharType="end"/>
          </w:r>
          <w:r>
            <w:fldChar w:fldCharType="end"/>
          </w:r>
        </w:p>
        <w:p>
          <w:pPr>
            <w:pStyle w:val="30"/>
            <w:tabs>
              <w:tab w:val="right" w:leader="dot" w:pos="8306"/>
            </w:tabs>
            <w:spacing w:line="360" w:lineRule="auto"/>
          </w:pPr>
          <w:r>
            <w:fldChar w:fldCharType="begin"/>
          </w:r>
          <w:r>
            <w:instrText xml:space="preserve"> HYPERLINK \l _Toc4865 </w:instrText>
          </w:r>
          <w:r>
            <w:fldChar w:fldCharType="separate"/>
          </w:r>
          <w:r>
            <w:rPr>
              <w:rFonts w:hint="eastAsia"/>
            </w:rPr>
            <w:t>（二）支出预算情况</w:t>
          </w:r>
          <w:r>
            <w:tab/>
          </w:r>
          <w:r>
            <w:fldChar w:fldCharType="begin"/>
          </w:r>
          <w:r>
            <w:instrText xml:space="preserve"> PAGEREF _Toc4865 \h </w:instrText>
          </w:r>
          <w:r>
            <w:fldChar w:fldCharType="separate"/>
          </w:r>
          <w:r>
            <w:t>4</w:t>
          </w:r>
          <w:r>
            <w:fldChar w:fldCharType="end"/>
          </w:r>
          <w:r>
            <w:fldChar w:fldCharType="end"/>
          </w:r>
        </w:p>
        <w:p>
          <w:pPr>
            <w:pStyle w:val="29"/>
            <w:tabs>
              <w:tab w:val="right" w:leader="dot" w:pos="8306"/>
            </w:tabs>
            <w:spacing w:line="360" w:lineRule="auto"/>
            <w:rPr>
              <w:b/>
            </w:rPr>
          </w:pPr>
          <w:r>
            <w:rPr>
              <w:b/>
            </w:rPr>
            <w:fldChar w:fldCharType="begin"/>
          </w:r>
          <w:r>
            <w:rPr>
              <w:b/>
            </w:rPr>
            <w:instrText xml:space="preserve"> HYPERLINK \l _Toc25652 </w:instrText>
          </w:r>
          <w:r>
            <w:rPr>
              <w:b/>
            </w:rPr>
            <w:fldChar w:fldCharType="separate"/>
          </w:r>
          <w:r>
            <w:rPr>
              <w:rFonts w:hint="eastAsia" w:ascii="黑体" w:hAnsi="宋体" w:eastAsia="黑体" w:cs="黑体"/>
              <w:b/>
              <w:bCs w:val="0"/>
              <w:kern w:val="0"/>
              <w:szCs w:val="32"/>
              <w:shd w:val="clear" w:color="auto" w:fill="FFFFFF"/>
            </w:rPr>
            <w:t>四、财政拨款收支预算情况说明</w:t>
          </w:r>
          <w:r>
            <w:rPr>
              <w:b/>
            </w:rPr>
            <w:tab/>
          </w:r>
          <w:r>
            <w:rPr>
              <w:b/>
            </w:rPr>
            <w:fldChar w:fldCharType="begin"/>
          </w:r>
          <w:r>
            <w:rPr>
              <w:b/>
            </w:rPr>
            <w:instrText xml:space="preserve"> PAGEREF _Toc25652 \h </w:instrText>
          </w:r>
          <w:r>
            <w:rPr>
              <w:b/>
            </w:rPr>
            <w:fldChar w:fldCharType="separate"/>
          </w:r>
          <w:r>
            <w:rPr>
              <w:b/>
            </w:rPr>
            <w:t>4</w:t>
          </w:r>
          <w:r>
            <w:rPr>
              <w:b/>
            </w:rPr>
            <w:fldChar w:fldCharType="end"/>
          </w:r>
          <w:r>
            <w:rPr>
              <w:b/>
            </w:rPr>
            <w:fldChar w:fldCharType="end"/>
          </w:r>
        </w:p>
        <w:p>
          <w:pPr>
            <w:pStyle w:val="29"/>
            <w:tabs>
              <w:tab w:val="right" w:leader="dot" w:pos="8306"/>
            </w:tabs>
            <w:spacing w:line="360" w:lineRule="auto"/>
            <w:rPr>
              <w:b/>
            </w:rPr>
          </w:pPr>
          <w:r>
            <w:rPr>
              <w:b/>
            </w:rPr>
            <w:fldChar w:fldCharType="begin"/>
          </w:r>
          <w:r>
            <w:rPr>
              <w:b/>
            </w:rPr>
            <w:instrText xml:space="preserve"> HYPERLINK \l _Toc25315 </w:instrText>
          </w:r>
          <w:r>
            <w:rPr>
              <w:b/>
            </w:rPr>
            <w:fldChar w:fldCharType="separate"/>
          </w:r>
          <w:r>
            <w:rPr>
              <w:rFonts w:hint="eastAsia" w:ascii="黑体" w:hAnsi="宋体" w:eastAsia="黑体" w:cs="黑体"/>
              <w:b/>
              <w:bCs w:val="0"/>
              <w:kern w:val="0"/>
              <w:szCs w:val="32"/>
              <w:shd w:val="clear" w:color="auto" w:fill="FFFFFF"/>
            </w:rPr>
            <w:t>五、一般公共预算当年拨款情况说明</w:t>
          </w:r>
          <w:r>
            <w:rPr>
              <w:b/>
            </w:rPr>
            <w:tab/>
          </w:r>
          <w:r>
            <w:rPr>
              <w:b/>
            </w:rPr>
            <w:fldChar w:fldCharType="begin"/>
          </w:r>
          <w:r>
            <w:rPr>
              <w:b/>
            </w:rPr>
            <w:instrText xml:space="preserve"> PAGEREF _Toc25315 \h </w:instrText>
          </w:r>
          <w:r>
            <w:rPr>
              <w:b/>
            </w:rPr>
            <w:fldChar w:fldCharType="separate"/>
          </w:r>
          <w:r>
            <w:rPr>
              <w:b/>
            </w:rPr>
            <w:t>4</w:t>
          </w:r>
          <w:r>
            <w:rPr>
              <w:b/>
            </w:rPr>
            <w:fldChar w:fldCharType="end"/>
          </w:r>
          <w:r>
            <w:rPr>
              <w:b/>
            </w:rPr>
            <w:fldChar w:fldCharType="end"/>
          </w:r>
        </w:p>
        <w:p>
          <w:pPr>
            <w:pStyle w:val="30"/>
            <w:tabs>
              <w:tab w:val="right" w:leader="dot" w:pos="8306"/>
            </w:tabs>
            <w:spacing w:line="360" w:lineRule="auto"/>
          </w:pPr>
          <w:r>
            <w:fldChar w:fldCharType="begin"/>
          </w:r>
          <w:r>
            <w:instrText xml:space="preserve"> HYPERLINK \l _Toc22963 </w:instrText>
          </w:r>
          <w:r>
            <w:fldChar w:fldCharType="separate"/>
          </w:r>
          <w:r>
            <w:rPr>
              <w:rFonts w:hint="eastAsia"/>
            </w:rPr>
            <w:t>（一）一般公共预算当年拨款规模变化情况</w:t>
          </w:r>
          <w:r>
            <w:tab/>
          </w:r>
          <w:r>
            <w:fldChar w:fldCharType="begin"/>
          </w:r>
          <w:r>
            <w:instrText xml:space="preserve"> PAGEREF _Toc22963 \h </w:instrText>
          </w:r>
          <w:r>
            <w:fldChar w:fldCharType="separate"/>
          </w:r>
          <w:r>
            <w:t>4</w:t>
          </w:r>
          <w:r>
            <w:fldChar w:fldCharType="end"/>
          </w:r>
          <w:r>
            <w:fldChar w:fldCharType="end"/>
          </w:r>
        </w:p>
        <w:p>
          <w:pPr>
            <w:pStyle w:val="30"/>
            <w:tabs>
              <w:tab w:val="right" w:leader="dot" w:pos="8306"/>
            </w:tabs>
            <w:spacing w:line="360" w:lineRule="auto"/>
          </w:pPr>
          <w:r>
            <w:fldChar w:fldCharType="begin"/>
          </w:r>
          <w:r>
            <w:instrText xml:space="preserve"> HYPERLINK \l _Toc32671 </w:instrText>
          </w:r>
          <w:r>
            <w:fldChar w:fldCharType="separate"/>
          </w:r>
          <w:r>
            <w:rPr>
              <w:rFonts w:hint="eastAsia"/>
            </w:rPr>
            <w:t>（二）一般公共预算当年拨款结构情况</w:t>
          </w:r>
          <w:r>
            <w:tab/>
          </w:r>
          <w:r>
            <w:fldChar w:fldCharType="begin"/>
          </w:r>
          <w:r>
            <w:instrText xml:space="preserve"> PAGEREF _Toc32671 \h </w:instrText>
          </w:r>
          <w:r>
            <w:fldChar w:fldCharType="separate"/>
          </w:r>
          <w:r>
            <w:t>5</w:t>
          </w:r>
          <w:r>
            <w:fldChar w:fldCharType="end"/>
          </w:r>
          <w:r>
            <w:fldChar w:fldCharType="end"/>
          </w:r>
        </w:p>
        <w:p>
          <w:pPr>
            <w:pStyle w:val="30"/>
            <w:tabs>
              <w:tab w:val="right" w:leader="dot" w:pos="8306"/>
            </w:tabs>
            <w:spacing w:line="360" w:lineRule="auto"/>
          </w:pPr>
          <w:r>
            <w:fldChar w:fldCharType="begin"/>
          </w:r>
          <w:r>
            <w:instrText xml:space="preserve"> HYPERLINK \l _Toc1526 </w:instrText>
          </w:r>
          <w:r>
            <w:fldChar w:fldCharType="separate"/>
          </w:r>
          <w:r>
            <w:rPr>
              <w:rFonts w:hint="eastAsia"/>
            </w:rPr>
            <w:t>（三）一般公共预算当年拨款具体使用情况</w:t>
          </w:r>
          <w:r>
            <w:tab/>
          </w:r>
          <w:r>
            <w:fldChar w:fldCharType="begin"/>
          </w:r>
          <w:r>
            <w:instrText xml:space="preserve"> PAGEREF _Toc1526 \h </w:instrText>
          </w:r>
          <w:r>
            <w:fldChar w:fldCharType="separate"/>
          </w:r>
          <w:r>
            <w:t>5</w:t>
          </w:r>
          <w:r>
            <w:fldChar w:fldCharType="end"/>
          </w:r>
          <w:r>
            <w:fldChar w:fldCharType="end"/>
          </w:r>
        </w:p>
        <w:p>
          <w:pPr>
            <w:pStyle w:val="29"/>
            <w:tabs>
              <w:tab w:val="right" w:leader="dot" w:pos="8306"/>
            </w:tabs>
            <w:spacing w:line="360" w:lineRule="auto"/>
            <w:rPr>
              <w:b/>
            </w:rPr>
          </w:pPr>
          <w:r>
            <w:rPr>
              <w:b/>
            </w:rPr>
            <w:fldChar w:fldCharType="begin"/>
          </w:r>
          <w:r>
            <w:rPr>
              <w:b/>
            </w:rPr>
            <w:instrText xml:space="preserve"> HYPERLINK \l _Toc1293 </w:instrText>
          </w:r>
          <w:r>
            <w:rPr>
              <w:b/>
            </w:rPr>
            <w:fldChar w:fldCharType="separate"/>
          </w:r>
          <w:r>
            <w:rPr>
              <w:rFonts w:hint="eastAsia" w:ascii="黑体" w:hAnsi="宋体" w:eastAsia="黑体" w:cs="黑体"/>
              <w:b/>
              <w:bCs w:val="0"/>
              <w:kern w:val="0"/>
              <w:szCs w:val="32"/>
              <w:shd w:val="clear" w:color="auto" w:fill="FFFFFF"/>
            </w:rPr>
            <w:t>六、一般公共预算基本支出情况说明</w:t>
          </w:r>
          <w:r>
            <w:rPr>
              <w:b/>
            </w:rPr>
            <w:tab/>
          </w:r>
          <w:r>
            <w:rPr>
              <w:b/>
            </w:rPr>
            <w:fldChar w:fldCharType="begin"/>
          </w:r>
          <w:r>
            <w:rPr>
              <w:b/>
            </w:rPr>
            <w:instrText xml:space="preserve"> PAGEREF _Toc1293 \h </w:instrText>
          </w:r>
          <w:r>
            <w:rPr>
              <w:b/>
            </w:rPr>
            <w:fldChar w:fldCharType="separate"/>
          </w:r>
          <w:r>
            <w:rPr>
              <w:b/>
            </w:rPr>
            <w:t>5</w:t>
          </w:r>
          <w:r>
            <w:rPr>
              <w:b/>
            </w:rPr>
            <w:fldChar w:fldCharType="end"/>
          </w:r>
          <w:r>
            <w:rPr>
              <w:b/>
            </w:rPr>
            <w:fldChar w:fldCharType="end"/>
          </w:r>
        </w:p>
        <w:p>
          <w:pPr>
            <w:pStyle w:val="29"/>
            <w:tabs>
              <w:tab w:val="right" w:leader="dot" w:pos="8306"/>
            </w:tabs>
            <w:spacing w:line="360" w:lineRule="auto"/>
            <w:rPr>
              <w:b/>
            </w:rPr>
          </w:pPr>
          <w:r>
            <w:rPr>
              <w:b/>
            </w:rPr>
            <w:fldChar w:fldCharType="begin"/>
          </w:r>
          <w:r>
            <w:rPr>
              <w:b/>
            </w:rPr>
            <w:instrText xml:space="preserve"> HYPERLINK \l _Toc8739 </w:instrText>
          </w:r>
          <w:r>
            <w:rPr>
              <w:b/>
            </w:rPr>
            <w:fldChar w:fldCharType="separate"/>
          </w:r>
          <w:r>
            <w:rPr>
              <w:rFonts w:hint="eastAsia" w:ascii="黑体" w:hAnsi="宋体" w:eastAsia="黑体" w:cs="黑体"/>
              <w:b/>
              <w:bCs w:val="0"/>
              <w:kern w:val="0"/>
              <w:szCs w:val="32"/>
              <w:shd w:val="clear" w:color="auto" w:fill="FFFFFF"/>
            </w:rPr>
            <w:t>七、“三公”经费财政拨款预算安排情况说明</w:t>
          </w:r>
          <w:r>
            <w:rPr>
              <w:b/>
            </w:rPr>
            <w:tab/>
          </w:r>
          <w:r>
            <w:rPr>
              <w:b/>
            </w:rPr>
            <w:fldChar w:fldCharType="begin"/>
          </w:r>
          <w:r>
            <w:rPr>
              <w:b/>
            </w:rPr>
            <w:instrText xml:space="preserve"> PAGEREF _Toc8739 \h </w:instrText>
          </w:r>
          <w:r>
            <w:rPr>
              <w:b/>
            </w:rPr>
            <w:fldChar w:fldCharType="separate"/>
          </w:r>
          <w:r>
            <w:rPr>
              <w:b/>
            </w:rPr>
            <w:t>6</w:t>
          </w:r>
          <w:r>
            <w:rPr>
              <w:b/>
            </w:rPr>
            <w:fldChar w:fldCharType="end"/>
          </w:r>
          <w:r>
            <w:rPr>
              <w:b/>
            </w:rPr>
            <w:fldChar w:fldCharType="end"/>
          </w:r>
        </w:p>
        <w:p>
          <w:pPr>
            <w:pStyle w:val="30"/>
            <w:tabs>
              <w:tab w:val="right" w:leader="dot" w:pos="8306"/>
            </w:tabs>
            <w:spacing w:line="360" w:lineRule="auto"/>
          </w:pPr>
          <w:r>
            <w:fldChar w:fldCharType="begin"/>
          </w:r>
          <w:r>
            <w:instrText xml:space="preserve"> HYPERLINK \l _Toc18881 </w:instrText>
          </w:r>
          <w:r>
            <w:fldChar w:fldCharType="separate"/>
          </w:r>
          <w:r>
            <w:rPr>
              <w:rFonts w:hint="default" w:ascii="仿宋_GB2312" w:hAnsi="Times New Roman" w:eastAsia="仿宋_GB2312" w:cs="仿宋_GB2312"/>
              <w:kern w:val="0"/>
              <w:szCs w:val="32"/>
              <w:shd w:val="clear" w:fill="FFFFFF"/>
            </w:rPr>
            <w:t xml:space="preserve">（一） </w:t>
          </w:r>
          <w:r>
            <w:rPr>
              <w:rFonts w:hint="eastAsia" w:ascii="仿宋_GB2312" w:hAnsi="Times New Roman" w:eastAsia="仿宋_GB2312" w:cs="仿宋_GB2312"/>
              <w:kern w:val="0"/>
              <w:szCs w:val="32"/>
              <w:shd w:val="clear" w:color="auto" w:fill="FFFFFF"/>
            </w:rPr>
            <w:t>公务接待费</w:t>
          </w:r>
          <w:r>
            <w:tab/>
          </w:r>
          <w:r>
            <w:fldChar w:fldCharType="begin"/>
          </w:r>
          <w:r>
            <w:instrText xml:space="preserve"> PAGEREF _Toc18881 \h </w:instrText>
          </w:r>
          <w:r>
            <w:fldChar w:fldCharType="separate"/>
          </w:r>
          <w:r>
            <w:t>6</w:t>
          </w:r>
          <w:r>
            <w:fldChar w:fldCharType="end"/>
          </w:r>
          <w:r>
            <w:fldChar w:fldCharType="end"/>
          </w:r>
        </w:p>
        <w:p>
          <w:pPr>
            <w:pStyle w:val="30"/>
            <w:tabs>
              <w:tab w:val="right" w:leader="dot" w:pos="8306"/>
            </w:tabs>
            <w:spacing w:line="360" w:lineRule="auto"/>
          </w:pPr>
          <w:r>
            <w:fldChar w:fldCharType="begin"/>
          </w:r>
          <w:r>
            <w:instrText xml:space="preserve"> HYPERLINK \l _Toc11382 </w:instrText>
          </w:r>
          <w:r>
            <w:fldChar w:fldCharType="separate"/>
          </w:r>
          <w:r>
            <w:rPr>
              <w:rFonts w:hint="default" w:ascii="仿宋_GB2312" w:hAnsi="Times New Roman" w:eastAsia="仿宋_GB2312" w:cs="仿宋_GB2312"/>
              <w:kern w:val="0"/>
              <w:szCs w:val="32"/>
              <w:shd w:val="clear" w:fill="FFFFFF"/>
            </w:rPr>
            <w:t xml:space="preserve">（二） </w:t>
          </w:r>
          <w:r>
            <w:rPr>
              <w:rFonts w:hint="eastAsia" w:ascii="仿宋_GB2312" w:hAnsi="Times New Roman" w:eastAsia="仿宋_GB2312" w:cs="仿宋_GB2312"/>
              <w:kern w:val="0"/>
              <w:szCs w:val="32"/>
              <w:shd w:val="clear" w:color="auto" w:fill="FFFFFF"/>
            </w:rPr>
            <w:t>公务用车购置及运行维护费</w:t>
          </w:r>
          <w:r>
            <w:tab/>
          </w:r>
          <w:r>
            <w:fldChar w:fldCharType="begin"/>
          </w:r>
          <w:r>
            <w:instrText xml:space="preserve"> PAGEREF _Toc11382 \h </w:instrText>
          </w:r>
          <w:r>
            <w:fldChar w:fldCharType="separate"/>
          </w:r>
          <w:r>
            <w:t>6</w:t>
          </w:r>
          <w:r>
            <w:fldChar w:fldCharType="end"/>
          </w:r>
          <w:r>
            <w:fldChar w:fldCharType="end"/>
          </w:r>
        </w:p>
        <w:p>
          <w:pPr>
            <w:pStyle w:val="30"/>
            <w:tabs>
              <w:tab w:val="right" w:leader="dot" w:pos="8306"/>
            </w:tabs>
            <w:spacing w:line="360" w:lineRule="auto"/>
          </w:pPr>
          <w:r>
            <w:fldChar w:fldCharType="begin"/>
          </w:r>
          <w:r>
            <w:instrText xml:space="preserve"> HYPERLINK \l _Toc13590 </w:instrText>
          </w:r>
          <w:r>
            <w:fldChar w:fldCharType="separate"/>
          </w:r>
          <w:r>
            <w:rPr>
              <w:rFonts w:hint="eastAsia" w:ascii="仿宋_GB2312" w:hAnsi="仿宋_GB2312" w:eastAsia="仿宋_GB2312" w:cs="仿宋_GB2312"/>
              <w:szCs w:val="32"/>
            </w:rPr>
            <w:t>（</w:t>
          </w:r>
          <w:r>
            <w:rPr>
              <w:rFonts w:hint="eastAsia" w:ascii="楷体_GB2312" w:hAnsi="楷体_GB2312" w:eastAsia="楷体_GB2312" w:cs="楷体_GB2312"/>
              <w:szCs w:val="32"/>
            </w:rPr>
            <w:t>三）因公出国（境）经费</w:t>
          </w:r>
          <w:r>
            <w:tab/>
          </w:r>
          <w:r>
            <w:fldChar w:fldCharType="begin"/>
          </w:r>
          <w:r>
            <w:instrText xml:space="preserve"> PAGEREF _Toc13590 \h </w:instrText>
          </w:r>
          <w:r>
            <w:fldChar w:fldCharType="separate"/>
          </w:r>
          <w:r>
            <w:t>7</w:t>
          </w:r>
          <w:r>
            <w:fldChar w:fldCharType="end"/>
          </w:r>
          <w:r>
            <w:fldChar w:fldCharType="end"/>
          </w:r>
        </w:p>
        <w:p>
          <w:pPr>
            <w:pStyle w:val="29"/>
            <w:tabs>
              <w:tab w:val="right" w:leader="dot" w:pos="8306"/>
            </w:tabs>
            <w:spacing w:line="360" w:lineRule="auto"/>
            <w:rPr>
              <w:b/>
            </w:rPr>
          </w:pPr>
          <w:r>
            <w:rPr>
              <w:b/>
            </w:rPr>
            <w:fldChar w:fldCharType="begin"/>
          </w:r>
          <w:r>
            <w:rPr>
              <w:b/>
            </w:rPr>
            <w:instrText xml:space="preserve"> HYPERLINK \l _Toc4269 </w:instrText>
          </w:r>
          <w:r>
            <w:rPr>
              <w:b/>
            </w:rPr>
            <w:fldChar w:fldCharType="separate"/>
          </w:r>
          <w:r>
            <w:rPr>
              <w:rFonts w:hint="eastAsia" w:ascii="黑体" w:hAnsi="宋体" w:eastAsia="黑体" w:cs="黑体"/>
              <w:b/>
              <w:bCs w:val="0"/>
              <w:kern w:val="0"/>
              <w:szCs w:val="32"/>
              <w:shd w:val="clear" w:color="auto" w:fill="FFFFFF"/>
            </w:rPr>
            <w:t>八、政府性基金预算支出情况说明</w:t>
          </w:r>
          <w:r>
            <w:rPr>
              <w:b/>
            </w:rPr>
            <w:tab/>
          </w:r>
          <w:r>
            <w:rPr>
              <w:b/>
            </w:rPr>
            <w:fldChar w:fldCharType="begin"/>
          </w:r>
          <w:r>
            <w:rPr>
              <w:b/>
            </w:rPr>
            <w:instrText xml:space="preserve"> PAGEREF _Toc4269 \h </w:instrText>
          </w:r>
          <w:r>
            <w:rPr>
              <w:b/>
            </w:rPr>
            <w:fldChar w:fldCharType="separate"/>
          </w:r>
          <w:r>
            <w:rPr>
              <w:b/>
            </w:rPr>
            <w:t>7</w:t>
          </w:r>
          <w:r>
            <w:rPr>
              <w:b/>
            </w:rPr>
            <w:fldChar w:fldCharType="end"/>
          </w:r>
          <w:r>
            <w:rPr>
              <w:b/>
            </w:rPr>
            <w:fldChar w:fldCharType="end"/>
          </w:r>
        </w:p>
        <w:p>
          <w:pPr>
            <w:pStyle w:val="29"/>
            <w:tabs>
              <w:tab w:val="right" w:leader="dot" w:pos="8306"/>
            </w:tabs>
            <w:spacing w:line="360" w:lineRule="auto"/>
            <w:rPr>
              <w:b/>
            </w:rPr>
          </w:pPr>
          <w:r>
            <w:rPr>
              <w:b/>
            </w:rPr>
            <w:fldChar w:fldCharType="begin"/>
          </w:r>
          <w:r>
            <w:rPr>
              <w:b/>
            </w:rPr>
            <w:instrText xml:space="preserve"> HYPERLINK \l _Toc18040 </w:instrText>
          </w:r>
          <w:r>
            <w:rPr>
              <w:b/>
            </w:rPr>
            <w:fldChar w:fldCharType="separate"/>
          </w:r>
          <w:r>
            <w:rPr>
              <w:rFonts w:hint="eastAsia" w:ascii="黑体" w:hAnsi="宋体" w:eastAsia="黑体" w:cs="黑体"/>
              <w:b/>
              <w:bCs w:val="0"/>
              <w:kern w:val="0"/>
              <w:szCs w:val="32"/>
              <w:shd w:val="clear" w:color="auto" w:fill="FFFFFF"/>
            </w:rPr>
            <w:t>九、国有资本经营预算支出情况说明</w:t>
          </w:r>
          <w:r>
            <w:rPr>
              <w:b/>
            </w:rPr>
            <w:tab/>
          </w:r>
          <w:r>
            <w:rPr>
              <w:b/>
            </w:rPr>
            <w:fldChar w:fldCharType="begin"/>
          </w:r>
          <w:r>
            <w:rPr>
              <w:b/>
            </w:rPr>
            <w:instrText xml:space="preserve"> PAGEREF _Toc18040 \h </w:instrText>
          </w:r>
          <w:r>
            <w:rPr>
              <w:b/>
            </w:rPr>
            <w:fldChar w:fldCharType="separate"/>
          </w:r>
          <w:r>
            <w:rPr>
              <w:b/>
            </w:rPr>
            <w:t>7</w:t>
          </w:r>
          <w:r>
            <w:rPr>
              <w:b/>
            </w:rPr>
            <w:fldChar w:fldCharType="end"/>
          </w:r>
          <w:r>
            <w:rPr>
              <w:b/>
            </w:rPr>
            <w:fldChar w:fldCharType="end"/>
          </w:r>
        </w:p>
        <w:p>
          <w:pPr>
            <w:pStyle w:val="29"/>
            <w:tabs>
              <w:tab w:val="right" w:leader="dot" w:pos="8306"/>
            </w:tabs>
            <w:spacing w:line="360" w:lineRule="auto"/>
            <w:rPr>
              <w:b/>
            </w:rPr>
          </w:pPr>
          <w:r>
            <w:rPr>
              <w:b/>
            </w:rPr>
            <w:fldChar w:fldCharType="begin"/>
          </w:r>
          <w:r>
            <w:rPr>
              <w:b/>
            </w:rPr>
            <w:instrText xml:space="preserve"> HYPERLINK \l _Toc4248 </w:instrText>
          </w:r>
          <w:r>
            <w:rPr>
              <w:b/>
            </w:rPr>
            <w:fldChar w:fldCharType="separate"/>
          </w:r>
          <w:r>
            <w:rPr>
              <w:rFonts w:hint="eastAsia" w:ascii="黑体" w:hAnsi="宋体" w:eastAsia="黑体" w:cs="黑体"/>
              <w:b/>
              <w:bCs w:val="0"/>
              <w:kern w:val="0"/>
              <w:szCs w:val="32"/>
              <w:shd w:val="clear" w:color="auto" w:fill="FFFFFF"/>
            </w:rPr>
            <w:t>十、其他重要事项的情况说明</w:t>
          </w:r>
          <w:r>
            <w:rPr>
              <w:b/>
            </w:rPr>
            <w:tab/>
          </w:r>
          <w:r>
            <w:rPr>
              <w:b/>
            </w:rPr>
            <w:fldChar w:fldCharType="begin"/>
          </w:r>
          <w:r>
            <w:rPr>
              <w:b/>
            </w:rPr>
            <w:instrText xml:space="preserve"> PAGEREF _Toc4248 \h </w:instrText>
          </w:r>
          <w:r>
            <w:rPr>
              <w:b/>
            </w:rPr>
            <w:fldChar w:fldCharType="separate"/>
          </w:r>
          <w:r>
            <w:rPr>
              <w:b/>
            </w:rPr>
            <w:t>7</w:t>
          </w:r>
          <w:r>
            <w:rPr>
              <w:b/>
            </w:rPr>
            <w:fldChar w:fldCharType="end"/>
          </w:r>
          <w:r>
            <w:rPr>
              <w:b/>
            </w:rPr>
            <w:fldChar w:fldCharType="end"/>
          </w:r>
        </w:p>
        <w:p>
          <w:pPr>
            <w:pStyle w:val="30"/>
            <w:tabs>
              <w:tab w:val="right" w:leader="dot" w:pos="8306"/>
            </w:tabs>
            <w:spacing w:line="360" w:lineRule="auto"/>
          </w:pPr>
          <w:r>
            <w:fldChar w:fldCharType="begin"/>
          </w:r>
          <w:r>
            <w:instrText xml:space="preserve"> HYPERLINK \l _Toc24610 </w:instrText>
          </w:r>
          <w:r>
            <w:fldChar w:fldCharType="separate"/>
          </w:r>
          <w:r>
            <w:rPr>
              <w:rFonts w:hint="eastAsia" w:ascii="宋体" w:hAnsi="宋体" w:eastAsia="宋体"/>
              <w:bCs/>
              <w:szCs w:val="28"/>
            </w:rPr>
            <w:t>（一）机关运行经费</w:t>
          </w:r>
          <w:r>
            <w:tab/>
          </w:r>
          <w:r>
            <w:fldChar w:fldCharType="begin"/>
          </w:r>
          <w:r>
            <w:instrText xml:space="preserve"> PAGEREF _Toc24610 \h </w:instrText>
          </w:r>
          <w:r>
            <w:fldChar w:fldCharType="separate"/>
          </w:r>
          <w:r>
            <w:t>7</w:t>
          </w:r>
          <w:r>
            <w:fldChar w:fldCharType="end"/>
          </w:r>
          <w:r>
            <w:fldChar w:fldCharType="end"/>
          </w:r>
        </w:p>
        <w:p>
          <w:pPr>
            <w:pStyle w:val="30"/>
            <w:tabs>
              <w:tab w:val="right" w:leader="dot" w:pos="8306"/>
            </w:tabs>
            <w:spacing w:line="360" w:lineRule="auto"/>
          </w:pPr>
          <w:r>
            <w:fldChar w:fldCharType="begin"/>
          </w:r>
          <w:r>
            <w:instrText xml:space="preserve"> HYPERLINK \l _Toc22130 </w:instrText>
          </w:r>
          <w:r>
            <w:fldChar w:fldCharType="separate"/>
          </w:r>
          <w:r>
            <w:rPr>
              <w:rFonts w:hint="eastAsia" w:ascii="宋体" w:hAnsi="宋体" w:eastAsia="宋体"/>
              <w:bCs/>
              <w:szCs w:val="28"/>
            </w:rPr>
            <w:t>（二）政府采购情况</w:t>
          </w:r>
          <w:r>
            <w:tab/>
          </w:r>
          <w:r>
            <w:fldChar w:fldCharType="begin"/>
          </w:r>
          <w:r>
            <w:instrText xml:space="preserve"> PAGEREF _Toc22130 \h </w:instrText>
          </w:r>
          <w:r>
            <w:fldChar w:fldCharType="separate"/>
          </w:r>
          <w:r>
            <w:t>7</w:t>
          </w:r>
          <w:r>
            <w:fldChar w:fldCharType="end"/>
          </w:r>
          <w:r>
            <w:fldChar w:fldCharType="end"/>
          </w:r>
        </w:p>
        <w:p>
          <w:pPr>
            <w:pStyle w:val="30"/>
            <w:tabs>
              <w:tab w:val="right" w:leader="dot" w:pos="8306"/>
            </w:tabs>
            <w:spacing w:line="360" w:lineRule="auto"/>
          </w:pPr>
          <w:r>
            <w:fldChar w:fldCharType="begin"/>
          </w:r>
          <w:r>
            <w:instrText xml:space="preserve"> HYPERLINK \l _Toc14509 </w:instrText>
          </w:r>
          <w:r>
            <w:fldChar w:fldCharType="separate"/>
          </w:r>
          <w:r>
            <w:rPr>
              <w:rFonts w:hint="eastAsia" w:ascii="宋体" w:hAnsi="宋体" w:eastAsia="宋体"/>
              <w:bCs/>
              <w:szCs w:val="28"/>
            </w:rPr>
            <w:t>（三）国有资产占有使用情况</w:t>
          </w:r>
          <w:r>
            <w:tab/>
          </w:r>
          <w:r>
            <w:fldChar w:fldCharType="begin"/>
          </w:r>
          <w:r>
            <w:instrText xml:space="preserve"> PAGEREF _Toc14509 \h </w:instrText>
          </w:r>
          <w:r>
            <w:fldChar w:fldCharType="separate"/>
          </w:r>
          <w:r>
            <w:t>7</w:t>
          </w:r>
          <w:r>
            <w:fldChar w:fldCharType="end"/>
          </w:r>
          <w:r>
            <w:fldChar w:fldCharType="end"/>
          </w:r>
        </w:p>
        <w:p>
          <w:pPr>
            <w:pStyle w:val="30"/>
            <w:tabs>
              <w:tab w:val="right" w:leader="dot" w:pos="8306"/>
            </w:tabs>
            <w:spacing w:line="360" w:lineRule="auto"/>
          </w:pPr>
          <w:r>
            <w:fldChar w:fldCharType="begin"/>
          </w:r>
          <w:r>
            <w:instrText xml:space="preserve"> HYPERLINK \l _Toc9896 </w:instrText>
          </w:r>
          <w:r>
            <w:fldChar w:fldCharType="separate"/>
          </w:r>
          <w:r>
            <w:rPr>
              <w:rFonts w:hint="eastAsia" w:ascii="宋体" w:hAnsi="宋体" w:eastAsia="宋体"/>
              <w:bCs/>
              <w:szCs w:val="28"/>
            </w:rPr>
            <w:t>（四）绩效目标设置情况</w:t>
          </w:r>
          <w:r>
            <w:tab/>
          </w:r>
          <w:r>
            <w:fldChar w:fldCharType="begin"/>
          </w:r>
          <w:r>
            <w:instrText xml:space="preserve"> PAGEREF _Toc9896 \h </w:instrText>
          </w:r>
          <w:r>
            <w:fldChar w:fldCharType="separate"/>
          </w:r>
          <w:r>
            <w:t>8</w:t>
          </w:r>
          <w:r>
            <w:fldChar w:fldCharType="end"/>
          </w:r>
          <w:r>
            <w:fldChar w:fldCharType="end"/>
          </w:r>
        </w:p>
        <w:p>
          <w:pPr>
            <w:pStyle w:val="29"/>
            <w:tabs>
              <w:tab w:val="right" w:leader="dot" w:pos="8306"/>
            </w:tabs>
            <w:spacing w:line="360" w:lineRule="auto"/>
            <w:rPr>
              <w:b/>
            </w:rPr>
          </w:pPr>
          <w:r>
            <w:rPr>
              <w:b/>
            </w:rPr>
            <w:fldChar w:fldCharType="begin"/>
          </w:r>
          <w:r>
            <w:rPr>
              <w:b/>
            </w:rPr>
            <w:instrText xml:space="preserve"> HYPERLINK \l _Toc12829 </w:instrText>
          </w:r>
          <w:r>
            <w:rPr>
              <w:b/>
            </w:rPr>
            <w:fldChar w:fldCharType="separate"/>
          </w:r>
          <w:r>
            <w:rPr>
              <w:rFonts w:hint="eastAsia" w:ascii="黑体" w:hAnsi="宋体" w:eastAsia="黑体" w:cs="黑体"/>
              <w:b/>
              <w:bCs w:val="0"/>
              <w:kern w:val="0"/>
              <w:szCs w:val="32"/>
              <w:shd w:val="clear" w:color="auto" w:fill="FFFFFF"/>
            </w:rPr>
            <w:t>十一、名词解释</w:t>
          </w:r>
          <w:r>
            <w:rPr>
              <w:b/>
            </w:rPr>
            <w:tab/>
          </w:r>
          <w:r>
            <w:rPr>
              <w:b/>
            </w:rPr>
            <w:fldChar w:fldCharType="begin"/>
          </w:r>
          <w:r>
            <w:rPr>
              <w:b/>
            </w:rPr>
            <w:instrText xml:space="preserve"> PAGEREF _Toc12829 \h </w:instrText>
          </w:r>
          <w:r>
            <w:rPr>
              <w:b/>
            </w:rPr>
            <w:fldChar w:fldCharType="separate"/>
          </w:r>
          <w:r>
            <w:rPr>
              <w:b/>
            </w:rPr>
            <w:t>8</w:t>
          </w:r>
          <w:r>
            <w:rPr>
              <w:b/>
            </w:rPr>
            <w:fldChar w:fldCharType="end"/>
          </w:r>
          <w:r>
            <w:rPr>
              <w:b/>
            </w:rPr>
            <w:fldChar w:fldCharType="end"/>
          </w:r>
        </w:p>
        <w:p>
          <w:pPr>
            <w:spacing w:line="360" w:lineRule="auto"/>
            <w:sectPr>
              <w:pgSz w:w="11906" w:h="16838"/>
              <w:pgMar w:top="1440" w:right="1800" w:bottom="1440" w:left="1800" w:header="720" w:footer="720" w:gutter="0"/>
              <w:cols w:space="720" w:num="1"/>
              <w:docGrid w:type="lines" w:linePitch="312" w:charSpace="0"/>
            </w:sectPr>
          </w:pPr>
          <w:r>
            <w:rPr>
              <w:b/>
            </w:rPr>
            <w:fldChar w:fldCharType="end"/>
          </w:r>
        </w:p>
      </w:sdtContent>
    </w:sdt>
    <w:p>
      <w:pPr>
        <w:pStyle w:val="5"/>
        <w:shd w:val="clear"/>
        <w:spacing w:line="580" w:lineRule="exact"/>
        <w:ind w:firstLine="640" w:firstLineChars="200"/>
        <w:rPr>
          <w:rFonts w:ascii="黑体" w:hAnsi="宋体" w:eastAsia="黑体" w:cs="黑体"/>
          <w:b w:val="0"/>
          <w:bCs w:val="0"/>
          <w:kern w:val="0"/>
          <w:sz w:val="32"/>
          <w:szCs w:val="32"/>
          <w:shd w:val="clear" w:color="auto" w:fill="FFFFFF"/>
        </w:rPr>
      </w:pPr>
      <w:bookmarkStart w:id="3" w:name="_Toc8624"/>
      <w:bookmarkStart w:id="4" w:name="_Toc27970"/>
      <w:r>
        <w:rPr>
          <w:rFonts w:hint="eastAsia" w:ascii="黑体" w:hAnsi="宋体" w:eastAsia="黑体" w:cs="黑体"/>
          <w:b w:val="0"/>
          <w:bCs w:val="0"/>
          <w:kern w:val="0"/>
          <w:sz w:val="32"/>
          <w:szCs w:val="32"/>
          <w:shd w:val="clear" w:color="auto" w:fill="FFFFFF"/>
        </w:rPr>
        <w:t>一、基本职能及主要工作</w:t>
      </w:r>
      <w:bookmarkEnd w:id="2"/>
      <w:bookmarkEnd w:id="3"/>
      <w:bookmarkEnd w:id="4"/>
    </w:p>
    <w:p>
      <w:pPr>
        <w:pStyle w:val="6"/>
        <w:numPr>
          <w:ilvl w:val="0"/>
          <w:numId w:val="1"/>
        </w:numPr>
        <w:shd w:val="clear"/>
        <w:spacing w:line="580" w:lineRule="exact"/>
        <w:rPr>
          <w:rFonts w:hint="eastAsia"/>
        </w:rPr>
      </w:pPr>
      <w:bookmarkStart w:id="5" w:name="_Toc29011"/>
      <w:bookmarkStart w:id="6" w:name="_Toc28372"/>
      <w:bookmarkStart w:id="7" w:name="_Toc10597"/>
      <w:r>
        <w:rPr>
          <w:rFonts w:hint="eastAsia"/>
        </w:rPr>
        <w:t>广元市广播电视台职能简介</w:t>
      </w:r>
      <w:bookmarkEnd w:id="5"/>
      <w:bookmarkEnd w:id="6"/>
      <w:bookmarkEnd w:id="7"/>
    </w:p>
    <w:p>
      <w:pPr>
        <w:pStyle w:val="18"/>
        <w:widowControl/>
        <w:shd w:val="clear" w:color="auto"/>
        <w:spacing w:line="580" w:lineRule="exact"/>
        <w:ind w:firstLine="640" w:firstLineChars="200"/>
        <w:rPr>
          <w:rFonts w:ascii="仿宋_GB2312" w:hAnsi="Times New Roman" w:eastAsia="仿宋_GB2312" w:cs="仿宋_GB2312"/>
          <w:kern w:val="0"/>
          <w:sz w:val="32"/>
          <w:szCs w:val="32"/>
          <w:shd w:val="clear" w:color="auto" w:fill="FFFFFF"/>
        </w:rPr>
      </w:pPr>
      <w:r>
        <w:rPr>
          <w:rFonts w:hint="eastAsia" w:ascii="仿宋_GB2312" w:hAnsi="Times New Roman" w:eastAsia="仿宋_GB2312" w:cs="仿宋_GB2312"/>
          <w:kern w:val="0"/>
          <w:sz w:val="32"/>
          <w:szCs w:val="32"/>
          <w:shd w:val="clear" w:color="auto" w:fill="FFFFFF"/>
        </w:rPr>
        <w:t>市广播电视台的主要职责是充分发挥广播、电视的舆论宣传作用，广泛宣传党的路线、方针、政策和国家的法律、法规；围绕市委、市政府中心工作，积极开展政治、经济、思想、文化宣传和新闻宣传；负责拟订并组织实施市本级广播电视事业和产业发展规划，推进广播电视事业和产业发展；负责广播电视节目制作、播出工作；负责广播电视新技术和科研成果的推广应用及广播电视制作系统、监播系统的建设管理、维护工作；负责市本级广播电视的播出安全和设施设备的安全防护工作。</w:t>
      </w:r>
    </w:p>
    <w:p>
      <w:pPr>
        <w:pStyle w:val="6"/>
        <w:numPr>
          <w:ilvl w:val="0"/>
          <w:numId w:val="1"/>
        </w:numPr>
        <w:shd w:val="clear"/>
        <w:spacing w:line="580" w:lineRule="exact"/>
        <w:ind w:left="1447" w:leftChars="0" w:hanging="885" w:firstLineChars="0"/>
        <w:rPr>
          <w:rFonts w:hint="eastAsia" w:ascii="宋体" w:hAnsi="宋体" w:cs="宋体"/>
          <w:szCs w:val="28"/>
        </w:rPr>
      </w:pPr>
      <w:bookmarkStart w:id="8" w:name="_Toc23870"/>
      <w:bookmarkStart w:id="9" w:name="_Toc30255"/>
      <w:bookmarkStart w:id="10" w:name="_Toc11092"/>
      <w:r>
        <w:rPr>
          <w:rFonts w:hint="eastAsia" w:ascii="宋体" w:hAnsi="宋体" w:cs="宋体"/>
          <w:szCs w:val="28"/>
        </w:rPr>
        <w:t>广元市广播电视台2024年重点工作</w:t>
      </w:r>
      <w:bookmarkEnd w:id="8"/>
      <w:bookmarkEnd w:id="9"/>
      <w:bookmarkEnd w:id="10"/>
    </w:p>
    <w:p>
      <w:pPr>
        <w:spacing w:line="576" w:lineRule="exact"/>
        <w:ind w:firstLine="640" w:firstLineChars="200"/>
        <w:rPr>
          <w:rFonts w:ascii="仿宋_GB2312" w:hAnsi="仿宋_GB2312" w:eastAsia="仿宋_GB2312" w:cs="仿宋_GB2312"/>
          <w:sz w:val="32"/>
          <w:szCs w:val="32"/>
        </w:rPr>
      </w:pPr>
      <w:bookmarkStart w:id="11" w:name="_Toc31917"/>
      <w:r>
        <w:rPr>
          <w:rFonts w:ascii="仿宋_GB2312" w:hAnsi="仿宋_GB2312" w:eastAsia="仿宋_GB2312" w:cs="仿宋_GB2312"/>
          <w:sz w:val="32"/>
          <w:szCs w:val="32"/>
        </w:rPr>
        <w:t>2024</w:t>
      </w:r>
      <w:r>
        <w:rPr>
          <w:rFonts w:hint="eastAsia" w:ascii="仿宋_GB2312" w:hAnsi="仿宋_GB2312" w:eastAsia="仿宋_GB2312" w:cs="仿宋_GB2312"/>
          <w:sz w:val="32"/>
          <w:szCs w:val="32"/>
        </w:rPr>
        <w:t>年，市广播电视台将坚持以习近平新时代中国特色社会主义思想和习近平文化思想为指导，深入学习贯彻习近平来川来广视察重要指示精神、省委</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市委全会精神，</w:t>
      </w:r>
      <w:r>
        <w:rPr>
          <w:rFonts w:hint="eastAsia" w:ascii="仿宋_GB2312" w:hAnsi="仿宋_GB2312" w:eastAsia="仿宋_GB2312" w:cs="仿宋_GB2312"/>
          <w:sz w:val="32"/>
          <w:szCs w:val="32"/>
          <w:lang w:eastAsia="zh-CN"/>
        </w:rPr>
        <w:t>认真贯彻落实中央、省委、市委决策部署，</w:t>
      </w:r>
      <w:r>
        <w:rPr>
          <w:rFonts w:hint="eastAsia" w:ascii="仿宋_GB2312" w:hAnsi="仿宋_GB2312" w:eastAsia="仿宋_GB2312" w:cs="仿宋_GB2312"/>
          <w:sz w:val="32"/>
          <w:szCs w:val="32"/>
        </w:rPr>
        <w:t>围绕中心、服务大局，聚力主题</w:t>
      </w:r>
      <w:r>
        <w:rPr>
          <w:rFonts w:hint="eastAsia" w:ascii="仿宋_GB2312" w:hAnsi="仿宋_GB2312" w:eastAsia="仿宋_GB2312" w:cs="仿宋_GB2312"/>
          <w:sz w:val="32"/>
          <w:szCs w:val="32"/>
          <w:lang w:eastAsia="zh-CN"/>
        </w:rPr>
        <w:t>宣传、形势宣传、政策宣传、典型宣传、成就宣传</w:t>
      </w:r>
      <w:r>
        <w:rPr>
          <w:rFonts w:hint="eastAsia" w:ascii="仿宋_GB2312" w:hAnsi="仿宋_GB2312" w:eastAsia="仿宋_GB2312" w:cs="仿宋_GB2312"/>
          <w:sz w:val="32"/>
          <w:szCs w:val="32"/>
        </w:rPr>
        <w:t>和精品创优，聚焦媒体融合改革与干部队伍素质提升，按照“</w:t>
      </w:r>
      <w:r>
        <w:rPr>
          <w:rFonts w:ascii="仿宋_GB2312" w:hAnsi="仿宋_GB2312" w:eastAsia="仿宋_GB2312" w:cs="仿宋_GB2312"/>
          <w:sz w:val="32"/>
          <w:szCs w:val="32"/>
        </w:rPr>
        <w:t>1133</w:t>
      </w:r>
      <w:r>
        <w:rPr>
          <w:rFonts w:hint="eastAsia" w:ascii="仿宋_GB2312" w:hAnsi="仿宋_GB2312" w:eastAsia="仿宋_GB2312" w:cs="仿宋_GB2312"/>
          <w:sz w:val="32"/>
          <w:szCs w:val="32"/>
        </w:rPr>
        <w:t>”工作思路，努力为新时代治蜀兴川广元实践再上新台阶贡献力量。</w:t>
      </w:r>
    </w:p>
    <w:p>
      <w:pPr>
        <w:shd w:val="clear"/>
        <w:spacing w:line="576" w:lineRule="exact"/>
        <w:ind w:firstLine="640" w:firstLineChars="200"/>
        <w:outlineLvl w:val="1"/>
        <w:rPr>
          <w:rFonts w:ascii="楷体_GB2312" w:hAnsi="楷体_GB2312" w:eastAsia="楷体_GB2312" w:cs="楷体_GB2312"/>
          <w:sz w:val="32"/>
          <w:szCs w:val="32"/>
        </w:rPr>
      </w:pPr>
      <w:r>
        <w:rPr>
          <w:rFonts w:hint="eastAsia" w:ascii="楷体_GB2312" w:hAnsi="楷体_GB2312" w:eastAsia="楷体_GB2312" w:cs="楷体_GB2312"/>
          <w:sz w:val="32"/>
          <w:szCs w:val="32"/>
        </w:rPr>
        <w:t>（一）把握一条主线，持续深入加强主题新闻宣传报道</w:t>
      </w:r>
      <w:bookmarkEnd w:id="11"/>
    </w:p>
    <w:p>
      <w:pPr>
        <w:spacing w:line="576" w:lineRule="exact"/>
        <w:ind w:firstLine="640" w:firstLineChars="200"/>
        <w:rPr>
          <w:rFonts w:ascii="仿宋_GB2312" w:hAnsi="仿宋_GB2312" w:eastAsia="仿宋_GB2312" w:cs="仿宋_GB2312"/>
          <w:sz w:val="32"/>
          <w:szCs w:val="32"/>
        </w:rPr>
      </w:pPr>
      <w:bookmarkStart w:id="12" w:name="_Toc21666"/>
      <w:r>
        <w:rPr>
          <w:rFonts w:hint="eastAsia" w:ascii="仿宋_GB2312" w:hAnsi="仿宋_GB2312" w:eastAsia="仿宋_GB2312" w:cs="仿宋_GB2312"/>
          <w:sz w:val="32"/>
          <w:szCs w:val="32"/>
        </w:rPr>
        <w:t>以学习宣传贯彻党的二十大精神为主线，认真贯彻落实习近平总书记来川来广视察重要指示精神和全国、全省、全市宣传思想文化工作会议精神，紧扣中央、省市重大策部署，围绕中心、服务大局，加强全媒体传播体系建设，塑造主流舆论新格局，努力为全市经济社会发展营造良好舆论氛围。</w:t>
      </w:r>
    </w:p>
    <w:p>
      <w:pPr>
        <w:shd w:val="clear"/>
        <w:spacing w:line="576" w:lineRule="exact"/>
        <w:ind w:firstLine="640" w:firstLineChars="200"/>
        <w:outlineLvl w:val="1"/>
        <w:rPr>
          <w:rFonts w:ascii="楷体_GB2312" w:hAnsi="楷体_GB2312" w:eastAsia="楷体_GB2312" w:cs="楷体_GB2312"/>
          <w:sz w:val="32"/>
          <w:szCs w:val="32"/>
        </w:rPr>
      </w:pPr>
      <w:r>
        <w:rPr>
          <w:rFonts w:hint="eastAsia" w:ascii="楷体_GB2312" w:hAnsi="楷体_GB2312" w:eastAsia="楷体_GB2312" w:cs="楷体_GB2312"/>
          <w:sz w:val="32"/>
          <w:szCs w:val="32"/>
        </w:rPr>
        <w:t>（二）推进一项改革，着力推动市级媒体融合跨越发展</w:t>
      </w:r>
      <w:bookmarkEnd w:id="12"/>
    </w:p>
    <w:p>
      <w:pPr>
        <w:shd w:val="clear"/>
        <w:spacing w:line="576" w:lineRule="exact"/>
        <w:ind w:firstLine="640" w:firstLineChars="200"/>
        <w:outlineLvl w:val="1"/>
        <w:rPr>
          <w:rFonts w:hint="eastAsia" w:ascii="仿宋_GB2312" w:hAnsi="仿宋_GB2312" w:eastAsia="仿宋_GB2312" w:cs="仿宋_GB2312"/>
          <w:sz w:val="32"/>
          <w:szCs w:val="32"/>
        </w:rPr>
      </w:pPr>
      <w:bookmarkStart w:id="13" w:name="_Toc13430"/>
      <w:r>
        <w:rPr>
          <w:rFonts w:hint="eastAsia" w:ascii="仿宋_GB2312" w:hAnsi="仿宋_GB2312" w:eastAsia="仿宋_GB2312" w:cs="仿宋_GB2312"/>
          <w:sz w:val="32"/>
          <w:szCs w:val="32"/>
        </w:rPr>
        <w:t>坚决贯彻落实市委关于市级媒体融合改革工作要求，坚持以创新促改革，坚持新闻宣传与经营创收“两手抓”，持续深入完善绩效考核体系，深化广电供给侧结构性改革，坚持区块化经营，大力推行项目申报制、领办制，抓好新闻宣传、安全播出、阵地建设、队伍建设等重点工作，努力为市级媒体融合改革奠定坚实基础。</w:t>
      </w:r>
    </w:p>
    <w:p>
      <w:pPr>
        <w:shd w:val="clear"/>
        <w:spacing w:line="576" w:lineRule="exact"/>
        <w:ind w:firstLine="640" w:firstLineChars="200"/>
        <w:outlineLvl w:val="1"/>
        <w:rPr>
          <w:rFonts w:ascii="楷体_GB2312" w:hAnsi="楷体_GB2312" w:eastAsia="楷体_GB2312" w:cs="楷体_GB2312"/>
          <w:sz w:val="32"/>
          <w:szCs w:val="32"/>
        </w:rPr>
      </w:pPr>
      <w:r>
        <w:rPr>
          <w:rFonts w:hint="eastAsia" w:ascii="楷体_GB2312" w:hAnsi="楷体_GB2312" w:eastAsia="楷体_GB2312" w:cs="楷体_GB2312"/>
          <w:sz w:val="32"/>
          <w:szCs w:val="32"/>
        </w:rPr>
        <w:t>（三）实施三项行动，全力提升频道平台传播力影响力</w:t>
      </w:r>
      <w:bookmarkEnd w:id="13"/>
    </w:p>
    <w:p>
      <w:pPr>
        <w:spacing w:line="576"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一是实施制播能力强基行动。</w:t>
      </w:r>
      <w:r>
        <w:rPr>
          <w:rFonts w:hint="eastAsia" w:ascii="仿宋_GB2312" w:hAnsi="仿宋_GB2312" w:eastAsia="仿宋_GB2312" w:cs="仿宋_GB2312"/>
          <w:sz w:val="32"/>
          <w:szCs w:val="32"/>
        </w:rPr>
        <w:t>积极争取财政专项资金，购置</w:t>
      </w:r>
      <w:r>
        <w:rPr>
          <w:rFonts w:ascii="仿宋_GB2312" w:hAnsi="仿宋_GB2312" w:eastAsia="仿宋_GB2312" w:cs="仿宋_GB2312"/>
          <w:sz w:val="32"/>
          <w:szCs w:val="32"/>
        </w:rPr>
        <w:t>4K</w:t>
      </w:r>
      <w:r>
        <w:rPr>
          <w:rFonts w:hint="eastAsia" w:ascii="仿宋_GB2312" w:hAnsi="仿宋_GB2312" w:eastAsia="仿宋_GB2312" w:cs="仿宋_GB2312"/>
          <w:sz w:val="32"/>
          <w:szCs w:val="32"/>
        </w:rPr>
        <w:t>高清转播车，完成现有部分老化专业设备换代升级，强化综合演播厅运维管理，加强摄影摄像、灯光音响等专业化人才培训，适时推进广播电台节目覆盖工程。</w:t>
      </w:r>
      <w:r>
        <w:rPr>
          <w:rFonts w:hint="eastAsia" w:ascii="仿宋_GB2312" w:hAnsi="仿宋_GB2312" w:eastAsia="仿宋_GB2312" w:cs="仿宋_GB2312"/>
          <w:b/>
          <w:bCs/>
          <w:sz w:val="32"/>
          <w:szCs w:val="32"/>
        </w:rPr>
        <w:t>二是实施精品创优行动。</w:t>
      </w:r>
      <w:r>
        <w:rPr>
          <w:rFonts w:hint="eastAsia" w:ascii="仿宋_GB2312" w:hAnsi="仿宋_GB2312" w:eastAsia="仿宋_GB2312" w:cs="仿宋_GB2312"/>
          <w:sz w:val="32"/>
          <w:szCs w:val="32"/>
        </w:rPr>
        <w:t>完成</w:t>
      </w:r>
      <w:r>
        <w:rPr>
          <w:rFonts w:ascii="仿宋_GB2312" w:hAnsi="仿宋_GB2312" w:eastAsia="仿宋_GB2312" w:cs="仿宋_GB2312"/>
          <w:sz w:val="32"/>
          <w:szCs w:val="32"/>
        </w:rPr>
        <w:t>2023</w:t>
      </w:r>
      <w:r>
        <w:rPr>
          <w:rFonts w:hint="eastAsia" w:ascii="仿宋_GB2312" w:hAnsi="仿宋_GB2312" w:eastAsia="仿宋_GB2312" w:cs="仿宋_GB2312"/>
          <w:sz w:val="32"/>
          <w:szCs w:val="32"/>
        </w:rPr>
        <w:t>年两部纪录片、一部报告文学评先评优工作，谋划推动创作文化类全媒体综艺节目、微纪录片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微电影</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w:t>
      </w:r>
      <w:r>
        <w:rPr>
          <w:rFonts w:hint="eastAsia" w:ascii="仿宋_GB2312" w:hAnsi="仿宋_GB2312" w:eastAsia="仿宋_GB2312" w:cs="仿宋_GB2312"/>
          <w:b/>
          <w:bCs/>
          <w:sz w:val="32"/>
          <w:szCs w:val="32"/>
        </w:rPr>
        <w:t>三是实施全媒体传播体系建设行动。</w:t>
      </w:r>
      <w:r>
        <w:rPr>
          <w:rFonts w:hint="eastAsia" w:ascii="仿宋_GB2312" w:hAnsi="仿宋_GB2312" w:eastAsia="仿宋_GB2312" w:cs="仿宋_GB2312"/>
          <w:sz w:val="32"/>
          <w:szCs w:val="32"/>
        </w:rPr>
        <w:t>加强新媒体传播矩阵建设，强化大屏小屏联动，提高短视频生产供给能力，着力传播内容提档升级和新媒体平台运营管理，聚力增强媒体融合传播质效。</w:t>
      </w:r>
    </w:p>
    <w:p>
      <w:pPr>
        <w:shd w:val="clear"/>
        <w:spacing w:line="576" w:lineRule="exact"/>
        <w:ind w:firstLine="640" w:firstLineChars="200"/>
        <w:outlineLvl w:val="1"/>
        <w:rPr>
          <w:rFonts w:ascii="楷体_GB2312" w:hAnsi="楷体_GB2312" w:eastAsia="楷体_GB2312" w:cs="楷体_GB2312"/>
          <w:sz w:val="32"/>
          <w:szCs w:val="32"/>
        </w:rPr>
      </w:pPr>
      <w:bookmarkStart w:id="14" w:name="_Toc15059"/>
      <w:r>
        <w:rPr>
          <w:rFonts w:hint="eastAsia" w:ascii="楷体_GB2312" w:hAnsi="楷体_GB2312" w:eastAsia="楷体_GB2312" w:cs="楷体_GB2312"/>
          <w:sz w:val="32"/>
          <w:szCs w:val="32"/>
        </w:rPr>
        <w:t>（四）加强三大建设，聚力聚焦干部队伍综合素质提升</w:t>
      </w:r>
      <w:bookmarkEnd w:id="14"/>
    </w:p>
    <w:p>
      <w:pPr>
        <w:shd w:val="clear"/>
        <w:spacing w:line="576" w:lineRule="exact"/>
        <w:ind w:firstLine="643" w:firstLineChars="200"/>
        <w:rPr>
          <w:rFonts w:hint="eastAsia" w:eastAsia="宋体"/>
          <w:lang w:eastAsia="zh-CN"/>
        </w:rPr>
      </w:pPr>
      <w:r>
        <w:rPr>
          <w:rFonts w:hint="eastAsia" w:ascii="仿宋_GB2312" w:hAnsi="仿宋_GB2312" w:eastAsia="仿宋_GB2312" w:cs="仿宋_GB2312"/>
          <w:b/>
          <w:bCs/>
          <w:sz w:val="32"/>
          <w:szCs w:val="32"/>
        </w:rPr>
        <w:t>一是加强思想政治建设。</w:t>
      </w:r>
      <w:r>
        <w:rPr>
          <w:rFonts w:hint="eastAsia" w:ascii="仿宋_GB2312" w:hAnsi="仿宋_GB2312" w:eastAsia="仿宋_GB2312" w:cs="仿宋_GB2312"/>
          <w:sz w:val="32"/>
          <w:szCs w:val="32"/>
        </w:rPr>
        <w:t>始终把党的政治建设摆在首位，认真落实市委重大活动新闻宣传专班工作机制和重大主题宣传清单销号管理，自觉将政治建设贯穿于党的建设、新闻宣传、队伍建设、内部管理等各方面，领导班子更加团结，干部队伍凝聚力、战斗力全面提升。</w:t>
      </w:r>
      <w:r>
        <w:rPr>
          <w:rFonts w:hint="eastAsia" w:ascii="仿宋_GB2312" w:hAnsi="仿宋_GB2312" w:eastAsia="仿宋_GB2312" w:cs="仿宋_GB2312"/>
          <w:b/>
          <w:bCs/>
          <w:sz w:val="32"/>
          <w:szCs w:val="32"/>
        </w:rPr>
        <w:t>二是加强纪律作风建设。</w:t>
      </w:r>
      <w:r>
        <w:rPr>
          <w:rFonts w:hint="eastAsia" w:ascii="仿宋_GB2312" w:hAnsi="仿宋_GB2312" w:eastAsia="仿宋_GB2312" w:cs="仿宋_GB2312"/>
          <w:sz w:val="32"/>
          <w:szCs w:val="32"/>
        </w:rPr>
        <w:t>持续巩固纪律作风建设工作成效，持续推进周五谈心谈话制度，加强内审内控机制建设，结合媒体融合改革强化苗头性、倾向性问题分析研判，全力确保干部队伍稳定。</w:t>
      </w:r>
      <w:r>
        <w:rPr>
          <w:rFonts w:hint="eastAsia" w:ascii="仿宋_GB2312" w:hAnsi="仿宋_GB2312" w:eastAsia="仿宋_GB2312" w:cs="仿宋_GB2312"/>
          <w:b/>
          <w:bCs/>
          <w:sz w:val="32"/>
          <w:szCs w:val="32"/>
        </w:rPr>
        <w:t>三是加强人才队伍建设。</w:t>
      </w:r>
      <w:r>
        <w:rPr>
          <w:rFonts w:hint="eastAsia" w:ascii="仿宋_GB2312" w:hAnsi="仿宋_GB2312" w:eastAsia="仿宋_GB2312" w:cs="仿宋_GB2312"/>
          <w:sz w:val="32"/>
          <w:szCs w:val="32"/>
        </w:rPr>
        <w:t>聚焦新媒体内容生产传播、纪录片摄制等重点工作，举办全媒体传播、短视频创作等相关培训，加强纪录片院士专家工作站建设，完善更新师带徒、老带新工作体系，持续选派精干力量到上级部门跟班学习，选拔首席、骨干工作人员，适时开展青年专业人才引进招聘，综合提升业务工作能力水平。</w:t>
      </w:r>
    </w:p>
    <w:p>
      <w:pPr>
        <w:pStyle w:val="5"/>
        <w:shd w:val="clear"/>
        <w:spacing w:line="580" w:lineRule="exact"/>
        <w:ind w:firstLine="640" w:firstLineChars="200"/>
        <w:rPr>
          <w:rFonts w:ascii="黑体" w:hAnsi="宋体" w:eastAsia="黑体" w:cs="黑体"/>
          <w:b w:val="0"/>
          <w:bCs w:val="0"/>
          <w:kern w:val="0"/>
          <w:sz w:val="32"/>
          <w:szCs w:val="32"/>
          <w:shd w:val="clear" w:color="auto" w:fill="FFFFFF"/>
        </w:rPr>
      </w:pPr>
      <w:bookmarkStart w:id="15" w:name="_Toc24417"/>
      <w:bookmarkStart w:id="16" w:name="_Toc16569"/>
      <w:bookmarkStart w:id="17" w:name="_Toc5229"/>
      <w:r>
        <w:rPr>
          <w:rFonts w:hint="eastAsia" w:ascii="黑体" w:hAnsi="宋体" w:eastAsia="黑体" w:cs="黑体"/>
          <w:b w:val="0"/>
          <w:bCs w:val="0"/>
          <w:kern w:val="0"/>
          <w:sz w:val="32"/>
          <w:szCs w:val="32"/>
          <w:shd w:val="clear" w:color="auto" w:fill="FFFFFF"/>
        </w:rPr>
        <w:t>二、部门预算单位构成</w:t>
      </w:r>
      <w:bookmarkEnd w:id="15"/>
      <w:bookmarkEnd w:id="16"/>
      <w:bookmarkEnd w:id="17"/>
    </w:p>
    <w:p>
      <w:pPr>
        <w:widowControl/>
        <w:shd w:val="clear" w:color="auto"/>
        <w:suppressAutoHyphens/>
        <w:spacing w:line="580" w:lineRule="exact"/>
        <w:ind w:firstLine="668"/>
        <w:rPr>
          <w:rFonts w:ascii="仿宋_GB2312" w:hAnsi="Times New Roman" w:eastAsia="仿宋_GB2312" w:cs="仿宋_GB2312"/>
          <w:kern w:val="0"/>
          <w:sz w:val="32"/>
          <w:szCs w:val="32"/>
          <w:shd w:val="clear" w:color="auto" w:fill="FFFFFF"/>
        </w:rPr>
      </w:pPr>
      <w:r>
        <w:rPr>
          <w:rFonts w:hint="eastAsia" w:ascii="仿宋_GB2312" w:hAnsi="Times New Roman" w:eastAsia="仿宋_GB2312" w:cs="仿宋_GB2312"/>
          <w:kern w:val="0"/>
          <w:sz w:val="32"/>
          <w:szCs w:val="32"/>
          <w:shd w:val="clear" w:color="auto" w:fill="FFFFFF"/>
        </w:rPr>
        <w:t>从预算单位构成看，广元市广播电视台部门预算仅包括本级预算。</w:t>
      </w:r>
    </w:p>
    <w:p>
      <w:pPr>
        <w:pStyle w:val="5"/>
        <w:shd w:val="clear"/>
        <w:spacing w:line="580" w:lineRule="exact"/>
        <w:ind w:firstLine="640" w:firstLineChars="200"/>
        <w:rPr>
          <w:rFonts w:ascii="黑体" w:hAnsi="宋体" w:eastAsia="黑体" w:cs="黑体"/>
          <w:b w:val="0"/>
          <w:bCs w:val="0"/>
          <w:kern w:val="0"/>
          <w:sz w:val="32"/>
          <w:szCs w:val="32"/>
          <w:shd w:val="clear" w:color="auto" w:fill="FFFFFF"/>
        </w:rPr>
      </w:pPr>
      <w:bookmarkStart w:id="18" w:name="_Toc30838"/>
      <w:bookmarkStart w:id="19" w:name="_Toc25920"/>
      <w:bookmarkStart w:id="20" w:name="_Toc3893"/>
      <w:r>
        <w:rPr>
          <w:rFonts w:hint="eastAsia" w:ascii="黑体" w:hAnsi="宋体" w:eastAsia="黑体" w:cs="黑体"/>
          <w:b w:val="0"/>
          <w:bCs w:val="0"/>
          <w:kern w:val="0"/>
          <w:sz w:val="32"/>
          <w:szCs w:val="32"/>
          <w:shd w:val="clear" w:color="auto" w:fill="FFFFFF"/>
        </w:rPr>
        <w:t>三、收支预算情况说明</w:t>
      </w:r>
      <w:bookmarkEnd w:id="18"/>
      <w:bookmarkEnd w:id="19"/>
      <w:bookmarkEnd w:id="20"/>
    </w:p>
    <w:p>
      <w:pPr>
        <w:widowControl/>
        <w:shd w:val="clear" w:color="auto"/>
        <w:suppressAutoHyphens/>
        <w:spacing w:line="580" w:lineRule="exact"/>
        <w:ind w:firstLine="668"/>
        <w:rPr>
          <w:rFonts w:ascii="仿宋_GB2312" w:hAnsi="Times New Roman" w:eastAsia="仿宋_GB2312" w:cs="仿宋_GB2312"/>
          <w:kern w:val="0"/>
          <w:sz w:val="32"/>
          <w:szCs w:val="32"/>
          <w:shd w:val="clear" w:color="auto" w:fill="FFFFFF"/>
        </w:rPr>
      </w:pPr>
      <w:r>
        <w:rPr>
          <w:rFonts w:hint="eastAsia" w:ascii="仿宋_GB2312" w:hAnsi="Times New Roman" w:eastAsia="仿宋_GB2312" w:cs="仿宋_GB2312"/>
          <w:kern w:val="0"/>
          <w:sz w:val="32"/>
          <w:szCs w:val="32"/>
          <w:shd w:val="clear" w:color="auto" w:fill="FFFFFF"/>
        </w:rPr>
        <w:t>按照综合预算的原则，广元市广播电视台所有收入和支出均纳入部门预算管理。收入包括：一般公共预算拨款收入；支出包括：文化旅游体育与传媒支出、社会保障和就业支出、卫生健康支出、住房保障支出。广元市广播电视台2024年收支总预算3312.76万元</w:t>
      </w:r>
      <w:r>
        <w:rPr>
          <w:rFonts w:hint="eastAsia" w:ascii="仿宋_GB2312" w:hAnsi="Times New Roman" w:eastAsia="仿宋_GB2312" w:cs="仿宋_GB2312"/>
          <w:kern w:val="0"/>
          <w:sz w:val="32"/>
          <w:szCs w:val="32"/>
          <w:shd w:val="clear" w:color="auto" w:fill="FFFFFF"/>
          <w:lang w:eastAsia="zh-CN"/>
        </w:rPr>
        <w:t>，</w:t>
      </w:r>
      <w:r>
        <w:rPr>
          <w:rFonts w:hint="eastAsia" w:ascii="仿宋_GB2312" w:hAnsi="Times New Roman" w:eastAsia="仿宋_GB2312" w:cs="仿宋_GB2312"/>
          <w:kern w:val="0"/>
          <w:sz w:val="32"/>
          <w:szCs w:val="32"/>
          <w:shd w:val="clear" w:color="auto" w:fill="FFFFFF"/>
        </w:rPr>
        <w:t>比2023年收支预算总数增加305.98万元，主要原因是财政将在编人员目标奖由定额拨款改为全额拨款。</w:t>
      </w:r>
    </w:p>
    <w:p>
      <w:pPr>
        <w:pStyle w:val="6"/>
        <w:numPr>
          <w:ilvl w:val="0"/>
          <w:numId w:val="2"/>
        </w:numPr>
        <w:shd w:val="clear"/>
        <w:spacing w:line="580" w:lineRule="exact"/>
      </w:pPr>
      <w:bookmarkStart w:id="21" w:name="_Toc8097"/>
      <w:bookmarkStart w:id="22" w:name="_Toc6679"/>
      <w:bookmarkStart w:id="23" w:name="_Toc6641"/>
      <w:r>
        <w:rPr>
          <w:rFonts w:hint="eastAsia"/>
        </w:rPr>
        <w:t>收入预算情况</w:t>
      </w:r>
      <w:bookmarkEnd w:id="21"/>
      <w:bookmarkEnd w:id="22"/>
      <w:bookmarkEnd w:id="23"/>
    </w:p>
    <w:p>
      <w:pPr>
        <w:widowControl/>
        <w:shd w:val="clear" w:color="auto"/>
        <w:suppressAutoHyphens/>
        <w:spacing w:line="580" w:lineRule="exact"/>
        <w:ind w:firstLine="668"/>
        <w:rPr>
          <w:rFonts w:ascii="仿宋_GB2312" w:hAnsi="Times New Roman" w:eastAsia="仿宋_GB2312" w:cs="仿宋_GB2312"/>
          <w:kern w:val="0"/>
          <w:sz w:val="32"/>
          <w:szCs w:val="32"/>
          <w:shd w:val="clear" w:color="auto" w:fill="FFFFFF"/>
        </w:rPr>
      </w:pPr>
      <w:bookmarkStart w:id="24" w:name="_Toc9807"/>
      <w:r>
        <w:rPr>
          <w:rFonts w:hint="eastAsia" w:ascii="仿宋_GB2312" w:hAnsi="Times New Roman" w:eastAsia="仿宋_GB2312" w:cs="仿宋_GB2312"/>
          <w:kern w:val="0"/>
          <w:sz w:val="32"/>
          <w:szCs w:val="32"/>
          <w:shd w:val="clear" w:color="auto" w:fill="FFFFFF"/>
        </w:rPr>
        <w:t>广元市广播电视台2024年收入预算3312.76万元，其中：一般公共预算拨款收入3312.76万元，占100%。</w:t>
      </w:r>
    </w:p>
    <w:p>
      <w:pPr>
        <w:pStyle w:val="6"/>
        <w:shd w:val="clear"/>
        <w:spacing w:line="580" w:lineRule="exact"/>
        <w:ind w:left="420"/>
      </w:pPr>
      <w:bookmarkStart w:id="25" w:name="_Toc4865"/>
      <w:bookmarkStart w:id="26" w:name="_Toc16812"/>
      <w:r>
        <w:rPr>
          <w:rFonts w:hint="eastAsia"/>
        </w:rPr>
        <w:t>（二）支出预算情况</w:t>
      </w:r>
      <w:bookmarkEnd w:id="24"/>
      <w:bookmarkEnd w:id="25"/>
      <w:bookmarkEnd w:id="26"/>
    </w:p>
    <w:p>
      <w:pPr>
        <w:widowControl/>
        <w:shd w:val="clear" w:color="auto"/>
        <w:suppressAutoHyphens/>
        <w:spacing w:line="580" w:lineRule="exact"/>
        <w:ind w:firstLine="668"/>
        <w:rPr>
          <w:rFonts w:ascii="仿宋_GB2312" w:hAnsi="Times New Roman" w:eastAsia="仿宋_GB2312" w:cs="仿宋_GB2312"/>
          <w:kern w:val="0"/>
          <w:sz w:val="32"/>
          <w:szCs w:val="32"/>
          <w:shd w:val="clear" w:color="auto" w:fill="FFFFFF"/>
        </w:rPr>
      </w:pPr>
      <w:bookmarkStart w:id="27" w:name="_Toc24412"/>
      <w:r>
        <w:rPr>
          <w:rFonts w:hint="eastAsia" w:ascii="仿宋_GB2312" w:hAnsi="Times New Roman" w:eastAsia="仿宋_GB2312" w:cs="仿宋_GB2312"/>
          <w:kern w:val="0"/>
          <w:sz w:val="32"/>
          <w:szCs w:val="32"/>
          <w:shd w:val="clear" w:color="auto" w:fill="FFFFFF"/>
        </w:rPr>
        <w:t>广元市广播电视台2024年支出预算3312.76万元，其中：基本支出</w:t>
      </w:r>
      <w:r>
        <w:rPr>
          <w:rFonts w:ascii="仿宋_GB2312" w:hAnsi="Times New Roman" w:eastAsia="仿宋_GB2312" w:cs="仿宋_GB2312"/>
          <w:kern w:val="0"/>
          <w:sz w:val="32"/>
          <w:szCs w:val="32"/>
          <w:shd w:val="clear" w:color="auto" w:fill="FFFFFF"/>
        </w:rPr>
        <w:t>1987.76</w:t>
      </w:r>
      <w:r>
        <w:rPr>
          <w:rFonts w:hint="eastAsia" w:ascii="仿宋_GB2312" w:hAnsi="Times New Roman" w:eastAsia="仿宋_GB2312" w:cs="仿宋_GB2312"/>
          <w:kern w:val="0"/>
          <w:sz w:val="32"/>
          <w:szCs w:val="32"/>
          <w:shd w:val="clear" w:color="auto" w:fill="FFFFFF"/>
        </w:rPr>
        <w:t>万元，占60.00%；项目支出</w:t>
      </w:r>
      <w:r>
        <w:rPr>
          <w:rFonts w:ascii="仿宋_GB2312" w:hAnsi="Times New Roman" w:eastAsia="仿宋_GB2312" w:cs="仿宋_GB2312"/>
          <w:kern w:val="0"/>
          <w:sz w:val="32"/>
          <w:szCs w:val="32"/>
          <w:shd w:val="clear" w:color="auto" w:fill="FFFFFF"/>
        </w:rPr>
        <w:t>1325</w:t>
      </w:r>
      <w:r>
        <w:rPr>
          <w:rFonts w:hint="eastAsia" w:ascii="仿宋_GB2312" w:hAnsi="Times New Roman" w:eastAsia="仿宋_GB2312" w:cs="仿宋_GB2312"/>
          <w:kern w:val="0"/>
          <w:sz w:val="32"/>
          <w:szCs w:val="32"/>
          <w:shd w:val="clear" w:color="auto" w:fill="FFFFFF"/>
        </w:rPr>
        <w:t>.00万元，占40.00%。</w:t>
      </w:r>
    </w:p>
    <w:p>
      <w:pPr>
        <w:pStyle w:val="5"/>
        <w:shd w:val="clear"/>
        <w:adjustRightInd/>
        <w:snapToGrid/>
        <w:spacing w:line="580" w:lineRule="exact"/>
        <w:ind w:firstLine="640" w:firstLineChars="200"/>
        <w:rPr>
          <w:rFonts w:ascii="黑体" w:hAnsi="宋体" w:eastAsia="黑体" w:cs="黑体"/>
          <w:b w:val="0"/>
          <w:bCs w:val="0"/>
          <w:kern w:val="0"/>
          <w:sz w:val="32"/>
          <w:szCs w:val="32"/>
          <w:shd w:val="clear" w:color="auto" w:fill="FFFFFF"/>
        </w:rPr>
      </w:pPr>
      <w:bookmarkStart w:id="28" w:name="_Toc19669"/>
      <w:bookmarkStart w:id="29" w:name="_Toc25652"/>
      <w:r>
        <w:rPr>
          <w:rFonts w:hint="eastAsia" w:ascii="黑体" w:hAnsi="宋体" w:eastAsia="黑体" w:cs="黑体"/>
          <w:b w:val="0"/>
          <w:bCs w:val="0"/>
          <w:kern w:val="0"/>
          <w:sz w:val="32"/>
          <w:szCs w:val="32"/>
          <w:shd w:val="clear" w:color="auto" w:fill="FFFFFF"/>
        </w:rPr>
        <w:t>四、财政拨款收支预算情况说明</w:t>
      </w:r>
      <w:bookmarkEnd w:id="27"/>
      <w:bookmarkEnd w:id="28"/>
      <w:bookmarkEnd w:id="29"/>
    </w:p>
    <w:p>
      <w:pPr>
        <w:widowControl/>
        <w:shd w:val="clear" w:color="auto"/>
        <w:suppressAutoHyphens/>
        <w:spacing w:line="580" w:lineRule="exact"/>
        <w:ind w:firstLine="668"/>
        <w:rPr>
          <w:rFonts w:ascii="仿宋_GB2312" w:hAnsi="Times New Roman" w:eastAsia="仿宋_GB2312" w:cs="仿宋_GB2312"/>
          <w:kern w:val="0"/>
          <w:sz w:val="32"/>
          <w:szCs w:val="32"/>
          <w:shd w:val="clear" w:color="auto" w:fill="FFFFFF"/>
        </w:rPr>
      </w:pPr>
      <w:r>
        <w:rPr>
          <w:rFonts w:hint="eastAsia" w:ascii="仿宋_GB2312" w:hAnsi="Times New Roman" w:eastAsia="仿宋_GB2312" w:cs="仿宋_GB2312"/>
          <w:kern w:val="0"/>
          <w:sz w:val="32"/>
          <w:szCs w:val="32"/>
          <w:shd w:val="clear" w:color="auto" w:fill="FFFFFF"/>
        </w:rPr>
        <w:t>广元市广播电视台2024年财政拨款收支总预算3312.76万元</w:t>
      </w:r>
      <w:r>
        <w:rPr>
          <w:rFonts w:hint="eastAsia" w:ascii="仿宋_GB2312" w:hAnsi="Times New Roman" w:eastAsia="仿宋_GB2312" w:cs="仿宋_GB2312"/>
          <w:kern w:val="0"/>
          <w:sz w:val="32"/>
          <w:szCs w:val="32"/>
          <w:shd w:val="clear" w:color="auto" w:fill="FFFFFF"/>
          <w:lang w:eastAsia="zh-CN"/>
        </w:rPr>
        <w:t>，</w:t>
      </w:r>
      <w:r>
        <w:rPr>
          <w:rFonts w:hint="eastAsia" w:ascii="仿宋_GB2312" w:hAnsi="Times New Roman" w:eastAsia="仿宋_GB2312" w:cs="仿宋_GB2312"/>
          <w:kern w:val="0"/>
          <w:sz w:val="32"/>
          <w:szCs w:val="32"/>
          <w:shd w:val="clear" w:color="auto" w:fill="FFFFFF"/>
        </w:rPr>
        <w:t xml:space="preserve"> 比2023年收支预算总数增加305.98万元，主要原因是财政将在编人员基础目标奖由定额拨款改为全额拨款。</w:t>
      </w:r>
    </w:p>
    <w:p>
      <w:pPr>
        <w:widowControl/>
        <w:shd w:val="clear" w:color="auto"/>
        <w:suppressAutoHyphens/>
        <w:spacing w:line="580" w:lineRule="exact"/>
        <w:ind w:firstLine="668"/>
        <w:rPr>
          <w:rFonts w:ascii="仿宋_GB2312" w:hAnsi="Times New Roman" w:eastAsia="仿宋_GB2312" w:cs="仿宋_GB2312"/>
          <w:kern w:val="0"/>
          <w:sz w:val="32"/>
          <w:szCs w:val="32"/>
          <w:shd w:val="clear" w:color="auto" w:fill="FFFFFF"/>
        </w:rPr>
      </w:pPr>
      <w:r>
        <w:rPr>
          <w:rFonts w:hint="eastAsia" w:ascii="仿宋_GB2312" w:hAnsi="Times New Roman" w:eastAsia="仿宋_GB2312" w:cs="仿宋_GB2312"/>
          <w:kern w:val="0"/>
          <w:sz w:val="32"/>
          <w:szCs w:val="32"/>
          <w:shd w:val="clear" w:color="auto" w:fill="FFFFFF"/>
        </w:rPr>
        <w:t>收入包括：本年一般公共预算拨款收入3312.76万元；支出包括：文化旅游体育与传媒支出</w:t>
      </w:r>
      <w:r>
        <w:rPr>
          <w:rFonts w:ascii="仿宋_GB2312" w:hAnsi="Times New Roman" w:eastAsia="仿宋_GB2312" w:cs="仿宋_GB2312"/>
          <w:kern w:val="0"/>
          <w:sz w:val="32"/>
          <w:szCs w:val="32"/>
          <w:shd w:val="clear" w:color="auto" w:fill="FFFFFF"/>
        </w:rPr>
        <w:t>2893.3</w:t>
      </w:r>
      <w:r>
        <w:rPr>
          <w:rFonts w:hint="eastAsia" w:ascii="仿宋_GB2312" w:hAnsi="Times New Roman" w:eastAsia="仿宋_GB2312" w:cs="仿宋_GB2312"/>
          <w:kern w:val="0"/>
          <w:sz w:val="32"/>
          <w:szCs w:val="32"/>
          <w:shd w:val="clear" w:color="auto" w:fill="FFFFFF"/>
        </w:rPr>
        <w:t>万元、社会保障和就业支出</w:t>
      </w:r>
      <w:r>
        <w:rPr>
          <w:rFonts w:ascii="仿宋_GB2312" w:hAnsi="Times New Roman" w:eastAsia="仿宋_GB2312" w:cs="仿宋_GB2312"/>
          <w:kern w:val="0"/>
          <w:sz w:val="32"/>
          <w:szCs w:val="32"/>
          <w:shd w:val="clear" w:color="auto" w:fill="FFFFFF"/>
        </w:rPr>
        <w:t>195.76</w:t>
      </w:r>
      <w:r>
        <w:rPr>
          <w:rFonts w:hint="eastAsia" w:ascii="仿宋_GB2312" w:hAnsi="Times New Roman" w:eastAsia="仿宋_GB2312" w:cs="仿宋_GB2312"/>
          <w:kern w:val="0"/>
          <w:sz w:val="32"/>
          <w:szCs w:val="32"/>
          <w:shd w:val="clear" w:color="auto" w:fill="FFFFFF"/>
        </w:rPr>
        <w:t>万元、卫生健康支出</w:t>
      </w:r>
      <w:r>
        <w:rPr>
          <w:rFonts w:ascii="仿宋_GB2312" w:hAnsi="Times New Roman" w:eastAsia="仿宋_GB2312" w:cs="仿宋_GB2312"/>
          <w:kern w:val="0"/>
          <w:sz w:val="32"/>
          <w:szCs w:val="32"/>
          <w:shd w:val="clear" w:color="auto" w:fill="FFFFFF"/>
        </w:rPr>
        <w:t>62.35</w:t>
      </w:r>
      <w:r>
        <w:rPr>
          <w:rFonts w:hint="eastAsia" w:ascii="仿宋_GB2312" w:hAnsi="Times New Roman" w:eastAsia="仿宋_GB2312" w:cs="仿宋_GB2312"/>
          <w:kern w:val="0"/>
          <w:sz w:val="32"/>
          <w:szCs w:val="32"/>
          <w:shd w:val="clear" w:color="auto" w:fill="FFFFFF"/>
        </w:rPr>
        <w:t>万元、住房保障支出</w:t>
      </w:r>
      <w:r>
        <w:rPr>
          <w:rFonts w:ascii="仿宋_GB2312" w:hAnsi="Times New Roman" w:eastAsia="仿宋_GB2312" w:cs="仿宋_GB2312"/>
          <w:kern w:val="0"/>
          <w:sz w:val="32"/>
          <w:szCs w:val="32"/>
          <w:shd w:val="clear" w:color="auto" w:fill="FFFFFF"/>
        </w:rPr>
        <w:t>161.35</w:t>
      </w:r>
      <w:r>
        <w:rPr>
          <w:rFonts w:hint="eastAsia" w:ascii="仿宋_GB2312" w:hAnsi="Times New Roman" w:eastAsia="仿宋_GB2312" w:cs="仿宋_GB2312"/>
          <w:kern w:val="0"/>
          <w:sz w:val="32"/>
          <w:szCs w:val="32"/>
          <w:shd w:val="clear" w:color="auto" w:fill="FFFFFF"/>
        </w:rPr>
        <w:t>万元。</w:t>
      </w:r>
    </w:p>
    <w:p>
      <w:pPr>
        <w:pStyle w:val="5"/>
        <w:shd w:val="clear"/>
        <w:spacing w:line="580" w:lineRule="exact"/>
        <w:ind w:left="480" w:leftChars="200"/>
        <w:rPr>
          <w:rFonts w:ascii="黑体" w:hAnsi="宋体" w:eastAsia="黑体" w:cs="黑体"/>
          <w:b w:val="0"/>
          <w:bCs w:val="0"/>
          <w:kern w:val="0"/>
          <w:sz w:val="32"/>
          <w:szCs w:val="32"/>
          <w:shd w:val="clear" w:color="auto" w:fill="FFFFFF"/>
        </w:rPr>
      </w:pPr>
      <w:bookmarkStart w:id="30" w:name="_Toc16712"/>
      <w:bookmarkStart w:id="31" w:name="_Toc28592"/>
      <w:bookmarkStart w:id="32" w:name="_Toc25315"/>
      <w:r>
        <w:rPr>
          <w:rFonts w:hint="eastAsia" w:ascii="黑体" w:hAnsi="宋体" w:eastAsia="黑体" w:cs="黑体"/>
          <w:b w:val="0"/>
          <w:bCs w:val="0"/>
          <w:kern w:val="0"/>
          <w:sz w:val="32"/>
          <w:szCs w:val="32"/>
          <w:shd w:val="clear" w:color="auto" w:fill="FFFFFF"/>
        </w:rPr>
        <w:t>五、一般公共预算当年拨款情况说明</w:t>
      </w:r>
      <w:bookmarkEnd w:id="30"/>
      <w:bookmarkEnd w:id="31"/>
      <w:bookmarkEnd w:id="32"/>
    </w:p>
    <w:p>
      <w:pPr>
        <w:pStyle w:val="6"/>
        <w:shd w:val="clear"/>
        <w:spacing w:line="580" w:lineRule="exact"/>
        <w:ind w:left="382"/>
      </w:pPr>
      <w:bookmarkStart w:id="33" w:name="_Toc16823"/>
      <w:bookmarkStart w:id="34" w:name="_Toc12683"/>
      <w:bookmarkStart w:id="35" w:name="_Toc22963"/>
      <w:r>
        <w:rPr>
          <w:rFonts w:hint="eastAsia"/>
        </w:rPr>
        <w:t>（一）一般公共预算当年拨款规模变化情况</w:t>
      </w:r>
      <w:bookmarkEnd w:id="33"/>
      <w:bookmarkEnd w:id="34"/>
      <w:bookmarkEnd w:id="35"/>
    </w:p>
    <w:p>
      <w:pPr>
        <w:widowControl/>
        <w:shd w:val="clear" w:color="auto"/>
        <w:suppressAutoHyphens/>
        <w:spacing w:line="580" w:lineRule="exact"/>
        <w:ind w:firstLine="668"/>
        <w:rPr>
          <w:rFonts w:hint="eastAsia" w:ascii="仿宋_GB2312" w:hAnsi="Times New Roman" w:eastAsia="仿宋_GB2312" w:cs="仿宋_GB2312"/>
          <w:kern w:val="0"/>
          <w:sz w:val="32"/>
          <w:szCs w:val="32"/>
          <w:shd w:val="clear" w:color="auto" w:fill="FFFFFF"/>
          <w:lang w:val="en-US" w:eastAsia="zh-CN"/>
        </w:rPr>
      </w:pPr>
      <w:r>
        <w:rPr>
          <w:rFonts w:hint="eastAsia" w:ascii="仿宋_GB2312" w:hAnsi="Times New Roman" w:eastAsia="仿宋_GB2312" w:cs="仿宋_GB2312"/>
          <w:kern w:val="0"/>
          <w:sz w:val="32"/>
          <w:szCs w:val="32"/>
          <w:shd w:val="clear" w:color="auto" w:fill="FFFFFF"/>
        </w:rPr>
        <w:t>广元市广播电视台2024年一般公共预算当年拨款3312.76万元，比2023年预算数增加305.98万元，</w:t>
      </w:r>
      <w:bookmarkStart w:id="36" w:name="_Toc9603"/>
      <w:r>
        <w:rPr>
          <w:rFonts w:hint="eastAsia" w:ascii="仿宋_GB2312" w:hAnsi="Times New Roman" w:eastAsia="仿宋_GB2312" w:cs="仿宋_GB2312"/>
          <w:kern w:val="0"/>
          <w:sz w:val="32"/>
          <w:szCs w:val="32"/>
          <w:shd w:val="clear" w:color="auto" w:fill="FFFFFF"/>
        </w:rPr>
        <w:t>主要原因是财政将在编人员基础目标奖由定额拨款改为全额拨款。</w:t>
      </w:r>
      <w:r>
        <w:rPr>
          <w:rFonts w:hint="eastAsia" w:ascii="仿宋_GB2312" w:hAnsi="Times New Roman" w:eastAsia="仿宋_GB2312" w:cs="仿宋_GB2312"/>
          <w:kern w:val="0"/>
          <w:sz w:val="32"/>
          <w:szCs w:val="32"/>
          <w:shd w:val="clear" w:color="auto" w:fill="FFFFFF"/>
          <w:lang w:val="en-US" w:eastAsia="zh-CN"/>
        </w:rPr>
        <w:t xml:space="preserve">      </w:t>
      </w:r>
    </w:p>
    <w:p>
      <w:pPr>
        <w:pStyle w:val="6"/>
        <w:shd w:val="clear"/>
        <w:bidi w:val="0"/>
        <w:ind w:firstLine="562" w:firstLineChars="200"/>
        <w:rPr>
          <w:rFonts w:eastAsia="宋体" w:asciiTheme="majorHAnsi" w:hAnsiTheme="majorHAnsi" w:cstheme="majorBidi"/>
          <w:b/>
          <w:bCs/>
          <w:szCs w:val="32"/>
        </w:rPr>
      </w:pPr>
      <w:bookmarkStart w:id="37" w:name="_Toc18025"/>
      <w:bookmarkStart w:id="38" w:name="_Toc32671"/>
      <w:r>
        <w:rPr>
          <w:rFonts w:hint="eastAsia"/>
        </w:rPr>
        <w:t>（二）一般公共预算当年拨款结构情况</w:t>
      </w:r>
      <w:bookmarkEnd w:id="36"/>
      <w:bookmarkEnd w:id="37"/>
      <w:bookmarkEnd w:id="38"/>
    </w:p>
    <w:p>
      <w:pPr>
        <w:widowControl/>
        <w:shd w:val="clear" w:color="auto"/>
        <w:suppressAutoHyphens/>
        <w:spacing w:line="580" w:lineRule="exact"/>
        <w:ind w:firstLine="668"/>
        <w:rPr>
          <w:rFonts w:ascii="仿宋_GB2312" w:hAnsi="Times New Roman" w:eastAsia="仿宋_GB2312" w:cs="仿宋_GB2312"/>
          <w:kern w:val="0"/>
          <w:sz w:val="32"/>
          <w:szCs w:val="32"/>
          <w:shd w:val="clear" w:color="auto" w:fill="FFFFFF"/>
        </w:rPr>
      </w:pPr>
      <w:r>
        <w:rPr>
          <w:rFonts w:hint="eastAsia" w:ascii="仿宋_GB2312" w:hAnsi="Times New Roman" w:eastAsia="仿宋_GB2312" w:cs="仿宋_GB2312"/>
          <w:kern w:val="0"/>
          <w:sz w:val="32"/>
          <w:szCs w:val="32"/>
          <w:shd w:val="clear" w:color="auto" w:fill="FFFFFF"/>
        </w:rPr>
        <w:t>文化旅游体育与传媒支出</w:t>
      </w:r>
      <w:r>
        <w:rPr>
          <w:rFonts w:ascii="仿宋_GB2312" w:hAnsi="Times New Roman" w:eastAsia="仿宋_GB2312" w:cs="仿宋_GB2312"/>
          <w:kern w:val="0"/>
          <w:sz w:val="32"/>
          <w:szCs w:val="32"/>
          <w:shd w:val="clear" w:color="auto" w:fill="FFFFFF"/>
        </w:rPr>
        <w:t>2893.3</w:t>
      </w:r>
      <w:r>
        <w:rPr>
          <w:rFonts w:hint="eastAsia" w:ascii="仿宋_GB2312" w:hAnsi="Times New Roman" w:eastAsia="仿宋_GB2312" w:cs="仿宋_GB2312"/>
          <w:kern w:val="0"/>
          <w:sz w:val="32"/>
          <w:szCs w:val="32"/>
          <w:shd w:val="clear" w:color="auto" w:fill="FFFFFF"/>
        </w:rPr>
        <w:t>万元，占87.34%；社会保障和就业支出</w:t>
      </w:r>
      <w:r>
        <w:rPr>
          <w:rFonts w:ascii="仿宋_GB2312" w:hAnsi="Times New Roman" w:eastAsia="仿宋_GB2312" w:cs="仿宋_GB2312"/>
          <w:kern w:val="0"/>
          <w:sz w:val="32"/>
          <w:szCs w:val="32"/>
          <w:shd w:val="clear" w:color="auto" w:fill="FFFFFF"/>
        </w:rPr>
        <w:t>195.76</w:t>
      </w:r>
      <w:r>
        <w:rPr>
          <w:rFonts w:hint="eastAsia" w:ascii="仿宋_GB2312" w:hAnsi="Times New Roman" w:eastAsia="仿宋_GB2312" w:cs="仿宋_GB2312"/>
          <w:kern w:val="0"/>
          <w:sz w:val="32"/>
          <w:szCs w:val="32"/>
          <w:shd w:val="clear" w:color="auto" w:fill="FFFFFF"/>
        </w:rPr>
        <w:t>万元，占5.91%；卫生健康支出</w:t>
      </w:r>
      <w:r>
        <w:rPr>
          <w:rFonts w:ascii="仿宋_GB2312" w:hAnsi="Times New Roman" w:eastAsia="仿宋_GB2312" w:cs="仿宋_GB2312"/>
          <w:kern w:val="0"/>
          <w:sz w:val="32"/>
          <w:szCs w:val="32"/>
          <w:shd w:val="clear" w:color="auto" w:fill="FFFFFF"/>
        </w:rPr>
        <w:t>62.35</w:t>
      </w:r>
      <w:r>
        <w:rPr>
          <w:rFonts w:hint="eastAsia" w:ascii="仿宋_GB2312" w:hAnsi="Times New Roman" w:eastAsia="仿宋_GB2312" w:cs="仿宋_GB2312"/>
          <w:kern w:val="0"/>
          <w:sz w:val="32"/>
          <w:szCs w:val="32"/>
          <w:shd w:val="clear" w:color="auto" w:fill="FFFFFF"/>
        </w:rPr>
        <w:t>万元，占1.88%；住房保障支出</w:t>
      </w:r>
      <w:r>
        <w:rPr>
          <w:rFonts w:ascii="仿宋_GB2312" w:hAnsi="Times New Roman" w:eastAsia="仿宋_GB2312" w:cs="仿宋_GB2312"/>
          <w:kern w:val="0"/>
          <w:sz w:val="32"/>
          <w:szCs w:val="32"/>
          <w:shd w:val="clear" w:color="auto" w:fill="FFFFFF"/>
        </w:rPr>
        <w:t>161.35</w:t>
      </w:r>
      <w:r>
        <w:rPr>
          <w:rFonts w:hint="eastAsia" w:ascii="仿宋_GB2312" w:hAnsi="Times New Roman" w:eastAsia="仿宋_GB2312" w:cs="仿宋_GB2312"/>
          <w:kern w:val="0"/>
          <w:sz w:val="32"/>
          <w:szCs w:val="32"/>
          <w:shd w:val="clear" w:color="auto" w:fill="FFFFFF"/>
        </w:rPr>
        <w:t>万元，占4.87%。</w:t>
      </w:r>
    </w:p>
    <w:p>
      <w:pPr>
        <w:pStyle w:val="6"/>
        <w:shd w:val="clear"/>
        <w:spacing w:line="580" w:lineRule="exact"/>
        <w:ind w:left="382"/>
      </w:pPr>
      <w:bookmarkStart w:id="39" w:name="_Toc1526"/>
      <w:bookmarkStart w:id="40" w:name="_Toc963"/>
      <w:bookmarkStart w:id="41" w:name="_Toc11120"/>
      <w:r>
        <w:rPr>
          <w:rFonts w:hint="eastAsia"/>
        </w:rPr>
        <w:t>（三）一般公共预算当年拨款具体使用情况</w:t>
      </w:r>
      <w:bookmarkEnd w:id="39"/>
      <w:bookmarkEnd w:id="40"/>
      <w:bookmarkEnd w:id="41"/>
    </w:p>
    <w:p>
      <w:pPr>
        <w:widowControl/>
        <w:shd w:val="clear" w:color="auto"/>
        <w:suppressAutoHyphens/>
        <w:spacing w:line="580" w:lineRule="exact"/>
        <w:ind w:firstLine="668"/>
        <w:rPr>
          <w:rFonts w:ascii="仿宋_GB2312" w:hAnsi="Times New Roman" w:eastAsia="仿宋_GB2312" w:cs="仿宋_GB2312"/>
          <w:kern w:val="0"/>
          <w:sz w:val="32"/>
          <w:szCs w:val="32"/>
          <w:shd w:val="clear" w:color="auto" w:fill="FFFFFF"/>
        </w:rPr>
      </w:pPr>
      <w:r>
        <w:rPr>
          <w:rFonts w:hint="eastAsia" w:ascii="仿宋_GB2312" w:hAnsi="Times New Roman" w:eastAsia="仿宋_GB2312" w:cs="仿宋_GB2312"/>
          <w:kern w:val="0"/>
          <w:sz w:val="32"/>
          <w:szCs w:val="32"/>
          <w:shd w:val="clear" w:color="auto" w:fill="FFFFFF"/>
        </w:rPr>
        <w:t>1.文化旅游体育与传媒（类）广播电视（款）电视（项）2024年预算数为</w:t>
      </w:r>
      <w:r>
        <w:rPr>
          <w:rFonts w:ascii="仿宋_GB2312" w:hAnsi="Times New Roman" w:eastAsia="仿宋_GB2312" w:cs="仿宋_GB2312"/>
          <w:kern w:val="0"/>
          <w:sz w:val="32"/>
          <w:szCs w:val="32"/>
          <w:shd w:val="clear" w:color="auto" w:fill="FFFFFF"/>
        </w:rPr>
        <w:t>2893.3</w:t>
      </w:r>
      <w:r>
        <w:rPr>
          <w:rFonts w:hint="eastAsia" w:ascii="仿宋_GB2312" w:hAnsi="Times New Roman" w:eastAsia="仿宋_GB2312" w:cs="仿宋_GB2312"/>
          <w:kern w:val="0"/>
          <w:sz w:val="32"/>
          <w:szCs w:val="32"/>
          <w:shd w:val="clear" w:color="auto" w:fill="FFFFFF"/>
        </w:rPr>
        <w:t>万元，主要用于：部门人员工资福利支出、商品和服务支出、资本性支出及对个人和家庭补助。</w:t>
      </w:r>
    </w:p>
    <w:p>
      <w:pPr>
        <w:widowControl/>
        <w:shd w:val="clear" w:color="auto"/>
        <w:suppressAutoHyphens/>
        <w:spacing w:line="580" w:lineRule="exact"/>
        <w:ind w:firstLine="668"/>
        <w:rPr>
          <w:rFonts w:ascii="仿宋_GB2312" w:hAnsi="Times New Roman" w:eastAsia="仿宋_GB2312" w:cs="仿宋_GB2312"/>
          <w:kern w:val="0"/>
          <w:sz w:val="32"/>
          <w:szCs w:val="32"/>
          <w:shd w:val="clear" w:color="auto" w:fill="FFFFFF"/>
        </w:rPr>
      </w:pPr>
      <w:r>
        <w:rPr>
          <w:rFonts w:hint="eastAsia" w:ascii="仿宋_GB2312" w:hAnsi="Times New Roman" w:eastAsia="仿宋_GB2312" w:cs="仿宋_GB2312"/>
          <w:kern w:val="0"/>
          <w:sz w:val="32"/>
          <w:szCs w:val="32"/>
          <w:shd w:val="clear" w:color="auto" w:fill="FFFFFF"/>
          <w:lang w:val="en-US" w:eastAsia="zh-CN"/>
        </w:rPr>
        <w:t>2</w:t>
      </w:r>
      <w:r>
        <w:rPr>
          <w:rFonts w:hint="eastAsia" w:ascii="仿宋_GB2312" w:hAnsi="Times New Roman" w:eastAsia="仿宋_GB2312" w:cs="仿宋_GB2312"/>
          <w:kern w:val="0"/>
          <w:sz w:val="32"/>
          <w:szCs w:val="32"/>
          <w:shd w:val="clear" w:color="auto" w:fill="FFFFFF"/>
        </w:rPr>
        <w:t>.社会保障和就业（类）行政事业单位养老支出（款）机关事业单位基本养老保险缴费支出（项）2024年预算数为189.44万元，主要用于：实施养老保险制度由单位缴纳的基本养老保险支出。</w:t>
      </w:r>
    </w:p>
    <w:p>
      <w:pPr>
        <w:widowControl/>
        <w:shd w:val="clear" w:color="auto"/>
        <w:suppressAutoHyphens/>
        <w:spacing w:line="580" w:lineRule="exact"/>
        <w:ind w:firstLine="668"/>
        <w:rPr>
          <w:rFonts w:ascii="仿宋_GB2312" w:hAnsi="Times New Roman" w:eastAsia="仿宋_GB2312" w:cs="仿宋_GB2312"/>
          <w:kern w:val="0"/>
          <w:sz w:val="32"/>
          <w:szCs w:val="32"/>
          <w:shd w:val="clear" w:color="auto" w:fill="FFFFFF"/>
        </w:rPr>
      </w:pPr>
      <w:r>
        <w:rPr>
          <w:rFonts w:hint="eastAsia" w:ascii="仿宋_GB2312" w:hAnsi="Times New Roman" w:eastAsia="仿宋_GB2312" w:cs="仿宋_GB2312"/>
          <w:kern w:val="0"/>
          <w:sz w:val="32"/>
          <w:szCs w:val="32"/>
          <w:shd w:val="clear" w:color="auto" w:fill="FFFFFF"/>
          <w:lang w:val="en-US" w:eastAsia="zh-CN"/>
        </w:rPr>
        <w:t>3</w:t>
      </w:r>
      <w:r>
        <w:rPr>
          <w:rFonts w:hint="eastAsia" w:ascii="仿宋_GB2312" w:hAnsi="Times New Roman" w:eastAsia="仿宋_GB2312" w:cs="仿宋_GB2312"/>
          <w:kern w:val="0"/>
          <w:sz w:val="32"/>
          <w:szCs w:val="32"/>
          <w:shd w:val="clear" w:color="auto" w:fill="FFFFFF"/>
        </w:rPr>
        <w:t>.社会保障和就业（类）其他社会保障和就业支出 （款）其他社会保障和就业支出 （项）2024年预算数为6.32万元，主要用于：部门其他用于社会保障和就业方面的支出。</w:t>
      </w:r>
    </w:p>
    <w:p>
      <w:pPr>
        <w:widowControl/>
        <w:shd w:val="clear" w:color="auto"/>
        <w:suppressAutoHyphens/>
        <w:spacing w:line="580" w:lineRule="exact"/>
        <w:ind w:firstLine="668"/>
        <w:rPr>
          <w:rFonts w:ascii="仿宋_GB2312" w:hAnsi="Times New Roman" w:eastAsia="仿宋_GB2312" w:cs="仿宋_GB2312"/>
          <w:kern w:val="0"/>
          <w:sz w:val="32"/>
          <w:szCs w:val="32"/>
          <w:shd w:val="clear" w:color="auto" w:fill="FFFFFF"/>
        </w:rPr>
      </w:pPr>
      <w:r>
        <w:rPr>
          <w:rFonts w:hint="eastAsia" w:ascii="仿宋_GB2312" w:hAnsi="Times New Roman" w:eastAsia="仿宋_GB2312" w:cs="仿宋_GB2312"/>
          <w:kern w:val="0"/>
          <w:sz w:val="32"/>
          <w:szCs w:val="32"/>
          <w:shd w:val="clear" w:color="auto" w:fill="FFFFFF"/>
        </w:rPr>
        <w:t>4.卫生健康（类）行政事业单位医疗（款）事业单位医疗（项）2024年预算数为62.35万元，主要用于：部门按规定由单位缴纳的基本医疗保险支出。</w:t>
      </w:r>
    </w:p>
    <w:p>
      <w:pPr>
        <w:widowControl/>
        <w:shd w:val="clear" w:color="auto"/>
        <w:suppressAutoHyphens/>
        <w:spacing w:line="580" w:lineRule="exact"/>
        <w:ind w:firstLine="668"/>
        <w:rPr>
          <w:rFonts w:ascii="仿宋_GB2312" w:hAnsi="Times New Roman" w:eastAsia="仿宋_GB2312" w:cs="仿宋_GB2312"/>
          <w:kern w:val="0"/>
          <w:sz w:val="32"/>
          <w:szCs w:val="32"/>
          <w:shd w:val="clear" w:color="auto" w:fill="FFFFFF"/>
        </w:rPr>
      </w:pPr>
      <w:r>
        <w:rPr>
          <w:rFonts w:hint="eastAsia" w:ascii="仿宋_GB2312" w:hAnsi="Times New Roman" w:eastAsia="仿宋_GB2312" w:cs="仿宋_GB2312"/>
          <w:kern w:val="0"/>
          <w:sz w:val="32"/>
          <w:szCs w:val="32"/>
          <w:shd w:val="clear" w:color="auto" w:fill="FFFFFF"/>
        </w:rPr>
        <w:t>5.住房保障（类）住房改革支出（款）住房公积金（项）2024年预算数为</w:t>
      </w:r>
      <w:r>
        <w:rPr>
          <w:rFonts w:ascii="仿宋_GB2312" w:hAnsi="Times New Roman" w:eastAsia="仿宋_GB2312" w:cs="仿宋_GB2312"/>
          <w:kern w:val="0"/>
          <w:sz w:val="32"/>
          <w:szCs w:val="32"/>
          <w:shd w:val="clear" w:color="auto" w:fill="FFFFFF"/>
        </w:rPr>
        <w:t>161.35</w:t>
      </w:r>
      <w:r>
        <w:rPr>
          <w:rFonts w:hint="eastAsia" w:ascii="仿宋_GB2312" w:hAnsi="Times New Roman" w:eastAsia="仿宋_GB2312" w:cs="仿宋_GB2312"/>
          <w:kern w:val="0"/>
          <w:sz w:val="32"/>
          <w:szCs w:val="32"/>
          <w:shd w:val="clear" w:color="auto" w:fill="FFFFFF"/>
        </w:rPr>
        <w:t>万元，主要用于：部门按规定为职工缴纳的住房公积金支出。</w:t>
      </w:r>
    </w:p>
    <w:p>
      <w:pPr>
        <w:pStyle w:val="5"/>
        <w:shd w:val="clear"/>
        <w:spacing w:line="580" w:lineRule="exact"/>
        <w:ind w:firstLine="640" w:firstLineChars="200"/>
        <w:rPr>
          <w:rFonts w:ascii="黑体" w:hAnsi="宋体" w:eastAsia="黑体" w:cs="黑体"/>
          <w:b w:val="0"/>
          <w:bCs w:val="0"/>
          <w:kern w:val="0"/>
          <w:sz w:val="32"/>
          <w:szCs w:val="32"/>
          <w:shd w:val="clear" w:color="auto" w:fill="FFFFFF"/>
        </w:rPr>
      </w:pPr>
      <w:bookmarkStart w:id="42" w:name="_Toc14505"/>
      <w:bookmarkStart w:id="43" w:name="_Toc24906"/>
      <w:bookmarkStart w:id="44" w:name="_Toc1293"/>
      <w:r>
        <w:rPr>
          <w:rFonts w:hint="eastAsia" w:ascii="黑体" w:hAnsi="宋体" w:eastAsia="黑体" w:cs="黑体"/>
          <w:b w:val="0"/>
          <w:bCs w:val="0"/>
          <w:kern w:val="0"/>
          <w:sz w:val="32"/>
          <w:szCs w:val="32"/>
          <w:shd w:val="clear" w:color="auto" w:fill="FFFFFF"/>
        </w:rPr>
        <w:t>六、一般公共预算基本支出情况说明</w:t>
      </w:r>
      <w:bookmarkEnd w:id="42"/>
      <w:bookmarkEnd w:id="43"/>
      <w:bookmarkEnd w:id="44"/>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Times New Roman" w:eastAsia="仿宋_GB2312" w:cs="仿宋_GB2312"/>
          <w:kern w:val="0"/>
          <w:sz w:val="32"/>
          <w:szCs w:val="32"/>
          <w:shd w:val="clear" w:color="auto" w:fill="FFFFFF"/>
        </w:rPr>
        <w:t>广元市广播电视台</w:t>
      </w:r>
      <w:r>
        <w:rPr>
          <w:rFonts w:hint="eastAsia" w:ascii="仿宋_GB2312" w:hAnsi="仿宋_GB2312" w:eastAsia="仿宋_GB2312" w:cs="仿宋_GB2312"/>
          <w:sz w:val="32"/>
          <w:szCs w:val="32"/>
        </w:rPr>
        <w:t>2024年一般公共预算基本支出</w:t>
      </w:r>
      <w:r>
        <w:rPr>
          <w:rFonts w:ascii="仿宋_GB2312" w:hAnsi="仿宋_GB2312" w:eastAsia="仿宋_GB2312" w:cs="仿宋_GB2312"/>
          <w:sz w:val="32"/>
          <w:szCs w:val="32"/>
        </w:rPr>
        <w:t>1987.76</w:t>
      </w:r>
      <w:r>
        <w:rPr>
          <w:rFonts w:hint="eastAsia" w:ascii="仿宋_GB2312" w:hAnsi="仿宋_GB2312" w:eastAsia="仿宋_GB2312" w:cs="仿宋_GB2312"/>
          <w:sz w:val="32"/>
          <w:szCs w:val="32"/>
        </w:rPr>
        <w:t>万元，其中：</w:t>
      </w:r>
    </w:p>
    <w:p>
      <w:pPr>
        <w:widowControl/>
        <w:shd w:val="clear" w:color="auto"/>
        <w:suppressAutoHyphens/>
        <w:spacing w:line="580" w:lineRule="exact"/>
        <w:ind w:firstLine="640" w:firstLineChars="200"/>
        <w:rPr>
          <w:rFonts w:ascii="仿宋_GB2312" w:hAnsi="Times New Roman" w:eastAsia="仿宋_GB2312" w:cs="仿宋_GB2312"/>
          <w:kern w:val="0"/>
          <w:sz w:val="32"/>
          <w:szCs w:val="32"/>
          <w:shd w:val="clear" w:color="auto" w:fill="FFFFFF"/>
        </w:rPr>
      </w:pPr>
      <w:r>
        <w:rPr>
          <w:rFonts w:hint="eastAsia" w:ascii="仿宋_GB2312" w:hAnsi="Times New Roman" w:eastAsia="仿宋_GB2312" w:cs="仿宋_GB2312"/>
          <w:kern w:val="0"/>
          <w:sz w:val="32"/>
          <w:szCs w:val="32"/>
          <w:shd w:val="clear" w:color="auto" w:fill="FFFFFF"/>
        </w:rPr>
        <w:t>人员经费</w:t>
      </w:r>
      <w:r>
        <w:rPr>
          <w:rFonts w:ascii="仿宋_GB2312" w:hAnsi="Times New Roman" w:eastAsia="仿宋_GB2312" w:cs="仿宋_GB2312"/>
          <w:kern w:val="0"/>
          <w:sz w:val="32"/>
          <w:szCs w:val="32"/>
          <w:shd w:val="clear" w:color="auto" w:fill="FFFFFF"/>
        </w:rPr>
        <w:t>1816.88</w:t>
      </w:r>
      <w:r>
        <w:rPr>
          <w:rFonts w:hint="eastAsia" w:ascii="仿宋_GB2312" w:hAnsi="Times New Roman" w:eastAsia="仿宋_GB2312" w:cs="仿宋_GB2312"/>
          <w:kern w:val="0"/>
          <w:sz w:val="32"/>
          <w:szCs w:val="32"/>
          <w:shd w:val="clear" w:color="auto" w:fill="FFFFFF"/>
        </w:rPr>
        <w:t>万元，主要包括：基本工资、津贴补贴、奖金、绩效工资、</w:t>
      </w:r>
      <w:r>
        <w:rPr>
          <w:rFonts w:ascii="仿宋_GB2312" w:hAnsi="Times New Roman" w:eastAsia="仿宋_GB2312" w:cs="仿宋_GB2312"/>
          <w:kern w:val="0"/>
          <w:sz w:val="32"/>
          <w:szCs w:val="32"/>
          <w:shd w:val="clear" w:color="auto" w:fill="FFFFFF"/>
        </w:rPr>
        <w:t>机关事业单位基本养老保险缴费</w:t>
      </w:r>
      <w:r>
        <w:rPr>
          <w:rFonts w:hint="eastAsia" w:ascii="仿宋_GB2312" w:hAnsi="Times New Roman" w:eastAsia="仿宋_GB2312" w:cs="仿宋_GB2312"/>
          <w:kern w:val="0"/>
          <w:sz w:val="32"/>
          <w:szCs w:val="32"/>
          <w:shd w:val="clear" w:color="auto" w:fill="FFFFFF"/>
        </w:rPr>
        <w:t>、</w:t>
      </w:r>
      <w:r>
        <w:rPr>
          <w:rFonts w:ascii="仿宋_GB2312" w:hAnsi="Times New Roman" w:eastAsia="仿宋_GB2312" w:cs="仿宋_GB2312"/>
          <w:kern w:val="0"/>
          <w:sz w:val="32"/>
          <w:szCs w:val="32"/>
          <w:shd w:val="clear" w:color="auto" w:fill="FFFFFF"/>
        </w:rPr>
        <w:t>职工基本医疗保险缴费</w:t>
      </w:r>
      <w:r>
        <w:rPr>
          <w:rFonts w:hint="eastAsia" w:ascii="仿宋_GB2312" w:hAnsi="Times New Roman" w:eastAsia="仿宋_GB2312" w:cs="仿宋_GB2312"/>
          <w:kern w:val="0"/>
          <w:sz w:val="32"/>
          <w:szCs w:val="32"/>
          <w:shd w:val="clear" w:color="auto" w:fill="FFFFFF"/>
        </w:rPr>
        <w:t>、</w:t>
      </w:r>
      <w:r>
        <w:rPr>
          <w:rFonts w:ascii="仿宋_GB2312" w:hAnsi="Times New Roman" w:eastAsia="仿宋_GB2312" w:cs="仿宋_GB2312"/>
          <w:kern w:val="0"/>
          <w:sz w:val="32"/>
          <w:szCs w:val="32"/>
          <w:shd w:val="clear" w:color="auto" w:fill="FFFFFF"/>
        </w:rPr>
        <w:t>其他社会保障缴费</w:t>
      </w:r>
      <w:r>
        <w:rPr>
          <w:rFonts w:hint="eastAsia" w:ascii="仿宋_GB2312" w:hAnsi="Times New Roman" w:eastAsia="仿宋_GB2312" w:cs="仿宋_GB2312"/>
          <w:kern w:val="0"/>
          <w:sz w:val="32"/>
          <w:szCs w:val="32"/>
          <w:shd w:val="clear" w:color="auto" w:fill="FFFFFF"/>
        </w:rPr>
        <w:t>、住房公积金、生活补助等支出。</w:t>
      </w:r>
    </w:p>
    <w:p>
      <w:pPr>
        <w:widowControl/>
        <w:shd w:val="clear" w:color="auto"/>
        <w:suppressAutoHyphens/>
        <w:spacing w:line="580" w:lineRule="exact"/>
        <w:ind w:firstLine="668"/>
        <w:rPr>
          <w:rFonts w:ascii="仿宋_GB2312" w:hAnsi="Times New Roman" w:eastAsia="仿宋_GB2312" w:cs="仿宋_GB2312"/>
          <w:kern w:val="0"/>
          <w:sz w:val="32"/>
          <w:szCs w:val="32"/>
          <w:shd w:val="clear" w:color="auto" w:fill="FFFFFF"/>
        </w:rPr>
      </w:pPr>
      <w:r>
        <w:rPr>
          <w:rFonts w:hint="eastAsia" w:ascii="仿宋_GB2312" w:hAnsi="Times New Roman" w:eastAsia="仿宋_GB2312" w:cs="仿宋_GB2312"/>
          <w:kern w:val="0"/>
          <w:sz w:val="32"/>
          <w:szCs w:val="32"/>
          <w:shd w:val="clear" w:color="auto" w:fill="FFFFFF"/>
        </w:rPr>
        <w:t>公用经费</w:t>
      </w:r>
      <w:r>
        <w:rPr>
          <w:rFonts w:ascii="仿宋_GB2312" w:hAnsi="Times New Roman" w:eastAsia="仿宋_GB2312" w:cs="仿宋_GB2312"/>
          <w:kern w:val="0"/>
          <w:sz w:val="32"/>
          <w:szCs w:val="32"/>
          <w:shd w:val="clear" w:color="auto" w:fill="FFFFFF"/>
        </w:rPr>
        <w:t>170.88</w:t>
      </w:r>
      <w:r>
        <w:rPr>
          <w:rFonts w:hint="eastAsia" w:ascii="仿宋_GB2312" w:hAnsi="Times New Roman" w:eastAsia="仿宋_GB2312" w:cs="仿宋_GB2312"/>
          <w:kern w:val="0"/>
          <w:sz w:val="32"/>
          <w:szCs w:val="32"/>
          <w:shd w:val="clear" w:color="auto" w:fill="FFFFFF"/>
        </w:rPr>
        <w:t>万元，主要包括：办公费、印刷费、邮电费、物业管理费、差旅费、  租赁费、公务接待费、劳务费、工会经费、福利费、公务用车运行维护费、  其他商品和服务支出等支出。</w:t>
      </w:r>
    </w:p>
    <w:p>
      <w:pPr>
        <w:pStyle w:val="5"/>
        <w:shd w:val="clear"/>
        <w:spacing w:line="580" w:lineRule="exact"/>
        <w:ind w:firstLine="640" w:firstLineChars="200"/>
        <w:rPr>
          <w:rFonts w:ascii="黑体" w:hAnsi="宋体" w:eastAsia="黑体" w:cs="黑体"/>
          <w:b w:val="0"/>
          <w:bCs w:val="0"/>
          <w:kern w:val="0"/>
          <w:sz w:val="32"/>
          <w:szCs w:val="32"/>
          <w:shd w:val="clear" w:color="auto" w:fill="FFFFFF"/>
        </w:rPr>
      </w:pPr>
      <w:bookmarkStart w:id="45" w:name="_Toc8739"/>
      <w:bookmarkStart w:id="46" w:name="_Toc9855"/>
      <w:bookmarkStart w:id="47" w:name="_Toc24659"/>
      <w:r>
        <w:rPr>
          <w:rFonts w:hint="eastAsia" w:ascii="黑体" w:hAnsi="宋体" w:eastAsia="黑体" w:cs="黑体"/>
          <w:b w:val="0"/>
          <w:bCs w:val="0"/>
          <w:kern w:val="0"/>
          <w:sz w:val="32"/>
          <w:szCs w:val="32"/>
          <w:shd w:val="clear" w:color="auto" w:fill="FFFFFF"/>
        </w:rPr>
        <w:t>七、“三公”经费财政拨款预算安排情况说明</w:t>
      </w:r>
      <w:bookmarkEnd w:id="45"/>
      <w:bookmarkEnd w:id="46"/>
      <w:bookmarkEnd w:id="47"/>
    </w:p>
    <w:p>
      <w:pPr>
        <w:widowControl/>
        <w:shd w:val="clear" w:color="auto"/>
        <w:suppressAutoHyphens/>
        <w:spacing w:line="580" w:lineRule="exact"/>
        <w:ind w:firstLine="668"/>
        <w:rPr>
          <w:rFonts w:ascii="仿宋_GB2312" w:hAnsi="Times New Roman" w:eastAsia="仿宋_GB2312" w:cs="仿宋_GB2312"/>
          <w:kern w:val="0"/>
          <w:sz w:val="32"/>
          <w:szCs w:val="32"/>
          <w:shd w:val="clear" w:color="auto" w:fill="FFFFFF"/>
        </w:rPr>
      </w:pPr>
      <w:r>
        <w:rPr>
          <w:rFonts w:hint="eastAsia" w:ascii="仿宋_GB2312" w:hAnsi="Times New Roman" w:eastAsia="仿宋_GB2312" w:cs="仿宋_GB2312"/>
          <w:kern w:val="0"/>
          <w:sz w:val="32"/>
          <w:szCs w:val="32"/>
          <w:shd w:val="clear" w:color="auto" w:fill="FFFFFF"/>
        </w:rPr>
        <w:t>广元市广播电视台2024年“三公”经费财政拨款预算数18.5万元，其中：公务接待费1.5万元，公务用车购置及运行费17万元，因公出国（境）经费0万元。</w:t>
      </w:r>
    </w:p>
    <w:p>
      <w:pPr>
        <w:pStyle w:val="32"/>
        <w:numPr>
          <w:ilvl w:val="0"/>
          <w:numId w:val="3"/>
        </w:numPr>
        <w:shd w:val="clear"/>
        <w:ind w:firstLineChars="0"/>
        <w:outlineLvl w:val="1"/>
        <w:rPr>
          <w:rFonts w:hint="eastAsia" w:ascii="仿宋_GB2312" w:hAnsi="Times New Roman" w:eastAsia="仿宋_GB2312" w:cs="仿宋_GB2312"/>
          <w:kern w:val="0"/>
          <w:sz w:val="32"/>
          <w:szCs w:val="32"/>
          <w:shd w:val="clear" w:color="auto" w:fill="FFFFFF"/>
        </w:rPr>
      </w:pPr>
      <w:bookmarkStart w:id="48" w:name="_Toc18881"/>
      <w:r>
        <w:rPr>
          <w:rFonts w:hint="eastAsia" w:ascii="仿宋_GB2312" w:hAnsi="Times New Roman" w:eastAsia="仿宋_GB2312" w:cs="仿宋_GB2312"/>
          <w:kern w:val="0"/>
          <w:sz w:val="32"/>
          <w:szCs w:val="32"/>
          <w:shd w:val="clear" w:color="auto" w:fill="FFFFFF"/>
        </w:rPr>
        <w:t>公务接待费</w:t>
      </w:r>
      <w:bookmarkEnd w:id="48"/>
    </w:p>
    <w:p>
      <w:pPr>
        <w:shd w:val="clear"/>
        <w:ind w:firstLine="640" w:firstLineChars="200"/>
        <w:rPr>
          <w:rFonts w:ascii="仿宋_GB2312" w:hAnsi="Times New Roman" w:eastAsia="仿宋_GB2312" w:cs="仿宋_GB2312"/>
          <w:kern w:val="0"/>
          <w:sz w:val="32"/>
          <w:szCs w:val="32"/>
          <w:shd w:val="clear" w:color="auto" w:fill="FFFFFF"/>
        </w:rPr>
      </w:pPr>
      <w:r>
        <w:rPr>
          <w:rFonts w:hint="eastAsia" w:ascii="仿宋_GB2312" w:hAnsi="仿宋_GB2312" w:eastAsia="仿宋_GB2312" w:cs="仿宋_GB2312"/>
          <w:sz w:val="32"/>
          <w:szCs w:val="32"/>
        </w:rPr>
        <w:t>公务接待费</w:t>
      </w:r>
      <w:r>
        <w:rPr>
          <w:rFonts w:hint="eastAsia" w:ascii="仿宋_GB2312" w:hAnsi="Times New Roman" w:eastAsia="仿宋_GB2312" w:cs="仿宋_GB2312"/>
          <w:kern w:val="0"/>
          <w:sz w:val="32"/>
          <w:szCs w:val="32"/>
          <w:shd w:val="clear" w:color="auto" w:fill="FFFFFF"/>
        </w:rPr>
        <w:t>与2023年2万元预算相比</w:t>
      </w:r>
      <w:r>
        <w:rPr>
          <w:rFonts w:hint="eastAsia" w:ascii="仿宋_GB2312" w:hAnsi="Times New Roman" w:eastAsia="仿宋_GB2312" w:cs="仿宋_GB2312"/>
          <w:kern w:val="0"/>
          <w:sz w:val="32"/>
          <w:szCs w:val="32"/>
          <w:shd w:val="clear" w:color="auto" w:fill="FFFFFF"/>
          <w:lang w:val="en-US" w:eastAsia="zh-CN"/>
        </w:rPr>
        <w:t>减少</w:t>
      </w:r>
      <w:r>
        <w:rPr>
          <w:rFonts w:hint="eastAsia" w:ascii="仿宋_GB2312" w:hAnsi="Times New Roman" w:eastAsia="仿宋_GB2312" w:cs="仿宋_GB2312"/>
          <w:kern w:val="0"/>
          <w:sz w:val="32"/>
          <w:szCs w:val="32"/>
          <w:shd w:val="clear" w:color="auto" w:fill="FFFFFF"/>
        </w:rPr>
        <w:t>0.5万元，</w:t>
      </w:r>
      <w:r>
        <w:rPr>
          <w:rFonts w:hint="eastAsia" w:ascii="仿宋_GB2312" w:hAnsi="Times New Roman" w:eastAsia="仿宋_GB2312" w:cs="仿宋_GB2312"/>
          <w:kern w:val="0"/>
          <w:sz w:val="32"/>
          <w:szCs w:val="32"/>
          <w:shd w:val="clear" w:color="auto" w:fill="FFFFFF"/>
          <w:lang w:val="en-US" w:eastAsia="zh-CN"/>
        </w:rPr>
        <w:t>下降25%。</w:t>
      </w:r>
      <w:r>
        <w:rPr>
          <w:rFonts w:hint="eastAsia" w:ascii="仿宋_GB2312" w:hAnsi="Times New Roman" w:eastAsia="仿宋_GB2312" w:cs="仿宋_GB2312"/>
          <w:kern w:val="0"/>
          <w:sz w:val="32"/>
          <w:szCs w:val="32"/>
          <w:shd w:val="clear" w:color="auto" w:fill="FFFFFF"/>
        </w:rPr>
        <w:t>主要原因是按要求压减三公经费支出，支出减少。2</w:t>
      </w:r>
      <w:r>
        <w:rPr>
          <w:rFonts w:hint="eastAsia" w:ascii="仿宋_GB2312" w:hAnsi="仿宋_GB2312" w:eastAsia="仿宋_GB2312" w:cs="仿宋_GB2312"/>
          <w:sz w:val="32"/>
          <w:szCs w:val="32"/>
        </w:rPr>
        <w:t>024年公务接待费1.5万元，计划用于执行接待考察调研、检查指导等公务活动开支的交通费、住宿费、用餐费等。</w:t>
      </w:r>
    </w:p>
    <w:p>
      <w:pPr>
        <w:pStyle w:val="32"/>
        <w:numPr>
          <w:ilvl w:val="0"/>
          <w:numId w:val="3"/>
        </w:numPr>
        <w:shd w:val="clear"/>
        <w:ind w:firstLineChars="0"/>
        <w:outlineLvl w:val="1"/>
        <w:rPr>
          <w:rFonts w:ascii="仿宋_GB2312" w:hAnsi="Times New Roman" w:eastAsia="仿宋_GB2312" w:cs="仿宋_GB2312"/>
          <w:kern w:val="0"/>
          <w:sz w:val="32"/>
          <w:szCs w:val="32"/>
          <w:shd w:val="clear" w:color="auto" w:fill="FFFFFF"/>
        </w:rPr>
      </w:pPr>
      <w:bookmarkStart w:id="49" w:name="_Toc11382"/>
      <w:r>
        <w:rPr>
          <w:rFonts w:hint="eastAsia" w:ascii="仿宋_GB2312" w:hAnsi="Times New Roman" w:eastAsia="仿宋_GB2312" w:cs="仿宋_GB2312"/>
          <w:kern w:val="0"/>
          <w:sz w:val="32"/>
          <w:szCs w:val="32"/>
          <w:shd w:val="clear" w:color="auto" w:fill="FFFFFF"/>
        </w:rPr>
        <w:t>公务用车购置及运行维护费</w:t>
      </w:r>
      <w:bookmarkEnd w:id="49"/>
    </w:p>
    <w:p>
      <w:pPr>
        <w:widowControl/>
        <w:shd w:val="clear" w:color="auto"/>
        <w:suppressAutoHyphens/>
        <w:spacing w:line="580" w:lineRule="exact"/>
        <w:ind w:firstLine="668"/>
        <w:rPr>
          <w:rFonts w:ascii="仿宋_GB2312" w:hAnsi="Times New Roman" w:eastAsia="仿宋_GB2312" w:cs="仿宋_GB2312"/>
          <w:kern w:val="0"/>
          <w:sz w:val="32"/>
          <w:szCs w:val="32"/>
          <w:shd w:val="clear" w:color="auto" w:fill="FFFFFF"/>
        </w:rPr>
      </w:pPr>
      <w:r>
        <w:rPr>
          <w:rFonts w:hint="eastAsia" w:ascii="仿宋_GB2312" w:hAnsi="仿宋_GB2312" w:eastAsia="仿宋_GB2312" w:cs="仿宋_GB2312"/>
          <w:sz w:val="32"/>
          <w:szCs w:val="32"/>
        </w:rPr>
        <w:t>公务用车购置及运行维护费与2023年</w:t>
      </w:r>
      <w:r>
        <w:rPr>
          <w:rFonts w:hint="eastAsia" w:ascii="仿宋_GB2312" w:hAnsi="Times New Roman" w:eastAsia="仿宋_GB2312" w:cs="仿宋_GB2312"/>
          <w:kern w:val="0"/>
          <w:sz w:val="32"/>
          <w:szCs w:val="32"/>
          <w:shd w:val="clear" w:color="auto" w:fill="FFFFFF"/>
        </w:rPr>
        <w:t>预算17万元</w:t>
      </w:r>
      <w:r>
        <w:rPr>
          <w:rFonts w:hint="eastAsia" w:ascii="仿宋_GB2312" w:hAnsi="仿宋_GB2312" w:eastAsia="仿宋_GB2312" w:cs="仿宋_GB2312"/>
          <w:sz w:val="32"/>
          <w:szCs w:val="32"/>
        </w:rPr>
        <w:t>持平</w:t>
      </w:r>
      <w:r>
        <w:rPr>
          <w:rFonts w:hint="eastAsia" w:eastAsia="宋体"/>
        </w:rPr>
        <w:t>。</w:t>
      </w:r>
      <w:r>
        <w:rPr>
          <w:rFonts w:hint="eastAsia" w:ascii="仿宋_GB2312" w:hAnsi="Times New Roman" w:eastAsia="仿宋_GB2312" w:cs="仿宋_GB2312"/>
          <w:kern w:val="0"/>
          <w:sz w:val="32"/>
          <w:szCs w:val="32"/>
          <w:shd w:val="clear" w:color="auto" w:fill="FFFFFF"/>
        </w:rPr>
        <w:t>单位现有公务用车4辆，其中：轿车2辆，越野车1辆，其他车型1辆。</w:t>
      </w:r>
    </w:p>
    <w:p>
      <w:pPr>
        <w:shd w:val="clear"/>
        <w:spacing w:line="576" w:lineRule="exact"/>
        <w:ind w:firstLine="640" w:firstLineChars="200"/>
        <w:rPr>
          <w:rFonts w:hint="eastAsia" w:ascii="仿宋_GB2312" w:hAnsi="Times New Roman" w:eastAsia="仿宋_GB2312" w:cs="仿宋_GB2312"/>
          <w:kern w:val="0"/>
          <w:sz w:val="32"/>
          <w:szCs w:val="32"/>
          <w:shd w:val="clear" w:color="auto" w:fill="FFFFFF"/>
        </w:rPr>
      </w:pPr>
      <w:r>
        <w:rPr>
          <w:rFonts w:hint="eastAsia" w:ascii="仿宋_GB2312" w:hAnsi="仿宋_GB2312" w:eastAsia="仿宋_GB2312" w:cs="仿宋_GB2312"/>
          <w:sz w:val="32"/>
          <w:szCs w:val="32"/>
        </w:rPr>
        <w:t>2024年安排公务用车运行维护费17万元，用于4辆公务用车燃油、过路（桥）、维修、保险等方面支出</w:t>
      </w:r>
      <w:r>
        <w:rPr>
          <w:rFonts w:hint="eastAsia" w:ascii="仿宋_GB2312" w:hAnsi="Times New Roman" w:eastAsia="仿宋_GB2312" w:cs="仿宋_GB2312"/>
          <w:kern w:val="0"/>
          <w:sz w:val="32"/>
          <w:szCs w:val="32"/>
          <w:shd w:val="clear" w:color="auto" w:fill="FFFFFF"/>
        </w:rPr>
        <w:t>，主要保障全台一年的各种采访工作，各种行政事务办理以及各项大型活动的录直播工作。</w:t>
      </w:r>
    </w:p>
    <w:p>
      <w:pPr>
        <w:shd w:val="clear"/>
        <w:spacing w:line="576" w:lineRule="exact"/>
        <w:ind w:firstLine="640" w:firstLineChars="200"/>
        <w:rPr>
          <w:rFonts w:hint="eastAsia" w:ascii="仿宋_GB2312" w:hAnsi="Times New Roman" w:eastAsia="仿宋_GB2312" w:cs="仿宋_GB2312"/>
          <w:kern w:val="0"/>
          <w:sz w:val="32"/>
          <w:szCs w:val="32"/>
          <w:shd w:val="clear" w:color="auto" w:fill="FFFFFF"/>
          <w:lang w:eastAsia="zh-CN"/>
        </w:rPr>
      </w:pPr>
      <w:r>
        <w:rPr>
          <w:rFonts w:hint="eastAsia" w:ascii="仿宋_GB2312" w:hAnsi="Times New Roman" w:eastAsia="仿宋_GB2312" w:cs="仿宋_GB2312"/>
          <w:kern w:val="0"/>
          <w:sz w:val="32"/>
          <w:szCs w:val="32"/>
          <w:shd w:val="clear" w:color="auto" w:fill="FFFFFF"/>
        </w:rPr>
        <w:t>2024年未安排公务用车购置费</w:t>
      </w:r>
      <w:r>
        <w:rPr>
          <w:rFonts w:hint="eastAsia" w:ascii="仿宋_GB2312" w:hAnsi="Times New Roman" w:eastAsia="仿宋_GB2312" w:cs="仿宋_GB2312"/>
          <w:kern w:val="0"/>
          <w:sz w:val="32"/>
          <w:szCs w:val="32"/>
          <w:shd w:val="clear" w:color="auto" w:fill="FFFFFF"/>
          <w:lang w:eastAsia="zh-CN"/>
        </w:rPr>
        <w:t>。</w:t>
      </w:r>
      <w:bookmarkStart w:id="72" w:name="_GoBack"/>
      <w:bookmarkEnd w:id="72"/>
    </w:p>
    <w:p>
      <w:pPr>
        <w:shd w:val="clear"/>
        <w:spacing w:line="576" w:lineRule="exact"/>
        <w:ind w:firstLine="627" w:firstLineChars="196"/>
        <w:outlineLvl w:val="1"/>
        <w:rPr>
          <w:rFonts w:ascii="仿宋_GB2312" w:hAnsi="仿宋_GB2312" w:eastAsia="仿宋_GB2312" w:cs="仿宋_GB2312"/>
          <w:sz w:val="32"/>
          <w:szCs w:val="32"/>
        </w:rPr>
      </w:pPr>
      <w:bookmarkStart w:id="50" w:name="_Toc13590"/>
      <w:r>
        <w:rPr>
          <w:rFonts w:hint="eastAsia" w:ascii="仿宋_GB2312" w:hAnsi="仿宋_GB2312" w:eastAsia="仿宋_GB2312" w:cs="仿宋_GB2312"/>
          <w:sz w:val="32"/>
          <w:szCs w:val="32"/>
        </w:rPr>
        <w:t>（</w:t>
      </w:r>
      <w:r>
        <w:rPr>
          <w:rFonts w:hint="eastAsia" w:ascii="楷体_GB2312" w:hAnsi="楷体_GB2312" w:eastAsia="楷体_GB2312" w:cs="楷体_GB2312"/>
          <w:sz w:val="32"/>
          <w:szCs w:val="32"/>
        </w:rPr>
        <w:t>三）因公出国（境）经费</w:t>
      </w:r>
      <w:bookmarkEnd w:id="50"/>
    </w:p>
    <w:p>
      <w:pPr>
        <w:widowControl/>
        <w:shd w:val="clear" w:color="auto"/>
        <w:suppressAutoHyphens/>
        <w:spacing w:line="580" w:lineRule="exact"/>
        <w:ind w:firstLine="668"/>
        <w:rPr>
          <w:rFonts w:ascii="仿宋_GB2312" w:hAnsi="Times New Roman" w:eastAsia="仿宋_GB2312" w:cs="仿宋_GB2312"/>
          <w:kern w:val="0"/>
          <w:sz w:val="32"/>
          <w:szCs w:val="32"/>
          <w:shd w:val="clear" w:color="auto" w:fill="FFFFFF"/>
        </w:rPr>
      </w:pPr>
      <w:r>
        <w:rPr>
          <w:rFonts w:hint="eastAsia" w:ascii="仿宋_GB2312" w:hAnsi="仿宋_GB2312" w:eastAsia="仿宋_GB2312" w:cs="仿宋_GB2312"/>
          <w:sz w:val="32"/>
          <w:szCs w:val="32"/>
        </w:rPr>
        <w:t>因公出国（境）经费与2023年预算持平。</w:t>
      </w:r>
      <w:r>
        <w:rPr>
          <w:rFonts w:hint="eastAsia" w:ascii="仿宋_GB2312" w:hAnsi="Times New Roman" w:eastAsia="仿宋_GB2312" w:cs="仿宋_GB2312"/>
          <w:kern w:val="0"/>
          <w:sz w:val="32"/>
          <w:szCs w:val="32"/>
          <w:shd w:val="clear" w:color="auto" w:fill="FFFFFF"/>
        </w:rPr>
        <w:t>2024年安排因公出国（境）经费0万元。</w:t>
      </w:r>
    </w:p>
    <w:p>
      <w:pPr>
        <w:pStyle w:val="5"/>
        <w:shd w:val="clear"/>
        <w:spacing w:line="580" w:lineRule="exact"/>
        <w:ind w:firstLine="640" w:firstLineChars="200"/>
        <w:rPr>
          <w:rFonts w:ascii="黑体" w:hAnsi="宋体" w:eastAsia="黑体" w:cs="黑体"/>
          <w:b w:val="0"/>
          <w:bCs w:val="0"/>
          <w:kern w:val="0"/>
          <w:sz w:val="32"/>
          <w:szCs w:val="32"/>
          <w:shd w:val="clear" w:color="auto" w:fill="FFFFFF"/>
        </w:rPr>
      </w:pPr>
      <w:bookmarkStart w:id="51" w:name="_Toc4269"/>
      <w:bookmarkStart w:id="52" w:name="_Toc23305"/>
      <w:bookmarkStart w:id="53" w:name="_Toc32043"/>
      <w:r>
        <w:rPr>
          <w:rFonts w:hint="eastAsia" w:ascii="黑体" w:hAnsi="宋体" w:eastAsia="黑体" w:cs="黑体"/>
          <w:b w:val="0"/>
          <w:bCs w:val="0"/>
          <w:kern w:val="0"/>
          <w:sz w:val="32"/>
          <w:szCs w:val="32"/>
          <w:shd w:val="clear" w:color="auto" w:fill="FFFFFF"/>
        </w:rPr>
        <w:t>八、政府性基金预算支出情况说明</w:t>
      </w:r>
      <w:bookmarkEnd w:id="51"/>
      <w:bookmarkEnd w:id="52"/>
      <w:bookmarkEnd w:id="53"/>
    </w:p>
    <w:p>
      <w:pPr>
        <w:widowControl/>
        <w:shd w:val="clear" w:color="auto"/>
        <w:suppressAutoHyphens/>
        <w:spacing w:line="580" w:lineRule="exact"/>
        <w:ind w:firstLine="668"/>
        <w:rPr>
          <w:rFonts w:ascii="仿宋_GB2312" w:hAnsi="Times New Roman" w:eastAsia="仿宋_GB2312" w:cs="仿宋_GB2312"/>
          <w:kern w:val="0"/>
          <w:sz w:val="32"/>
          <w:szCs w:val="32"/>
          <w:shd w:val="clear" w:color="auto" w:fill="FFFFFF"/>
        </w:rPr>
      </w:pPr>
      <w:r>
        <w:rPr>
          <w:rFonts w:hint="eastAsia" w:ascii="仿宋_GB2312" w:hAnsi="Times New Roman" w:eastAsia="仿宋_GB2312" w:cs="仿宋_GB2312"/>
          <w:kern w:val="0"/>
          <w:sz w:val="32"/>
          <w:szCs w:val="32"/>
          <w:shd w:val="clear" w:color="auto" w:fill="FFFFFF"/>
        </w:rPr>
        <w:t>广元市广播电视台2024年没有使用政府性基金预算拨款安排的支出。</w:t>
      </w:r>
    </w:p>
    <w:p>
      <w:pPr>
        <w:pStyle w:val="5"/>
        <w:shd w:val="clear"/>
        <w:spacing w:line="580" w:lineRule="exact"/>
        <w:ind w:firstLine="640" w:firstLineChars="200"/>
        <w:rPr>
          <w:rFonts w:ascii="黑体" w:hAnsi="宋体" w:eastAsia="黑体" w:cs="黑体"/>
          <w:b w:val="0"/>
          <w:bCs w:val="0"/>
          <w:kern w:val="0"/>
          <w:sz w:val="32"/>
          <w:szCs w:val="32"/>
          <w:shd w:val="clear" w:color="auto" w:fill="FFFFFF"/>
        </w:rPr>
      </w:pPr>
      <w:bookmarkStart w:id="54" w:name="_Toc13964"/>
      <w:bookmarkStart w:id="55" w:name="_Toc1895"/>
      <w:bookmarkStart w:id="56" w:name="_Toc18040"/>
      <w:r>
        <w:rPr>
          <w:rFonts w:hint="eastAsia" w:ascii="黑体" w:hAnsi="宋体" w:eastAsia="黑体" w:cs="黑体"/>
          <w:b w:val="0"/>
          <w:bCs w:val="0"/>
          <w:kern w:val="0"/>
          <w:sz w:val="32"/>
          <w:szCs w:val="32"/>
          <w:shd w:val="clear" w:color="auto" w:fill="FFFFFF"/>
        </w:rPr>
        <w:t>九、国有资本经营预算支出情况说明</w:t>
      </w:r>
      <w:bookmarkEnd w:id="54"/>
      <w:bookmarkEnd w:id="55"/>
      <w:bookmarkEnd w:id="56"/>
    </w:p>
    <w:p>
      <w:pPr>
        <w:widowControl/>
        <w:shd w:val="clear" w:color="auto"/>
        <w:suppressAutoHyphens/>
        <w:spacing w:line="580" w:lineRule="exact"/>
        <w:ind w:firstLine="668"/>
        <w:rPr>
          <w:rFonts w:ascii="仿宋_GB2312" w:hAnsi="Times New Roman" w:eastAsia="仿宋_GB2312" w:cs="仿宋_GB2312"/>
          <w:kern w:val="0"/>
          <w:sz w:val="32"/>
          <w:szCs w:val="32"/>
          <w:shd w:val="clear" w:color="auto" w:fill="FFFFFF"/>
        </w:rPr>
      </w:pPr>
      <w:r>
        <w:rPr>
          <w:rFonts w:hint="eastAsia" w:ascii="仿宋_GB2312" w:hAnsi="Times New Roman" w:eastAsia="仿宋_GB2312" w:cs="仿宋_GB2312"/>
          <w:kern w:val="0"/>
          <w:sz w:val="32"/>
          <w:szCs w:val="32"/>
          <w:shd w:val="clear" w:color="auto" w:fill="FFFFFF"/>
        </w:rPr>
        <w:t>广元市广播电视台2024年没有使用国有资本经营预算拨款安排的支出。</w:t>
      </w:r>
    </w:p>
    <w:p>
      <w:pPr>
        <w:pStyle w:val="5"/>
        <w:shd w:val="clear"/>
        <w:spacing w:line="580" w:lineRule="exact"/>
        <w:ind w:firstLine="640" w:firstLineChars="200"/>
        <w:rPr>
          <w:rFonts w:ascii="黑体" w:hAnsi="宋体" w:eastAsia="黑体" w:cs="黑体"/>
          <w:b w:val="0"/>
          <w:bCs w:val="0"/>
          <w:kern w:val="0"/>
          <w:sz w:val="32"/>
          <w:szCs w:val="32"/>
          <w:shd w:val="clear" w:color="auto" w:fill="FFFFFF"/>
        </w:rPr>
      </w:pPr>
      <w:bookmarkStart w:id="57" w:name="_Toc14445"/>
      <w:bookmarkStart w:id="58" w:name="_Toc4248"/>
      <w:bookmarkStart w:id="59" w:name="_Toc24830"/>
      <w:r>
        <w:rPr>
          <w:rFonts w:hint="eastAsia" w:ascii="黑体" w:hAnsi="宋体" w:eastAsia="黑体" w:cs="黑体"/>
          <w:b w:val="0"/>
          <w:bCs w:val="0"/>
          <w:kern w:val="0"/>
          <w:sz w:val="32"/>
          <w:szCs w:val="32"/>
          <w:shd w:val="clear" w:color="auto" w:fill="FFFFFF"/>
        </w:rPr>
        <w:t>十、其他重要事项的情况说明</w:t>
      </w:r>
      <w:bookmarkEnd w:id="57"/>
      <w:bookmarkEnd w:id="58"/>
      <w:bookmarkEnd w:id="59"/>
    </w:p>
    <w:p>
      <w:pPr>
        <w:shd w:val="clear"/>
        <w:ind w:firstLine="640" w:firstLineChars="200"/>
        <w:outlineLvl w:val="1"/>
        <w:rPr>
          <w:rFonts w:hint="eastAsia" w:ascii="楷体_GB2312" w:hAnsi="楷体_GB2312" w:eastAsia="楷体_GB2312" w:cs="楷体_GB2312"/>
          <w:b w:val="0"/>
          <w:bCs w:val="0"/>
          <w:sz w:val="32"/>
          <w:szCs w:val="32"/>
        </w:rPr>
      </w:pPr>
      <w:bookmarkStart w:id="60" w:name="_Toc24610"/>
      <w:bookmarkStart w:id="61" w:name="_Toc23443"/>
      <w:r>
        <w:rPr>
          <w:rFonts w:hint="eastAsia" w:ascii="楷体_GB2312" w:hAnsi="楷体_GB2312" w:eastAsia="楷体_GB2312" w:cs="楷体_GB2312"/>
          <w:b w:val="0"/>
          <w:bCs w:val="0"/>
          <w:sz w:val="32"/>
          <w:szCs w:val="32"/>
        </w:rPr>
        <w:t>（一）机关运行经费</w:t>
      </w:r>
      <w:bookmarkEnd w:id="60"/>
      <w:bookmarkEnd w:id="61"/>
    </w:p>
    <w:p>
      <w:pPr>
        <w:widowControl/>
        <w:shd w:val="clear" w:color="auto"/>
        <w:suppressAutoHyphens/>
        <w:spacing w:line="580" w:lineRule="exact"/>
        <w:ind w:firstLine="668"/>
        <w:rPr>
          <w:rFonts w:hint="eastAsia" w:ascii="仿宋_GB2312" w:hAnsi="Times New Roman" w:eastAsia="仿宋_GB2312" w:cs="仿宋_GB2312"/>
          <w:kern w:val="0"/>
          <w:sz w:val="32"/>
          <w:szCs w:val="32"/>
          <w:shd w:val="clear" w:color="auto" w:fill="FFFFFF"/>
          <w:lang w:eastAsia="zh-CN"/>
        </w:rPr>
      </w:pPr>
      <w:r>
        <w:rPr>
          <w:rFonts w:hint="eastAsia" w:ascii="仿宋_GB2312" w:hAnsi="Times New Roman" w:eastAsia="仿宋_GB2312" w:cs="仿宋_GB2312"/>
          <w:kern w:val="0"/>
          <w:sz w:val="32"/>
          <w:szCs w:val="32"/>
          <w:shd w:val="clear" w:color="auto" w:fill="FFFFFF"/>
        </w:rPr>
        <w:t>广元市广播电视台为事业单位，按规定未使用机关运行的相关</w:t>
      </w:r>
      <w:r>
        <w:rPr>
          <w:rFonts w:hint="eastAsia" w:ascii="仿宋_GB2312" w:hAnsi="Times New Roman" w:eastAsia="仿宋_GB2312" w:cs="仿宋_GB2312"/>
          <w:kern w:val="0"/>
          <w:sz w:val="32"/>
          <w:szCs w:val="32"/>
          <w:shd w:val="clear" w:color="auto" w:fill="FFFFFF"/>
          <w:lang w:eastAsia="zh-CN"/>
        </w:rPr>
        <w:t>科目。</w:t>
      </w:r>
    </w:p>
    <w:p>
      <w:pPr>
        <w:shd w:val="clear"/>
        <w:ind w:firstLine="640" w:firstLineChars="200"/>
        <w:outlineLvl w:val="1"/>
        <w:rPr>
          <w:rFonts w:hint="eastAsia" w:ascii="楷体_GB2312" w:hAnsi="楷体_GB2312" w:eastAsia="楷体_GB2312" w:cs="楷体_GB2312"/>
          <w:b w:val="0"/>
          <w:bCs w:val="0"/>
          <w:sz w:val="32"/>
          <w:szCs w:val="32"/>
        </w:rPr>
      </w:pPr>
      <w:bookmarkStart w:id="62" w:name="_Toc11127"/>
      <w:bookmarkStart w:id="63" w:name="_Toc22130"/>
      <w:r>
        <w:rPr>
          <w:rFonts w:hint="eastAsia" w:ascii="楷体_GB2312" w:hAnsi="楷体_GB2312" w:eastAsia="楷体_GB2312" w:cs="楷体_GB2312"/>
          <w:b w:val="0"/>
          <w:bCs w:val="0"/>
          <w:sz w:val="32"/>
          <w:szCs w:val="32"/>
        </w:rPr>
        <w:t>（二）政府采购情况</w:t>
      </w:r>
      <w:bookmarkEnd w:id="62"/>
      <w:bookmarkEnd w:id="63"/>
    </w:p>
    <w:p>
      <w:pPr>
        <w:widowControl/>
        <w:shd w:val="clear" w:color="auto"/>
        <w:suppressAutoHyphens/>
        <w:spacing w:line="580" w:lineRule="exact"/>
        <w:ind w:firstLine="668"/>
        <w:rPr>
          <w:rFonts w:ascii="仿宋_GB2312" w:hAnsi="Times New Roman" w:eastAsia="仿宋_GB2312" w:cs="仿宋_GB2312"/>
          <w:kern w:val="0"/>
          <w:sz w:val="32"/>
          <w:szCs w:val="32"/>
          <w:shd w:val="clear" w:color="auto" w:fill="FFFFFF"/>
        </w:rPr>
      </w:pPr>
      <w:r>
        <w:rPr>
          <w:rFonts w:hint="eastAsia" w:ascii="仿宋_GB2312" w:hAnsi="仿宋_GB2312" w:eastAsia="仿宋_GB2312" w:cs="仿宋_GB2312"/>
          <w:sz w:val="32"/>
          <w:szCs w:val="32"/>
        </w:rPr>
        <w:t>2024年，广元市广播电视台安排政府采购预算210.29万元，其中：政府采购货物预算65.29万元、政府采购服务预算145万元。</w:t>
      </w:r>
      <w:r>
        <w:rPr>
          <w:rFonts w:hint="eastAsia" w:ascii="仿宋_GB2312" w:hAnsi="Times New Roman" w:eastAsia="仿宋_GB2312" w:cs="仿宋_GB2312"/>
          <w:kern w:val="0"/>
          <w:sz w:val="32"/>
          <w:szCs w:val="32"/>
          <w:shd w:val="clear" w:color="auto" w:fill="FFFFFF"/>
        </w:rPr>
        <w:t>主要用于日常办公设备、录直播设备、物业服务、印刷费等采购支出。</w:t>
      </w:r>
    </w:p>
    <w:p>
      <w:pPr>
        <w:shd w:val="clear"/>
        <w:ind w:firstLine="640" w:firstLineChars="200"/>
        <w:outlineLvl w:val="1"/>
        <w:rPr>
          <w:rFonts w:hint="eastAsia" w:ascii="楷体_GB2312" w:hAnsi="楷体_GB2312" w:eastAsia="楷体_GB2312" w:cs="楷体_GB2312"/>
          <w:b w:val="0"/>
          <w:bCs w:val="0"/>
          <w:sz w:val="32"/>
          <w:szCs w:val="32"/>
        </w:rPr>
      </w:pPr>
      <w:bookmarkStart w:id="64" w:name="_Toc15315"/>
      <w:bookmarkStart w:id="65" w:name="_Toc14509"/>
      <w:r>
        <w:rPr>
          <w:rFonts w:hint="eastAsia" w:ascii="楷体_GB2312" w:hAnsi="楷体_GB2312" w:eastAsia="楷体_GB2312" w:cs="楷体_GB2312"/>
          <w:b w:val="0"/>
          <w:bCs w:val="0"/>
          <w:sz w:val="32"/>
          <w:szCs w:val="32"/>
        </w:rPr>
        <w:t>（三）国有资产占有使用情况</w:t>
      </w:r>
      <w:bookmarkEnd w:id="64"/>
      <w:bookmarkEnd w:id="65"/>
    </w:p>
    <w:p>
      <w:pPr>
        <w:widowControl/>
        <w:shd w:val="clear" w:color="auto"/>
        <w:suppressAutoHyphens/>
        <w:spacing w:line="580" w:lineRule="exact"/>
        <w:ind w:firstLine="668"/>
        <w:rPr>
          <w:rFonts w:hint="eastAsia" w:ascii="仿宋_GB2312" w:hAnsi="Times New Roman" w:eastAsia="仿宋_GB2312" w:cs="仿宋_GB2312"/>
          <w:kern w:val="0"/>
          <w:sz w:val="32"/>
          <w:szCs w:val="32"/>
          <w:shd w:val="clear" w:color="auto" w:fill="FFFFFF"/>
        </w:rPr>
      </w:pPr>
      <w:r>
        <w:rPr>
          <w:rFonts w:hint="eastAsia" w:ascii="仿宋_GB2312" w:hAnsi="Times New Roman" w:eastAsia="仿宋_GB2312" w:cs="仿宋_GB2312"/>
          <w:kern w:val="0"/>
          <w:sz w:val="32"/>
          <w:szCs w:val="32"/>
          <w:shd w:val="clear" w:color="auto" w:fill="FFFFFF"/>
        </w:rPr>
        <w:t>截至2023年底，广元市广播电视台共有车辆4辆，其中，其他用车4辆。单位价值200万元以上大型设备0</w:t>
      </w:r>
      <w:r>
        <w:rPr>
          <w:rFonts w:hint="eastAsia" w:ascii="仿宋_GB2312" w:hAnsi="仿宋_GB2312" w:eastAsia="仿宋_GB2312" w:cs="仿宋_GB2312"/>
          <w:sz w:val="32"/>
          <w:szCs w:val="32"/>
        </w:rPr>
        <w:t>台</w:t>
      </w:r>
      <w:r>
        <w:rPr>
          <w:rFonts w:hint="eastAsia" w:ascii="仿宋_GB2312" w:hAnsi="Times New Roman" w:eastAsia="仿宋_GB2312" w:cs="仿宋_GB2312"/>
          <w:kern w:val="0"/>
          <w:sz w:val="32"/>
          <w:szCs w:val="32"/>
          <w:shd w:val="clear" w:color="auto" w:fill="FFFFFF"/>
        </w:rPr>
        <w:t>。</w:t>
      </w:r>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2024年部门预算安排车辆购置经费0万元。安排大型设备购置经费0万元。</w:t>
      </w:r>
    </w:p>
    <w:p>
      <w:pPr>
        <w:shd w:val="clear"/>
        <w:ind w:firstLine="640" w:firstLineChars="200"/>
        <w:outlineLvl w:val="1"/>
        <w:rPr>
          <w:rFonts w:hint="eastAsia" w:ascii="楷体_GB2312" w:hAnsi="楷体_GB2312" w:eastAsia="楷体_GB2312" w:cs="楷体_GB2312"/>
          <w:b w:val="0"/>
          <w:bCs w:val="0"/>
          <w:sz w:val="32"/>
          <w:szCs w:val="32"/>
        </w:rPr>
      </w:pPr>
      <w:bookmarkStart w:id="66" w:name="_Toc3544"/>
      <w:bookmarkStart w:id="67" w:name="_Toc9896"/>
      <w:r>
        <w:rPr>
          <w:rFonts w:hint="eastAsia" w:ascii="楷体_GB2312" w:hAnsi="楷体_GB2312" w:eastAsia="楷体_GB2312" w:cs="楷体_GB2312"/>
          <w:b w:val="0"/>
          <w:bCs w:val="0"/>
          <w:sz w:val="32"/>
          <w:szCs w:val="32"/>
        </w:rPr>
        <w:t>（四）绩效目标设置情况</w:t>
      </w:r>
      <w:bookmarkEnd w:id="66"/>
      <w:bookmarkEnd w:id="67"/>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w:t>
      </w:r>
      <w:r>
        <w:rPr>
          <w:rFonts w:hint="eastAsia" w:ascii="仿宋_GB2312" w:hAnsi="Times New Roman" w:eastAsia="仿宋_GB2312" w:cs="仿宋_GB2312"/>
          <w:kern w:val="0"/>
          <w:sz w:val="32"/>
          <w:szCs w:val="32"/>
          <w:shd w:val="clear" w:color="auto" w:fill="FFFFFF"/>
        </w:rPr>
        <w:t>广元市广播电视台</w:t>
      </w:r>
      <w:r>
        <w:rPr>
          <w:rFonts w:hint="eastAsia" w:ascii="仿宋_GB2312" w:hAnsi="仿宋_GB2312" w:eastAsia="仿宋_GB2312" w:cs="仿宋_GB2312"/>
          <w:sz w:val="32"/>
          <w:szCs w:val="32"/>
        </w:rPr>
        <w:t>开展绩效目标管理的项目13个，涉及预算3312.76万元。其中：人员类项目5个，涉及预算 1816.88万元；运转类项目3个，涉及预算170.88万元；特定目标类项目5个，涉及预算1325万元。</w:t>
      </w:r>
    </w:p>
    <w:p>
      <w:pPr>
        <w:widowControl/>
        <w:shd w:val="clear" w:color="auto"/>
        <w:suppressAutoHyphens/>
        <w:spacing w:line="580" w:lineRule="exact"/>
        <w:ind w:firstLine="668"/>
        <w:rPr>
          <w:rFonts w:ascii="仿宋_GB2312" w:hAnsi="Times New Roman" w:eastAsia="仿宋_GB2312" w:cs="仿宋_GB2312"/>
          <w:kern w:val="0"/>
          <w:sz w:val="32"/>
          <w:szCs w:val="32"/>
          <w:shd w:val="clear" w:color="auto" w:fill="FFFFFF"/>
        </w:rPr>
      </w:pPr>
      <w:r>
        <w:rPr>
          <w:rFonts w:hint="eastAsia" w:ascii="仿宋_GB2312" w:hAnsi="Times New Roman" w:eastAsia="仿宋_GB2312" w:cs="仿宋_GB2312"/>
          <w:kern w:val="0"/>
          <w:sz w:val="32"/>
          <w:szCs w:val="32"/>
          <w:shd w:val="clear" w:color="auto" w:fill="FFFFFF"/>
        </w:rPr>
        <w:t>绩效目标是预算编制的前提和基础，2024年广元市广播电视台部门预算项目均按要求编制了绩效目标</w:t>
      </w:r>
      <w:r>
        <w:rPr>
          <w:rFonts w:hint="eastAsia" w:ascii="仿宋_GB2312" w:hAnsi="Times New Roman" w:eastAsia="仿宋_GB2312" w:cs="仿宋_GB2312"/>
          <w:kern w:val="0"/>
          <w:sz w:val="32"/>
          <w:szCs w:val="32"/>
          <w:shd w:val="clear" w:color="auto" w:fill="FFFFFF"/>
          <w:lang w:eastAsia="zh-CN"/>
        </w:rPr>
        <w:t>，</w:t>
      </w:r>
      <w:r>
        <w:rPr>
          <w:rFonts w:hint="eastAsia" w:ascii="仿宋_GB2312" w:hAnsi="Times New Roman" w:eastAsia="仿宋_GB2312" w:cs="仿宋_GB2312"/>
          <w:kern w:val="0"/>
          <w:sz w:val="32"/>
          <w:szCs w:val="32"/>
          <w:shd w:val="clear" w:color="auto" w:fill="FFFFFF"/>
        </w:rPr>
        <w:t>从项目完成、项目效益、满意度等方面设置了绩效指标，综合反映项目预期完成的数量、成本、时效、质量，预期达到的社会效益、经济效益、生态效益、可持续影响以及服务对象满意度等情况。</w:t>
      </w:r>
    </w:p>
    <w:p>
      <w:pPr>
        <w:pStyle w:val="5"/>
        <w:shd w:val="clear"/>
        <w:spacing w:line="580" w:lineRule="exact"/>
        <w:ind w:firstLine="640" w:firstLineChars="200"/>
        <w:rPr>
          <w:rFonts w:ascii="黑体" w:hAnsi="宋体" w:eastAsia="黑体" w:cs="黑体"/>
          <w:b w:val="0"/>
          <w:bCs w:val="0"/>
          <w:kern w:val="0"/>
          <w:sz w:val="32"/>
          <w:szCs w:val="32"/>
          <w:shd w:val="clear" w:color="auto" w:fill="FFFFFF"/>
        </w:rPr>
      </w:pPr>
      <w:bookmarkStart w:id="68" w:name="_Toc17643"/>
      <w:bookmarkStart w:id="69" w:name="_Toc13868"/>
      <w:bookmarkStart w:id="70" w:name="_Toc12829"/>
      <w:r>
        <w:rPr>
          <w:rFonts w:hint="eastAsia" w:ascii="黑体" w:hAnsi="宋体" w:eastAsia="黑体" w:cs="黑体"/>
          <w:b w:val="0"/>
          <w:bCs w:val="0"/>
          <w:kern w:val="0"/>
          <w:sz w:val="32"/>
          <w:szCs w:val="32"/>
          <w:shd w:val="clear" w:color="auto" w:fill="FFFFFF"/>
        </w:rPr>
        <w:t>十一、名词解释</w:t>
      </w:r>
      <w:bookmarkEnd w:id="68"/>
      <w:bookmarkEnd w:id="69"/>
      <w:bookmarkEnd w:id="70"/>
    </w:p>
    <w:p>
      <w:pPr>
        <w:widowControl/>
        <w:shd w:val="clear" w:color="auto"/>
        <w:suppressAutoHyphens/>
        <w:spacing w:line="580" w:lineRule="exact"/>
        <w:ind w:firstLine="668"/>
        <w:outlineLvl w:val="1"/>
        <w:rPr>
          <w:rFonts w:ascii="仿宋_GB2312" w:hAnsi="Times New Roman" w:eastAsia="仿宋_GB2312" w:cs="仿宋_GB2312"/>
          <w:kern w:val="0"/>
          <w:sz w:val="32"/>
          <w:szCs w:val="32"/>
          <w:shd w:val="clear" w:color="auto" w:fill="FFFFFF"/>
        </w:rPr>
      </w:pPr>
      <w:bookmarkStart w:id="71" w:name="_Toc5437"/>
      <w:r>
        <w:rPr>
          <w:rFonts w:hint="eastAsia" w:ascii="仿宋_GB2312" w:hAnsi="Times New Roman" w:eastAsia="仿宋_GB2312" w:cs="仿宋_GB2312"/>
          <w:kern w:val="0"/>
          <w:sz w:val="32"/>
          <w:szCs w:val="32"/>
          <w:shd w:val="clear" w:color="auto" w:fill="FFFFFF"/>
        </w:rPr>
        <w:t>（一）一般公共预算拨款收入：指市级财政当年拨付的资金。</w:t>
      </w:r>
      <w:bookmarkEnd w:id="71"/>
    </w:p>
    <w:p>
      <w:pPr>
        <w:widowControl/>
        <w:shd w:val="clear" w:color="auto"/>
        <w:suppressAutoHyphens/>
        <w:spacing w:line="580" w:lineRule="exact"/>
        <w:ind w:firstLine="668"/>
        <w:rPr>
          <w:rFonts w:ascii="仿宋_GB2312" w:hAnsi="Times New Roman" w:eastAsia="仿宋_GB2312" w:cs="仿宋_GB2312"/>
          <w:kern w:val="0"/>
          <w:sz w:val="32"/>
          <w:szCs w:val="32"/>
          <w:shd w:val="clear" w:color="auto" w:fill="FFFFFF"/>
        </w:rPr>
      </w:pPr>
      <w:r>
        <w:rPr>
          <w:rFonts w:hint="eastAsia" w:ascii="仿宋_GB2312" w:hAnsi="Times New Roman" w:eastAsia="仿宋_GB2312" w:cs="仿宋_GB2312"/>
          <w:kern w:val="0"/>
          <w:sz w:val="32"/>
          <w:szCs w:val="32"/>
          <w:shd w:val="clear" w:color="auto" w:fill="FFFFFF"/>
        </w:rPr>
        <w:t>（二）文化旅游体育与传媒支出（类）广播电视（款）广播电视事务（项）：指用于保障市广播电视台正常运行、开展日常工作的支出。　　</w:t>
      </w:r>
    </w:p>
    <w:p>
      <w:pPr>
        <w:widowControl/>
        <w:shd w:val="clear" w:color="auto"/>
        <w:suppressAutoHyphens/>
        <w:spacing w:line="580" w:lineRule="exact"/>
        <w:ind w:firstLine="668"/>
        <w:rPr>
          <w:rFonts w:ascii="仿宋_GB2312" w:hAnsi="Times New Roman" w:eastAsia="仿宋_GB2312" w:cs="仿宋_GB2312"/>
          <w:kern w:val="0"/>
          <w:sz w:val="32"/>
          <w:szCs w:val="32"/>
          <w:shd w:val="clear" w:color="auto" w:fill="FFFFFF"/>
        </w:rPr>
      </w:pPr>
      <w:r>
        <w:rPr>
          <w:rFonts w:hint="eastAsia" w:ascii="仿宋_GB2312" w:hAnsi="Times New Roman" w:eastAsia="仿宋_GB2312" w:cs="仿宋_GB2312"/>
          <w:kern w:val="0"/>
          <w:sz w:val="32"/>
          <w:szCs w:val="32"/>
          <w:shd w:val="clear" w:color="auto" w:fill="FFFFFF"/>
        </w:rPr>
        <w:t>（三）社会保障和就业（类）行政事业单位养老支出（款）机关事业单位基本养老保险缴费支出（项）：指部门实施养老保险制度由单位缴纳的养老保险的支出。</w:t>
      </w:r>
    </w:p>
    <w:p>
      <w:pPr>
        <w:widowControl/>
        <w:shd w:val="clear" w:color="auto"/>
        <w:suppressAutoHyphens/>
        <w:spacing w:line="580" w:lineRule="exact"/>
        <w:ind w:firstLine="668"/>
      </w:pPr>
      <w:r>
        <w:rPr>
          <w:rFonts w:hint="eastAsia" w:ascii="仿宋_GB2312" w:hAnsi="Times New Roman" w:eastAsia="仿宋_GB2312" w:cs="仿宋_GB2312"/>
          <w:kern w:val="0"/>
          <w:sz w:val="32"/>
          <w:szCs w:val="32"/>
          <w:shd w:val="clear" w:color="auto" w:fill="FFFFFF"/>
        </w:rPr>
        <w:t>（四）社会保障和就业（类）其他社会保障和就业支出（款）其他社会保障和就业支出（项）：指</w:t>
      </w:r>
      <w:r>
        <w:rPr>
          <w:rFonts w:hint="eastAsia" w:ascii="仿宋_GB2312" w:hAnsi="Times New Roman" w:eastAsia="仿宋_GB2312" w:cs="仿宋_GB2312"/>
          <w:kern w:val="0"/>
          <w:sz w:val="32"/>
          <w:szCs w:val="32"/>
          <w:shd w:val="clear" w:color="auto" w:fill="FFFFFF"/>
          <w:lang w:eastAsia="zh-CN"/>
        </w:rPr>
        <w:t>其他用于社会</w:t>
      </w:r>
      <w:r>
        <w:rPr>
          <w:rFonts w:hint="eastAsia" w:ascii="仿宋_GB2312" w:hAnsi="Times New Roman" w:eastAsia="仿宋_GB2312" w:cs="仿宋_GB2312"/>
          <w:kern w:val="0"/>
          <w:sz w:val="32"/>
          <w:szCs w:val="32"/>
          <w:shd w:val="clear" w:color="auto" w:fill="FFFFFF"/>
        </w:rPr>
        <w:t>保障和就业方面的支出。</w:t>
      </w:r>
    </w:p>
    <w:p>
      <w:pPr>
        <w:widowControl/>
        <w:shd w:val="clear" w:color="auto"/>
        <w:suppressAutoHyphens/>
        <w:spacing w:line="580" w:lineRule="exact"/>
        <w:ind w:firstLine="640" w:firstLineChars="200"/>
        <w:rPr>
          <w:rFonts w:ascii="仿宋_GB2312" w:hAnsi="Times New Roman" w:eastAsia="仿宋_GB2312" w:cs="仿宋_GB2312"/>
          <w:kern w:val="0"/>
          <w:sz w:val="32"/>
          <w:szCs w:val="32"/>
          <w:shd w:val="clear" w:color="auto" w:fill="FFFFFF"/>
        </w:rPr>
      </w:pPr>
      <w:r>
        <w:rPr>
          <w:rFonts w:hint="eastAsia" w:ascii="仿宋_GB2312" w:hAnsi="Times New Roman" w:eastAsia="仿宋_GB2312" w:cs="仿宋_GB2312"/>
          <w:kern w:val="0"/>
          <w:sz w:val="32"/>
          <w:szCs w:val="32"/>
          <w:shd w:val="clear" w:color="auto" w:fill="FFFFFF"/>
        </w:rPr>
        <w:t>（五）卫生健康（类）行政事业单位医疗（款）事业单位医疗（项）：指事业单位用于单位应缴纳基本医疗保险支出。</w:t>
      </w:r>
    </w:p>
    <w:p>
      <w:pPr>
        <w:widowControl/>
        <w:shd w:val="clear" w:color="auto"/>
        <w:suppressAutoHyphens/>
        <w:spacing w:line="580" w:lineRule="exact"/>
        <w:ind w:firstLine="668"/>
        <w:rPr>
          <w:rFonts w:ascii="仿宋_GB2312" w:hAnsi="Times New Roman" w:eastAsia="仿宋_GB2312" w:cs="仿宋_GB2312"/>
          <w:kern w:val="0"/>
          <w:sz w:val="32"/>
          <w:szCs w:val="32"/>
          <w:shd w:val="clear" w:color="auto" w:fill="FFFFFF"/>
        </w:rPr>
      </w:pPr>
      <w:r>
        <w:rPr>
          <w:rFonts w:hint="eastAsia" w:ascii="仿宋_GB2312" w:hAnsi="Times New Roman" w:eastAsia="仿宋_GB2312" w:cs="仿宋_GB2312"/>
          <w:kern w:val="0"/>
          <w:sz w:val="32"/>
          <w:szCs w:val="32"/>
          <w:shd w:val="clear" w:color="auto" w:fill="FFFFFF"/>
        </w:rPr>
        <w:t>（六）住房保障（类）住房改革支出（款）住房公积金（项）：指按照《住房公积金管理条例》的规定，由单位及其在职职工缴存的长期住房储金。</w:t>
      </w:r>
    </w:p>
    <w:p>
      <w:pPr>
        <w:widowControl/>
        <w:shd w:val="clear" w:color="auto"/>
        <w:suppressAutoHyphens/>
        <w:spacing w:line="580" w:lineRule="exact"/>
        <w:ind w:firstLine="640" w:firstLineChars="200"/>
        <w:rPr>
          <w:rFonts w:ascii="仿宋_GB2312" w:hAnsi="Times New Roman" w:eastAsia="仿宋_GB2312" w:cs="仿宋_GB2312"/>
          <w:kern w:val="0"/>
          <w:sz w:val="32"/>
          <w:szCs w:val="32"/>
          <w:shd w:val="clear" w:color="auto" w:fill="FFFFFF"/>
        </w:rPr>
      </w:pPr>
      <w:r>
        <w:rPr>
          <w:rFonts w:hint="eastAsia" w:ascii="仿宋_GB2312" w:hAnsi="Times New Roman" w:eastAsia="仿宋_GB2312" w:cs="仿宋_GB2312"/>
          <w:kern w:val="0"/>
          <w:sz w:val="32"/>
          <w:szCs w:val="32"/>
          <w:shd w:val="clear" w:color="auto" w:fill="FFFFFF"/>
        </w:rPr>
        <w:t>（七）基本支出：指为保证机构正常运转，完成日常工作任务而发生的人员支出和公用支出。</w:t>
      </w:r>
    </w:p>
    <w:p>
      <w:pPr>
        <w:widowControl/>
        <w:shd w:val="clear" w:color="auto"/>
        <w:suppressAutoHyphens/>
        <w:spacing w:line="580" w:lineRule="exact"/>
        <w:ind w:firstLine="640" w:firstLineChars="200"/>
        <w:rPr>
          <w:rFonts w:ascii="仿宋_GB2312" w:hAnsi="Times New Roman" w:eastAsia="仿宋_GB2312" w:cs="仿宋_GB2312"/>
          <w:kern w:val="0"/>
          <w:sz w:val="32"/>
          <w:szCs w:val="32"/>
          <w:shd w:val="clear" w:color="auto" w:fill="FFFFFF"/>
        </w:rPr>
      </w:pPr>
      <w:r>
        <w:rPr>
          <w:rFonts w:hint="eastAsia" w:ascii="仿宋_GB2312" w:hAnsi="Times New Roman" w:eastAsia="仿宋_GB2312" w:cs="仿宋_GB2312"/>
          <w:kern w:val="0"/>
          <w:sz w:val="32"/>
          <w:szCs w:val="32"/>
          <w:shd w:val="clear" w:color="auto" w:fill="FFFFFF"/>
        </w:rPr>
        <w:t>（八）项目支出：指在基本支出之外为完成特定行政任务和事业发展目标所发生的支出。</w:t>
      </w:r>
    </w:p>
    <w:p>
      <w:pPr>
        <w:widowControl/>
        <w:shd w:val="clear" w:color="auto"/>
        <w:suppressAutoHyphens/>
        <w:spacing w:line="580" w:lineRule="exact"/>
        <w:ind w:firstLine="668"/>
        <w:rPr>
          <w:rFonts w:ascii="仿宋_GB2312" w:hAnsi="Times New Roman" w:eastAsia="仿宋_GB2312" w:cs="仿宋_GB2312"/>
          <w:kern w:val="0"/>
          <w:sz w:val="32"/>
          <w:szCs w:val="32"/>
          <w:shd w:val="clear" w:color="auto" w:fill="FFFFFF"/>
        </w:rPr>
      </w:pPr>
      <w:r>
        <w:rPr>
          <w:rFonts w:hint="eastAsia" w:ascii="仿宋_GB2312" w:hAnsi="Times New Roman" w:eastAsia="仿宋_GB2312" w:cs="仿宋_GB2312"/>
          <w:kern w:val="0"/>
          <w:sz w:val="32"/>
          <w:szCs w:val="32"/>
          <w:shd w:val="clear" w:color="auto" w:fill="FFFFFF"/>
        </w:rPr>
        <w:t>（九）“三公”经费：纳入部门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widowControl/>
        <w:shd w:val="clear" w:color="auto"/>
        <w:suppressAutoHyphens/>
        <w:spacing w:line="580" w:lineRule="exact"/>
        <w:ind w:firstLine="668"/>
        <w:rPr>
          <w:rFonts w:hint="eastAsia" w:ascii="仿宋_GB2312" w:hAnsi="Times New Roman" w:eastAsia="仿宋_GB2312" w:cs="仿宋_GB2312"/>
          <w:kern w:val="0"/>
          <w:sz w:val="32"/>
          <w:szCs w:val="32"/>
          <w:shd w:val="clear" w:color="auto" w:fill="FFFFFF"/>
        </w:rPr>
      </w:pPr>
      <w:r>
        <w:rPr>
          <w:rFonts w:hint="eastAsia" w:ascii="仿宋_GB2312" w:hAnsi="Times New Roman" w:eastAsia="仿宋_GB2312" w:cs="仿宋_GB2312"/>
          <w:kern w:val="0"/>
          <w:sz w:val="32"/>
          <w:szCs w:val="32"/>
          <w:shd w:val="clear" w:color="auto" w:fill="FFFFFF"/>
        </w:rPr>
        <w:t>　　</w:t>
      </w:r>
    </w:p>
    <w:p>
      <w:pPr>
        <w:widowControl/>
        <w:shd w:val="clear" w:color="auto"/>
        <w:suppressAutoHyphens/>
        <w:spacing w:line="580" w:lineRule="exact"/>
        <w:ind w:firstLine="668"/>
        <w:rPr>
          <w:rFonts w:hint="eastAsia" w:ascii="仿宋_GB2312" w:hAnsi="Times New Roman" w:eastAsia="仿宋_GB2312" w:cs="仿宋_GB2312"/>
          <w:kern w:val="0"/>
          <w:sz w:val="32"/>
          <w:szCs w:val="32"/>
          <w:shd w:val="clear" w:color="auto" w:fill="FFFFFF"/>
        </w:rPr>
      </w:pPr>
    </w:p>
    <w:p>
      <w:pPr>
        <w:widowControl/>
        <w:shd w:val="clear" w:color="auto"/>
        <w:suppressAutoHyphens/>
        <w:spacing w:line="580" w:lineRule="exact"/>
        <w:ind w:firstLine="668"/>
        <w:rPr>
          <w:rFonts w:ascii="仿宋_GB2312" w:hAnsi="Times New Roman" w:eastAsia="仿宋_GB2312" w:cs="仿宋_GB2312"/>
          <w:kern w:val="0"/>
          <w:sz w:val="32"/>
          <w:szCs w:val="32"/>
          <w:shd w:val="clear" w:color="auto" w:fill="FFFFFF"/>
        </w:rPr>
      </w:pPr>
      <w:r>
        <w:rPr>
          <w:rFonts w:hint="eastAsia" w:ascii="仿宋_GB2312" w:hAnsi="Times New Roman" w:eastAsia="仿宋_GB2312" w:cs="仿宋_GB2312"/>
          <w:kern w:val="0"/>
          <w:sz w:val="32"/>
          <w:szCs w:val="32"/>
          <w:shd w:val="clear" w:color="auto" w:fill="FFFFFF"/>
        </w:rPr>
        <w:t>附件：部门预算公开表</w:t>
      </w:r>
    </w:p>
    <w:p>
      <w:pPr>
        <w:widowControl/>
        <w:shd w:val="clear" w:color="auto"/>
        <w:spacing w:line="580" w:lineRule="exact"/>
        <w:ind w:firstLine="668"/>
        <w:rPr>
          <w:rFonts w:ascii="宋体" w:hAnsi="宋体" w:eastAsia="宋体"/>
          <w:sz w:val="28"/>
          <w:szCs w:val="28"/>
        </w:rPr>
      </w:pPr>
    </w:p>
    <w:p>
      <w:pPr>
        <w:shd w:val="clear"/>
        <w:spacing w:line="580" w:lineRule="exact"/>
      </w:pPr>
    </w:p>
    <w:sectPr>
      <w:footerReference r:id="rId3" w:type="default"/>
      <w:pgSz w:w="11906" w:h="16838"/>
      <w:pgMar w:top="1440" w:right="1800" w:bottom="1440" w:left="1800" w:header="720" w:footer="720"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path/>
          <v:fill on="f" focussize="0,0"/>
          <v:stroke on="f" joinstyle="miter"/>
          <v:imagedata o:title=""/>
          <o:lock v:ext="edit"/>
          <v:textbox inset="0mm,0mm,0mm,0mm" style="mso-fit-shape-to-text:t;">
            <w:txbxContent>
              <w:p>
                <w:pPr>
                  <w:pStyle w:val="13"/>
                </w:pPr>
                <w:r>
                  <w:fldChar w:fldCharType="begin"/>
                </w:r>
                <w:r>
                  <w:instrText xml:space="preserve"> PAGE  \* MERGEFORMAT </w:instrText>
                </w:r>
                <w:r>
                  <w:fldChar w:fldCharType="separate"/>
                </w:r>
                <w:r>
                  <w:t>4</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7E2015"/>
    <w:multiLevelType w:val="multilevel"/>
    <w:tmpl w:val="0B7E2015"/>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324B29A9"/>
    <w:multiLevelType w:val="multilevel"/>
    <w:tmpl w:val="324B29A9"/>
    <w:lvl w:ilvl="0" w:tentative="0">
      <w:start w:val="1"/>
      <w:numFmt w:val="japaneseCounting"/>
      <w:lvlText w:val="（%1）"/>
      <w:lvlJc w:val="left"/>
      <w:pPr>
        <w:ind w:left="1447" w:hanging="885"/>
      </w:pPr>
      <w:rPr>
        <w:rFonts w:hint="default"/>
      </w:r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2">
    <w:nsid w:val="74E4B9DF"/>
    <w:multiLevelType w:val="singleLevel"/>
    <w:tmpl w:val="74E4B9DF"/>
    <w:lvl w:ilvl="0" w:tentative="0">
      <w:start w:val="1"/>
      <w:numFmt w:val="chineseCounting"/>
      <w:suff w:val="nothing"/>
      <w:lvlText w:val="（%1）"/>
      <w:lvlJc w:val="left"/>
      <w:pPr>
        <w:ind w:left="420"/>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WEwOGUzMmIwYzc3NTZiMjVhN2Q0YTdmMGIwMGM3NTUifQ=="/>
  </w:docVars>
  <w:rsids>
    <w:rsidRoot w:val="04591810"/>
    <w:rsid w:val="00006BF2"/>
    <w:rsid w:val="000A3BA1"/>
    <w:rsid w:val="002F1DF6"/>
    <w:rsid w:val="0040415B"/>
    <w:rsid w:val="005C76E5"/>
    <w:rsid w:val="00704BF7"/>
    <w:rsid w:val="007643B2"/>
    <w:rsid w:val="008A1B4F"/>
    <w:rsid w:val="008A5CA7"/>
    <w:rsid w:val="00987772"/>
    <w:rsid w:val="034F45E8"/>
    <w:rsid w:val="03F85497"/>
    <w:rsid w:val="04591810"/>
    <w:rsid w:val="0581705E"/>
    <w:rsid w:val="06D974B5"/>
    <w:rsid w:val="0A6C26A3"/>
    <w:rsid w:val="0F717592"/>
    <w:rsid w:val="10E072B6"/>
    <w:rsid w:val="13FD1B89"/>
    <w:rsid w:val="14127A7E"/>
    <w:rsid w:val="15480D9C"/>
    <w:rsid w:val="1680003B"/>
    <w:rsid w:val="180E1763"/>
    <w:rsid w:val="1D4D000A"/>
    <w:rsid w:val="1E655A6E"/>
    <w:rsid w:val="21686D75"/>
    <w:rsid w:val="2319085F"/>
    <w:rsid w:val="24C460DD"/>
    <w:rsid w:val="2796238D"/>
    <w:rsid w:val="2AF35726"/>
    <w:rsid w:val="2FF23A3E"/>
    <w:rsid w:val="30EF50F4"/>
    <w:rsid w:val="326F2897"/>
    <w:rsid w:val="35675AB2"/>
    <w:rsid w:val="381B0816"/>
    <w:rsid w:val="382573AA"/>
    <w:rsid w:val="39CA7F9A"/>
    <w:rsid w:val="3A6E103D"/>
    <w:rsid w:val="3D9F7103"/>
    <w:rsid w:val="407A0D79"/>
    <w:rsid w:val="40AC65B0"/>
    <w:rsid w:val="41623C68"/>
    <w:rsid w:val="42E40ACD"/>
    <w:rsid w:val="43F6617F"/>
    <w:rsid w:val="457C4FFA"/>
    <w:rsid w:val="4588047C"/>
    <w:rsid w:val="46146409"/>
    <w:rsid w:val="48183F86"/>
    <w:rsid w:val="4D8D0532"/>
    <w:rsid w:val="516E706D"/>
    <w:rsid w:val="523C5F0E"/>
    <w:rsid w:val="590C73D0"/>
    <w:rsid w:val="5A05290E"/>
    <w:rsid w:val="5A4E02D6"/>
    <w:rsid w:val="5C4F00C8"/>
    <w:rsid w:val="5E392379"/>
    <w:rsid w:val="60CF06C5"/>
    <w:rsid w:val="62B7372F"/>
    <w:rsid w:val="63AC5322"/>
    <w:rsid w:val="65430543"/>
    <w:rsid w:val="67EA6F51"/>
    <w:rsid w:val="6BD41445"/>
    <w:rsid w:val="6DEF1EE4"/>
    <w:rsid w:val="6F587961"/>
    <w:rsid w:val="73CC48C6"/>
    <w:rsid w:val="75C87222"/>
    <w:rsid w:val="79402C21"/>
    <w:rsid w:val="79D66FD7"/>
    <w:rsid w:val="7E434D90"/>
    <w:rsid w:val="7F082C59"/>
    <w:rsid w:val="97DDFEBD"/>
    <w:rsid w:val="BFB52A4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Times New Roman" w:cs="宋体"/>
      <w:kern w:val="2"/>
      <w:sz w:val="24"/>
      <w:szCs w:val="22"/>
      <w:lang w:val="en-US" w:eastAsia="zh-CN" w:bidi="ar-SA"/>
    </w:rPr>
  </w:style>
  <w:style w:type="paragraph" w:styleId="5">
    <w:name w:val="heading 1"/>
    <w:basedOn w:val="1"/>
    <w:next w:val="1"/>
    <w:link w:val="28"/>
    <w:qFormat/>
    <w:uiPriority w:val="0"/>
    <w:pPr>
      <w:keepNext/>
      <w:keepLines/>
      <w:adjustRightInd w:val="0"/>
      <w:snapToGrid w:val="0"/>
      <w:spacing w:line="360" w:lineRule="auto"/>
      <w:outlineLvl w:val="0"/>
    </w:pPr>
    <w:rPr>
      <w:rFonts w:ascii="Times New Roman" w:hAnsi="Times New Roman" w:eastAsia="宋体" w:cs="Times New Roman"/>
      <w:b/>
      <w:bCs/>
      <w:kern w:val="44"/>
      <w:sz w:val="28"/>
      <w:szCs w:val="44"/>
    </w:rPr>
  </w:style>
  <w:style w:type="paragraph" w:styleId="6">
    <w:name w:val="heading 2"/>
    <w:basedOn w:val="1"/>
    <w:next w:val="1"/>
    <w:link w:val="24"/>
    <w:autoRedefine/>
    <w:unhideWhenUsed/>
    <w:qFormat/>
    <w:uiPriority w:val="0"/>
    <w:pPr>
      <w:keepNext/>
      <w:keepLines/>
      <w:spacing w:line="360" w:lineRule="auto"/>
      <w:outlineLvl w:val="1"/>
    </w:pPr>
    <w:rPr>
      <w:rFonts w:eastAsia="宋体" w:asciiTheme="majorHAnsi" w:hAnsiTheme="majorHAnsi" w:cstheme="majorBidi"/>
      <w:b/>
      <w:bCs/>
      <w:sz w:val="28"/>
      <w:szCs w:val="32"/>
    </w:rPr>
  </w:style>
  <w:style w:type="paragraph" w:styleId="7">
    <w:name w:val="heading 3"/>
    <w:basedOn w:val="1"/>
    <w:next w:val="1"/>
    <w:link w:val="26"/>
    <w:autoRedefine/>
    <w:semiHidden/>
    <w:unhideWhenUsed/>
    <w:qFormat/>
    <w:uiPriority w:val="0"/>
    <w:pPr>
      <w:keepNext/>
      <w:keepLines/>
      <w:spacing w:line="360" w:lineRule="auto"/>
      <w:outlineLvl w:val="2"/>
    </w:pPr>
    <w:rPr>
      <w:rFonts w:ascii="Times New Roman" w:hAnsi="Times New Roman" w:eastAsia="宋体" w:cs="Times New Roman"/>
      <w:b/>
      <w:bCs/>
      <w:sz w:val="32"/>
      <w:szCs w:val="32"/>
    </w:rPr>
  </w:style>
  <w:style w:type="paragraph" w:styleId="8">
    <w:name w:val="heading 4"/>
    <w:basedOn w:val="1"/>
    <w:next w:val="1"/>
    <w:link w:val="27"/>
    <w:autoRedefine/>
    <w:semiHidden/>
    <w:unhideWhenUsed/>
    <w:qFormat/>
    <w:uiPriority w:val="0"/>
    <w:pPr>
      <w:keepNext/>
      <w:keepLines/>
      <w:spacing w:line="360" w:lineRule="auto"/>
      <w:outlineLvl w:val="3"/>
    </w:pPr>
    <w:rPr>
      <w:rFonts w:ascii="Times New Roman" w:hAnsi="Times New Roman" w:eastAsia="宋体" w:cs="Times New Roman"/>
      <w:b/>
      <w:bCs/>
      <w:szCs w:val="28"/>
    </w:rPr>
  </w:style>
  <w:style w:type="character" w:default="1" w:styleId="20">
    <w:name w:val="Default Paragraph Font"/>
    <w:autoRedefine/>
    <w:semiHidden/>
    <w:unhideWhenUsed/>
    <w:qFormat/>
    <w:uiPriority w:val="1"/>
  </w:style>
  <w:style w:type="table" w:default="1" w:styleId="19">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autoRedefine/>
    <w:unhideWhenUsed/>
    <w:qFormat/>
    <w:uiPriority w:val="99"/>
    <w:pPr>
      <w:ind w:firstLine="420" w:firstLineChars="200"/>
    </w:pPr>
  </w:style>
  <w:style w:type="paragraph" w:styleId="3">
    <w:name w:val="Body Text Indent"/>
    <w:basedOn w:val="1"/>
    <w:next w:val="4"/>
    <w:autoRedefine/>
    <w:unhideWhenUsed/>
    <w:qFormat/>
    <w:uiPriority w:val="99"/>
    <w:pPr>
      <w:spacing w:after="120"/>
      <w:ind w:left="420" w:leftChars="200"/>
    </w:pPr>
  </w:style>
  <w:style w:type="paragraph" w:styleId="4">
    <w:name w:val="envelope return"/>
    <w:basedOn w:val="1"/>
    <w:autoRedefine/>
    <w:qFormat/>
    <w:uiPriority w:val="99"/>
    <w:pPr>
      <w:snapToGrid w:val="0"/>
    </w:pPr>
    <w:rPr>
      <w:rFonts w:ascii="Arial" w:hAnsi="Arial"/>
    </w:rPr>
  </w:style>
  <w:style w:type="paragraph" w:styleId="9">
    <w:name w:val="Document Map"/>
    <w:basedOn w:val="1"/>
    <w:autoRedefine/>
    <w:qFormat/>
    <w:uiPriority w:val="99"/>
    <w:rPr>
      <w:rFonts w:ascii="Times New Roman"/>
      <w:sz w:val="18"/>
      <w:szCs w:val="18"/>
    </w:rPr>
  </w:style>
  <w:style w:type="paragraph" w:styleId="10">
    <w:name w:val="Body Text"/>
    <w:basedOn w:val="1"/>
    <w:autoRedefine/>
    <w:qFormat/>
    <w:uiPriority w:val="0"/>
    <w:pPr>
      <w:autoSpaceDE w:val="0"/>
      <w:autoSpaceDN w:val="0"/>
      <w:adjustRightInd w:val="0"/>
      <w:ind w:left="120"/>
      <w:jc w:val="left"/>
    </w:pPr>
    <w:rPr>
      <w:rFonts w:ascii="Times New Roman" w:hAnsi="宋体" w:cs="Times New Roman"/>
      <w:kern w:val="0"/>
      <w:szCs w:val="24"/>
    </w:rPr>
  </w:style>
  <w:style w:type="paragraph" w:styleId="11">
    <w:name w:val="toc 3"/>
    <w:basedOn w:val="1"/>
    <w:next w:val="1"/>
    <w:autoRedefine/>
    <w:qFormat/>
    <w:uiPriority w:val="0"/>
    <w:pPr>
      <w:tabs>
        <w:tab w:val="right" w:leader="dot" w:pos="8296"/>
      </w:tabs>
      <w:spacing w:line="360" w:lineRule="auto"/>
      <w:ind w:left="840" w:leftChars="400"/>
    </w:pPr>
    <w:rPr>
      <w:rFonts w:ascii="Times New Roman" w:hAnsi="Times New Roman" w:eastAsia="仿宋" w:cs="Times New Roman"/>
      <w:szCs w:val="24"/>
    </w:rPr>
  </w:style>
  <w:style w:type="paragraph" w:styleId="12">
    <w:name w:val="Balloon Text"/>
    <w:basedOn w:val="1"/>
    <w:link w:val="31"/>
    <w:autoRedefine/>
    <w:qFormat/>
    <w:uiPriority w:val="0"/>
    <w:rPr>
      <w:sz w:val="18"/>
      <w:szCs w:val="18"/>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5">
    <w:name w:val="toc 1"/>
    <w:basedOn w:val="1"/>
    <w:next w:val="1"/>
    <w:autoRedefine/>
    <w:qFormat/>
    <w:uiPriority w:val="0"/>
    <w:pPr>
      <w:tabs>
        <w:tab w:val="right" w:leader="dot" w:pos="8296"/>
      </w:tabs>
      <w:spacing w:line="360" w:lineRule="auto"/>
      <w:jc w:val="center"/>
    </w:pPr>
    <w:rPr>
      <w:rFonts w:ascii="仿宋" w:hAnsi="仿宋" w:eastAsia="仿宋" w:cs="Times New Roman"/>
      <w:szCs w:val="28"/>
    </w:rPr>
  </w:style>
  <w:style w:type="paragraph" w:styleId="16">
    <w:name w:val="table of figures"/>
    <w:basedOn w:val="1"/>
    <w:next w:val="1"/>
    <w:qFormat/>
    <w:uiPriority w:val="0"/>
    <w:pPr>
      <w:ind w:left="200" w:leftChars="200" w:hanging="200" w:hangingChars="200"/>
    </w:pPr>
  </w:style>
  <w:style w:type="paragraph" w:styleId="17">
    <w:name w:val="toc 2"/>
    <w:basedOn w:val="1"/>
    <w:next w:val="1"/>
    <w:autoRedefine/>
    <w:qFormat/>
    <w:uiPriority w:val="0"/>
    <w:pPr>
      <w:tabs>
        <w:tab w:val="right" w:leader="dot" w:pos="8296"/>
      </w:tabs>
      <w:spacing w:line="360" w:lineRule="auto"/>
      <w:ind w:left="420" w:leftChars="200"/>
    </w:pPr>
    <w:rPr>
      <w:rFonts w:ascii="Times New Roman" w:hAnsi="Times New Roman" w:eastAsia="仿宋" w:cs="Times New Roman"/>
      <w:szCs w:val="24"/>
    </w:rPr>
  </w:style>
  <w:style w:type="paragraph" w:styleId="18">
    <w:name w:val="Normal (Web)"/>
    <w:basedOn w:val="1"/>
    <w:autoRedefine/>
    <w:qFormat/>
    <w:uiPriority w:val="0"/>
  </w:style>
  <w:style w:type="character" w:styleId="21">
    <w:name w:val="page number"/>
    <w:basedOn w:val="20"/>
    <w:qFormat/>
    <w:uiPriority w:val="99"/>
    <w:rPr>
      <w:rFonts w:cs="Times New Roman"/>
    </w:rPr>
  </w:style>
  <w:style w:type="paragraph" w:customStyle="1" w:styleId="22">
    <w:name w:val="_Style 8"/>
    <w:basedOn w:val="9"/>
    <w:autoRedefine/>
    <w:qFormat/>
    <w:uiPriority w:val="0"/>
    <w:rPr>
      <w:szCs w:val="24"/>
    </w:rPr>
  </w:style>
  <w:style w:type="paragraph" w:customStyle="1" w:styleId="23">
    <w:name w:val="_Style 81"/>
    <w:basedOn w:val="9"/>
    <w:qFormat/>
    <w:uiPriority w:val="0"/>
    <w:rPr>
      <w:szCs w:val="24"/>
    </w:rPr>
  </w:style>
  <w:style w:type="character" w:customStyle="1" w:styleId="24">
    <w:name w:val="标题 2 Char"/>
    <w:basedOn w:val="20"/>
    <w:link w:val="6"/>
    <w:qFormat/>
    <w:locked/>
    <w:uiPriority w:val="9"/>
    <w:rPr>
      <w:rFonts w:eastAsia="宋体" w:asciiTheme="majorHAnsi" w:hAnsiTheme="majorHAnsi" w:cstheme="majorBidi"/>
      <w:b/>
      <w:bCs/>
      <w:color w:val="auto"/>
      <w:kern w:val="2"/>
      <w:sz w:val="32"/>
      <w:szCs w:val="32"/>
    </w:rPr>
  </w:style>
  <w:style w:type="character" w:customStyle="1" w:styleId="25">
    <w:name w:val="标题 1 Char"/>
    <w:basedOn w:val="20"/>
    <w:link w:val="5"/>
    <w:autoRedefine/>
    <w:qFormat/>
    <w:locked/>
    <w:uiPriority w:val="9"/>
    <w:rPr>
      <w:rFonts w:ascii="Times New Roman" w:hAnsi="Times New Roman" w:eastAsia="宋体" w:cs="Times New Roman"/>
      <w:b/>
      <w:bCs/>
      <w:color w:val="auto"/>
      <w:kern w:val="44"/>
      <w:sz w:val="32"/>
      <w:szCs w:val="44"/>
    </w:rPr>
  </w:style>
  <w:style w:type="character" w:customStyle="1" w:styleId="26">
    <w:name w:val="标题 3 Char"/>
    <w:link w:val="7"/>
    <w:autoRedefine/>
    <w:qFormat/>
    <w:uiPriority w:val="1"/>
    <w:rPr>
      <w:rFonts w:ascii="Times New Roman" w:hAnsi="Times New Roman" w:eastAsia="宋体" w:cs="Times New Roman"/>
      <w:b/>
      <w:bCs/>
      <w:sz w:val="24"/>
      <w:szCs w:val="24"/>
      <w:lang w:eastAsia="en-US"/>
    </w:rPr>
  </w:style>
  <w:style w:type="character" w:customStyle="1" w:styleId="27">
    <w:name w:val="标题 4 Char"/>
    <w:basedOn w:val="20"/>
    <w:link w:val="8"/>
    <w:autoRedefine/>
    <w:qFormat/>
    <w:locked/>
    <w:uiPriority w:val="99"/>
    <w:rPr>
      <w:rFonts w:ascii="Times New Roman" w:hAnsi="Times New Roman" w:eastAsia="宋体" w:cs="Times New Roman"/>
      <w:b/>
      <w:bCs/>
      <w:sz w:val="24"/>
      <w:szCs w:val="28"/>
    </w:rPr>
  </w:style>
  <w:style w:type="character" w:customStyle="1" w:styleId="28">
    <w:name w:val="标题 1 Char1"/>
    <w:link w:val="5"/>
    <w:autoRedefine/>
    <w:qFormat/>
    <w:uiPriority w:val="0"/>
    <w:rPr>
      <w:rFonts w:ascii="Times New Roman" w:hAnsi="Times New Roman" w:eastAsia="宋体" w:cs="Times New Roman"/>
      <w:b/>
      <w:bCs/>
      <w:kern w:val="44"/>
      <w:sz w:val="28"/>
      <w:szCs w:val="44"/>
    </w:rPr>
  </w:style>
  <w:style w:type="paragraph" w:customStyle="1" w:styleId="29">
    <w:name w:val="WPSOffice手动目录 1"/>
    <w:qFormat/>
    <w:uiPriority w:val="0"/>
    <w:rPr>
      <w:rFonts w:ascii="Times New Roman" w:hAnsi="Times New Roman" w:eastAsia="宋体" w:cs="Times New Roman"/>
      <w:lang w:val="en-US" w:eastAsia="zh-CN" w:bidi="ar-SA"/>
    </w:rPr>
  </w:style>
  <w:style w:type="paragraph" w:customStyle="1" w:styleId="30">
    <w:name w:val="WPSOffice手动目录 2"/>
    <w:autoRedefine/>
    <w:qFormat/>
    <w:uiPriority w:val="0"/>
    <w:pPr>
      <w:ind w:left="200" w:leftChars="200"/>
    </w:pPr>
    <w:rPr>
      <w:rFonts w:ascii="Times New Roman" w:hAnsi="Times New Roman" w:eastAsia="宋体" w:cs="Times New Roman"/>
      <w:lang w:val="en-US" w:eastAsia="zh-CN" w:bidi="ar-SA"/>
    </w:rPr>
  </w:style>
  <w:style w:type="character" w:customStyle="1" w:styleId="31">
    <w:name w:val="批注框文本 Char"/>
    <w:basedOn w:val="20"/>
    <w:link w:val="12"/>
    <w:autoRedefine/>
    <w:qFormat/>
    <w:uiPriority w:val="0"/>
    <w:rPr>
      <w:rFonts w:ascii="Calibri" w:hAnsi="Calibri" w:eastAsia="Times New Roman" w:cs="宋体"/>
      <w:kern w:val="2"/>
      <w:sz w:val="18"/>
      <w:szCs w:val="18"/>
    </w:rPr>
  </w:style>
  <w:style w:type="paragraph" w:styleId="3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742</Words>
  <Characters>4231</Characters>
  <Lines>35</Lines>
  <Paragraphs>9</Paragraphs>
  <TotalTime>3</TotalTime>
  <ScaleCrop>false</ScaleCrop>
  <LinksUpToDate>false</LinksUpToDate>
  <CharactersWithSpaces>4964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2024-01-31T15:35:00Z</dcterms:created>
  <dc:creator>Administrator</dc:creator>
  <cp:lastModifiedBy>沉香</cp:lastModifiedBy>
  <cp:lastPrinted>2023-02-06T09:38:00Z</cp:lastPrinted>
  <dcterms:modified xsi:type="dcterms:W3CDTF">2024-02-18T07:14:45Z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FB249A1954E5488B8319CC2AF2209BC4_13</vt:lpwstr>
  </property>
</Properties>
</file>