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中国共产党广元市委党校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2024年部门预算公开</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265843486"/>
        <w15:color w:val="DBDBDB"/>
        <w:docPartObj>
          <w:docPartGallery w:val="Table of Contents"/>
          <w:docPartUnique/>
        </w:docPartObj>
      </w:sdtPr>
      <w:sdtEndP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60" w:lineRule="auto"/>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"1-3" \h \u </w:instrTex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_Toc1734410546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_Toc1734410546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_Toc1000921605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中国共产党广元市委党校</w:t>
          </w:r>
          <w:r>
            <w:rPr>
              <w:rFonts w:hint="eastAsia" w:ascii="楷体_GB2312" w:hAnsi="楷体_GB2312" w:eastAsia="楷体_GB2312" w:cs="楷体_GB2312"/>
              <w:szCs w:val="32"/>
            </w:rPr>
            <w:t>职能简介</w:t>
          </w:r>
          <w:r>
            <w:tab/>
          </w:r>
          <w:r>
            <w:fldChar w:fldCharType="begin"/>
          </w:r>
          <w:r>
            <w:instrText xml:space="preserve"> PAGEREF _Toc1000921605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_Toc595223156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中国共产党广元市委党校</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_Toc595223156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_Toc680056729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_Toc680056729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_Toc897276087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_Toc897276087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_Toc253649844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_Toc253649844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_Toc1545235898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_Toc1545235898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_Toc775879945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_Toc775879945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_Toc1505438135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_Toc1505438135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_Toc1675502552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_Toc1675502552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_Toc1811639069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_Toc1811639069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_Toc1829033304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_Toc1829033304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_Toc425817430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_Toc425817430 \h </w:instrText>
          </w:r>
          <w:r>
            <w:fldChar w:fldCharType="separate"/>
          </w:r>
          <w:r>
            <w:t>10</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_Toc985844838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_Toc985844838 \h </w:instrText>
          </w:r>
          <w:r>
            <w:fldChar w:fldCharType="separate"/>
          </w:r>
          <w:r>
            <w:t>10</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_Toc178511212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_Toc178511212 \h </w:instrText>
          </w:r>
          <w:r>
            <w:fldChar w:fldCharType="separate"/>
          </w:r>
          <w:r>
            <w:t>10</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_Toc1628652708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_Toc1628652708 \h </w:instrText>
          </w:r>
          <w:r>
            <w:fldChar w:fldCharType="separate"/>
          </w:r>
          <w:r>
            <w:t>10</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_Toc416402352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_Toc416402352 \h </w:instrText>
          </w:r>
          <w:r>
            <w:fldChar w:fldCharType="separate"/>
          </w:r>
          <w:r>
            <w:t>11</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_Toc1273009738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_Toc1273009738 \h </w:instrText>
          </w:r>
          <w:r>
            <w:fldChar w:fldCharType="separate"/>
          </w:r>
          <w:r>
            <w:t>11</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_Toc31111952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_Toc31111952 \h </w:instrText>
          </w:r>
          <w:r>
            <w:fldChar w:fldCharType="separate"/>
          </w:r>
          <w:r>
            <w:t>11</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_Toc1105086029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_Toc1105086029 \h </w:instrText>
          </w:r>
          <w:r>
            <w:fldChar w:fldCharType="separate"/>
          </w:r>
          <w:r>
            <w:t>11</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_Toc650106589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_Toc650106589 \h </w:instrText>
          </w:r>
          <w:r>
            <w:fldChar w:fldCharType="separate"/>
          </w:r>
          <w:r>
            <w:t>11</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_Toc1187632831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_Toc1187632831 \h </w:instrText>
          </w:r>
          <w:r>
            <w:fldChar w:fldCharType="separate"/>
          </w:r>
          <w:r>
            <w:t>11</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_Toc2129681019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_Toc2129681019 \h </w:instrText>
          </w:r>
          <w:r>
            <w:fldChar w:fldCharType="separate"/>
          </w:r>
          <w:r>
            <w:t>11</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_Toc1200733232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_Toc1200733232 \h </w:instrText>
          </w:r>
          <w:r>
            <w:fldChar w:fldCharType="separate"/>
          </w:r>
          <w:r>
            <w:t>12</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3"/>
            <w:tabs>
              <w:tab w:val="right" w:leader="dot" w:pos="8845"/>
            </w:tabs>
            <w:spacing w:line="360" w:lineRule="auto"/>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_Toc993953071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十一、名词解释</w:t>
          </w:r>
          <w:r>
            <w:tab/>
          </w:r>
          <w:r>
            <w:fldChar w:fldCharType="begin"/>
          </w:r>
          <w:r>
            <w:instrText xml:space="preserve"> PAGEREF _Toc993953071 \h </w:instrText>
          </w:r>
          <w:r>
            <w:fldChar w:fldCharType="separate"/>
          </w:r>
          <w:r>
            <w:t>12</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spacing w:line="360" w:lineRule="auto"/>
            <w:jc w:val="cente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sdtContent>
    </w:sdt>
    <w:p>
      <w:pPr>
        <w:jc w:val="cente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562" w:firstLineChars="200"/>
        <w:textAlignment w:val="auto"/>
        <w:outlineLvl w:val="0"/>
        <w:rPr>
          <w:rFonts w:hint="eastAsia" w:ascii="黑体" w:hAnsi="黑体" w:eastAsia="黑体" w:cs="黑体"/>
          <w:sz w:val="32"/>
          <w:szCs w:val="32"/>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bookmarkStart w:id="0" w:name="_Toc1734410546"/>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1000921605"/>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中国共产党广元市委党校</w:t>
      </w:r>
      <w:r>
        <w:rPr>
          <w:rFonts w:hint="eastAsia" w:ascii="楷体_GB2312" w:hAnsi="楷体_GB2312" w:eastAsia="楷体_GB2312" w:cs="楷体_GB2312"/>
          <w:sz w:val="32"/>
          <w:szCs w:val="32"/>
        </w:rPr>
        <w:t>职能简介</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ascii="仿宋_GB2312" w:hAnsi="宋体" w:eastAsia="仿宋_GB2312" w:cs="仿宋_GB2312"/>
          <w:kern w:val="2"/>
          <w:sz w:val="32"/>
          <w:szCs w:val="32"/>
        </w:rPr>
        <w:t>中国共产党广元市委党校兼办广元行政学院、广元市社会主义学院，实行</w:t>
      </w:r>
      <w:r>
        <w:rPr>
          <w:rFonts w:hint="default" w:ascii="仿宋_GB2312" w:hAnsi="宋体" w:eastAsia="仿宋_GB2312" w:cs="仿宋_GB2312"/>
          <w:kern w:val="2"/>
          <w:sz w:val="32"/>
          <w:szCs w:val="32"/>
        </w:rPr>
        <w:t>“一套机构、三块牌子”的管理体制，是市委、市政府负责培训轮训全市党政领导干部、国家公务员、统一战线人士和进行理论研究的重要部门，是市委、市政府直属的参照公务员管理的事业单位。其主要职能是：培训各级党政领导干部、公务员、国有企业领导人员、事业单位领导人员、年轻干部、理论宣传骨干、高层次人才、基层干部、党员；培训民主党派和无党派人士、统一战线其他领域代表人士，培训统战干部，培养统一战线理论研究人才，承办党委和政府举办的有关专题研讨班；开展党校（行政学院、社会主义学院）系统师资培训；加强马克思主义基本理论研究，重点研究宣传习近平新时代中国特色社会主义思想；开展理论和现实问题研究，承担党委和政府决策咨询服务；开展同省内外有关机构和组织的合作与交流；参与党委关于党校（行政学院、社会主义学院）工作政策以及干部培训计划的制定工作；完成党委和政府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595223156"/>
      <w:r>
        <w:rPr>
          <w:rFonts w:hint="eastAsia" w:ascii="楷体_GB2312" w:hAnsi="楷体_GB2312" w:eastAsia="楷体_GB2312" w:cs="楷体_GB2312"/>
          <w:sz w:val="32"/>
          <w:szCs w:val="32"/>
          <w:lang w:val="en-US" w:eastAsia="zh-CN"/>
        </w:rPr>
        <w:t>中国共产党广元市委党校</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color w:val="000000"/>
          <w:kern w:val="0"/>
          <w:sz w:val="31"/>
          <w:szCs w:val="31"/>
          <w:lang w:val="en-US" w:eastAsia="zh-CN" w:bidi="ar"/>
        </w:rPr>
      </w:pPr>
      <w:r>
        <w:rPr>
          <w:rFonts w:hint="eastAsia" w:ascii="仿宋_GB2312" w:hAnsi="宋体" w:eastAsia="仿宋_GB2312" w:cs="仿宋_GB2312"/>
          <w:kern w:val="2"/>
          <w:sz w:val="32"/>
          <w:szCs w:val="32"/>
          <w:lang w:val="en-US" w:eastAsia="zh-CN"/>
        </w:rPr>
        <w:t>1、</w:t>
      </w:r>
      <w:r>
        <w:rPr>
          <w:rFonts w:hint="default" w:ascii="仿宋_GB2312" w:hAnsi="宋体" w:eastAsia="仿宋_GB2312" w:cs="仿宋_GB2312"/>
          <w:kern w:val="2"/>
          <w:sz w:val="32"/>
          <w:szCs w:val="32"/>
          <w:lang w:val="en-US" w:eastAsia="zh-CN"/>
        </w:rPr>
        <w:t>强化政治引领，深入推进各项部署要求贯彻落实</w:t>
      </w:r>
      <w:r>
        <w:rPr>
          <w:rFonts w:hint="eastAsia" w:ascii="仿宋_GB2312" w:hAnsi="宋体" w:eastAsia="仿宋_GB2312" w:cs="仿宋_GB2312"/>
          <w:kern w:val="2"/>
          <w:sz w:val="32"/>
          <w:szCs w:val="32"/>
          <w:lang w:val="en-US" w:eastAsia="zh-CN"/>
        </w:rPr>
        <w:t>。</w:t>
      </w:r>
      <w:r>
        <w:rPr>
          <w:rFonts w:hint="default" w:ascii="仿宋_GB2312" w:hAnsi="宋体" w:eastAsia="仿宋_GB2312" w:cs="仿宋_GB2312"/>
          <w:kern w:val="2"/>
          <w:sz w:val="32"/>
          <w:szCs w:val="32"/>
          <w:lang w:val="en-US" w:eastAsia="zh-CN"/>
        </w:rPr>
        <w:t>深入贯彻落实习近平总书记关于党校工作重要论述。</w:t>
      </w:r>
      <w:r>
        <w:rPr>
          <w:rFonts w:ascii="仿宋_GB2312" w:hAnsi="仿宋_GB2312" w:eastAsia="仿宋_GB2312" w:cs="仿宋_GB2312"/>
          <w:color w:val="000000"/>
          <w:kern w:val="0"/>
          <w:sz w:val="31"/>
          <w:szCs w:val="31"/>
          <w:lang w:val="en-US" w:eastAsia="zh-CN" w:bidi="ar"/>
        </w:rPr>
        <w:t>坚持把习近平总书记关于党校工作重要论述作为做好新时代党校工作的根本遵循，通过校委会、理论学习中心组、干部职工会及宣传宣讲活动等方式，深入学习贯彻习近平总书记关于党校工作重要论述、习近平总书记在中央党校建校90周年庆祝大会暨2023年春季学期开学典礼上的讲话精神和习近平来川来广视察重要指示精神，牢记“为党育才、为党献策”初心使命，切实将习近平总书记重要指示精神落实到办学治校各方面全过程。准确把握全国全省全市党校校长会议安排部署。突出把贯彻落实好全国全省全市党校校长会议精神作为党校当前和今后一个时期的主要任务</w:t>
      </w:r>
      <w:r>
        <w:rPr>
          <w:rFonts w:hint="eastAsia" w:ascii="仿宋_GB2312" w:hAnsi="仿宋_GB2312" w:eastAsia="仿宋_GB2312" w:cs="仿宋_GB2312"/>
          <w:color w:val="000000"/>
          <w:kern w:val="0"/>
          <w:sz w:val="31"/>
          <w:szCs w:val="31"/>
          <w:lang w:val="en-US" w:eastAsia="zh-CN" w:bidi="ar"/>
        </w:rPr>
        <w:t>。</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2、</w:t>
      </w:r>
      <w:r>
        <w:rPr>
          <w:rFonts w:ascii="仿宋_GB2312" w:hAnsi="仿宋_GB2312" w:eastAsia="仿宋_GB2312" w:cs="仿宋_GB2312"/>
          <w:color w:val="000000"/>
          <w:kern w:val="0"/>
          <w:sz w:val="31"/>
          <w:szCs w:val="31"/>
          <w:lang w:val="en-US" w:eastAsia="zh-CN" w:bidi="ar"/>
        </w:rPr>
        <w:t>围绕中心大局，持续提升党校育人献策质量水平</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系统加强理论建设。立足市、县级党校理论研究基础，整合全市党校系统理论研究优势，切实做好学科建设规划，突出加强马克思主义社会科学特色学科和党史、党建、政治、经济等重点学科建设，不断夯实理论研究的专业基础。持续深化思想引领。始终坚持把思想引领作为党校首要任务，坚持用创新理论武装头脑，突出用习近平新时代中国特色社会主义思想凝神铸魂，不断提升干部指导实践、推进工作、解决问题水平。全链提升教育培训。认真落实《干部教育培训工作条例》，坚持突出提升教学质量这个中心，全面对照《全国干部教育培训规划（2023－2027 年）》，始终聚焦干部教育培训关键环节，坚持着力“培训谁”、“训什么”、“靠啥训”、“谁来训”、“如何训”、“怎样训得好”等问题精准解决，全链提升教学水平，持续增强为党育才实效。整体增强科研质效。坚持采取组建科研小组帮带、邀请专家集中指导、系统开展业务培训、组织参与课题研究等多元措施，夯实科研专业化队伍。持续加强县级党校全省党校系统智库基地创建，充分用好市委党校全省党校系统智库基地，坚持“六个一批”项目化推进科研工作，突出聚焦科研选题、论证、调研、结项、转化等全链条，切实强化台账管理、全程跟进、定期调度、负面惩处等工作措施，整体提升科研质效。</w:t>
      </w:r>
    </w:p>
    <w:p>
      <w:pPr>
        <w:keepNext w:val="0"/>
        <w:keepLines w:val="0"/>
        <w:widowControl/>
        <w:suppressLineNumbers w:val="0"/>
        <w:ind w:firstLine="620" w:firstLineChars="200"/>
        <w:jc w:val="left"/>
        <w:rPr>
          <w:rFonts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3、</w:t>
      </w:r>
      <w:r>
        <w:rPr>
          <w:rFonts w:ascii="仿宋_GB2312" w:hAnsi="仿宋_GB2312" w:eastAsia="仿宋_GB2312" w:cs="仿宋_GB2312"/>
          <w:color w:val="000000"/>
          <w:kern w:val="0"/>
          <w:sz w:val="31"/>
          <w:szCs w:val="31"/>
          <w:lang w:val="en-US" w:eastAsia="zh-CN" w:bidi="ar"/>
        </w:rPr>
        <w:t>深化分类建设，不断激发党校办学治校内生动力</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系统落实工作措施。认真按照省委组织部、省委党校的部署要求，紧密结合党校工作实际，系统推进市上制定出台的《深化市县级党校分类建设的支持措施》《区域中心党校重点支持措施》《优化完善市区党校一体办学工作措施》和《贯彻落实全国全省党校校（院）长会议精神的工作措施》全面落实落地，不断强化推动党校发展的工作保障。统筹抓实“五大工程”。认真落实《广元市深化县级党校分类建设计划实施方案》，统筹实施智慧校园赋能工程、教学培训提质工程、重大课题攻关工程、决策咨询提效工程、师资队伍提能工程等“五大工程”，不断推动深化县级党校分类建设取得新成效。深入推进“五好”工程</w:t>
      </w:r>
      <w:r>
        <w:rPr>
          <w:rFonts w:ascii="楷体_GB2312" w:hAnsi="楷体_GB2312" w:eastAsia="楷体_GB2312" w:cs="楷体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充分依托“1+3+5”推进体系，突出着力特色挖掘、专题提升、典型解剖、咨政研究和理论阐释，深入实施“五好”创新工程，全面推动办学质量提升。全市党校系统向省委组织部推送“好教材”2部以上、“好课程” 3堂以上、“好案例”3个以上，获评市级以上优秀课题5个以上，核心期刊发表理论文章5篇以上。全面实施“名师工程”。坚持人才强校，在全市党校系统全面实施“名师工程”，定期开展名师评聘，支持名师工作室建设，加大名师工作保障力度，推动名师不断涌现，带动全市党校系统师资水平整体提升，切实为建设区域一流党校打下坚实基础。</w:t>
      </w:r>
    </w:p>
    <w:p>
      <w:pPr>
        <w:keepNext w:val="0"/>
        <w:keepLines w:val="0"/>
        <w:widowControl/>
        <w:suppressLineNumbers w:val="0"/>
        <w:ind w:firstLine="620" w:firstLineChars="200"/>
        <w:jc w:val="left"/>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4、</w:t>
      </w:r>
      <w:r>
        <w:rPr>
          <w:rFonts w:ascii="仿宋_GB2312" w:hAnsi="仿宋_GB2312" w:eastAsia="仿宋_GB2312" w:cs="仿宋_GB2312"/>
          <w:color w:val="000000"/>
          <w:kern w:val="0"/>
          <w:sz w:val="31"/>
          <w:szCs w:val="31"/>
          <w:lang w:val="en-US" w:eastAsia="zh-CN" w:bidi="ar"/>
        </w:rPr>
        <w:t>坚持从严治校，持续强化党校系统优良作风建设</w:t>
      </w:r>
      <w:r>
        <w:rPr>
          <w:rFonts w:hint="eastAsia" w:ascii="仿宋_GB2312" w:hAnsi="仿宋_GB2312" w:eastAsia="仿宋_GB2312" w:cs="仿宋_GB2312"/>
          <w:color w:val="000000"/>
          <w:kern w:val="0"/>
          <w:sz w:val="31"/>
          <w:szCs w:val="31"/>
          <w:lang w:val="en-US" w:eastAsia="zh-CN" w:bidi="ar"/>
        </w:rPr>
        <w:t>。</w:t>
      </w:r>
      <w:r>
        <w:rPr>
          <w:rFonts w:ascii="仿宋_GB2312" w:hAnsi="仿宋_GB2312" w:eastAsia="仿宋_GB2312" w:cs="仿宋_GB2312"/>
          <w:color w:val="000000"/>
          <w:kern w:val="0"/>
          <w:sz w:val="31"/>
          <w:szCs w:val="31"/>
          <w:lang w:val="en-US" w:eastAsia="zh-CN" w:bidi="ar"/>
        </w:rPr>
        <w:t>从严加强机关党建。突出政治建校，坚持把政治建设摆在首位，深化学习贯彻习近平新时代中国特色社会主义思想主题教育学习成果，不断强化党校政治机关、政治学校建设。着力强化机关党组织政治功能和组织功能，持续提升标准化规范化党支部建设水平，不断促进支部更好发挥战斗堡垒作用。从严加强运行管理。坚持按照“规范、能动、协调、高效”的运行管理原则，从严规范区域中心党校、独立办学、一体办学、联动办学机制，突出完善项目实施、物资采购、经费使用、人才引进、职级晋升、干部选配等“三重一大”事项运行管理和业务指导工作制度，坚持以制度规范运行、加强管理、提升效能。从严优化服务保障。立足校（院）与利州区、昭化区委党校一体办学实际，始终坚持“五好”服务目标要求，坚持在培训统筹、科研管理、运行协调、技术支撑等方面提升服务水平，强化服务保障。从严加强廉政建设。认真落实“4321”监督体系，坚持清单制压实党风廉政建设责任，重点加强重要部门、主要环节、关键岗位的监督管理。正确运用“四种形态”，推动做到不敢腐、不能腐、不想腐，持续加强“廉洁党校”建设。从严加强校风建设。坚持开展“书香校园”读书活动，定期开展“教师论坛”和“学员讲坛”，不断浓厚校园学习之风。从严加强以“党风严、教风正、作风实”为主题的纪律作风建设，从严深化“五讲五树五不准”专项整治成果，从严整顿师资、学员、行政人员管理“宽、松、软”问</w:t>
      </w:r>
      <w:r>
        <w:rPr>
          <w:rFonts w:hint="default" w:ascii="仿宋_GB2312" w:hAnsi="仿宋_GB2312" w:eastAsia="仿宋_GB2312" w:cs="仿宋_GB2312"/>
          <w:color w:val="000000"/>
          <w:kern w:val="0"/>
          <w:sz w:val="31"/>
          <w:szCs w:val="31"/>
          <w:lang w:val="en-US" w:eastAsia="zh-CN" w:bidi="ar"/>
        </w:rPr>
        <w:t>题，从严纠治要求不严、进取不够、责任不强、协作不好、落实不力、工作不实等纪律作风问题，不断严纪律、正风气、净生态，坚持以优良校风保障党校事业高质量发展</w:t>
      </w:r>
      <w:r>
        <w:rPr>
          <w:rFonts w:hint="eastAsia" w:ascii="仿宋_GB2312" w:hAnsi="仿宋_GB2312" w:eastAsia="仿宋_GB2312" w:cs="仿宋_GB2312"/>
          <w:color w:val="000000"/>
          <w:kern w:val="0"/>
          <w:sz w:val="31"/>
          <w:szCs w:val="31"/>
          <w:lang w:val="en-US" w:eastAsia="zh-CN" w:bidi="ar"/>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680056729"/>
      <w:r>
        <w:rPr>
          <w:rFonts w:hint="eastAsia" w:ascii="黑体" w:hAnsi="黑体" w:eastAsia="黑体" w:cs="黑体"/>
          <w:sz w:val="32"/>
          <w:szCs w:val="32"/>
          <w:lang w:val="en-US" w:eastAsia="zh-CN"/>
        </w:rPr>
        <w:t>二、部门预算单位构成</w:t>
      </w:r>
      <w:bookmarkEnd w:id="3"/>
    </w:p>
    <w:p>
      <w:pPr>
        <w:keepNext w:val="0"/>
        <w:keepLines w:val="0"/>
        <w:widowControl/>
        <w:suppressLineNumbers w:val="0"/>
        <w:ind w:firstLine="620" w:firstLineChars="200"/>
        <w:jc w:val="left"/>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中国共产党广元市委党校无下属二级预算单位，仅包含党校本级。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897276087"/>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中国共产党广元市委党校所有收入和支出均纳入部门预算管理。收入包括：一般公共预算拨款收入、其他收入；支出包括：教育支出、社会保障和就业支出、卫生健康支出、住房保障支出。中国共产党广元市委党校2024年收支预算总数5342.02万元,比2023年收支预算总数增加3142.26万元，主要原因是采购项目预算指标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53649844"/>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中国共产党广元市委党校2024年收入预算5342.02万元，其中：一般公共预算拨款收入2402.15万元，占44.97%；其他收入2939.86万元，占55.03%。</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545235898"/>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中国共产党广元市委党校2024年支出预算5342.02万元，其中：基本支出1846.69万元，占34.57%；项目支出3495.32万元，占65.43%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775879945"/>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中国共产党广元市委党校2024年财政拨款收支预算总数2402.15万元,比2023年财政拨款收支预算总数增加202.39万元，主要原因是项目预算总额增加。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收入包括：本年一般公共预算拨款收入2402.15万元；支出包括：教育支出2041.49万元、社会保障和就业支出167.92万元、卫生健康支出53.5万元、住房保障支出139.24万元。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1505438135"/>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675502552"/>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中国共产党广元市委党校2024年一般公共预算当年拨款2402.15万元，比2023年预算数增加202.39万元，主要原因是项目预算总额增加。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811639069"/>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教育支出2041.49万元，占84.98%；社会保障和就业支出167.92万元，占7%；卫生健康支出53.5万元，占2.22%；住房保障支出139.24万元，占5.8%。</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829033304"/>
      <w:r>
        <w:rPr>
          <w:rFonts w:hint="eastAsia" w:ascii="楷体_GB2312" w:hAnsi="楷体_GB2312" w:eastAsia="楷体_GB2312" w:cs="楷体_GB2312"/>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教育支出（类）</w:t>
      </w:r>
      <w:r>
        <w:rPr>
          <w:rFonts w:ascii="仿宋_GB2312" w:hAnsi="Times New Roman" w:eastAsia="仿宋_GB2312" w:cs="仿宋_GB2312"/>
          <w:i w:val="0"/>
          <w:caps w:val="0"/>
          <w:color w:val="333333"/>
          <w:spacing w:val="0"/>
          <w:kern w:val="0"/>
          <w:sz w:val="32"/>
          <w:szCs w:val="32"/>
          <w:shd w:val="clear" w:fill="FFFFFF"/>
        </w:rPr>
        <w:t>进修及培训</w:t>
      </w:r>
      <w:r>
        <w:rPr>
          <w:rFonts w:hint="eastAsia" w:ascii="仿宋_GB2312" w:hAnsi="仿宋_GB2312" w:eastAsia="仿宋_GB2312" w:cs="仿宋_GB2312"/>
          <w:sz w:val="32"/>
          <w:szCs w:val="32"/>
          <w:lang w:val="en-US" w:eastAsia="zh-CN"/>
        </w:rPr>
        <w:t>（款）</w:t>
      </w:r>
      <w:r>
        <w:rPr>
          <w:rFonts w:ascii="仿宋_GB2312" w:hAnsi="Times New Roman" w:eastAsia="仿宋_GB2312" w:cs="仿宋_GB2312"/>
          <w:i w:val="0"/>
          <w:caps w:val="0"/>
          <w:color w:val="333333"/>
          <w:spacing w:val="0"/>
          <w:kern w:val="0"/>
          <w:sz w:val="32"/>
          <w:szCs w:val="32"/>
          <w:shd w:val="clear" w:fill="FFFFFF"/>
        </w:rPr>
        <w:t>干部教育</w:t>
      </w:r>
      <w:r>
        <w:rPr>
          <w:rFonts w:hint="eastAsia" w:ascii="仿宋_GB2312" w:hAnsi="仿宋_GB2312" w:eastAsia="仿宋_GB2312" w:cs="仿宋_GB2312"/>
          <w:sz w:val="32"/>
          <w:szCs w:val="32"/>
          <w:lang w:val="en-US" w:eastAsia="zh-CN"/>
        </w:rPr>
        <w:t>（项）2024年预算数为2041.49万元，主要用于：</w:t>
      </w:r>
      <w:r>
        <w:rPr>
          <w:rFonts w:ascii="仿宋_GB2312" w:hAnsi="Times New Roman" w:eastAsia="仿宋_GB2312" w:cs="仿宋_GB2312"/>
          <w:i w:val="0"/>
          <w:caps w:val="0"/>
          <w:color w:val="333333"/>
          <w:spacing w:val="0"/>
          <w:kern w:val="0"/>
          <w:sz w:val="32"/>
          <w:szCs w:val="32"/>
          <w:shd w:val="clear" w:fill="FFFFFF"/>
        </w:rPr>
        <w:t>工资奖金津补贴、其他工资福利支出、办公经费、会议费、培训费、委托业务费、公务接待费、公务用车运行维护费、维修（护）费、其他商品和服务支出、设备购置、社会福利和救助、其他对个人和家庭补助</w:t>
      </w:r>
      <w:r>
        <w:rPr>
          <w:rFonts w:hint="default" w:ascii="仿宋_GB2312" w:hAnsi="Times New Roman" w:eastAsia="仿宋_GB2312" w:cs="仿宋_GB2312"/>
          <w:i w:val="0"/>
          <w:caps w:val="0"/>
          <w:color w:val="333333"/>
          <w:spacing w:val="0"/>
          <w:kern w:val="0"/>
          <w:sz w:val="32"/>
          <w:szCs w:val="32"/>
          <w:shd w:val="clear" w:fill="FFFFFF"/>
        </w:rPr>
        <w:t>、培训支出、教学科研支出、校园运行支出。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2.社会保障和就业（类）行政事业单位养老支出（款）机关事业单位基本养老保险缴费支出（项）2024年预算数为164.94万元，主要用于：实施养老保险制度由单位缴纳的基本养老保险支出。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3.社会保障和就业（类）</w:t>
      </w:r>
      <w:r>
        <w:rPr>
          <w:rFonts w:ascii="仿宋_GB2312" w:hAnsi="Times New Roman" w:eastAsia="仿宋_GB2312" w:cs="仿宋_GB2312"/>
          <w:i w:val="0"/>
          <w:caps w:val="0"/>
          <w:color w:val="333333"/>
          <w:spacing w:val="0"/>
          <w:kern w:val="0"/>
          <w:sz w:val="32"/>
          <w:szCs w:val="32"/>
          <w:shd w:val="clear" w:fill="FFFFFF"/>
        </w:rPr>
        <w:t>其他社会保障和就业支出</w:t>
      </w:r>
      <w:r>
        <w:rPr>
          <w:rFonts w:hint="eastAsia" w:ascii="仿宋_GB2312" w:hAnsi="仿宋_GB2312" w:eastAsia="仿宋_GB2312" w:cs="仿宋_GB2312"/>
          <w:sz w:val="32"/>
          <w:szCs w:val="32"/>
          <w:lang w:val="en-US" w:eastAsia="zh-CN"/>
        </w:rPr>
        <w:t>（款）</w:t>
      </w:r>
      <w:r>
        <w:rPr>
          <w:rFonts w:ascii="仿宋_GB2312" w:hAnsi="Times New Roman" w:eastAsia="仿宋_GB2312" w:cs="仿宋_GB2312"/>
          <w:i w:val="0"/>
          <w:caps w:val="0"/>
          <w:color w:val="333333"/>
          <w:spacing w:val="0"/>
          <w:kern w:val="0"/>
          <w:sz w:val="32"/>
          <w:szCs w:val="32"/>
          <w:shd w:val="clear" w:fill="FFFFFF"/>
        </w:rPr>
        <w:t>其他社会保障和就业支出</w:t>
      </w:r>
      <w:r>
        <w:rPr>
          <w:rFonts w:hint="eastAsia" w:ascii="仿宋_GB2312" w:hAnsi="仿宋_GB2312" w:eastAsia="仿宋_GB2312" w:cs="仿宋_GB2312"/>
          <w:sz w:val="32"/>
          <w:szCs w:val="32"/>
          <w:lang w:val="en-US" w:eastAsia="zh-CN"/>
        </w:rPr>
        <w:t>（项）2024年预算数为2.98万元，主要用于：</w:t>
      </w:r>
      <w:r>
        <w:rPr>
          <w:rFonts w:ascii="仿宋_GB2312" w:hAnsi="Times New Roman" w:eastAsia="仿宋_GB2312" w:cs="仿宋_GB2312"/>
          <w:i w:val="0"/>
          <w:caps w:val="0"/>
          <w:color w:val="333333"/>
          <w:spacing w:val="0"/>
          <w:kern w:val="0"/>
          <w:sz w:val="32"/>
          <w:szCs w:val="32"/>
          <w:shd w:val="clear" w:fill="FFFFFF"/>
        </w:rPr>
        <w:t>实施失业保险和工伤保险制度由单位缴纳的失业保险和工伤保险支出。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4.卫生健康（类）行政事业单位医疗（款）行政单位医疗（项）2024年预算数为53.5万元，主要用于：机关及参公管理事业单位按规定由单位缴纳的基本医疗保险支出。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5.住房保障（类）住房改革支出（款）住房公积金（项）2024年预算数为139.24万元，主要用于：部门按规定为职工缴纳的住房公积金支出。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425817430"/>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ascii="仿宋_GB2312" w:hAnsi="Times New Roman" w:eastAsia="仿宋_GB2312" w:cs="仿宋_GB2312"/>
          <w:i w:val="0"/>
          <w:caps w:val="0"/>
          <w:color w:val="333333"/>
          <w:spacing w:val="0"/>
          <w:kern w:val="0"/>
          <w:sz w:val="32"/>
          <w:szCs w:val="32"/>
          <w:shd w:val="clear" w:fill="FFFFFF"/>
        </w:rPr>
        <w:t>中国共产党广元市委党校</w:t>
      </w:r>
      <w:r>
        <w:rPr>
          <w:rFonts w:hint="eastAsia" w:ascii="仿宋_GB2312" w:hAnsi="仿宋_GB2312" w:eastAsia="仿宋_GB2312" w:cs="仿宋_GB2312"/>
          <w:sz w:val="32"/>
          <w:szCs w:val="32"/>
          <w:lang w:val="en-US" w:eastAsia="zh-CN"/>
        </w:rPr>
        <w:t>2024年一般公共预算基本支出1846.69万元，其中：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人员经费1595.36万元，主要包括：基本工资、津贴补贴、奖金、</w:t>
      </w:r>
      <w:r>
        <w:rPr>
          <w:rFonts w:hint="default" w:ascii="仿宋_GB2312" w:hAnsi="仿宋_GB2312" w:eastAsia="仿宋_GB2312" w:cs="仿宋_GB2312"/>
          <w:sz w:val="32"/>
          <w:szCs w:val="32"/>
          <w:lang w:eastAsia="zh-CN"/>
        </w:rPr>
        <w:t>绩效工资、机关事业单位基本养老保险缴费、职工基本医疗保险缴费、其他社会保障缴费、</w:t>
      </w:r>
      <w:r>
        <w:rPr>
          <w:rFonts w:hint="eastAsia" w:ascii="仿宋_GB2312" w:hAnsi="仿宋_GB2312" w:eastAsia="仿宋_GB2312" w:cs="仿宋_GB2312"/>
          <w:sz w:val="32"/>
          <w:szCs w:val="32"/>
          <w:lang w:val="en-US" w:eastAsia="zh-CN"/>
        </w:rPr>
        <w:t>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251.33万元，主要包括：办公费、印刷费、咨询费、水费、电费、邮电费、差旅费、维修（护）费、租赁费、会议费、公务接待费、劳务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985844838"/>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ascii="仿宋_GB2312" w:hAnsi="Times New Roman" w:eastAsia="仿宋_GB2312" w:cs="仿宋_GB2312"/>
          <w:i w:val="0"/>
          <w:caps w:val="0"/>
          <w:color w:val="333333"/>
          <w:spacing w:val="0"/>
          <w:kern w:val="0"/>
          <w:sz w:val="32"/>
          <w:szCs w:val="32"/>
          <w:shd w:val="clear" w:fill="FFFFFF"/>
        </w:rPr>
        <w:t>中国共产党广元市委党校</w:t>
      </w:r>
      <w:r>
        <w:rPr>
          <w:rFonts w:hint="eastAsia" w:ascii="仿宋_GB2312" w:hAnsi="仿宋_GB2312" w:eastAsia="仿宋_GB2312" w:cs="仿宋_GB2312"/>
          <w:sz w:val="32"/>
          <w:szCs w:val="32"/>
          <w:lang w:val="en-US" w:eastAsia="zh-CN"/>
        </w:rPr>
        <w:t>2024年“三公”经费财政拨款预算数7.6万元，其中：公务接待费1.6万元，公务用车购置及运行维护费6万元，因公出国（境）经费0万元。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78511212"/>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628652708"/>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单位现有公务用车1辆，其中：越野车1辆。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2024年安排公务用车运行维护费6万元，用于1辆公务用车燃油、过路（桥）、维修、保险等方面支出，主要保障</w:t>
      </w:r>
      <w:r>
        <w:rPr>
          <w:rFonts w:ascii="仿宋_GB2312" w:hAnsi="Times New Roman" w:eastAsia="仿宋_GB2312" w:cs="仿宋_GB2312"/>
          <w:i w:val="0"/>
          <w:caps w:val="0"/>
          <w:color w:val="333333"/>
          <w:spacing w:val="0"/>
          <w:kern w:val="0"/>
          <w:sz w:val="32"/>
          <w:szCs w:val="32"/>
          <w:shd w:val="clear" w:fill="FFFFFF"/>
        </w:rPr>
        <w:t>正常办公、教学、科研等工作开展</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41640235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因公出国（境）经费与2023年预算相比持平，2024年无因公出国（境）计划。</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1273009738"/>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ascii="仿宋_GB2312" w:hAnsi="Times New Roman" w:eastAsia="仿宋_GB2312" w:cs="仿宋_GB2312"/>
          <w:i w:val="0"/>
          <w:caps w:val="0"/>
          <w:color w:val="333333"/>
          <w:spacing w:val="0"/>
          <w:kern w:val="0"/>
          <w:sz w:val="32"/>
          <w:szCs w:val="32"/>
          <w:shd w:val="clear" w:fill="FFFFFF"/>
        </w:rPr>
        <w:t>中国共产党广元市委党校</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31111952"/>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ascii="仿宋_GB2312" w:hAnsi="Times New Roman" w:eastAsia="仿宋_GB2312" w:cs="仿宋_GB2312"/>
          <w:i w:val="0"/>
          <w:caps w:val="0"/>
          <w:color w:val="333333"/>
          <w:spacing w:val="0"/>
          <w:kern w:val="0"/>
          <w:sz w:val="32"/>
          <w:szCs w:val="32"/>
          <w:shd w:val="clear" w:fill="FFFFFF"/>
        </w:rPr>
        <w:t>中国共产党广元市委党校</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1105086029"/>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650106589"/>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ascii="仿宋_GB2312" w:hAnsi="Times New Roman" w:eastAsia="仿宋_GB2312" w:cs="仿宋_GB2312"/>
          <w:i w:val="0"/>
          <w:caps w:val="0"/>
          <w:color w:val="333333"/>
          <w:spacing w:val="0"/>
          <w:kern w:val="0"/>
          <w:sz w:val="32"/>
          <w:szCs w:val="32"/>
          <w:shd w:val="clear" w:fill="FFFFFF"/>
        </w:rPr>
        <w:t>中国共产党广元市委党校</w:t>
      </w:r>
      <w:r>
        <w:rPr>
          <w:rFonts w:hint="eastAsia" w:ascii="仿宋_GB2312" w:hAnsi="仿宋_GB2312" w:eastAsia="仿宋_GB2312" w:cs="仿宋_GB2312"/>
          <w:sz w:val="32"/>
          <w:szCs w:val="32"/>
          <w:lang w:val="en-US" w:eastAsia="zh-CN"/>
        </w:rPr>
        <w:t>的机关运行经费财政拨款预算为251.33万元，比2023年预算减少3.9万元，降低1.53%。主要原因为人员减少。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187632831"/>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ascii="仿宋_GB2312" w:hAnsi="Times New Roman" w:eastAsia="仿宋_GB2312" w:cs="仿宋_GB2312"/>
          <w:i w:val="0"/>
          <w:caps w:val="0"/>
          <w:color w:val="333333"/>
          <w:spacing w:val="0"/>
          <w:kern w:val="0"/>
          <w:sz w:val="32"/>
          <w:szCs w:val="32"/>
          <w:shd w:val="clear" w:fill="FFFFFF"/>
        </w:rPr>
        <w:t>中国共产党广元市委党校</w:t>
      </w:r>
      <w:r>
        <w:rPr>
          <w:rFonts w:hint="eastAsia" w:ascii="仿宋_GB2312" w:hAnsi="仿宋_GB2312" w:eastAsia="仿宋_GB2312" w:cs="仿宋_GB2312"/>
          <w:sz w:val="32"/>
          <w:szCs w:val="32"/>
          <w:lang w:val="en-US" w:eastAsia="zh-CN"/>
        </w:rPr>
        <w:t>安排政府采购预算50万元，其中：政府采购服务预算50万元。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129681019"/>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ascii="仿宋_GB2312" w:hAnsi="Times New Roman" w:eastAsia="仿宋_GB2312" w:cs="仿宋_GB2312"/>
          <w:i w:val="0"/>
          <w:caps w:val="0"/>
          <w:color w:val="333333"/>
          <w:spacing w:val="0"/>
          <w:kern w:val="0"/>
          <w:sz w:val="32"/>
          <w:szCs w:val="32"/>
          <w:shd w:val="clear" w:fill="FFFFFF"/>
        </w:rPr>
        <w:t>中国共产党广元市委党校</w:t>
      </w:r>
      <w:r>
        <w:rPr>
          <w:rFonts w:hint="eastAsia" w:ascii="仿宋_GB2312" w:hAnsi="仿宋_GB2312" w:eastAsia="仿宋_GB2312" w:cs="仿宋_GB2312"/>
          <w:sz w:val="32"/>
          <w:szCs w:val="32"/>
          <w:lang w:val="en-US" w:eastAsia="zh-CN"/>
        </w:rPr>
        <w:t>共有车辆1辆，其中，</w:t>
      </w:r>
      <w:r>
        <w:rPr>
          <w:rFonts w:ascii="仿宋_GB2312" w:hAnsi="Times New Roman" w:eastAsia="仿宋_GB2312" w:cs="仿宋_GB2312"/>
          <w:i w:val="0"/>
          <w:caps w:val="0"/>
          <w:color w:val="333333"/>
          <w:spacing w:val="0"/>
          <w:kern w:val="0"/>
          <w:sz w:val="32"/>
          <w:szCs w:val="32"/>
          <w:shd w:val="clear" w:fill="FFFFFF"/>
        </w:rPr>
        <w:t>一般公务用车</w:t>
      </w:r>
      <w:r>
        <w:rPr>
          <w:rFonts w:hint="default" w:ascii="仿宋_GB2312" w:hAnsi="Times New Roman" w:eastAsia="仿宋_GB2312" w:cs="仿宋_GB2312"/>
          <w:i w:val="0"/>
          <w:caps w:val="0"/>
          <w:color w:val="333333"/>
          <w:spacing w:val="0"/>
          <w:kern w:val="0"/>
          <w:sz w:val="32"/>
          <w:szCs w:val="32"/>
          <w:shd w:val="clear" w:fill="FFFFFF"/>
        </w:rPr>
        <w:t>1辆</w:t>
      </w:r>
      <w:r>
        <w:rPr>
          <w:rFonts w:hint="eastAsia" w:ascii="仿宋_GB2312" w:hAnsi="仿宋_GB2312" w:eastAsia="仿宋_GB2312" w:cs="仿宋_GB2312"/>
          <w:sz w:val="32"/>
          <w:szCs w:val="32"/>
          <w:lang w:val="en-US" w:eastAsia="zh-CN"/>
        </w:rPr>
        <w:t>。单位无价值200万元以上的大型设备。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3" w:name="_Toc1200733232"/>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2024年中国共产党广元市委党校开展绩效目标管理的项目24个，涉及预算5342.02万元。其中：人员类项目9个，涉及预算1595.36万元；运转类项目4个，涉及预算251.33万元；特定目标类项目11个，涉及预算3495.32万元。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993953071"/>
      <w:r>
        <w:rPr>
          <w:rFonts w:hint="eastAsia" w:ascii="黑体" w:hAnsi="黑体" w:eastAsia="黑体" w:cs="黑体"/>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（一）一般公共预算拨款收入</w:t>
      </w:r>
      <w:r>
        <w:rPr>
          <w:rFonts w:hint="default" w:ascii="楷体_GB2312" w:hAnsi="楷体_GB2312" w:eastAsia="楷体_GB2312" w:cs="楷体_GB2312"/>
          <w:sz w:val="32"/>
          <w:szCs w:val="32"/>
          <w:lang w:val="en-US" w:eastAsia="zh-CN"/>
        </w:rPr>
        <w:t>:</w:t>
      </w:r>
      <w:r>
        <w:rPr>
          <w:rFonts w:ascii="仿宋_GB2312" w:hAnsi="Times New Roman" w:eastAsia="仿宋_GB2312" w:cs="仿宋_GB2312"/>
          <w:i w:val="0"/>
          <w:caps w:val="0"/>
          <w:color w:val="333333"/>
          <w:spacing w:val="0"/>
          <w:kern w:val="0"/>
          <w:sz w:val="32"/>
          <w:szCs w:val="32"/>
          <w:shd w:val="clear" w:fill="FFFFFF"/>
        </w:rPr>
        <w:t>指市级财政当年拨付的资金</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（二）其他收入：</w:t>
      </w:r>
      <w:r>
        <w:rPr>
          <w:rFonts w:hint="eastAsia" w:ascii="仿宋_GB2312" w:hAnsi="仿宋_GB2312" w:eastAsia="仿宋_GB2312" w:cs="仿宋_GB2312"/>
          <w:sz w:val="32"/>
          <w:szCs w:val="32"/>
          <w:lang w:val="en-US" w:eastAsia="zh-CN"/>
        </w:rPr>
        <w:t>指除上述“一般公共预算拨款收入” “事业收入”等以外的收入。</w:t>
      </w:r>
      <w:r>
        <w:rPr>
          <w:rFonts w:ascii="仿宋_GB2312" w:hAnsi="Calibri" w:eastAsia="仿宋_GB2312" w:cs="仿宋_GB2312"/>
          <w:sz w:val="32"/>
          <w:szCs w:val="32"/>
        </w:rPr>
        <w:t>主要是</w:t>
      </w:r>
      <w:r>
        <w:rPr>
          <w:rFonts w:hint="default" w:ascii="仿宋_GB2312" w:hAnsi="Calibri" w:eastAsia="仿宋_GB2312" w:cs="仿宋_GB2312"/>
          <w:sz w:val="32"/>
          <w:szCs w:val="32"/>
        </w:rPr>
        <w:t>非同级财政拨款收入等。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（三）教育（类）进修及培训（款）干部教育（项）：</w:t>
      </w:r>
      <w:r>
        <w:rPr>
          <w:rFonts w:ascii="仿宋_GB2312" w:hAnsi="Times New Roman" w:eastAsia="仿宋_GB2312" w:cs="仿宋_GB2312"/>
          <w:i w:val="0"/>
          <w:caps w:val="0"/>
          <w:color w:val="333333"/>
          <w:spacing w:val="0"/>
          <w:kern w:val="0"/>
          <w:sz w:val="32"/>
          <w:szCs w:val="32"/>
          <w:shd w:val="clear" w:fill="FFFFFF"/>
        </w:rPr>
        <w:t>指为实施全市干部培训业务，用于举办干部培训业务的经费支出。</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（四）社会保障和就业（类）行政事业单位养老支出（款）机关事业单位基本养老保险缴费支出（项）：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（五）社会保障和就业（类）其他社会保障和就业支出（款）其他社会保障和就业支出（项）：</w:t>
      </w:r>
      <w:r>
        <w:rPr>
          <w:rFonts w:hint="eastAsia" w:ascii="仿宋_GB2312" w:hAnsi="仿宋_GB2312" w:eastAsia="仿宋_GB2312" w:cs="仿宋_GB2312"/>
          <w:sz w:val="32"/>
          <w:szCs w:val="32"/>
          <w:lang w:val="en-US" w:eastAsia="zh-CN"/>
        </w:rPr>
        <w:t>指</w:t>
      </w:r>
      <w:r>
        <w:rPr>
          <w:rFonts w:ascii="仿宋_GB2312" w:hAnsi="Times New Roman" w:eastAsia="仿宋_GB2312" w:cs="仿宋_GB2312"/>
          <w:i w:val="0"/>
          <w:caps w:val="0"/>
          <w:color w:val="333333"/>
          <w:spacing w:val="0"/>
          <w:kern w:val="0"/>
          <w:sz w:val="32"/>
          <w:szCs w:val="32"/>
          <w:shd w:val="clear" w:fill="FFFFFF"/>
        </w:rPr>
        <w:t>实施失业保险和工伤保险制度由单位缴纳的失业保险和工伤保险支出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（六）卫生健康（类）行政事业单位医疗（款）行政单位医疗（项）：</w:t>
      </w:r>
      <w:r>
        <w:rPr>
          <w:rFonts w:hint="eastAsia" w:ascii="仿宋_GB2312" w:hAnsi="仿宋_GB2312" w:eastAsia="仿宋_GB2312" w:cs="仿宋_GB2312"/>
          <w:sz w:val="32"/>
          <w:szCs w:val="32"/>
          <w:lang w:val="en-US" w:eastAsia="zh-CN"/>
        </w:rPr>
        <w:t>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（七）住房保障（类）住房改革支出（款）住房公积金（项）：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（九）项目支出：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（十一）机关运行经费：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咨询费、邮电费、差旅费、租赁费、会议费、公务接待费、劳务费、工会经费、福利费、维修（护）费、办公用房水电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450670"/>
    <w:multiLevelType w:val="singleLevel"/>
    <w:tmpl w:val="F1450670"/>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mNWUyODU1MjZhYWQ1MDk2OWQ3OTI1NmQ1Yjc0ZjAifQ=="/>
    <w:docVar w:name="KSO_WPS_MARK_KEY" w:val="27cb72eb-2240-41b4-b446-b3ab4a7bf994"/>
  </w:docVars>
  <w:rsids>
    <w:rsidRoot w:val="00000000"/>
    <w:rsid w:val="001C66E0"/>
    <w:rsid w:val="00DC5E6F"/>
    <w:rsid w:val="012352D1"/>
    <w:rsid w:val="017B7436"/>
    <w:rsid w:val="01987FE8"/>
    <w:rsid w:val="01A56261"/>
    <w:rsid w:val="01D84888"/>
    <w:rsid w:val="01D95F0B"/>
    <w:rsid w:val="020A2568"/>
    <w:rsid w:val="023870D5"/>
    <w:rsid w:val="02441F1E"/>
    <w:rsid w:val="02551A35"/>
    <w:rsid w:val="025C1016"/>
    <w:rsid w:val="02671768"/>
    <w:rsid w:val="029F7154"/>
    <w:rsid w:val="02EB05EB"/>
    <w:rsid w:val="030671D3"/>
    <w:rsid w:val="03340AC7"/>
    <w:rsid w:val="036A1510"/>
    <w:rsid w:val="0399642A"/>
    <w:rsid w:val="03A32C74"/>
    <w:rsid w:val="03A41607"/>
    <w:rsid w:val="03D35658"/>
    <w:rsid w:val="03DD55E4"/>
    <w:rsid w:val="041A1188"/>
    <w:rsid w:val="04333FF8"/>
    <w:rsid w:val="046C3066"/>
    <w:rsid w:val="04812FB5"/>
    <w:rsid w:val="04A9250C"/>
    <w:rsid w:val="04B50EB1"/>
    <w:rsid w:val="04BC3FEE"/>
    <w:rsid w:val="04C74740"/>
    <w:rsid w:val="04D255BF"/>
    <w:rsid w:val="04F512AE"/>
    <w:rsid w:val="0506170D"/>
    <w:rsid w:val="051F632A"/>
    <w:rsid w:val="054777F1"/>
    <w:rsid w:val="05740424"/>
    <w:rsid w:val="059565ED"/>
    <w:rsid w:val="05E03D0C"/>
    <w:rsid w:val="06141C07"/>
    <w:rsid w:val="0633208D"/>
    <w:rsid w:val="064029FC"/>
    <w:rsid w:val="06546748"/>
    <w:rsid w:val="0664493D"/>
    <w:rsid w:val="06BF1B73"/>
    <w:rsid w:val="06C13B3D"/>
    <w:rsid w:val="06C71A61"/>
    <w:rsid w:val="06C947A0"/>
    <w:rsid w:val="070B125C"/>
    <w:rsid w:val="077E37DC"/>
    <w:rsid w:val="08206641"/>
    <w:rsid w:val="0842480A"/>
    <w:rsid w:val="084542FA"/>
    <w:rsid w:val="08563D7B"/>
    <w:rsid w:val="08B17BE1"/>
    <w:rsid w:val="08EC6E00"/>
    <w:rsid w:val="090917CB"/>
    <w:rsid w:val="09181A0E"/>
    <w:rsid w:val="09AF4121"/>
    <w:rsid w:val="09CB082F"/>
    <w:rsid w:val="0A053D41"/>
    <w:rsid w:val="0A342878"/>
    <w:rsid w:val="0A424F95"/>
    <w:rsid w:val="0A4707FD"/>
    <w:rsid w:val="0AB67731"/>
    <w:rsid w:val="0ABD262B"/>
    <w:rsid w:val="0AC736EC"/>
    <w:rsid w:val="0B1D330C"/>
    <w:rsid w:val="0B464611"/>
    <w:rsid w:val="0B664CB3"/>
    <w:rsid w:val="0B8213C1"/>
    <w:rsid w:val="0B896BF3"/>
    <w:rsid w:val="0B8B471A"/>
    <w:rsid w:val="0B8D0492"/>
    <w:rsid w:val="0BA15CEB"/>
    <w:rsid w:val="0BA80E28"/>
    <w:rsid w:val="0BCD6AE0"/>
    <w:rsid w:val="0BE43E2A"/>
    <w:rsid w:val="0C032502"/>
    <w:rsid w:val="0C0A3890"/>
    <w:rsid w:val="0C5418BC"/>
    <w:rsid w:val="0D5D5C42"/>
    <w:rsid w:val="0D731909"/>
    <w:rsid w:val="0D957AD2"/>
    <w:rsid w:val="0DB735A4"/>
    <w:rsid w:val="0DBA12E6"/>
    <w:rsid w:val="0E0E518E"/>
    <w:rsid w:val="0E2A646C"/>
    <w:rsid w:val="0E3E1F17"/>
    <w:rsid w:val="0E5434E9"/>
    <w:rsid w:val="0E6D45AA"/>
    <w:rsid w:val="0E7476E7"/>
    <w:rsid w:val="0F36499C"/>
    <w:rsid w:val="0F557518"/>
    <w:rsid w:val="0F7F6343"/>
    <w:rsid w:val="0FC226D4"/>
    <w:rsid w:val="0FCC70AF"/>
    <w:rsid w:val="0FCD5301"/>
    <w:rsid w:val="0FCE72CB"/>
    <w:rsid w:val="10022AD1"/>
    <w:rsid w:val="10207B26"/>
    <w:rsid w:val="1030763E"/>
    <w:rsid w:val="103510F8"/>
    <w:rsid w:val="103F62B1"/>
    <w:rsid w:val="104355C3"/>
    <w:rsid w:val="10833C11"/>
    <w:rsid w:val="108F25B6"/>
    <w:rsid w:val="10F261D4"/>
    <w:rsid w:val="10F468BD"/>
    <w:rsid w:val="1134315E"/>
    <w:rsid w:val="1145536B"/>
    <w:rsid w:val="119836EC"/>
    <w:rsid w:val="119D0D03"/>
    <w:rsid w:val="119F2CCD"/>
    <w:rsid w:val="11E46932"/>
    <w:rsid w:val="128A6082"/>
    <w:rsid w:val="12EC1F42"/>
    <w:rsid w:val="13767A5D"/>
    <w:rsid w:val="13A46379"/>
    <w:rsid w:val="13AF005F"/>
    <w:rsid w:val="14164D9C"/>
    <w:rsid w:val="1528122B"/>
    <w:rsid w:val="152C2AC9"/>
    <w:rsid w:val="155C2C83"/>
    <w:rsid w:val="15724254"/>
    <w:rsid w:val="15AC3C0A"/>
    <w:rsid w:val="15E96C0C"/>
    <w:rsid w:val="15FF1F8C"/>
    <w:rsid w:val="162E0AC3"/>
    <w:rsid w:val="16573B76"/>
    <w:rsid w:val="16BF796D"/>
    <w:rsid w:val="16C17241"/>
    <w:rsid w:val="16CA07EC"/>
    <w:rsid w:val="17546308"/>
    <w:rsid w:val="17654312"/>
    <w:rsid w:val="17793FC0"/>
    <w:rsid w:val="17946704"/>
    <w:rsid w:val="17AC7EF2"/>
    <w:rsid w:val="17BE7C25"/>
    <w:rsid w:val="17E05DED"/>
    <w:rsid w:val="1833416F"/>
    <w:rsid w:val="1844637C"/>
    <w:rsid w:val="18707171"/>
    <w:rsid w:val="18730A0F"/>
    <w:rsid w:val="188E5849"/>
    <w:rsid w:val="18E45469"/>
    <w:rsid w:val="18ED2570"/>
    <w:rsid w:val="18FF22A3"/>
    <w:rsid w:val="194255A6"/>
    <w:rsid w:val="19526877"/>
    <w:rsid w:val="19BE3F0C"/>
    <w:rsid w:val="19E82D37"/>
    <w:rsid w:val="19FB2187"/>
    <w:rsid w:val="1A2975D8"/>
    <w:rsid w:val="1A2A3350"/>
    <w:rsid w:val="1A512FD2"/>
    <w:rsid w:val="1AC76DF0"/>
    <w:rsid w:val="1ACC4407"/>
    <w:rsid w:val="1B3A3A66"/>
    <w:rsid w:val="1BAE3985"/>
    <w:rsid w:val="1BBB4BA7"/>
    <w:rsid w:val="1BFE4A94"/>
    <w:rsid w:val="1C4306F9"/>
    <w:rsid w:val="1C8925AF"/>
    <w:rsid w:val="1C986C96"/>
    <w:rsid w:val="1CA078F9"/>
    <w:rsid w:val="1CAB4C1C"/>
    <w:rsid w:val="1CD0712D"/>
    <w:rsid w:val="1D232A04"/>
    <w:rsid w:val="1D4666F2"/>
    <w:rsid w:val="1D507571"/>
    <w:rsid w:val="1D792624"/>
    <w:rsid w:val="1D94745E"/>
    <w:rsid w:val="1DDE4B7D"/>
    <w:rsid w:val="1DF875AB"/>
    <w:rsid w:val="1DFC5003"/>
    <w:rsid w:val="1E0B5246"/>
    <w:rsid w:val="1E8F40C9"/>
    <w:rsid w:val="1EB15DEE"/>
    <w:rsid w:val="1EBF49AE"/>
    <w:rsid w:val="1F505606"/>
    <w:rsid w:val="1F7A6B27"/>
    <w:rsid w:val="1F7BF06F"/>
    <w:rsid w:val="1F7C464D"/>
    <w:rsid w:val="1FBC2C9C"/>
    <w:rsid w:val="1FC102B2"/>
    <w:rsid w:val="1FEE4B73"/>
    <w:rsid w:val="202C7E22"/>
    <w:rsid w:val="2091237A"/>
    <w:rsid w:val="20AA51EA"/>
    <w:rsid w:val="20BB73F7"/>
    <w:rsid w:val="20C20786"/>
    <w:rsid w:val="215A1E2A"/>
    <w:rsid w:val="215D04AF"/>
    <w:rsid w:val="217D46AD"/>
    <w:rsid w:val="217E28FF"/>
    <w:rsid w:val="2254540E"/>
    <w:rsid w:val="22CA1B74"/>
    <w:rsid w:val="232474D6"/>
    <w:rsid w:val="23675615"/>
    <w:rsid w:val="23AB72AF"/>
    <w:rsid w:val="23CE9849"/>
    <w:rsid w:val="23D22A8E"/>
    <w:rsid w:val="24013373"/>
    <w:rsid w:val="24247062"/>
    <w:rsid w:val="24977834"/>
    <w:rsid w:val="252235A1"/>
    <w:rsid w:val="25441769"/>
    <w:rsid w:val="25910727"/>
    <w:rsid w:val="2593449F"/>
    <w:rsid w:val="25B508B9"/>
    <w:rsid w:val="25C805EC"/>
    <w:rsid w:val="25E82A3D"/>
    <w:rsid w:val="25F018F1"/>
    <w:rsid w:val="2637307C"/>
    <w:rsid w:val="2652435A"/>
    <w:rsid w:val="266100F9"/>
    <w:rsid w:val="266B541C"/>
    <w:rsid w:val="267E6EFD"/>
    <w:rsid w:val="269C55D5"/>
    <w:rsid w:val="273C33CE"/>
    <w:rsid w:val="277F4CDB"/>
    <w:rsid w:val="278A3680"/>
    <w:rsid w:val="278C389C"/>
    <w:rsid w:val="278E13C2"/>
    <w:rsid w:val="27CC1EEA"/>
    <w:rsid w:val="286D7229"/>
    <w:rsid w:val="28C3509B"/>
    <w:rsid w:val="28C72DDD"/>
    <w:rsid w:val="28F11C08"/>
    <w:rsid w:val="29001E4B"/>
    <w:rsid w:val="29064F88"/>
    <w:rsid w:val="291211DE"/>
    <w:rsid w:val="291B0A33"/>
    <w:rsid w:val="292A336C"/>
    <w:rsid w:val="294837F2"/>
    <w:rsid w:val="294D2BB7"/>
    <w:rsid w:val="295D729E"/>
    <w:rsid w:val="29802F8C"/>
    <w:rsid w:val="298E38FB"/>
    <w:rsid w:val="29AB625B"/>
    <w:rsid w:val="29BD1AEA"/>
    <w:rsid w:val="29C966E1"/>
    <w:rsid w:val="29F00112"/>
    <w:rsid w:val="29FF2103"/>
    <w:rsid w:val="2A2D4EC2"/>
    <w:rsid w:val="2A336250"/>
    <w:rsid w:val="2AB23619"/>
    <w:rsid w:val="2ADB491E"/>
    <w:rsid w:val="2AF7727E"/>
    <w:rsid w:val="2B147E30"/>
    <w:rsid w:val="2B255B99"/>
    <w:rsid w:val="2B381D70"/>
    <w:rsid w:val="2B3C2EE3"/>
    <w:rsid w:val="2B762899"/>
    <w:rsid w:val="2C37549C"/>
    <w:rsid w:val="2C680433"/>
    <w:rsid w:val="2C866B0B"/>
    <w:rsid w:val="2CA451E4"/>
    <w:rsid w:val="2CF00429"/>
    <w:rsid w:val="2CF75313"/>
    <w:rsid w:val="2D053ED4"/>
    <w:rsid w:val="2D085772"/>
    <w:rsid w:val="2D79041E"/>
    <w:rsid w:val="2DA51213"/>
    <w:rsid w:val="2DB476A8"/>
    <w:rsid w:val="2DCA2A28"/>
    <w:rsid w:val="2DCC054E"/>
    <w:rsid w:val="2DDD6BFF"/>
    <w:rsid w:val="2E00469C"/>
    <w:rsid w:val="2E0221C2"/>
    <w:rsid w:val="2E0917A2"/>
    <w:rsid w:val="2E2C723F"/>
    <w:rsid w:val="2E861045"/>
    <w:rsid w:val="2EB45BB2"/>
    <w:rsid w:val="2EBF4557"/>
    <w:rsid w:val="2F1E11AB"/>
    <w:rsid w:val="2F212B1B"/>
    <w:rsid w:val="2F2B399A"/>
    <w:rsid w:val="2F2D326E"/>
    <w:rsid w:val="2F300FB0"/>
    <w:rsid w:val="2FAF6379"/>
    <w:rsid w:val="30162FEC"/>
    <w:rsid w:val="301E705B"/>
    <w:rsid w:val="30562C99"/>
    <w:rsid w:val="305A62E5"/>
    <w:rsid w:val="307D1FD3"/>
    <w:rsid w:val="30B359F5"/>
    <w:rsid w:val="30FA3624"/>
    <w:rsid w:val="310426F5"/>
    <w:rsid w:val="3139239E"/>
    <w:rsid w:val="313C3C3D"/>
    <w:rsid w:val="31605B7D"/>
    <w:rsid w:val="31615451"/>
    <w:rsid w:val="316A69FC"/>
    <w:rsid w:val="31701B38"/>
    <w:rsid w:val="317E6003"/>
    <w:rsid w:val="31927D00"/>
    <w:rsid w:val="31A31F0E"/>
    <w:rsid w:val="32087FC3"/>
    <w:rsid w:val="3212499D"/>
    <w:rsid w:val="32340DB8"/>
    <w:rsid w:val="332C1A8F"/>
    <w:rsid w:val="333A41AC"/>
    <w:rsid w:val="333C7F24"/>
    <w:rsid w:val="337E22EA"/>
    <w:rsid w:val="33B91574"/>
    <w:rsid w:val="33C61EE3"/>
    <w:rsid w:val="33DB773D"/>
    <w:rsid w:val="33E54BC0"/>
    <w:rsid w:val="342B6971"/>
    <w:rsid w:val="34460B65"/>
    <w:rsid w:val="347D07F4"/>
    <w:rsid w:val="34B17082"/>
    <w:rsid w:val="34BB30CA"/>
    <w:rsid w:val="34BF2BBB"/>
    <w:rsid w:val="34F12F90"/>
    <w:rsid w:val="35103416"/>
    <w:rsid w:val="35154ED0"/>
    <w:rsid w:val="3522139B"/>
    <w:rsid w:val="358362DE"/>
    <w:rsid w:val="35B244CD"/>
    <w:rsid w:val="36127662"/>
    <w:rsid w:val="364A0BAA"/>
    <w:rsid w:val="36745C27"/>
    <w:rsid w:val="36B64491"/>
    <w:rsid w:val="36E83F1F"/>
    <w:rsid w:val="3748158D"/>
    <w:rsid w:val="375021F0"/>
    <w:rsid w:val="37BA1D5F"/>
    <w:rsid w:val="37DF3574"/>
    <w:rsid w:val="380134EA"/>
    <w:rsid w:val="3801798E"/>
    <w:rsid w:val="387939C8"/>
    <w:rsid w:val="38A10829"/>
    <w:rsid w:val="38BB18EB"/>
    <w:rsid w:val="39331DC9"/>
    <w:rsid w:val="394A2C6F"/>
    <w:rsid w:val="39551544"/>
    <w:rsid w:val="395F2BBE"/>
    <w:rsid w:val="39693A3D"/>
    <w:rsid w:val="39930ABA"/>
    <w:rsid w:val="3995213C"/>
    <w:rsid w:val="39A93E39"/>
    <w:rsid w:val="39AE31FE"/>
    <w:rsid w:val="39AE3C11"/>
    <w:rsid w:val="39B60304"/>
    <w:rsid w:val="39F304DD"/>
    <w:rsid w:val="3A2111ED"/>
    <w:rsid w:val="3A241712"/>
    <w:rsid w:val="3A726921"/>
    <w:rsid w:val="3A794F7C"/>
    <w:rsid w:val="3A920D71"/>
    <w:rsid w:val="3A9E14C4"/>
    <w:rsid w:val="3ACA22B9"/>
    <w:rsid w:val="3AEA64B7"/>
    <w:rsid w:val="3AF64E5C"/>
    <w:rsid w:val="3B267A7E"/>
    <w:rsid w:val="3B800BCA"/>
    <w:rsid w:val="3B824942"/>
    <w:rsid w:val="3BB84807"/>
    <w:rsid w:val="3C17152E"/>
    <w:rsid w:val="3C552056"/>
    <w:rsid w:val="3C8D17F0"/>
    <w:rsid w:val="3CA01523"/>
    <w:rsid w:val="3CD81175"/>
    <w:rsid w:val="3D2757A1"/>
    <w:rsid w:val="3D475E43"/>
    <w:rsid w:val="3D804EB1"/>
    <w:rsid w:val="3D9170BE"/>
    <w:rsid w:val="3E8F29C3"/>
    <w:rsid w:val="3E9450B8"/>
    <w:rsid w:val="3EBC016B"/>
    <w:rsid w:val="3EC314F9"/>
    <w:rsid w:val="3ED951C1"/>
    <w:rsid w:val="3EE6168C"/>
    <w:rsid w:val="3F584337"/>
    <w:rsid w:val="3F6E3B5B"/>
    <w:rsid w:val="3FB05F21"/>
    <w:rsid w:val="3FCC6AD3"/>
    <w:rsid w:val="3FD44734"/>
    <w:rsid w:val="3FF81676"/>
    <w:rsid w:val="3FFA0F4B"/>
    <w:rsid w:val="3FFB4CC3"/>
    <w:rsid w:val="404C551E"/>
    <w:rsid w:val="4068172D"/>
    <w:rsid w:val="40681C47"/>
    <w:rsid w:val="409D5D7A"/>
    <w:rsid w:val="40E65973"/>
    <w:rsid w:val="411E335F"/>
    <w:rsid w:val="41826907"/>
    <w:rsid w:val="43291B47"/>
    <w:rsid w:val="43670FED"/>
    <w:rsid w:val="436C6603"/>
    <w:rsid w:val="43D30430"/>
    <w:rsid w:val="447514E8"/>
    <w:rsid w:val="44775260"/>
    <w:rsid w:val="44D51F86"/>
    <w:rsid w:val="44F71EFD"/>
    <w:rsid w:val="45101210"/>
    <w:rsid w:val="451E1B7F"/>
    <w:rsid w:val="453A003B"/>
    <w:rsid w:val="453C2005"/>
    <w:rsid w:val="45594965"/>
    <w:rsid w:val="456F587D"/>
    <w:rsid w:val="45A83240"/>
    <w:rsid w:val="46032B23"/>
    <w:rsid w:val="466A4950"/>
    <w:rsid w:val="472001FD"/>
    <w:rsid w:val="47354F5E"/>
    <w:rsid w:val="473D3E13"/>
    <w:rsid w:val="47573126"/>
    <w:rsid w:val="477C2B8D"/>
    <w:rsid w:val="47B440D5"/>
    <w:rsid w:val="47CA56A6"/>
    <w:rsid w:val="47DC187E"/>
    <w:rsid w:val="47F170D7"/>
    <w:rsid w:val="48223734"/>
    <w:rsid w:val="48396CD0"/>
    <w:rsid w:val="48402AD7"/>
    <w:rsid w:val="48587156"/>
    <w:rsid w:val="489F6B33"/>
    <w:rsid w:val="48B16866"/>
    <w:rsid w:val="48E409EA"/>
    <w:rsid w:val="48E924A4"/>
    <w:rsid w:val="49465201"/>
    <w:rsid w:val="4968161B"/>
    <w:rsid w:val="49975A5C"/>
    <w:rsid w:val="49BD39F5"/>
    <w:rsid w:val="49C820BA"/>
    <w:rsid w:val="49CD76D0"/>
    <w:rsid w:val="49D96075"/>
    <w:rsid w:val="4A767D68"/>
    <w:rsid w:val="4A851D59"/>
    <w:rsid w:val="4A873D23"/>
    <w:rsid w:val="4A9E2E1A"/>
    <w:rsid w:val="4AA77F21"/>
    <w:rsid w:val="4ADF590D"/>
    <w:rsid w:val="4AF8077D"/>
    <w:rsid w:val="4B3D6AD7"/>
    <w:rsid w:val="4B4B4D50"/>
    <w:rsid w:val="4B4D0232"/>
    <w:rsid w:val="4BD5286C"/>
    <w:rsid w:val="4C573FC2"/>
    <w:rsid w:val="4C8C3872"/>
    <w:rsid w:val="4C991AEB"/>
    <w:rsid w:val="4CD07C03"/>
    <w:rsid w:val="4CF17B79"/>
    <w:rsid w:val="4D3C7046"/>
    <w:rsid w:val="4D455A02"/>
    <w:rsid w:val="4D9A3D6D"/>
    <w:rsid w:val="4E52289A"/>
    <w:rsid w:val="4E6B74B7"/>
    <w:rsid w:val="4F082F58"/>
    <w:rsid w:val="4F4A531F"/>
    <w:rsid w:val="4F840831"/>
    <w:rsid w:val="4F8545A9"/>
    <w:rsid w:val="4F960564"/>
    <w:rsid w:val="4FB1539E"/>
    <w:rsid w:val="4FB21842"/>
    <w:rsid w:val="4FDC241B"/>
    <w:rsid w:val="4FF05EC6"/>
    <w:rsid w:val="50354221"/>
    <w:rsid w:val="50C07F8E"/>
    <w:rsid w:val="50CA6717"/>
    <w:rsid w:val="50CD4459"/>
    <w:rsid w:val="51071719"/>
    <w:rsid w:val="51204589"/>
    <w:rsid w:val="513D513B"/>
    <w:rsid w:val="51856AE2"/>
    <w:rsid w:val="51C55131"/>
    <w:rsid w:val="51DC0DF8"/>
    <w:rsid w:val="51FE51CE"/>
    <w:rsid w:val="5253098E"/>
    <w:rsid w:val="527252B8"/>
    <w:rsid w:val="528154FB"/>
    <w:rsid w:val="52EF6909"/>
    <w:rsid w:val="530323B4"/>
    <w:rsid w:val="53202F66"/>
    <w:rsid w:val="53206AC2"/>
    <w:rsid w:val="53DD49B3"/>
    <w:rsid w:val="53E06252"/>
    <w:rsid w:val="54244390"/>
    <w:rsid w:val="543C792C"/>
    <w:rsid w:val="5463310B"/>
    <w:rsid w:val="54662A63"/>
    <w:rsid w:val="547D1CF3"/>
    <w:rsid w:val="54817A35"/>
    <w:rsid w:val="54972DB4"/>
    <w:rsid w:val="54D062C6"/>
    <w:rsid w:val="54EF499E"/>
    <w:rsid w:val="55825812"/>
    <w:rsid w:val="5587107B"/>
    <w:rsid w:val="55D10548"/>
    <w:rsid w:val="55FEF8BE"/>
    <w:rsid w:val="564725B8"/>
    <w:rsid w:val="5661367A"/>
    <w:rsid w:val="566E3FE9"/>
    <w:rsid w:val="56A93273"/>
    <w:rsid w:val="56C836F9"/>
    <w:rsid w:val="56F40992"/>
    <w:rsid w:val="56FF2E93"/>
    <w:rsid w:val="57437223"/>
    <w:rsid w:val="575907F5"/>
    <w:rsid w:val="577218B7"/>
    <w:rsid w:val="57925AB5"/>
    <w:rsid w:val="57E36310"/>
    <w:rsid w:val="58064E12"/>
    <w:rsid w:val="58AD704A"/>
    <w:rsid w:val="58C223CA"/>
    <w:rsid w:val="592117E6"/>
    <w:rsid w:val="59441031"/>
    <w:rsid w:val="595C637A"/>
    <w:rsid w:val="59661F2B"/>
    <w:rsid w:val="596671F9"/>
    <w:rsid w:val="59747B68"/>
    <w:rsid w:val="5A1D3D5C"/>
    <w:rsid w:val="5A3B68D8"/>
    <w:rsid w:val="5A4D36A5"/>
    <w:rsid w:val="5A4E03B9"/>
    <w:rsid w:val="5A702E86"/>
    <w:rsid w:val="5A9009D2"/>
    <w:rsid w:val="5AB346C0"/>
    <w:rsid w:val="5AC10B8B"/>
    <w:rsid w:val="5AEC372E"/>
    <w:rsid w:val="5B070568"/>
    <w:rsid w:val="5B0B0058"/>
    <w:rsid w:val="5B433C96"/>
    <w:rsid w:val="5B5E462C"/>
    <w:rsid w:val="5BAA5AC3"/>
    <w:rsid w:val="5BE72873"/>
    <w:rsid w:val="5BFEE015"/>
    <w:rsid w:val="5C5D2B35"/>
    <w:rsid w:val="5C8C6F77"/>
    <w:rsid w:val="5CBD35D4"/>
    <w:rsid w:val="5CE768A3"/>
    <w:rsid w:val="5CF07506"/>
    <w:rsid w:val="5CF35248"/>
    <w:rsid w:val="5D6972B8"/>
    <w:rsid w:val="5D92680F"/>
    <w:rsid w:val="5DD15589"/>
    <w:rsid w:val="5E3646E2"/>
    <w:rsid w:val="5E5E4943"/>
    <w:rsid w:val="5E5F0DE7"/>
    <w:rsid w:val="5E736640"/>
    <w:rsid w:val="5E8B1BDC"/>
    <w:rsid w:val="5EFF7ED4"/>
    <w:rsid w:val="5F4B136B"/>
    <w:rsid w:val="5F645F89"/>
    <w:rsid w:val="5F667F53"/>
    <w:rsid w:val="5FCD3B2E"/>
    <w:rsid w:val="600D03CE"/>
    <w:rsid w:val="610E2650"/>
    <w:rsid w:val="614C4F26"/>
    <w:rsid w:val="61AE798F"/>
    <w:rsid w:val="61E810F3"/>
    <w:rsid w:val="62285994"/>
    <w:rsid w:val="62586279"/>
    <w:rsid w:val="626A5FAC"/>
    <w:rsid w:val="627510F4"/>
    <w:rsid w:val="62AC2121"/>
    <w:rsid w:val="62B86D17"/>
    <w:rsid w:val="62E0001C"/>
    <w:rsid w:val="62E573E1"/>
    <w:rsid w:val="62EA2C49"/>
    <w:rsid w:val="62FB30A8"/>
    <w:rsid w:val="63260125"/>
    <w:rsid w:val="63745138"/>
    <w:rsid w:val="637569B7"/>
    <w:rsid w:val="639808F7"/>
    <w:rsid w:val="63A92B04"/>
    <w:rsid w:val="63C96D02"/>
    <w:rsid w:val="63EDCF55"/>
    <w:rsid w:val="63F8233D"/>
    <w:rsid w:val="63FBFBCF"/>
    <w:rsid w:val="64436AB5"/>
    <w:rsid w:val="64591E34"/>
    <w:rsid w:val="646C600B"/>
    <w:rsid w:val="64C179D9"/>
    <w:rsid w:val="64CE7439"/>
    <w:rsid w:val="64E5191A"/>
    <w:rsid w:val="651B358E"/>
    <w:rsid w:val="65501489"/>
    <w:rsid w:val="655B4BDA"/>
    <w:rsid w:val="659A0956"/>
    <w:rsid w:val="65A17F37"/>
    <w:rsid w:val="65B31A18"/>
    <w:rsid w:val="65CD0D2C"/>
    <w:rsid w:val="66236B9E"/>
    <w:rsid w:val="662B5A52"/>
    <w:rsid w:val="66417024"/>
    <w:rsid w:val="669360FD"/>
    <w:rsid w:val="66A51361"/>
    <w:rsid w:val="66A870A3"/>
    <w:rsid w:val="66C814F3"/>
    <w:rsid w:val="66F81DD8"/>
    <w:rsid w:val="67185FD7"/>
    <w:rsid w:val="673646AF"/>
    <w:rsid w:val="67395F4D"/>
    <w:rsid w:val="6779459B"/>
    <w:rsid w:val="67CB3049"/>
    <w:rsid w:val="680C5410"/>
    <w:rsid w:val="685A43CD"/>
    <w:rsid w:val="686617EC"/>
    <w:rsid w:val="68921DB9"/>
    <w:rsid w:val="68CB7079"/>
    <w:rsid w:val="68CD4B9F"/>
    <w:rsid w:val="68D26659"/>
    <w:rsid w:val="68FF6A83"/>
    <w:rsid w:val="691E53FA"/>
    <w:rsid w:val="693966D8"/>
    <w:rsid w:val="696F3EA8"/>
    <w:rsid w:val="699102C2"/>
    <w:rsid w:val="69961435"/>
    <w:rsid w:val="69C73CE4"/>
    <w:rsid w:val="6A152CA1"/>
    <w:rsid w:val="6A1A02B8"/>
    <w:rsid w:val="6A22716C"/>
    <w:rsid w:val="6AB53B3C"/>
    <w:rsid w:val="6AC63F9C"/>
    <w:rsid w:val="6AD55F8D"/>
    <w:rsid w:val="6B264A3A"/>
    <w:rsid w:val="6B340F05"/>
    <w:rsid w:val="6BD3071E"/>
    <w:rsid w:val="6BD44496"/>
    <w:rsid w:val="6BDA5F51"/>
    <w:rsid w:val="6BEE7306"/>
    <w:rsid w:val="6C046B2A"/>
    <w:rsid w:val="6C0E1756"/>
    <w:rsid w:val="6C316EB7"/>
    <w:rsid w:val="6C4038DA"/>
    <w:rsid w:val="6C5850C7"/>
    <w:rsid w:val="6C5C6966"/>
    <w:rsid w:val="6C6C46CF"/>
    <w:rsid w:val="6C8E0AE9"/>
    <w:rsid w:val="6CCC34A0"/>
    <w:rsid w:val="6CD04C5E"/>
    <w:rsid w:val="6CD209D6"/>
    <w:rsid w:val="6D2C27DC"/>
    <w:rsid w:val="6D3E250F"/>
    <w:rsid w:val="6D9C0FE4"/>
    <w:rsid w:val="6DC55F26"/>
    <w:rsid w:val="6E0E5A3E"/>
    <w:rsid w:val="6E1A6AD8"/>
    <w:rsid w:val="6E3336F6"/>
    <w:rsid w:val="6E9D3265"/>
    <w:rsid w:val="6EE42C42"/>
    <w:rsid w:val="6EEB5D7F"/>
    <w:rsid w:val="6F03131A"/>
    <w:rsid w:val="6F101C89"/>
    <w:rsid w:val="6F12155D"/>
    <w:rsid w:val="6F7B35A7"/>
    <w:rsid w:val="6FBBC9CF"/>
    <w:rsid w:val="6FD44A65"/>
    <w:rsid w:val="6FEC4270"/>
    <w:rsid w:val="711D2511"/>
    <w:rsid w:val="715220E5"/>
    <w:rsid w:val="71755DD4"/>
    <w:rsid w:val="7191461A"/>
    <w:rsid w:val="71926986"/>
    <w:rsid w:val="71A4744C"/>
    <w:rsid w:val="71B92164"/>
    <w:rsid w:val="71F87130"/>
    <w:rsid w:val="72071122"/>
    <w:rsid w:val="72086C48"/>
    <w:rsid w:val="7214383E"/>
    <w:rsid w:val="72283D05"/>
    <w:rsid w:val="724F4877"/>
    <w:rsid w:val="72712A3F"/>
    <w:rsid w:val="72734A09"/>
    <w:rsid w:val="727E67AA"/>
    <w:rsid w:val="72BDE561"/>
    <w:rsid w:val="72DD00D4"/>
    <w:rsid w:val="72FA6ED8"/>
    <w:rsid w:val="7375030D"/>
    <w:rsid w:val="73C05A2C"/>
    <w:rsid w:val="73DE5EB2"/>
    <w:rsid w:val="73EF4563"/>
    <w:rsid w:val="744877CF"/>
    <w:rsid w:val="746E36DA"/>
    <w:rsid w:val="747D1B6F"/>
    <w:rsid w:val="747E1443"/>
    <w:rsid w:val="748922C2"/>
    <w:rsid w:val="74A569D0"/>
    <w:rsid w:val="74AE3AD6"/>
    <w:rsid w:val="74EC2851"/>
    <w:rsid w:val="75A849CA"/>
    <w:rsid w:val="75C612F4"/>
    <w:rsid w:val="75CD2682"/>
    <w:rsid w:val="75E55C1E"/>
    <w:rsid w:val="76065B94"/>
    <w:rsid w:val="763224E5"/>
    <w:rsid w:val="76373F9F"/>
    <w:rsid w:val="76B178AE"/>
    <w:rsid w:val="775546DD"/>
    <w:rsid w:val="7758241F"/>
    <w:rsid w:val="77732DB5"/>
    <w:rsid w:val="7778661E"/>
    <w:rsid w:val="7783749C"/>
    <w:rsid w:val="77A85155"/>
    <w:rsid w:val="77A94A29"/>
    <w:rsid w:val="77CB499F"/>
    <w:rsid w:val="77DF669D"/>
    <w:rsid w:val="77E200E4"/>
    <w:rsid w:val="7803238B"/>
    <w:rsid w:val="78462278"/>
    <w:rsid w:val="785F455D"/>
    <w:rsid w:val="788A485A"/>
    <w:rsid w:val="78A27DF6"/>
    <w:rsid w:val="78BB0EB8"/>
    <w:rsid w:val="78DC699B"/>
    <w:rsid w:val="79273E57"/>
    <w:rsid w:val="79420C91"/>
    <w:rsid w:val="795D5ACB"/>
    <w:rsid w:val="799412D4"/>
    <w:rsid w:val="7997EA6C"/>
    <w:rsid w:val="799B65F3"/>
    <w:rsid w:val="79A25BD4"/>
    <w:rsid w:val="79B31B8F"/>
    <w:rsid w:val="79B871A5"/>
    <w:rsid w:val="79E24222"/>
    <w:rsid w:val="7A016D9E"/>
    <w:rsid w:val="7A020420"/>
    <w:rsid w:val="7A2111EE"/>
    <w:rsid w:val="7A2E1215"/>
    <w:rsid w:val="7A4B1DC7"/>
    <w:rsid w:val="7A4F18B8"/>
    <w:rsid w:val="7ABE6A3D"/>
    <w:rsid w:val="7AEAE675"/>
    <w:rsid w:val="7AF64429"/>
    <w:rsid w:val="7B0F1047"/>
    <w:rsid w:val="7B566C76"/>
    <w:rsid w:val="7B71585E"/>
    <w:rsid w:val="7B95779E"/>
    <w:rsid w:val="7BA23C69"/>
    <w:rsid w:val="7BAFCE5D"/>
    <w:rsid w:val="7BB340C8"/>
    <w:rsid w:val="7BD83B2F"/>
    <w:rsid w:val="7BF344C5"/>
    <w:rsid w:val="7C7D1251"/>
    <w:rsid w:val="7C7F3FAA"/>
    <w:rsid w:val="7C9B7036"/>
    <w:rsid w:val="7CAD6D69"/>
    <w:rsid w:val="7D036989"/>
    <w:rsid w:val="7D1666BD"/>
    <w:rsid w:val="7D46598C"/>
    <w:rsid w:val="7D4A0A5C"/>
    <w:rsid w:val="7DA57A41"/>
    <w:rsid w:val="7DEB18F7"/>
    <w:rsid w:val="7DF54524"/>
    <w:rsid w:val="7DFB240B"/>
    <w:rsid w:val="7E062BD5"/>
    <w:rsid w:val="7E0935ED"/>
    <w:rsid w:val="7E2F2101"/>
    <w:rsid w:val="7E7EDDD5"/>
    <w:rsid w:val="7E851D4C"/>
    <w:rsid w:val="7E8A7362"/>
    <w:rsid w:val="7E8D29AE"/>
    <w:rsid w:val="7E8D6E52"/>
    <w:rsid w:val="7EBE525E"/>
    <w:rsid w:val="7EE54599"/>
    <w:rsid w:val="7EE60311"/>
    <w:rsid w:val="7F331398"/>
    <w:rsid w:val="7F3D2627"/>
    <w:rsid w:val="7F686F78"/>
    <w:rsid w:val="7F7231F0"/>
    <w:rsid w:val="7FAE0E2E"/>
    <w:rsid w:val="7FCF2AF7"/>
    <w:rsid w:val="7FDA60C7"/>
    <w:rsid w:val="7FEE56CF"/>
    <w:rsid w:val="7FF07699"/>
    <w:rsid w:val="9FEF033D"/>
    <w:rsid w:val="A27FF1E5"/>
    <w:rsid w:val="AFDEB5A7"/>
    <w:rsid w:val="AFEA7FBF"/>
    <w:rsid w:val="B83F4767"/>
    <w:rsid w:val="BF930F07"/>
    <w:rsid w:val="BFCE8436"/>
    <w:rsid w:val="C3F7EB7A"/>
    <w:rsid w:val="CFF5FEEC"/>
    <w:rsid w:val="D3DD9064"/>
    <w:rsid w:val="D6F76A0C"/>
    <w:rsid w:val="D7ECE8D2"/>
    <w:rsid w:val="DED7D1FB"/>
    <w:rsid w:val="DFDD4FB5"/>
    <w:rsid w:val="E7F748B5"/>
    <w:rsid w:val="ED2ACAF1"/>
    <w:rsid w:val="EE5F3713"/>
    <w:rsid w:val="EFC9D62C"/>
    <w:rsid w:val="F6BE9755"/>
    <w:rsid w:val="F6FFA89B"/>
    <w:rsid w:val="FAE4EFE1"/>
    <w:rsid w:val="FB9B6F12"/>
    <w:rsid w:val="FBB66A4A"/>
    <w:rsid w:val="FCF7A057"/>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4983</Words>
  <Characters>5721</Characters>
  <TotalTime>7</TotalTime>
  <ScaleCrop>false</ScaleCrop>
  <LinksUpToDate>false</LinksUpToDate>
  <CharactersWithSpaces>5785</CharactersWithSpaces>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2024-02-18T10:37:48Z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8C055F3D63324E69BAABBCCF6B2C0694_13</vt:lpwstr>
  </property>
</Properties>
</file>