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旺苍县人民检察院</w:t>
      </w:r>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pPr>
      <w:r>
        <w:rPr>
          <w:rFonts w:hint="eastAsia" w:ascii="方正小标宋简体" w:hAnsi="方正小标宋简体" w:eastAsia="方正小标宋简体" w:cs="方正小标宋简体"/>
          <w:b w:val="0"/>
          <w:bCs w:val="0"/>
          <w:i w:val="0"/>
          <w:caps w:val="0"/>
          <w:color w:val="auto"/>
          <w:spacing w:val="0"/>
          <w:kern w:val="0"/>
          <w:sz w:val="44"/>
          <w:szCs w:val="44"/>
          <w:highlight w:val="none"/>
          <w:shd w:val="clear" w:color="auto" w:fill="FFFFFF"/>
          <w:lang w:val="en-US" w:eastAsia="zh-CN" w:bidi="ar"/>
        </w:rPr>
        <w:t>2024年部门预算编制说明</w:t>
      </w: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jc w:val="center"/>
        <w:rPr>
          <w:rFonts w:hint="eastAsia" w:ascii="黑体" w:hAnsi="黑体" w:eastAsia="黑体" w:cs="黑体"/>
          <w:b w:val="0"/>
          <w:bCs w:val="0"/>
          <w:i w:val="0"/>
          <w:caps w:val="0"/>
          <w:color w:val="auto"/>
          <w:spacing w:val="0"/>
          <w:kern w:val="0"/>
          <w:sz w:val="32"/>
          <w:szCs w:val="32"/>
          <w:highlight w:val="none"/>
          <w:shd w:val="clear" w:color="auto" w:fill="FFFFFF"/>
          <w:lang w:val="en-US" w:eastAsia="zh-CN" w:bidi="ar"/>
        </w:rPr>
      </w:pPr>
    </w:p>
    <w:p>
      <w:pPr>
        <w:spacing w:before="0" w:beforeLines="0" w:after="0" w:afterLines="0" w:line="240" w:lineRule="auto"/>
        <w:ind w:left="0" w:leftChars="0" w:right="0" w:rightChars="0" w:firstLine="0" w:firstLineChars="0"/>
        <w:jc w:val="center"/>
      </w:pPr>
    </w:p>
    <w:sdt>
      <w:sdtPr>
        <w:rPr>
          <w:rFonts w:ascii="宋体" w:hAnsi="宋体" w:eastAsia="宋体" w:cs="Times New Roman"/>
          <w:color w:val="auto"/>
          <w:kern w:val="2"/>
          <w:sz w:val="21"/>
          <w:szCs w:val="24"/>
          <w:lang w:val="en-US" w:eastAsia="zh-CN" w:bidi="ar-SA"/>
        </w:rPr>
        <w:id w:val="435852241"/>
        <w15:color w:val="DBDBDB"/>
        <w:docPartObj>
          <w:docPartGallery w:val="Table of Contents"/>
          <w:docPartUnique/>
        </w:docPartObj>
      </w:sdtPr>
      <w:sdtEndPr>
        <w:rPr>
          <w:rFonts w:ascii="宋体" w:hAnsi="宋体" w:eastAsia="宋体" w:cs="Times New Roman"/>
          <w:color w:val="auto"/>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21"/>
            </w:rPr>
            <w:t>目录</w:t>
          </w:r>
        </w:p>
        <w:p>
          <w:pPr>
            <w:pStyle w:val="15"/>
            <w:tabs>
              <w:tab w:val="right" w:leader="dot" w:pos="8845"/>
            </w:tabs>
            <w:spacing w:line="360" w:lineRule="auto"/>
          </w:pPr>
          <w:r>
            <w:fldChar w:fldCharType="begin"/>
          </w:r>
          <w:r>
            <w:instrText xml:space="preserve">TOC \o "1-3" \h \u </w:instrText>
          </w:r>
          <w:r>
            <w:fldChar w:fldCharType="separate"/>
          </w:r>
          <w:r>
            <w:fldChar w:fldCharType="begin"/>
          </w:r>
          <w:r>
            <w:instrText xml:space="preserve"> HYPERLINK \l _Toc668225461 </w:instrText>
          </w:r>
          <w:r>
            <w:fldChar w:fldCharType="separate"/>
          </w:r>
          <w:r>
            <w:rPr>
              <w:rFonts w:hint="eastAsia" w:ascii="黑体" w:hAnsi="黑体" w:eastAsia="黑体" w:cs="黑体"/>
              <w:szCs w:val="32"/>
              <w:lang w:val="en-US" w:eastAsia="zh-CN"/>
            </w:rPr>
            <w:t>一、基本职能及主要工作</w:t>
          </w:r>
          <w:r>
            <w:tab/>
          </w:r>
          <w:r>
            <w:fldChar w:fldCharType="begin"/>
          </w:r>
          <w:r>
            <w:instrText xml:space="preserve"> PAGEREF _Toc668225461 \h </w:instrText>
          </w:r>
          <w:r>
            <w:fldChar w:fldCharType="separate"/>
          </w:r>
          <w:r>
            <w:t>3</w:t>
          </w:r>
          <w:r>
            <w:fldChar w:fldCharType="end"/>
          </w:r>
          <w:r>
            <w:fldChar w:fldCharType="end"/>
          </w:r>
        </w:p>
        <w:p>
          <w:pPr>
            <w:pStyle w:val="16"/>
            <w:tabs>
              <w:tab w:val="right" w:leader="dot" w:pos="8845"/>
            </w:tabs>
            <w:spacing w:line="360" w:lineRule="auto"/>
          </w:pPr>
          <w:r>
            <w:fldChar w:fldCharType="begin"/>
          </w:r>
          <w:r>
            <w:instrText xml:space="preserve"> HYPERLINK \l _Toc348527842 </w:instrText>
          </w:r>
          <w:r>
            <w:fldChar w:fldCharType="separate"/>
          </w:r>
          <w:r>
            <w:rPr>
              <w:rFonts w:hint="eastAsia" w:ascii="楷体_GB2312" w:hAnsi="楷体_GB2312" w:eastAsia="楷体_GB2312" w:cs="楷体_GB2312"/>
              <w:szCs w:val="32"/>
            </w:rPr>
            <w:t>（一）</w:t>
          </w:r>
          <w:r>
            <w:rPr>
              <w:rFonts w:hint="eastAsia" w:ascii="仿宋_GB2312" w:hAnsi="仿宋_GB2312" w:eastAsia="仿宋_GB2312" w:cs="仿宋_GB2312"/>
              <w:szCs w:val="32"/>
              <w:lang w:val="en-US" w:eastAsia="zh-CN"/>
            </w:rPr>
            <w:t>旺苍县人民检察院职能简介</w:t>
          </w:r>
          <w:r>
            <w:tab/>
          </w:r>
          <w:r>
            <w:fldChar w:fldCharType="begin"/>
          </w:r>
          <w:r>
            <w:instrText xml:space="preserve"> PAGEREF _Toc348527842 \h </w:instrText>
          </w:r>
          <w:r>
            <w:fldChar w:fldCharType="separate"/>
          </w:r>
          <w:r>
            <w:t>3</w:t>
          </w:r>
          <w:r>
            <w:fldChar w:fldCharType="end"/>
          </w:r>
          <w:r>
            <w:fldChar w:fldCharType="end"/>
          </w:r>
        </w:p>
        <w:p>
          <w:pPr>
            <w:pStyle w:val="16"/>
            <w:tabs>
              <w:tab w:val="right" w:leader="dot" w:pos="8845"/>
            </w:tabs>
            <w:spacing w:line="360" w:lineRule="auto"/>
          </w:pPr>
          <w:r>
            <w:fldChar w:fldCharType="begin"/>
          </w:r>
          <w:r>
            <w:instrText xml:space="preserve"> HYPERLINK \l _Toc1846920944 </w:instrText>
          </w:r>
          <w:r>
            <w:fldChar w:fldCharType="separate"/>
          </w:r>
          <w:r>
            <w:rPr>
              <w:rFonts w:hint="eastAsia" w:ascii="楷体_GB2312" w:hAnsi="楷体_GB2312" w:eastAsia="楷体_GB2312" w:cs="楷体_GB2312"/>
              <w:szCs w:val="32"/>
            </w:rPr>
            <w:t>（二）</w:t>
          </w:r>
          <w:r>
            <w:rPr>
              <w:rFonts w:hint="eastAsia" w:ascii="仿宋_GB2312" w:hAnsi="仿宋_GB2312" w:eastAsia="仿宋_GB2312" w:cs="仿宋_GB2312"/>
              <w:szCs w:val="32"/>
              <w:lang w:val="en-US" w:eastAsia="zh-CN"/>
            </w:rPr>
            <w:t>旺苍县人民检察院2024年重点工作</w:t>
          </w:r>
          <w:r>
            <w:tab/>
          </w:r>
          <w:r>
            <w:fldChar w:fldCharType="begin"/>
          </w:r>
          <w:r>
            <w:instrText xml:space="preserve"> PAGEREF _Toc1846920944 \h </w:instrText>
          </w:r>
          <w:r>
            <w:fldChar w:fldCharType="separate"/>
          </w:r>
          <w:r>
            <w:t>3</w:t>
          </w:r>
          <w:r>
            <w:fldChar w:fldCharType="end"/>
          </w:r>
          <w:r>
            <w:fldChar w:fldCharType="end"/>
          </w:r>
        </w:p>
        <w:p>
          <w:pPr>
            <w:pStyle w:val="15"/>
            <w:tabs>
              <w:tab w:val="right" w:leader="dot" w:pos="8845"/>
            </w:tabs>
            <w:spacing w:line="360" w:lineRule="auto"/>
          </w:pPr>
          <w:r>
            <w:fldChar w:fldCharType="begin"/>
          </w:r>
          <w:r>
            <w:instrText xml:space="preserve"> HYPERLINK \l _Toc393370162 </w:instrText>
          </w:r>
          <w:r>
            <w:fldChar w:fldCharType="separate"/>
          </w:r>
          <w:r>
            <w:rPr>
              <w:rFonts w:hint="eastAsia" w:ascii="黑体" w:hAnsi="黑体" w:eastAsia="黑体" w:cs="黑体"/>
              <w:szCs w:val="32"/>
              <w:lang w:val="en-US" w:eastAsia="zh-CN"/>
            </w:rPr>
            <w:t>二、部门预算单位构成</w:t>
          </w:r>
          <w:r>
            <w:tab/>
          </w:r>
          <w:r>
            <w:fldChar w:fldCharType="begin"/>
          </w:r>
          <w:r>
            <w:instrText xml:space="preserve"> PAGEREF _Toc393370162 \h </w:instrText>
          </w:r>
          <w:r>
            <w:fldChar w:fldCharType="separate"/>
          </w:r>
          <w:r>
            <w:t>5</w:t>
          </w:r>
          <w:r>
            <w:fldChar w:fldCharType="end"/>
          </w:r>
          <w:r>
            <w:fldChar w:fldCharType="end"/>
          </w:r>
        </w:p>
        <w:p>
          <w:pPr>
            <w:pStyle w:val="15"/>
            <w:tabs>
              <w:tab w:val="right" w:leader="dot" w:pos="8845"/>
            </w:tabs>
            <w:spacing w:line="360" w:lineRule="auto"/>
          </w:pPr>
          <w:r>
            <w:fldChar w:fldCharType="begin"/>
          </w:r>
          <w:r>
            <w:instrText xml:space="preserve"> HYPERLINK \l _Toc931627865 </w:instrText>
          </w:r>
          <w:r>
            <w:fldChar w:fldCharType="separate"/>
          </w:r>
          <w:r>
            <w:rPr>
              <w:rFonts w:hint="eastAsia" w:ascii="黑体" w:hAnsi="黑体" w:eastAsia="黑体" w:cs="黑体"/>
              <w:szCs w:val="32"/>
              <w:lang w:val="en-US" w:eastAsia="zh-CN"/>
            </w:rPr>
            <w:t>三、收支预算情况说明</w:t>
          </w:r>
          <w:r>
            <w:tab/>
          </w:r>
          <w:r>
            <w:fldChar w:fldCharType="begin"/>
          </w:r>
          <w:r>
            <w:instrText xml:space="preserve"> PAGEREF _Toc931627865 \h </w:instrText>
          </w:r>
          <w:r>
            <w:fldChar w:fldCharType="separate"/>
          </w:r>
          <w:r>
            <w:t>5</w:t>
          </w:r>
          <w:r>
            <w:fldChar w:fldCharType="end"/>
          </w:r>
          <w:r>
            <w:fldChar w:fldCharType="end"/>
          </w:r>
        </w:p>
        <w:p>
          <w:pPr>
            <w:pStyle w:val="16"/>
            <w:tabs>
              <w:tab w:val="right" w:leader="dot" w:pos="8845"/>
            </w:tabs>
            <w:spacing w:line="360" w:lineRule="auto"/>
          </w:pPr>
          <w:r>
            <w:fldChar w:fldCharType="begin"/>
          </w:r>
          <w:r>
            <w:instrText xml:space="preserve"> HYPERLINK \l _Toc1703750095 </w:instrText>
          </w:r>
          <w:r>
            <w:fldChar w:fldCharType="separate"/>
          </w:r>
          <w:r>
            <w:rPr>
              <w:rFonts w:hint="eastAsia" w:ascii="楷体_GB2312" w:hAnsi="楷体_GB2312" w:eastAsia="楷体_GB2312" w:cs="楷体_GB2312"/>
              <w:szCs w:val="32"/>
              <w:lang w:val="en-US" w:eastAsia="zh-CN"/>
            </w:rPr>
            <w:t>（一）收入预算情况</w:t>
          </w:r>
          <w:r>
            <w:tab/>
          </w:r>
          <w:r>
            <w:fldChar w:fldCharType="begin"/>
          </w:r>
          <w:r>
            <w:instrText xml:space="preserve"> PAGEREF _Toc1703750095 \h </w:instrText>
          </w:r>
          <w:r>
            <w:fldChar w:fldCharType="separate"/>
          </w:r>
          <w:r>
            <w:t>5</w:t>
          </w:r>
          <w:r>
            <w:fldChar w:fldCharType="end"/>
          </w:r>
          <w:r>
            <w:fldChar w:fldCharType="end"/>
          </w:r>
        </w:p>
        <w:p>
          <w:pPr>
            <w:pStyle w:val="16"/>
            <w:tabs>
              <w:tab w:val="right" w:leader="dot" w:pos="8845"/>
            </w:tabs>
            <w:spacing w:line="360" w:lineRule="auto"/>
          </w:pPr>
          <w:r>
            <w:fldChar w:fldCharType="begin"/>
          </w:r>
          <w:r>
            <w:instrText xml:space="preserve"> HYPERLINK \l _Toc456906645 </w:instrText>
          </w:r>
          <w:r>
            <w:fldChar w:fldCharType="separate"/>
          </w:r>
          <w:r>
            <w:rPr>
              <w:rFonts w:hint="eastAsia" w:ascii="楷体_GB2312" w:hAnsi="楷体_GB2312" w:eastAsia="楷体_GB2312" w:cs="楷体_GB2312"/>
              <w:szCs w:val="32"/>
              <w:lang w:val="en-US" w:eastAsia="zh-CN"/>
            </w:rPr>
            <w:t>（二）支出预算情况</w:t>
          </w:r>
          <w:r>
            <w:tab/>
          </w:r>
          <w:r>
            <w:fldChar w:fldCharType="begin"/>
          </w:r>
          <w:r>
            <w:instrText xml:space="preserve"> PAGEREF _Toc456906645 \h </w:instrText>
          </w:r>
          <w:r>
            <w:fldChar w:fldCharType="separate"/>
          </w:r>
          <w:r>
            <w:t>5</w:t>
          </w:r>
          <w:r>
            <w:fldChar w:fldCharType="end"/>
          </w:r>
          <w:r>
            <w:fldChar w:fldCharType="end"/>
          </w:r>
        </w:p>
        <w:p>
          <w:pPr>
            <w:pStyle w:val="15"/>
            <w:tabs>
              <w:tab w:val="right" w:leader="dot" w:pos="8845"/>
            </w:tabs>
            <w:spacing w:line="360" w:lineRule="auto"/>
          </w:pPr>
          <w:r>
            <w:fldChar w:fldCharType="begin"/>
          </w:r>
          <w:r>
            <w:instrText xml:space="preserve"> HYPERLINK \l _Toc204020108 </w:instrText>
          </w:r>
          <w:r>
            <w:fldChar w:fldCharType="separate"/>
          </w:r>
          <w:r>
            <w:rPr>
              <w:rFonts w:hint="eastAsia" w:ascii="黑体" w:hAnsi="黑体" w:eastAsia="黑体" w:cs="黑体"/>
              <w:szCs w:val="32"/>
              <w:lang w:val="en-US" w:eastAsia="zh-CN"/>
            </w:rPr>
            <w:t>四、财政拨款收支预算情况说明</w:t>
          </w:r>
          <w:r>
            <w:tab/>
          </w:r>
          <w:r>
            <w:fldChar w:fldCharType="begin"/>
          </w:r>
          <w:r>
            <w:instrText xml:space="preserve"> PAGEREF _Toc204020108 \h </w:instrText>
          </w:r>
          <w:r>
            <w:fldChar w:fldCharType="separate"/>
          </w:r>
          <w:r>
            <w:t>5</w:t>
          </w:r>
          <w:r>
            <w:fldChar w:fldCharType="end"/>
          </w:r>
          <w:r>
            <w:fldChar w:fldCharType="end"/>
          </w:r>
        </w:p>
        <w:p>
          <w:pPr>
            <w:pStyle w:val="15"/>
            <w:tabs>
              <w:tab w:val="right" w:leader="dot" w:pos="8845"/>
            </w:tabs>
            <w:spacing w:line="360" w:lineRule="auto"/>
          </w:pPr>
          <w:r>
            <w:fldChar w:fldCharType="begin"/>
          </w:r>
          <w:r>
            <w:instrText xml:space="preserve"> HYPERLINK \l _Toc1781649933 </w:instrText>
          </w:r>
          <w:r>
            <w:fldChar w:fldCharType="separate"/>
          </w:r>
          <w:r>
            <w:rPr>
              <w:rFonts w:hint="eastAsia" w:ascii="黑体" w:hAnsi="黑体" w:eastAsia="黑体" w:cs="黑体"/>
              <w:szCs w:val="32"/>
              <w:lang w:val="en-US" w:eastAsia="zh-CN"/>
            </w:rPr>
            <w:t>五、一般公共预算当年拨款情况说明</w:t>
          </w:r>
          <w:r>
            <w:tab/>
          </w:r>
          <w:r>
            <w:fldChar w:fldCharType="begin"/>
          </w:r>
          <w:r>
            <w:instrText xml:space="preserve"> PAGEREF _Toc1781649933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_Toc134497975 </w:instrText>
          </w:r>
          <w:r>
            <w:fldChar w:fldCharType="separate"/>
          </w:r>
          <w:r>
            <w:rPr>
              <w:rFonts w:hint="eastAsia" w:ascii="楷体_GB2312" w:hAnsi="楷体_GB2312" w:eastAsia="楷体_GB2312" w:cs="楷体_GB2312"/>
              <w:szCs w:val="32"/>
              <w:lang w:val="en-US" w:eastAsia="zh-CN"/>
            </w:rPr>
            <w:t>（一）一般公共预算当年拨款规模变化情况</w:t>
          </w:r>
          <w:r>
            <w:tab/>
          </w:r>
          <w:r>
            <w:fldChar w:fldCharType="begin"/>
          </w:r>
          <w:r>
            <w:instrText xml:space="preserve"> PAGEREF _Toc134497975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_Toc1927695015 </w:instrText>
          </w:r>
          <w:r>
            <w:fldChar w:fldCharType="separate"/>
          </w:r>
          <w:r>
            <w:rPr>
              <w:rFonts w:hint="eastAsia" w:ascii="楷体_GB2312" w:hAnsi="楷体_GB2312" w:eastAsia="楷体_GB2312" w:cs="楷体_GB2312"/>
              <w:szCs w:val="32"/>
              <w:lang w:val="en-US" w:eastAsia="zh-CN"/>
            </w:rPr>
            <w:t>（二）一般公共预算当年拨款结构情况</w:t>
          </w:r>
          <w:r>
            <w:tab/>
          </w:r>
          <w:r>
            <w:fldChar w:fldCharType="begin"/>
          </w:r>
          <w:r>
            <w:instrText xml:space="preserve"> PAGEREF _Toc1927695015 \h </w:instrText>
          </w:r>
          <w:r>
            <w:fldChar w:fldCharType="separate"/>
          </w:r>
          <w:r>
            <w:t>6</w:t>
          </w:r>
          <w:r>
            <w:fldChar w:fldCharType="end"/>
          </w:r>
          <w:r>
            <w:fldChar w:fldCharType="end"/>
          </w:r>
        </w:p>
        <w:p>
          <w:pPr>
            <w:pStyle w:val="16"/>
            <w:tabs>
              <w:tab w:val="right" w:leader="dot" w:pos="8845"/>
            </w:tabs>
            <w:spacing w:line="360" w:lineRule="auto"/>
          </w:pPr>
          <w:r>
            <w:fldChar w:fldCharType="begin"/>
          </w:r>
          <w:r>
            <w:instrText xml:space="preserve"> HYPERLINK \l _Toc870729523 </w:instrText>
          </w:r>
          <w:r>
            <w:fldChar w:fldCharType="separate"/>
          </w:r>
          <w:r>
            <w:rPr>
              <w:rFonts w:hint="eastAsia" w:ascii="楷体_GB2312" w:hAnsi="楷体_GB2312" w:eastAsia="楷体_GB2312" w:cs="楷体_GB2312"/>
              <w:szCs w:val="32"/>
              <w:lang w:val="en-US" w:eastAsia="zh-CN"/>
            </w:rPr>
            <w:t>（三）一般公共预算当年拨款具体使用情况</w:t>
          </w:r>
          <w:r>
            <w:tab/>
          </w:r>
          <w:r>
            <w:fldChar w:fldCharType="begin"/>
          </w:r>
          <w:r>
            <w:instrText xml:space="preserve"> PAGEREF _Toc870729523 \h </w:instrText>
          </w:r>
          <w:r>
            <w:fldChar w:fldCharType="separate"/>
          </w:r>
          <w:r>
            <w:t>6</w:t>
          </w:r>
          <w:r>
            <w:fldChar w:fldCharType="end"/>
          </w:r>
          <w:r>
            <w:fldChar w:fldCharType="end"/>
          </w:r>
        </w:p>
        <w:p>
          <w:pPr>
            <w:pStyle w:val="15"/>
            <w:tabs>
              <w:tab w:val="right" w:leader="dot" w:pos="8845"/>
            </w:tabs>
            <w:spacing w:line="360" w:lineRule="auto"/>
          </w:pPr>
          <w:r>
            <w:fldChar w:fldCharType="begin"/>
          </w:r>
          <w:r>
            <w:instrText xml:space="preserve"> HYPERLINK \l _Toc1828893826 </w:instrText>
          </w:r>
          <w:r>
            <w:fldChar w:fldCharType="separate"/>
          </w:r>
          <w:r>
            <w:rPr>
              <w:rFonts w:hint="eastAsia" w:ascii="黑体" w:hAnsi="黑体" w:eastAsia="黑体" w:cs="黑体"/>
              <w:szCs w:val="32"/>
              <w:lang w:val="en-US" w:eastAsia="zh-CN"/>
            </w:rPr>
            <w:t>六、一般公共预算基本支出情况说明</w:t>
          </w:r>
          <w:r>
            <w:tab/>
          </w:r>
          <w:r>
            <w:fldChar w:fldCharType="begin"/>
          </w:r>
          <w:r>
            <w:instrText xml:space="preserve"> PAGEREF _Toc1828893826 \h </w:instrText>
          </w:r>
          <w:r>
            <w:fldChar w:fldCharType="separate"/>
          </w:r>
          <w:r>
            <w:t>7</w:t>
          </w:r>
          <w:r>
            <w:fldChar w:fldCharType="end"/>
          </w:r>
          <w:r>
            <w:fldChar w:fldCharType="end"/>
          </w:r>
        </w:p>
        <w:p>
          <w:pPr>
            <w:pStyle w:val="15"/>
            <w:tabs>
              <w:tab w:val="right" w:leader="dot" w:pos="8845"/>
            </w:tabs>
            <w:spacing w:line="360" w:lineRule="auto"/>
          </w:pPr>
          <w:r>
            <w:fldChar w:fldCharType="begin"/>
          </w:r>
          <w:r>
            <w:instrText xml:space="preserve"> HYPERLINK \l _Toc1884345571 </w:instrText>
          </w:r>
          <w:r>
            <w:fldChar w:fldCharType="separate"/>
          </w:r>
          <w:r>
            <w:rPr>
              <w:rFonts w:hint="eastAsia" w:ascii="黑体" w:hAnsi="黑体" w:eastAsia="黑体" w:cs="黑体"/>
              <w:szCs w:val="32"/>
              <w:lang w:val="en-US" w:eastAsia="zh-CN"/>
            </w:rPr>
            <w:t>七、“三公”经费财政拨款预算安排情况说明</w:t>
          </w:r>
          <w:r>
            <w:tab/>
          </w:r>
          <w:r>
            <w:fldChar w:fldCharType="begin"/>
          </w:r>
          <w:r>
            <w:instrText xml:space="preserve"> PAGEREF _Toc1884345571 \h </w:instrText>
          </w:r>
          <w:r>
            <w:fldChar w:fldCharType="separate"/>
          </w:r>
          <w:r>
            <w:t>7</w:t>
          </w:r>
          <w:r>
            <w:fldChar w:fldCharType="end"/>
          </w:r>
          <w:r>
            <w:fldChar w:fldCharType="end"/>
          </w:r>
        </w:p>
        <w:p>
          <w:pPr>
            <w:pStyle w:val="16"/>
            <w:tabs>
              <w:tab w:val="right" w:leader="dot" w:pos="8845"/>
            </w:tabs>
            <w:spacing w:line="360" w:lineRule="auto"/>
          </w:pPr>
          <w:r>
            <w:fldChar w:fldCharType="begin"/>
          </w:r>
          <w:r>
            <w:instrText xml:space="preserve"> HYPERLINK \l _Toc1623589574 </w:instrText>
          </w:r>
          <w:r>
            <w:fldChar w:fldCharType="separate"/>
          </w:r>
          <w:r>
            <w:rPr>
              <w:rFonts w:hint="eastAsia" w:ascii="楷体_GB2312" w:hAnsi="楷体_GB2312" w:eastAsia="楷体_GB2312" w:cs="楷体_GB2312"/>
              <w:szCs w:val="32"/>
              <w:lang w:val="en-US" w:eastAsia="zh-CN"/>
            </w:rPr>
            <w:t>（一）公务接待费</w:t>
          </w:r>
          <w:r>
            <w:tab/>
          </w:r>
          <w:r>
            <w:fldChar w:fldCharType="begin"/>
          </w:r>
          <w:r>
            <w:instrText xml:space="preserve"> PAGEREF _Toc1623589574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_Toc1716638280 </w:instrText>
          </w:r>
          <w:r>
            <w:fldChar w:fldCharType="separate"/>
          </w:r>
          <w:r>
            <w:rPr>
              <w:rFonts w:hint="eastAsia" w:ascii="楷体_GB2312" w:hAnsi="楷体_GB2312" w:eastAsia="楷体_GB2312" w:cs="楷体_GB2312"/>
              <w:szCs w:val="32"/>
              <w:lang w:val="en-US" w:eastAsia="zh-CN"/>
            </w:rPr>
            <w:t>（二） 公务用车购置及运行维护费</w:t>
          </w:r>
          <w:r>
            <w:tab/>
          </w:r>
          <w:r>
            <w:fldChar w:fldCharType="begin"/>
          </w:r>
          <w:r>
            <w:instrText xml:space="preserve"> PAGEREF _Toc1716638280 \h </w:instrText>
          </w:r>
          <w:r>
            <w:fldChar w:fldCharType="separate"/>
          </w:r>
          <w:r>
            <w:t>8</w:t>
          </w:r>
          <w:r>
            <w:fldChar w:fldCharType="end"/>
          </w:r>
          <w:r>
            <w:fldChar w:fldCharType="end"/>
          </w:r>
        </w:p>
        <w:p>
          <w:pPr>
            <w:pStyle w:val="16"/>
            <w:tabs>
              <w:tab w:val="right" w:leader="dot" w:pos="8845"/>
            </w:tabs>
            <w:spacing w:line="360" w:lineRule="auto"/>
          </w:pPr>
          <w:r>
            <w:fldChar w:fldCharType="begin"/>
          </w:r>
          <w:r>
            <w:instrText xml:space="preserve"> HYPERLINK \l _Toc378137765 </w:instrText>
          </w:r>
          <w:r>
            <w:fldChar w:fldCharType="separate"/>
          </w:r>
          <w:r>
            <w:rPr>
              <w:rFonts w:hint="eastAsia" w:ascii="仿宋_GB2312" w:hAnsi="仿宋_GB2312" w:eastAsia="仿宋_GB2312" w:cs="仿宋_GB2312"/>
              <w:szCs w:val="32"/>
              <w:lang w:val="en-US" w:eastAsia="zh-CN"/>
            </w:rPr>
            <w:t>（</w:t>
          </w:r>
          <w:r>
            <w:rPr>
              <w:rFonts w:hint="eastAsia" w:ascii="楷体_GB2312" w:hAnsi="楷体_GB2312" w:eastAsia="楷体_GB2312" w:cs="楷体_GB2312"/>
              <w:szCs w:val="32"/>
              <w:lang w:val="en-US" w:eastAsia="zh-CN"/>
            </w:rPr>
            <w:t>三）因公出国（境）经费</w:t>
          </w:r>
          <w:r>
            <w:tab/>
          </w:r>
          <w:r>
            <w:fldChar w:fldCharType="begin"/>
          </w:r>
          <w:r>
            <w:instrText xml:space="preserve"> PAGEREF _Toc378137765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_Toc169915654 </w:instrText>
          </w:r>
          <w:r>
            <w:fldChar w:fldCharType="separate"/>
          </w:r>
          <w:r>
            <w:rPr>
              <w:rFonts w:hint="eastAsia" w:ascii="黑体" w:hAnsi="黑体" w:eastAsia="黑体" w:cs="黑体"/>
              <w:szCs w:val="32"/>
              <w:lang w:val="en-US" w:eastAsia="zh-CN"/>
            </w:rPr>
            <w:t>八、政府性基金预算支出情况说明</w:t>
          </w:r>
          <w:r>
            <w:tab/>
          </w:r>
          <w:r>
            <w:fldChar w:fldCharType="begin"/>
          </w:r>
          <w:r>
            <w:instrText xml:space="preserve"> PAGEREF _Toc169915654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_Toc1845970983 </w:instrText>
          </w:r>
          <w:r>
            <w:fldChar w:fldCharType="separate"/>
          </w:r>
          <w:r>
            <w:rPr>
              <w:rFonts w:hint="eastAsia" w:ascii="黑体" w:hAnsi="黑体" w:eastAsia="黑体" w:cs="黑体"/>
              <w:szCs w:val="32"/>
              <w:lang w:val="en-US" w:eastAsia="zh-CN"/>
            </w:rPr>
            <w:t>九、国有资本经营预算支出情况说明</w:t>
          </w:r>
          <w:r>
            <w:tab/>
          </w:r>
          <w:r>
            <w:fldChar w:fldCharType="begin"/>
          </w:r>
          <w:r>
            <w:instrText xml:space="preserve"> PAGEREF _Toc1845970983 \h </w:instrText>
          </w:r>
          <w:r>
            <w:fldChar w:fldCharType="separate"/>
          </w:r>
          <w:r>
            <w:t>8</w:t>
          </w:r>
          <w:r>
            <w:fldChar w:fldCharType="end"/>
          </w:r>
          <w:r>
            <w:fldChar w:fldCharType="end"/>
          </w:r>
        </w:p>
        <w:p>
          <w:pPr>
            <w:pStyle w:val="15"/>
            <w:tabs>
              <w:tab w:val="right" w:leader="dot" w:pos="8845"/>
            </w:tabs>
            <w:spacing w:line="360" w:lineRule="auto"/>
          </w:pPr>
          <w:r>
            <w:fldChar w:fldCharType="begin"/>
          </w:r>
          <w:r>
            <w:instrText xml:space="preserve"> HYPERLINK \l _Toc872356556 </w:instrText>
          </w:r>
          <w:r>
            <w:fldChar w:fldCharType="separate"/>
          </w:r>
          <w:r>
            <w:rPr>
              <w:rFonts w:hint="eastAsia" w:ascii="黑体" w:hAnsi="黑体" w:eastAsia="黑体" w:cs="黑体"/>
              <w:szCs w:val="32"/>
              <w:lang w:val="en-US" w:eastAsia="zh-CN"/>
            </w:rPr>
            <w:t>十、其他重要事项的情况说明</w:t>
          </w:r>
          <w:r>
            <w:tab/>
          </w:r>
          <w:r>
            <w:fldChar w:fldCharType="begin"/>
          </w:r>
          <w:r>
            <w:instrText xml:space="preserve"> PAGEREF _Toc872356556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_Toc1262912178 </w:instrText>
          </w:r>
          <w:r>
            <w:fldChar w:fldCharType="separate"/>
          </w:r>
          <w:r>
            <w:rPr>
              <w:rFonts w:hint="eastAsia" w:ascii="楷体_GB2312" w:hAnsi="楷体_GB2312" w:eastAsia="楷体_GB2312" w:cs="楷体_GB2312"/>
              <w:szCs w:val="32"/>
              <w:lang w:val="en-US" w:eastAsia="zh-CN"/>
            </w:rPr>
            <w:t>（一）机关运行经费</w:t>
          </w:r>
          <w:r>
            <w:tab/>
          </w:r>
          <w:r>
            <w:fldChar w:fldCharType="begin"/>
          </w:r>
          <w:r>
            <w:instrText xml:space="preserve"> PAGEREF _Toc1262912178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_Toc1738227957 </w:instrText>
          </w:r>
          <w:r>
            <w:fldChar w:fldCharType="separate"/>
          </w:r>
          <w:r>
            <w:rPr>
              <w:rFonts w:hint="eastAsia" w:ascii="楷体_GB2312" w:hAnsi="楷体_GB2312" w:eastAsia="楷体_GB2312" w:cs="楷体_GB2312"/>
              <w:szCs w:val="32"/>
              <w:lang w:val="en-US" w:eastAsia="zh-CN"/>
            </w:rPr>
            <w:t>（二）政府采购情况</w:t>
          </w:r>
          <w:r>
            <w:tab/>
          </w:r>
          <w:r>
            <w:fldChar w:fldCharType="begin"/>
          </w:r>
          <w:r>
            <w:instrText xml:space="preserve"> PAGEREF _Toc1738227957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_Toc921396303 </w:instrText>
          </w:r>
          <w:r>
            <w:fldChar w:fldCharType="separate"/>
          </w:r>
          <w:r>
            <w:rPr>
              <w:rFonts w:hint="eastAsia" w:ascii="楷体_GB2312" w:hAnsi="楷体_GB2312" w:eastAsia="楷体_GB2312" w:cs="楷体_GB2312"/>
              <w:szCs w:val="32"/>
              <w:lang w:val="en-US" w:eastAsia="zh-CN"/>
            </w:rPr>
            <w:t>（三）国有资产占有使用情况</w:t>
          </w:r>
          <w:r>
            <w:tab/>
          </w:r>
          <w:r>
            <w:fldChar w:fldCharType="begin"/>
          </w:r>
          <w:r>
            <w:instrText xml:space="preserve"> PAGEREF _Toc921396303 \h </w:instrText>
          </w:r>
          <w:r>
            <w:fldChar w:fldCharType="separate"/>
          </w:r>
          <w:r>
            <w:t>9</w:t>
          </w:r>
          <w:r>
            <w:fldChar w:fldCharType="end"/>
          </w:r>
          <w:r>
            <w:fldChar w:fldCharType="end"/>
          </w:r>
        </w:p>
        <w:p>
          <w:pPr>
            <w:pStyle w:val="16"/>
            <w:tabs>
              <w:tab w:val="right" w:leader="dot" w:pos="8845"/>
            </w:tabs>
            <w:spacing w:line="360" w:lineRule="auto"/>
          </w:pPr>
          <w:r>
            <w:fldChar w:fldCharType="begin"/>
          </w:r>
          <w:r>
            <w:instrText xml:space="preserve"> HYPERLINK \l _Toc1282422768 </w:instrText>
          </w:r>
          <w:r>
            <w:fldChar w:fldCharType="separate"/>
          </w:r>
          <w:r>
            <w:rPr>
              <w:rFonts w:hint="eastAsia" w:ascii="楷体_GB2312" w:hAnsi="楷体_GB2312" w:eastAsia="楷体_GB2312" w:cs="楷体_GB2312"/>
              <w:szCs w:val="32"/>
              <w:lang w:val="en-US" w:eastAsia="zh-CN"/>
            </w:rPr>
            <w:t>（四）绩效目标设置情况</w:t>
          </w:r>
          <w:r>
            <w:tab/>
          </w:r>
          <w:r>
            <w:fldChar w:fldCharType="begin"/>
          </w:r>
          <w:r>
            <w:instrText xml:space="preserve"> PAGEREF _Toc1282422768 \h </w:instrText>
          </w:r>
          <w:r>
            <w:fldChar w:fldCharType="separate"/>
          </w:r>
          <w:r>
            <w:t>9</w:t>
          </w:r>
          <w:r>
            <w:fldChar w:fldCharType="end"/>
          </w:r>
          <w:r>
            <w:fldChar w:fldCharType="end"/>
          </w:r>
        </w:p>
        <w:p>
          <w:pPr>
            <w:pStyle w:val="15"/>
            <w:tabs>
              <w:tab w:val="right" w:leader="dot" w:pos="8845"/>
            </w:tabs>
            <w:spacing w:line="360" w:lineRule="auto"/>
          </w:pPr>
          <w:r>
            <w:fldChar w:fldCharType="begin"/>
          </w:r>
          <w:r>
            <w:instrText xml:space="preserve"> HYPERLINK \l _Toc600060974 </w:instrText>
          </w:r>
          <w:r>
            <w:fldChar w:fldCharType="separate"/>
          </w:r>
          <w:r>
            <w:rPr>
              <w:rFonts w:hint="eastAsia" w:ascii="黑体" w:hAnsi="黑体" w:eastAsia="黑体" w:cs="黑体"/>
              <w:szCs w:val="32"/>
              <w:lang w:val="en-US" w:eastAsia="zh-CN"/>
            </w:rPr>
            <w:t>十一、名词解释</w:t>
          </w:r>
          <w:r>
            <w:tab/>
          </w:r>
          <w:r>
            <w:fldChar w:fldCharType="begin"/>
          </w:r>
          <w:r>
            <w:instrText xml:space="preserve"> PAGEREF _Toc600060974 \h </w:instrText>
          </w:r>
          <w:r>
            <w:fldChar w:fldCharType="separate"/>
          </w:r>
          <w:r>
            <w:t>9</w:t>
          </w:r>
          <w:r>
            <w:fldChar w:fldCharType="end"/>
          </w:r>
          <w:r>
            <w:fldChar w:fldCharType="end"/>
          </w:r>
        </w:p>
        <w:p>
          <w:pPr>
            <w:spacing w:line="360" w:lineRule="auto"/>
          </w:pPr>
          <w:r>
            <w:fldChar w:fldCharType="end"/>
          </w:r>
        </w:p>
      </w:sdtContent>
    </w:sdt>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0" w:name="_Toc668225461"/>
      <w:r>
        <w:rPr>
          <w:rFonts w:hint="eastAsia" w:ascii="黑体" w:hAnsi="黑体" w:eastAsia="黑体" w:cs="黑体"/>
          <w:color w:val="auto"/>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1" w:name="_Toc348527842"/>
      <w:r>
        <w:rPr>
          <w:rFonts w:hint="eastAsia" w:ascii="楷体_GB2312" w:hAnsi="楷体_GB2312" w:eastAsia="楷体_GB2312" w:cs="楷体_GB2312"/>
          <w:color w:val="auto"/>
          <w:sz w:val="32"/>
          <w:szCs w:val="32"/>
        </w:rPr>
        <w:t>（一）</w:t>
      </w:r>
      <w:r>
        <w:rPr>
          <w:rFonts w:hint="eastAsia" w:ascii="仿宋_GB2312" w:hAnsi="仿宋_GB2312" w:eastAsia="仿宋_GB2312" w:cs="仿宋_GB2312"/>
          <w:color w:val="auto"/>
          <w:sz w:val="32"/>
          <w:szCs w:val="32"/>
          <w:lang w:val="en-US" w:eastAsia="zh-CN"/>
        </w:rPr>
        <w:t>旺苍县人民检察院职能简介</w:t>
      </w:r>
      <w:bookmarkEnd w:id="1"/>
    </w:p>
    <w:p>
      <w:pPr>
        <w:keepNext w:val="0"/>
        <w:keepLines w:val="0"/>
        <w:pageBreakBefore w:val="0"/>
        <w:widowControl w:val="0"/>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bCs/>
          <w:color w:val="auto"/>
          <w:sz w:val="32"/>
          <w:szCs w:val="32"/>
          <w:highlight w:val="none"/>
        </w:rPr>
      </w:pPr>
      <w:r>
        <w:rPr>
          <w:rFonts w:hint="eastAsia" w:ascii="仿宋_GB2312" w:hAnsi="仿宋_GB2312" w:eastAsia="仿宋_GB2312" w:cs="仿宋_GB2312"/>
          <w:b w:val="0"/>
          <w:bCs w:val="0"/>
          <w:i w:val="0"/>
          <w:iCs w:val="0"/>
          <w:color w:val="auto"/>
          <w:sz w:val="32"/>
          <w:szCs w:val="32"/>
          <w:highlight w:val="none"/>
        </w:rPr>
        <w:t>人民检察院是国家的法律监督机关。人民检察院通过依法独立行使检察权，监督法律实施，惩罚犯罪活动，保护国家安全、人民民主专政政权和社会主义制度，保护公民、法人和其他组织的合法权益，维护国家法律的统一和正确实施。</w:t>
      </w:r>
      <w:r>
        <w:rPr>
          <w:rFonts w:hint="eastAsia" w:ascii="仿宋_GB2312" w:hAnsi="仿宋_GB2312" w:eastAsia="仿宋_GB2312" w:cs="仿宋_GB2312"/>
          <w:b w:val="0"/>
          <w:bCs w:val="0"/>
          <w:i w:val="0"/>
          <w:caps w:val="0"/>
          <w:color w:val="auto"/>
          <w:spacing w:val="0"/>
          <w:sz w:val="32"/>
          <w:szCs w:val="32"/>
          <w:highlight w:val="none"/>
          <w:shd w:val="clear" w:color="auto" w:fill="auto"/>
          <w:lang w:val="en-US" w:eastAsia="zh-CN"/>
        </w:rPr>
        <w:t>旺苍县人民检察院</w:t>
      </w:r>
      <w:r>
        <w:rPr>
          <w:rFonts w:hint="eastAsia" w:ascii="仿宋_GB2312" w:hAnsi="仿宋_GB2312" w:eastAsia="仿宋_GB2312" w:cs="仿宋_GB2312"/>
          <w:b w:val="0"/>
          <w:bCs w:val="0"/>
          <w:i w:val="0"/>
          <w:iCs w:val="0"/>
          <w:color w:val="auto"/>
          <w:sz w:val="32"/>
          <w:szCs w:val="32"/>
          <w:highlight w:val="none"/>
        </w:rPr>
        <w:t>接受县委和上级检察机关的领导，对旺苍县人民代表大会及其常委</w:t>
      </w:r>
      <w:r>
        <w:rPr>
          <w:rFonts w:hint="eastAsia" w:ascii="仿宋_GB2312" w:hAnsi="仿宋_GB2312" w:eastAsia="仿宋_GB2312" w:cs="仿宋_GB2312"/>
          <w:b w:val="0"/>
          <w:bCs w:val="0"/>
          <w:i w:val="0"/>
          <w:iCs w:val="0"/>
          <w:color w:val="auto"/>
          <w:sz w:val="32"/>
          <w:szCs w:val="32"/>
          <w:highlight w:val="none"/>
          <w:lang w:val="en-US" w:eastAsia="zh-CN"/>
        </w:rPr>
        <w:t>会</w:t>
      </w:r>
      <w:r>
        <w:rPr>
          <w:rFonts w:hint="eastAsia" w:ascii="仿宋_GB2312" w:hAnsi="仿宋_GB2312" w:eastAsia="仿宋_GB2312" w:cs="仿宋_GB2312"/>
          <w:b w:val="0"/>
          <w:bCs w:val="0"/>
          <w:i w:val="0"/>
          <w:iCs w:val="0"/>
          <w:color w:val="auto"/>
          <w:sz w:val="32"/>
          <w:szCs w:val="32"/>
          <w:highlight w:val="none"/>
        </w:rPr>
        <w:t>负责并报告工作，接受监督，不受行政机关、社会团体和个人的干涉。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2" w:name="_Toc1846920944"/>
      <w:r>
        <w:rPr>
          <w:rFonts w:hint="eastAsia" w:ascii="楷体_GB2312" w:hAnsi="楷体_GB2312" w:eastAsia="楷体_GB2312" w:cs="楷体_GB2312"/>
          <w:color w:val="auto"/>
          <w:sz w:val="32"/>
          <w:szCs w:val="32"/>
        </w:rPr>
        <w:t>（二）</w:t>
      </w:r>
      <w:r>
        <w:rPr>
          <w:rFonts w:hint="eastAsia" w:ascii="仿宋_GB2312" w:hAnsi="仿宋_GB2312" w:eastAsia="仿宋_GB2312" w:cs="仿宋_GB2312"/>
          <w:color w:val="auto"/>
          <w:sz w:val="32"/>
          <w:szCs w:val="32"/>
          <w:lang w:val="en-US" w:eastAsia="zh-CN"/>
        </w:rPr>
        <w:t>旺苍县人民检察院2024年重点工作</w:t>
      </w:r>
      <w:bookmarkEnd w:id="2"/>
    </w:p>
    <w:p>
      <w:pPr>
        <w:keepNext w:val="0"/>
        <w:keepLines w:val="0"/>
        <w:pageBreakBefore w:val="0"/>
        <w:widowControl w:val="0"/>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b w:val="0"/>
          <w:bCs w:val="0"/>
          <w:i w:val="0"/>
          <w:iCs w:val="0"/>
          <w:color w:val="auto"/>
          <w:sz w:val="32"/>
          <w:szCs w:val="32"/>
          <w:highlight w:val="none"/>
          <w:lang w:val="en-US" w:eastAsia="zh-CN"/>
        </w:rPr>
      </w:pPr>
      <w:r>
        <w:rPr>
          <w:rFonts w:hint="eastAsia" w:ascii="仿宋_GB2312" w:hAnsi="仿宋_GB2312" w:eastAsia="仿宋_GB2312" w:cs="仿宋_GB2312"/>
          <w:b w:val="0"/>
          <w:bCs w:val="0"/>
          <w:i w:val="0"/>
          <w:iCs w:val="0"/>
          <w:color w:val="auto"/>
          <w:sz w:val="32"/>
          <w:szCs w:val="32"/>
          <w:highlight w:val="none"/>
        </w:rPr>
        <w:t>一</w:t>
      </w:r>
      <w:r>
        <w:rPr>
          <w:rFonts w:hint="eastAsia" w:ascii="仿宋_GB2312" w:hAnsi="仿宋_GB2312" w:eastAsia="仿宋_GB2312" w:cs="仿宋_GB2312"/>
          <w:b w:val="0"/>
          <w:bCs w:val="0"/>
          <w:i w:val="0"/>
          <w:iCs w:val="0"/>
          <w:color w:val="auto"/>
          <w:sz w:val="32"/>
          <w:szCs w:val="32"/>
          <w:highlight w:val="none"/>
          <w:lang w:eastAsia="zh-CN"/>
        </w:rPr>
        <w:t>是更加精准服务大局。</w:t>
      </w:r>
      <w:r>
        <w:rPr>
          <w:rFonts w:hint="eastAsia" w:ascii="仿宋_GB2312" w:hAnsi="仿宋_GB2312" w:eastAsia="仿宋_GB2312" w:cs="仿宋_GB2312"/>
          <w:b w:val="0"/>
          <w:bCs w:val="0"/>
          <w:i w:val="0"/>
          <w:iCs w:val="0"/>
          <w:color w:val="auto"/>
          <w:sz w:val="32"/>
          <w:szCs w:val="32"/>
          <w:highlight w:val="none"/>
          <w:lang w:val="en-US" w:eastAsia="zh-CN"/>
        </w:rPr>
        <w:t>聚力维护社会安全和稳定，依法打击各类犯罪，持续加大网络犯罪惩处力度，合力加强反腐败斗争。聚力服务经济高质量发展。围绕生态优先绿色发展，依法办理非法捕捞、危害珍贵濒危野生动物等案件，加大公益诉讼力度。围绕全力优化营商环境，依法办理经济犯罪案件，积极开展法治进企业活动。围绕茶文旅高质量发展引领区建设，加大古树名木保护力度。聚力以履职促进诉源治理。强化类案治理，助推共性问题行业治理、系统治理，发出社会治理类检察建议。强化行政违法行为监督，推动基层治理。</w:t>
      </w:r>
    </w:p>
    <w:p>
      <w:pPr>
        <w:keepNext w:val="0"/>
        <w:keepLines w:val="0"/>
        <w:pageBreakBefore w:val="0"/>
        <w:widowControl w:val="0"/>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b w:val="0"/>
          <w:bCs w:val="0"/>
          <w:i w:val="0"/>
          <w:iCs w:val="0"/>
          <w:color w:val="auto"/>
          <w:sz w:val="32"/>
          <w:szCs w:val="32"/>
          <w:highlight w:val="none"/>
          <w:lang w:val="en-US" w:eastAsia="zh-CN"/>
        </w:rPr>
      </w:pPr>
      <w:r>
        <w:rPr>
          <w:rFonts w:hint="eastAsia" w:ascii="仿宋_GB2312" w:hAnsi="仿宋_GB2312" w:eastAsia="仿宋_GB2312" w:cs="仿宋_GB2312"/>
          <w:b w:val="0"/>
          <w:bCs w:val="0"/>
          <w:i w:val="0"/>
          <w:iCs w:val="0"/>
          <w:color w:val="auto"/>
          <w:sz w:val="32"/>
          <w:szCs w:val="32"/>
          <w:highlight w:val="none"/>
        </w:rPr>
        <w:t>二</w:t>
      </w:r>
      <w:r>
        <w:rPr>
          <w:rFonts w:hint="eastAsia" w:ascii="仿宋_GB2312" w:hAnsi="仿宋_GB2312" w:eastAsia="仿宋_GB2312" w:cs="仿宋_GB2312"/>
          <w:b w:val="0"/>
          <w:bCs w:val="0"/>
          <w:i w:val="0"/>
          <w:iCs w:val="0"/>
          <w:color w:val="auto"/>
          <w:sz w:val="32"/>
          <w:szCs w:val="32"/>
          <w:highlight w:val="none"/>
          <w:lang w:eastAsia="zh-CN"/>
        </w:rPr>
        <w:t>是为民司法更加主动。</w:t>
      </w:r>
      <w:r>
        <w:rPr>
          <w:rFonts w:hint="eastAsia" w:ascii="仿宋_GB2312" w:hAnsi="仿宋_GB2312" w:eastAsia="仿宋_GB2312" w:cs="仿宋_GB2312"/>
          <w:b w:val="0"/>
          <w:bCs w:val="0"/>
          <w:i w:val="0"/>
          <w:iCs w:val="0"/>
          <w:color w:val="auto"/>
          <w:sz w:val="32"/>
          <w:szCs w:val="32"/>
          <w:highlight w:val="none"/>
          <w:lang w:val="en-US" w:eastAsia="zh-CN"/>
        </w:rPr>
        <w:t>让有罪者罚当其罪。坚持以证据为核心，提前介入引导取证。贯彻落实宽严相济的刑事司法政策，更好地为构建社会主义和谐社会服务。严格适用逮捕条件，防止以捕代侦。为当事人解难济困。坚持和发展新时代枫桥经验，7日回复、3个月答复率保持100%。扎实办理司法救助案件，发放救助金。抓实未成年人保护。严厉打击侵害未成年人犯罪，引入第三方社工组织实施帮教活动。综合履职促“六大保护”协同发力，院领导、检察官担任法治副校长，对学生、教师、家长开展针对性法治课堂。</w:t>
      </w:r>
    </w:p>
    <w:p>
      <w:pPr>
        <w:keepNext w:val="0"/>
        <w:keepLines w:val="0"/>
        <w:pageBreakBefore w:val="0"/>
        <w:widowControl w:val="0"/>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b w:val="0"/>
          <w:bCs w:val="0"/>
          <w:i w:val="0"/>
          <w:iCs w:val="0"/>
          <w:color w:val="auto"/>
          <w:sz w:val="32"/>
          <w:szCs w:val="32"/>
          <w:highlight w:val="none"/>
          <w:lang w:val="en-US" w:eastAsia="zh-CN"/>
        </w:rPr>
      </w:pPr>
      <w:r>
        <w:rPr>
          <w:rFonts w:hint="eastAsia" w:ascii="仿宋_GB2312" w:hAnsi="仿宋_GB2312" w:eastAsia="仿宋_GB2312" w:cs="仿宋_GB2312"/>
          <w:b w:val="0"/>
          <w:bCs w:val="0"/>
          <w:i w:val="0"/>
          <w:iCs w:val="0"/>
          <w:color w:val="auto"/>
          <w:sz w:val="32"/>
          <w:szCs w:val="32"/>
          <w:highlight w:val="none"/>
        </w:rPr>
        <w:t>三</w:t>
      </w:r>
      <w:r>
        <w:rPr>
          <w:rFonts w:hint="eastAsia" w:ascii="仿宋_GB2312" w:hAnsi="仿宋_GB2312" w:eastAsia="仿宋_GB2312" w:cs="仿宋_GB2312"/>
          <w:b w:val="0"/>
          <w:bCs w:val="0"/>
          <w:i w:val="0"/>
          <w:iCs w:val="0"/>
          <w:color w:val="auto"/>
          <w:sz w:val="32"/>
          <w:szCs w:val="32"/>
          <w:highlight w:val="none"/>
          <w:lang w:eastAsia="zh-CN"/>
        </w:rPr>
        <w:t>是法治担当更加凸显。</w:t>
      </w:r>
      <w:r>
        <w:rPr>
          <w:rFonts w:hint="eastAsia" w:ascii="仿宋_GB2312" w:hAnsi="仿宋_GB2312" w:eastAsia="仿宋_GB2312" w:cs="仿宋_GB2312"/>
          <w:b w:val="0"/>
          <w:bCs w:val="0"/>
          <w:i w:val="0"/>
          <w:iCs w:val="0"/>
          <w:color w:val="auto"/>
          <w:sz w:val="32"/>
          <w:szCs w:val="32"/>
          <w:highlight w:val="none"/>
          <w:lang w:val="en-US" w:eastAsia="zh-CN"/>
        </w:rPr>
        <w:t>刑事检察监督持续向优而行。实质化运行侦查监督与协作配合办公室，不断提升执法司法水平。强化审判活动监督，建立承办人、部门负责人、分管副检察长三级审查制度，及时纠正违反法定审限情形。强化刑事执行检察，监督刑罚执行和监管活动严重违法行。民事行政检察持续向实推进。办理民事检察案件、行政检察案件，制发检察建议，实质性化解行政争议。开展交通管理执法领域行政检察监督专项活动及行政检察护航民生民利专项活动。公益诉讼检察持续向好发展。办理生态环境和资源保护领域案件、食品药品安全领域案件，制发检察建议。</w:t>
      </w:r>
    </w:p>
    <w:p>
      <w:pPr>
        <w:keepNext w:val="0"/>
        <w:keepLines w:val="0"/>
        <w:pageBreakBefore w:val="0"/>
        <w:widowControl w:val="0"/>
        <w:kinsoku/>
        <w:wordWrap/>
        <w:overflowPunct/>
        <w:topLinePunct w:val="0"/>
        <w:autoSpaceDE/>
        <w:autoSpaceDN/>
        <w:bidi w:val="0"/>
        <w:spacing w:line="576" w:lineRule="exact"/>
        <w:ind w:left="0" w:leftChars="0" w:firstLine="640" w:firstLineChars="200"/>
        <w:textAlignment w:val="auto"/>
        <w:rPr>
          <w:rFonts w:hint="eastAsia" w:ascii="仿宋_GB2312" w:hAnsi="仿宋_GB2312" w:eastAsia="仿宋_GB2312" w:cs="仿宋_GB2312"/>
          <w:b w:val="0"/>
          <w:bCs w:val="0"/>
          <w:i w:val="0"/>
          <w:iCs w:val="0"/>
          <w:color w:val="auto"/>
          <w:sz w:val="32"/>
          <w:szCs w:val="32"/>
          <w:highlight w:val="none"/>
          <w:lang w:val="en-US" w:eastAsia="zh-CN"/>
        </w:rPr>
      </w:pPr>
      <w:r>
        <w:rPr>
          <w:rFonts w:hint="eastAsia" w:ascii="仿宋_GB2312" w:hAnsi="仿宋_GB2312" w:eastAsia="仿宋_GB2312" w:cs="仿宋_GB2312"/>
          <w:b w:val="0"/>
          <w:bCs w:val="0"/>
          <w:i w:val="0"/>
          <w:iCs w:val="0"/>
          <w:color w:val="auto"/>
          <w:sz w:val="32"/>
          <w:szCs w:val="32"/>
          <w:highlight w:val="none"/>
          <w:lang w:val="en-US" w:eastAsia="zh-CN"/>
        </w:rPr>
        <w:t>2024年，旺苍县人民检察院将深入贯彻习近平总书记来川来广视察重要指示精神，贯彻落实省委十二届四次全会、市委八届八次全会、县委十三届五次全会决策部署，为加快建设红色文化强县生态康养强县作出更大贡献。</w:t>
      </w:r>
    </w:p>
    <w:p>
      <w:pPr>
        <w:keepNext w:val="0"/>
        <w:keepLines w:val="0"/>
        <w:pageBreakBefore w:val="0"/>
        <w:widowControl w:val="0"/>
        <w:kinsoku/>
        <w:wordWrap/>
        <w:overflowPunct/>
        <w:topLinePunct w:val="0"/>
        <w:autoSpaceDE/>
        <w:autoSpaceDN/>
        <w:bidi w:val="0"/>
        <w:spacing w:line="576" w:lineRule="exact"/>
        <w:ind w:firstLine="960" w:firstLineChars="300"/>
        <w:textAlignment w:val="auto"/>
        <w:rPr>
          <w:rFonts w:hint="eastAsia" w:ascii="仿宋_GB2312" w:hAnsi="仿宋_GB2312" w:eastAsia="仿宋_GB2312" w:cs="仿宋_GB2312"/>
          <w:b w:val="0"/>
          <w:bCs w:val="0"/>
          <w:i w:val="0"/>
          <w:iCs w:val="0"/>
          <w:color w:val="auto"/>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3" w:name="_Toc393370162"/>
      <w:r>
        <w:rPr>
          <w:rFonts w:hint="eastAsia" w:ascii="黑体" w:hAnsi="黑体" w:eastAsia="黑体" w:cs="黑体"/>
          <w:color w:val="auto"/>
          <w:sz w:val="32"/>
          <w:szCs w:val="32"/>
          <w:lang w:val="en-US" w:eastAsia="zh-CN"/>
        </w:rPr>
        <w:t>二、部门预算单位构成</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ascii="仿宋" w:hAnsi="仿宋" w:eastAsia="仿宋"/>
          <w:color w:val="auto"/>
          <w:sz w:val="32"/>
          <w:szCs w:val="32"/>
          <w:highlight w:val="none"/>
        </w:rPr>
      </w:pPr>
      <w:r>
        <w:rPr>
          <w:rFonts w:hint="eastAsia" w:ascii="仿宋_GB2312" w:hAnsi="仿宋_GB2312" w:eastAsia="仿宋_GB2312" w:cs="仿宋_GB2312"/>
          <w:bCs/>
          <w:color w:val="auto"/>
          <w:sz w:val="32"/>
          <w:szCs w:val="32"/>
          <w:highlight w:val="none"/>
        </w:rPr>
        <w:t>旺苍县人民检察院</w:t>
      </w:r>
      <w:r>
        <w:rPr>
          <w:rFonts w:hint="eastAsia" w:ascii="仿宋_GB2312" w:hAnsi="仿宋_GB2312" w:eastAsia="仿宋_GB2312" w:cs="仿宋_GB2312"/>
          <w:sz w:val="32"/>
          <w:szCs w:val="32"/>
          <w:lang w:val="en-US" w:eastAsia="zh-CN"/>
        </w:rPr>
        <w:t>属一级预算单位，无下属二级预算单位。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4" w:name="_Toc931627865"/>
      <w:r>
        <w:rPr>
          <w:rFonts w:hint="eastAsia" w:ascii="黑体" w:hAnsi="黑体" w:eastAsia="黑体" w:cs="黑体"/>
          <w:color w:val="auto"/>
          <w:sz w:val="32"/>
          <w:szCs w:val="32"/>
          <w:lang w:val="en-US" w:eastAsia="zh-CN"/>
        </w:rPr>
        <w:t>三、收支预算情况说明</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rPr>
      </w:pPr>
      <w:r>
        <w:rPr>
          <w:rFonts w:hint="eastAsia" w:ascii="仿宋_GB2312" w:hAnsi="仿宋_GB2312" w:eastAsia="仿宋_GB2312" w:cs="仿宋_GB2312"/>
          <w:color w:val="auto"/>
          <w:sz w:val="32"/>
          <w:szCs w:val="32"/>
          <w:lang w:val="en-US" w:eastAsia="zh-CN"/>
        </w:rPr>
        <w:t>按照综合预算的原则，旺苍县人民检察院所有收入和支出均纳入部门预算管理。收入包括：一般公共预算拨款收入；支出包括：公共安全支出、社会保障和就业支出、卫生健康支出、住房保障支出。旺苍县人民检察院2024年收支预算总数924.74万元,比2023年收支预算总数增加50.45万元，主要原因是新招录5名公务员，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5" w:name="_Toc1703750095"/>
      <w:r>
        <w:rPr>
          <w:rFonts w:hint="eastAsia" w:ascii="楷体_GB2312" w:hAnsi="楷体_GB2312" w:eastAsia="楷体_GB2312" w:cs="楷体_GB2312"/>
          <w:color w:val="auto"/>
          <w:sz w:val="32"/>
          <w:szCs w:val="32"/>
          <w:lang w:val="en-US" w:eastAsia="zh-CN"/>
        </w:rPr>
        <w:t>（一）收入预算情况</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旺苍县人民检察院2024年收入预算924.74万元，其中：一般公共预算拨款收入924.74万元，占100%。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6" w:name="_Toc456906645"/>
      <w:r>
        <w:rPr>
          <w:rFonts w:hint="eastAsia" w:ascii="楷体_GB2312" w:hAnsi="楷体_GB2312" w:eastAsia="楷体_GB2312" w:cs="楷体_GB2312"/>
          <w:color w:val="auto"/>
          <w:sz w:val="32"/>
          <w:szCs w:val="32"/>
          <w:lang w:val="en-US" w:eastAsia="zh-CN"/>
        </w:rPr>
        <w:t>（二）支出预算情况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旺苍县人民检察院2024年支出预算924.74万元，其中：基本支出771.51万元，占83.43%；项目支出153.23万元，占16.57%。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7" w:name="_Toc204020108"/>
      <w:r>
        <w:rPr>
          <w:rFonts w:hint="eastAsia" w:ascii="黑体" w:hAnsi="黑体" w:eastAsia="黑体" w:cs="黑体"/>
          <w:color w:val="auto"/>
          <w:sz w:val="32"/>
          <w:szCs w:val="32"/>
          <w:lang w:val="en-US" w:eastAsia="zh-CN"/>
        </w:rPr>
        <w:t>四、财政拨款收支预算情况说明</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旺苍县人民检察院2024年财政拨款收支预算总数924.74万元,比2023年财政拨款收支预算总数增加50.45万元，主要原因是新招录5名公务员，人员经费增加。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收入包括：本年一般公共预算拨款收入924.74万元，支出包括：公共安全支出794.77万元、社会保障和就业支出55.93万元、卫生健康支出26.46万元、住房保障支出47.57万元。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8" w:name="_Toc1781649933"/>
      <w:r>
        <w:rPr>
          <w:rFonts w:hint="eastAsia" w:ascii="黑体" w:hAnsi="黑体" w:eastAsia="黑体" w:cs="黑体"/>
          <w:color w:val="auto"/>
          <w:sz w:val="32"/>
          <w:szCs w:val="32"/>
          <w:lang w:val="en-US" w:eastAsia="zh-CN"/>
        </w:rPr>
        <w:t>五、一般公共预算当年拨款情况说明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9" w:name="_Toc134497975"/>
      <w:r>
        <w:rPr>
          <w:rFonts w:hint="eastAsia" w:ascii="楷体_GB2312" w:hAnsi="楷体_GB2312" w:eastAsia="楷体_GB2312" w:cs="楷体_GB2312"/>
          <w:color w:val="auto"/>
          <w:sz w:val="32"/>
          <w:szCs w:val="32"/>
          <w:lang w:val="en-US" w:eastAsia="zh-CN"/>
        </w:rPr>
        <w:t>（一）一般公共预算当年拨款规模变化情况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旺苍县人民检察院2024年一般公共预算当年拨款924.74万元，比2023年预算数增加50.45万元，主要原因是新招录5名公务员，人员经费增加。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0" w:name="_Toc1927695015"/>
      <w:r>
        <w:rPr>
          <w:rFonts w:hint="eastAsia" w:ascii="楷体_GB2312" w:hAnsi="楷体_GB2312" w:eastAsia="楷体_GB2312" w:cs="楷体_GB2312"/>
          <w:color w:val="auto"/>
          <w:sz w:val="32"/>
          <w:szCs w:val="32"/>
          <w:lang w:val="en-US" w:eastAsia="zh-CN"/>
        </w:rPr>
        <w:t>（二）一般公共预算当年拨款结构情况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公共安全支出794.77万元，占85.95%；社会保障和就业支出55.93万元，占6.05%；卫生健康支出26.46万元，占2.86%；住房保障支出47.57万元，占5.14%。</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1" w:name="_Toc870729523"/>
      <w:r>
        <w:rPr>
          <w:rFonts w:hint="eastAsia" w:ascii="楷体_GB2312" w:hAnsi="楷体_GB2312" w:eastAsia="楷体_GB2312" w:cs="楷体_GB2312"/>
          <w:color w:val="auto"/>
          <w:sz w:val="32"/>
          <w:szCs w:val="32"/>
          <w:lang w:val="en-US" w:eastAsia="zh-CN"/>
        </w:rPr>
        <w:t>（三）一般公共预算当年拨款具体使用情况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val="en-US" w:eastAsia="zh-CN"/>
        </w:rPr>
        <w:t>公共安全（类）检察（款）行政运行（项）2024年预算数为724.14万元，主要用于：机关正常运转的基本支出，包括基本工资、津贴补贴等人员经费以及办公费、办案费、印刷费、水电费等日常公用经费,以及保障办案运转的特定目标类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2.公共安全（类）检察（款）一般行政管理事务（项）2024年预算数为70.63万元，主要用于机关单位用于保障机构正常运行支出，包括两房运行费用，乡村振兴经费，检察监督等项目。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3.社会保障和就业（类）行政事业单位养老支出（款）机关事业单位基本养老保险缴费支出（项）2024年预算数为55.93万元，主要用于：实施养老保险制度由单位缴纳的基本养老保险支出。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4.卫生健康（类）行政事业单位医疗（款）行政单位医疗（项）2024年预算数为26.46万元，主要用于：机关及参公管理事业单位按规定由单位缴纳的基本医疗保险支出。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5.住房保障（类）住房改革支出（款）住房公积金（项）2024年预算数为47.57万元，主要用于：部门按规定为职工缴纳的住房公积金支出。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2" w:name="_Toc1828893826"/>
      <w:r>
        <w:rPr>
          <w:rFonts w:hint="eastAsia" w:ascii="黑体" w:hAnsi="黑体" w:eastAsia="黑体" w:cs="黑体"/>
          <w:color w:val="auto"/>
          <w:sz w:val="32"/>
          <w:szCs w:val="32"/>
          <w:lang w:val="en-US" w:eastAsia="zh-CN"/>
        </w:rPr>
        <w:t>六、一般公共预算基本支出情况说明</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旺苍县人民检察院2024年一般公共预算基本支出771.51万元，其中：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人员经费647.56万元，主要包括：基本工资、津贴补贴、奖金、机关事业单位基本养老保障缴费、职工基本医疗保险缴费、其他社会保障缴费、住房公积金、其他工资福利支出、生活补助等支出。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用经费123.94万元，主要包括：办公费、印刷费、水费、电费、邮电费、物管费、差旅费、维修（护）费、租赁费、公务接待费、工会经费、福利费、公务用车运行维护费、其他交通费用、其他商品和服务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3" w:name="_Toc1884345571"/>
      <w:r>
        <w:rPr>
          <w:rFonts w:hint="eastAsia" w:ascii="黑体" w:hAnsi="黑体" w:eastAsia="黑体" w:cs="黑体"/>
          <w:color w:val="auto"/>
          <w:sz w:val="32"/>
          <w:szCs w:val="32"/>
          <w:lang w:val="en-US" w:eastAsia="zh-CN"/>
        </w:rPr>
        <w:t>七、“三公”经费财政拨款预算安排情况说明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旺苍县人民检察院2024年“三公”经费财政拨款预算数35.74万元，其中：公务接待费9.84万元，公务用车购置及运行维护费25.9万元，因公出国（境）经费0万元。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4" w:name="_Toc1623589574"/>
      <w:r>
        <w:rPr>
          <w:rFonts w:hint="eastAsia" w:ascii="楷体_GB2312" w:hAnsi="楷体_GB2312" w:eastAsia="楷体_GB2312" w:cs="楷体_GB2312"/>
          <w:color w:val="auto"/>
          <w:sz w:val="32"/>
          <w:szCs w:val="32"/>
          <w:lang w:val="en-US" w:eastAsia="zh-CN"/>
        </w:rPr>
        <w:t>（一）公务接待费</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5" w:name="_Toc1716638280"/>
      <w:r>
        <w:rPr>
          <w:rFonts w:hint="eastAsia" w:ascii="楷体_GB2312" w:hAnsi="楷体_GB2312" w:eastAsia="楷体_GB2312" w:cs="楷体_GB2312"/>
          <w:color w:val="auto"/>
          <w:sz w:val="32"/>
          <w:szCs w:val="32"/>
          <w:lang w:val="en-US" w:eastAsia="zh-CN"/>
        </w:rPr>
        <w:t>公务用车购置及运行维护费</w:t>
      </w:r>
      <w:bookmarkEnd w:id="15"/>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rPr>
      </w:pPr>
      <w:r>
        <w:rPr>
          <w:rFonts w:hint="eastAsia" w:ascii="仿宋_GB2312" w:hAnsi="仿宋_GB2312" w:eastAsia="仿宋_GB2312" w:cs="仿宋_GB2312"/>
          <w:color w:val="auto"/>
          <w:sz w:val="32"/>
          <w:szCs w:val="32"/>
          <w:lang w:val="en-US" w:eastAsia="zh-CN"/>
        </w:rPr>
        <w:t>公务用车购置及运行维护费与2023年预算相比持平</w:t>
      </w:r>
      <w:r>
        <w:rPr>
          <w:rFonts w:hint="eastAsia" w:ascii="仿宋_GB2312" w:hAnsi="仿宋_GB2312" w:eastAsia="仿宋_GB2312" w:cs="仿宋_GB2312"/>
          <w:b/>
          <w:bCs/>
          <w:color w:val="auto"/>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单位现有公务用车7辆，其中：轿车4辆，越野车3辆。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2024年安排公务用车运行维护费25.9万元，用于7辆公务用车燃油、过路（桥）、维修、保险等方面支出，主要保障：1、保障案件管理、侦查监督、公诉、监所、民行检察等办案工作， 2、检察改革调研、检察队伍建设等工作。</w:t>
      </w:r>
    </w:p>
    <w:p>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xml:space="preserve">    </w:t>
      </w:r>
      <w:bookmarkStart w:id="16" w:name="_Toc378137765"/>
      <w:r>
        <w:rPr>
          <w:rFonts w:hint="eastAsia" w:ascii="仿宋_GB2312" w:hAnsi="仿宋_GB2312" w:eastAsia="仿宋_GB2312" w:cs="仿宋_GB2312"/>
          <w:color w:val="auto"/>
          <w:sz w:val="32"/>
          <w:szCs w:val="32"/>
          <w:lang w:val="en-US" w:eastAsia="zh-CN"/>
        </w:rPr>
        <w:t>（</w:t>
      </w:r>
      <w:r>
        <w:rPr>
          <w:rFonts w:hint="eastAsia" w:ascii="楷体_GB2312" w:hAnsi="楷体_GB2312" w:eastAsia="楷体_GB2312" w:cs="楷体_GB2312"/>
          <w:color w:val="auto"/>
          <w:sz w:val="32"/>
          <w:szCs w:val="32"/>
          <w:lang w:val="en-US" w:eastAsia="zh-CN"/>
        </w:rPr>
        <w:t>三）因公出国（境）经费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val="en-US" w:eastAsia="zh-CN"/>
        </w:rPr>
        <w:t>因公出国（境）经费与2023年预算相比持平，2024年未安排因公出国（境）经费。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7" w:name="_Toc169915654"/>
      <w:r>
        <w:rPr>
          <w:rFonts w:hint="eastAsia" w:ascii="黑体" w:hAnsi="黑体" w:eastAsia="黑体" w:cs="黑体"/>
          <w:color w:val="auto"/>
          <w:sz w:val="32"/>
          <w:szCs w:val="32"/>
          <w:lang w:val="en-US" w:eastAsia="zh-CN"/>
        </w:rPr>
        <w:t>八、政府性基金预算支出情况说明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旺苍县人民检察院2024年无政府性基金预算拨款安排的支出。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lang w:val="en-US" w:eastAsia="zh-CN"/>
        </w:rPr>
      </w:pPr>
      <w:bookmarkStart w:id="18" w:name="_Toc1845970983"/>
      <w:r>
        <w:rPr>
          <w:rFonts w:hint="eastAsia" w:ascii="黑体" w:hAnsi="黑体" w:eastAsia="黑体" w:cs="黑体"/>
          <w:color w:val="auto"/>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旺苍县人民检察院2024年无国有资本经营预算拨款安排的支出。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19" w:name="_Toc872356556"/>
      <w:r>
        <w:rPr>
          <w:rFonts w:hint="eastAsia" w:ascii="黑体" w:hAnsi="黑体" w:eastAsia="黑体" w:cs="黑体"/>
          <w:color w:val="auto"/>
          <w:sz w:val="32"/>
          <w:szCs w:val="32"/>
          <w:lang w:val="en-US" w:eastAsia="zh-CN"/>
        </w:rPr>
        <w:t>十、其他重要事项的情况说明</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0" w:name="_Toc1262912178"/>
      <w:r>
        <w:rPr>
          <w:rFonts w:hint="eastAsia" w:ascii="楷体_GB2312" w:hAnsi="楷体_GB2312" w:eastAsia="楷体_GB2312" w:cs="楷体_GB2312"/>
          <w:color w:val="auto"/>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2024年，旺苍县人民检察院机关运行经费财政拨款预算为123.94万元，比2023年预算增加16.45万元，增长15.30%。主要原因新招录5名公务员，机关运行经费相应增加。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1" w:name="_Toc1738227957"/>
      <w:r>
        <w:rPr>
          <w:rFonts w:hint="eastAsia" w:ascii="楷体_GB2312" w:hAnsi="楷体_GB2312" w:eastAsia="楷体_GB2312" w:cs="楷体_GB2312"/>
          <w:color w:val="auto"/>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2024年，旺苍县人民检察院安排政府采购预算0万元。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22" w:name="_Toc921396303"/>
      <w:r>
        <w:rPr>
          <w:rFonts w:hint="eastAsia" w:ascii="楷体_GB2312" w:hAnsi="楷体_GB2312" w:eastAsia="楷体_GB2312" w:cs="楷体_GB2312"/>
          <w:color w:val="auto"/>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截至2023年底，旺苍县人民检察院共有车辆7辆，其中，执法执勤用车7辆。200万元以上大型设备0台（套）。</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2024年部门预算未安排购置车辆及单位价值200万元以上大型设备。</w:t>
      </w:r>
      <w:bookmarkStart w:id="25" w:name="_GoBack"/>
      <w:bookmarkEnd w:id="2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rPr>
      </w:pPr>
      <w:bookmarkStart w:id="23" w:name="_Toc1282422768"/>
      <w:r>
        <w:rPr>
          <w:rFonts w:hint="eastAsia" w:ascii="楷体_GB2312" w:hAnsi="楷体_GB2312" w:eastAsia="楷体_GB2312" w:cs="楷体_GB2312"/>
          <w:color w:val="auto"/>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2024年旺苍县人民检察院开展绩效目标管理的项目12个，涉及预算924.74万元。其中：人员类项目4个，涉及预算 647.56万元；运转类项目3个，涉及预算123.95万元；特定目标类项目5个，涉及预算153.23万元。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color w:val="auto"/>
          <w:sz w:val="32"/>
          <w:szCs w:val="32"/>
        </w:rPr>
      </w:pPr>
      <w:bookmarkStart w:id="24" w:name="_Toc600060974"/>
      <w:r>
        <w:rPr>
          <w:rFonts w:hint="eastAsia" w:ascii="黑体" w:hAnsi="黑体" w:eastAsia="黑体" w:cs="黑体"/>
          <w:color w:val="auto"/>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（一）财政拨款收入：指市财政当年安排的财政预算收入。按现行管理制度,部门预算中反映的财政拨款包括一般公共预算拨款和政府性基金预算拨款。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（二）公共安全（类）检察（款）行政运行（项）：指机关单位用于保障机构正常运行、开展日常工作的基本支出。</w:t>
      </w:r>
    </w:p>
    <w:p>
      <w:pPr>
        <w:pStyle w:val="2"/>
        <w:rPr>
          <w:rFonts w:hint="default"/>
          <w:color w:val="auto"/>
          <w:lang w:val="en-US" w:eastAsia="zh-CN"/>
        </w:rPr>
      </w:pPr>
      <w:r>
        <w:rPr>
          <w:rFonts w:hint="eastAsia"/>
          <w:color w:val="auto"/>
          <w:lang w:val="en-US" w:eastAsia="zh-CN"/>
        </w:rPr>
        <w:t xml:space="preserve">      </w:t>
      </w:r>
      <w:r>
        <w:rPr>
          <w:rFonts w:hint="eastAsia" w:ascii="仿宋_GB2312" w:hAnsi="仿宋_GB2312" w:eastAsia="仿宋_GB2312" w:cs="仿宋_GB2312"/>
          <w:color w:val="auto"/>
          <w:sz w:val="32"/>
          <w:szCs w:val="32"/>
          <w:lang w:val="en-US" w:eastAsia="zh-CN"/>
        </w:rPr>
        <w:t>（三）公共安全（类）检察（款）一般行政管理事务（项）：反映行政单位未单独设置项级科目的其他项目支出。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（四）社会保障和就业（类）行政事业单位养老支出（款）机关事业单位基本养老保险缴费支出（项）：指部门实施养老保险制度由单位缴纳的养老保险的支出。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（五）卫生健康（类）行政事业单位医疗（款）行政单位医疗（项）：指机关及参公管理事业单位用于单位应缴纳基本医疗保险支出。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320" w:firstLineChars="1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（六）住房保障（类）住房改革支出（款）住房公积金（项）：指按照《住房公积金管理条例》的规定，由单位及其在职职工缴存的长期住房储金。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（七）基本支出：指为保证机构正常运转，完成日常工作任务而发生的人员支出和公用支出。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　 （八）项目支出：指在基本支出之外为完成特定行政任务和事业发展目标所发生的支出。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九）“三公”经费：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十）机关运行经费：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pStyle w:val="2"/>
        <w:rPr>
          <w:rFonts w:hint="eastAsia"/>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2MjY4ODU1ODY0YWNlNzRlNTA4ZTBlMjg5OWQ4MjcifQ=="/>
  </w:docVars>
  <w:rsids>
    <w:rsidRoot w:val="00000000"/>
    <w:rsid w:val="012352D1"/>
    <w:rsid w:val="044A7A34"/>
    <w:rsid w:val="0484137B"/>
    <w:rsid w:val="05F07D3A"/>
    <w:rsid w:val="0BA45789"/>
    <w:rsid w:val="12295681"/>
    <w:rsid w:val="157419A6"/>
    <w:rsid w:val="1B75304D"/>
    <w:rsid w:val="1EAF23B1"/>
    <w:rsid w:val="1F7BF06F"/>
    <w:rsid w:val="1FEE4B73"/>
    <w:rsid w:val="23CE9849"/>
    <w:rsid w:val="2F1D0B73"/>
    <w:rsid w:val="39F304DD"/>
    <w:rsid w:val="3AE327E8"/>
    <w:rsid w:val="3F405010"/>
    <w:rsid w:val="3FDFE6E3"/>
    <w:rsid w:val="4089126F"/>
    <w:rsid w:val="42482511"/>
    <w:rsid w:val="427332E7"/>
    <w:rsid w:val="431D096E"/>
    <w:rsid w:val="54114EB4"/>
    <w:rsid w:val="54244390"/>
    <w:rsid w:val="54662A63"/>
    <w:rsid w:val="54C30901"/>
    <w:rsid w:val="58064E12"/>
    <w:rsid w:val="58BE6992"/>
    <w:rsid w:val="5BFEE015"/>
    <w:rsid w:val="621C35E7"/>
    <w:rsid w:val="63EDCF55"/>
    <w:rsid w:val="63FBFBCF"/>
    <w:rsid w:val="669360FD"/>
    <w:rsid w:val="68FF6A83"/>
    <w:rsid w:val="6EFF6BAD"/>
    <w:rsid w:val="6F1B1BAC"/>
    <w:rsid w:val="6FBBC9CF"/>
    <w:rsid w:val="72BDE561"/>
    <w:rsid w:val="7353A0A6"/>
    <w:rsid w:val="74DA7A2D"/>
    <w:rsid w:val="76ED5B94"/>
    <w:rsid w:val="77EA1BF1"/>
    <w:rsid w:val="78462278"/>
    <w:rsid w:val="7997EA6C"/>
    <w:rsid w:val="7AEAE675"/>
    <w:rsid w:val="7AFB3311"/>
    <w:rsid w:val="7BAFCE5D"/>
    <w:rsid w:val="7D46598C"/>
    <w:rsid w:val="7DFB240B"/>
    <w:rsid w:val="7E0935ED"/>
    <w:rsid w:val="7FCF2AF7"/>
    <w:rsid w:val="982D58F0"/>
    <w:rsid w:val="9FEF033D"/>
    <w:rsid w:val="A27FF1E5"/>
    <w:rsid w:val="AFDEB5A7"/>
    <w:rsid w:val="AFEA7FBF"/>
    <w:rsid w:val="B83F4767"/>
    <w:rsid w:val="BF930F07"/>
    <w:rsid w:val="BFCE8436"/>
    <w:rsid w:val="C3F7EB7A"/>
    <w:rsid w:val="C63EFEAA"/>
    <w:rsid w:val="CFF5FEEC"/>
    <w:rsid w:val="D3DD9064"/>
    <w:rsid w:val="D6F76A0C"/>
    <w:rsid w:val="D7ECE8D2"/>
    <w:rsid w:val="DFD61600"/>
    <w:rsid w:val="DFDD4FB5"/>
    <w:rsid w:val="E7F748B5"/>
    <w:rsid w:val="EE5F3713"/>
    <w:rsid w:val="EFC9D62C"/>
    <w:rsid w:val="F6BE9755"/>
    <w:rsid w:val="F6FFA89B"/>
    <w:rsid w:val="F7A3A8FD"/>
    <w:rsid w:val="F97D066F"/>
    <w:rsid w:val="FAE4EFE1"/>
    <w:rsid w:val="FB9B6F12"/>
    <w:rsid w:val="FBB66A4A"/>
    <w:rsid w:val="FDEE6989"/>
    <w:rsid w:val="FF5E7DB8"/>
    <w:rsid w:val="FF77E367"/>
    <w:rsid w:val="FFD576EB"/>
    <w:rsid w:val="FFF6CF16"/>
    <w:rsid w:val="FFFA9C0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before="0" w:after="140" w:line="276" w:lineRule="auto"/>
    </w:p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Salutation"/>
    <w:basedOn w:val="1"/>
    <w:next w:val="1"/>
    <w:unhideWhenUsed/>
    <w:qFormat/>
    <w:uiPriority w:val="99"/>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2"/>
    <w:qFormat/>
    <w:uiPriority w:val="0"/>
  </w:style>
  <w:style w:type="paragraph" w:styleId="8">
    <w:name w:val="Normal (Web)"/>
    <w:basedOn w:val="1"/>
    <w:qFormat/>
    <w:uiPriority w:val="0"/>
    <w:rPr>
      <w:sz w:val="24"/>
    </w:rPr>
  </w:style>
  <w:style w:type="character" w:styleId="11">
    <w:name w:val="page number"/>
    <w:basedOn w:val="10"/>
    <w:qFormat/>
    <w:uiPriority w:val="0"/>
  </w:style>
  <w:style w:type="character" w:customStyle="1" w:styleId="12">
    <w:name w:val="默认段落字体1"/>
    <w:qFormat/>
    <w:uiPriority w:val="0"/>
  </w:style>
  <w:style w:type="paragraph" w:customStyle="1" w:styleId="13">
    <w:name w:val="Heading"/>
    <w:basedOn w:val="1"/>
    <w:next w:val="2"/>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Default"/>
    <w:qFormat/>
    <w:uiPriority w:val="99"/>
    <w:pPr>
      <w:widowControl w:val="0"/>
      <w:autoSpaceDE w:val="0"/>
      <w:autoSpaceDN w:val="0"/>
      <w:adjustRightInd w:val="0"/>
    </w:pPr>
    <w:rPr>
      <w:rFonts w:ascii="宋体" w:hAnsi="Calibri" w:eastAsia="仿宋_GB2312"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2018-11-30T17:47:00Z</dcterms:created>
  <dc:creator>admin</dc:creator>
  <cp:lastModifiedBy> </cp:lastModifiedBy>
  <dcterms:modified xsi:type="dcterms:W3CDTF">2024-02-06T17:55:45Z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