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hint="eastAsia" w:ascii="方正小标宋简体" w:hAnsi="方正小标宋简体" w:eastAsia="方正小标宋简体" w:cs="方正小标宋简体"/>
          <w:b/>
          <w:bCs/>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b/>
          <w:bCs/>
          <w:color w:val="000000" w:themeColor="text1"/>
          <w:kern w:val="0"/>
          <w:sz w:val="44"/>
          <w:szCs w:val="44"/>
          <w:shd w:val="clear" w:color="auto" w:fill="FFFFFF"/>
          <w14:textFill>
            <w14:solidFill>
              <w14:schemeClr w14:val="tx1"/>
            </w14:solidFill>
          </w14:textFill>
        </w:rPr>
        <w:t>苍溪县人民法院</w:t>
      </w:r>
    </w:p>
    <w:p>
      <w:pPr>
        <w:widowControl/>
        <w:shd w:val="clear" w:color="auto" w:fill="FFFFFF"/>
        <w:spacing w:line="580" w:lineRule="atLeast"/>
        <w:jc w:val="center"/>
        <w:rPr>
          <w:rFonts w:hint="eastAsia" w:ascii="方正小标宋简体" w:hAnsi="方正小标宋简体" w:eastAsia="方正小标宋简体" w:cs="方正小标宋简体"/>
          <w:b/>
          <w:bCs/>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b/>
          <w:bCs/>
          <w:color w:val="000000" w:themeColor="text1"/>
          <w:kern w:val="0"/>
          <w:sz w:val="44"/>
          <w:szCs w:val="44"/>
          <w:shd w:val="clear" w:color="auto" w:fill="FFFFFF"/>
          <w14:textFill>
            <w14:solidFill>
              <w14:schemeClr w14:val="tx1"/>
            </w14:solidFill>
          </w14:textFill>
        </w:rPr>
        <w:t>2024年部门预算编制说明</w:t>
      </w:r>
    </w:p>
    <w:sdt>
      <w:sdtPr>
        <w:rPr>
          <w:rFonts w:ascii="宋体" w:hAnsi="宋体" w:eastAsia="宋体" w:cs="Times New Roman"/>
          <w:kern w:val="2"/>
          <w:sz w:val="21"/>
          <w:szCs w:val="24"/>
          <w:lang w:val="en-US" w:eastAsia="zh-CN" w:bidi="ar-SA"/>
        </w:rPr>
        <w:id w:val="961240432"/>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sdtContent>
    </w:sdt>
    <w:p/>
    <w:p/>
    <w:p/>
    <w:p/>
    <w:p/>
    <w:p/>
    <w:p/>
    <w:p/>
    <w:p/>
    <w:p/>
    <w:p/>
    <w:p/>
    <w:p/>
    <w:p/>
    <w:p/>
    <w:p/>
    <w:p/>
    <w:p/>
    <w:p/>
    <w:p/>
    <w:p/>
    <w:p/>
    <w:p/>
    <w:p/>
    <w:p/>
    <w:p/>
    <w:p/>
    <w:p/>
    <w:p/>
    <w:p/>
    <w:p/>
    <w:p/>
    <w:p/>
    <w:p/>
    <w:sdt>
      <w:sdtPr>
        <w:rPr>
          <w:rFonts w:ascii="宋体" w:hAnsi="宋体" w:eastAsia="宋体" w:cs="Times New Roman"/>
          <w:kern w:val="2"/>
          <w:sz w:val="21"/>
          <w:szCs w:val="24"/>
          <w:lang w:val="en-US" w:eastAsia="zh-CN" w:bidi="ar-SA"/>
        </w:rPr>
        <w:id w:val="58363351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fldChar w:fldCharType="begin"/>
          </w:r>
          <w:r>
            <w:instrText xml:space="preserve">TOC \o "1-3" \h \u </w:instrText>
          </w:r>
          <w:r>
            <w:fldChar w:fldCharType="separate"/>
          </w:r>
        </w:p>
        <w:p>
          <w:pPr>
            <w:pStyle w:val="15"/>
            <w:tabs>
              <w:tab w:val="right" w:leader="dot" w:pos="8845"/>
            </w:tabs>
            <w:spacing w:line="360" w:lineRule="auto"/>
          </w:pPr>
          <w:r>
            <w:fldChar w:fldCharType="begin"/>
          </w:r>
          <w:r>
            <w:instrText xml:space="preserve"> HYPERLINK \l _Toc1218574639 </w:instrText>
          </w:r>
          <w:r>
            <w:fldChar w:fldCharType="separate"/>
          </w:r>
          <w:r>
            <w:rPr>
              <w:rFonts w:hint="eastAsia" w:ascii="黑体" w:hAnsi="黑体" w:eastAsia="黑体" w:cs="黑体"/>
              <w:szCs w:val="32"/>
            </w:rPr>
            <w:t>一、基本职能及主要工作</w:t>
          </w:r>
          <w:r>
            <w:tab/>
          </w:r>
          <w:r>
            <w:fldChar w:fldCharType="begin"/>
          </w:r>
          <w:r>
            <w:instrText xml:space="preserve"> PAGEREF _Toc1218574639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_Toc379663903 </w:instrText>
          </w:r>
          <w:r>
            <w:fldChar w:fldCharType="separate"/>
          </w:r>
          <w:r>
            <w:rPr>
              <w:rFonts w:hint="eastAsia" w:ascii="楷体_GB2312" w:hAnsi="楷体_GB2312" w:eastAsia="楷体_GB2312" w:cs="楷体_GB2312"/>
              <w:bCs/>
              <w:szCs w:val="32"/>
            </w:rPr>
            <w:t>(一)苍溪县人民法院职能简介</w:t>
          </w:r>
          <w:r>
            <w:tab/>
          </w:r>
          <w:r>
            <w:fldChar w:fldCharType="begin"/>
          </w:r>
          <w:r>
            <w:instrText xml:space="preserve"> PAGEREF _Toc379663903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_Toc405130390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bCs/>
              <w:szCs w:val="32"/>
            </w:rPr>
            <w:t>苍溪县人民法院2024年重点工作</w:t>
          </w:r>
          <w:r>
            <w:tab/>
          </w:r>
          <w:r>
            <w:fldChar w:fldCharType="begin"/>
          </w:r>
          <w:r>
            <w:instrText xml:space="preserve"> PAGEREF _Toc405130390 \h </w:instrText>
          </w:r>
          <w:r>
            <w:fldChar w:fldCharType="separate"/>
          </w:r>
          <w:r>
            <w:t>3</w:t>
          </w:r>
          <w:r>
            <w:fldChar w:fldCharType="end"/>
          </w:r>
          <w:r>
            <w:fldChar w:fldCharType="end"/>
          </w:r>
        </w:p>
        <w:p>
          <w:pPr>
            <w:pStyle w:val="15"/>
            <w:tabs>
              <w:tab w:val="right" w:leader="dot" w:pos="8845"/>
            </w:tabs>
            <w:spacing w:line="360" w:lineRule="auto"/>
          </w:pPr>
          <w:r>
            <w:fldChar w:fldCharType="begin"/>
          </w:r>
          <w:r>
            <w:instrText xml:space="preserve"> HYPERLINK \l _Toc1347504596 </w:instrText>
          </w:r>
          <w:r>
            <w:fldChar w:fldCharType="separate"/>
          </w:r>
          <w:r>
            <w:rPr>
              <w:rFonts w:hint="eastAsia" w:ascii="黑体" w:hAnsi="黑体" w:eastAsia="黑体" w:cs="黑体"/>
              <w:szCs w:val="32"/>
            </w:rPr>
            <w:t>二、部门预算单位构成</w:t>
          </w:r>
          <w:r>
            <w:tab/>
          </w:r>
          <w:r>
            <w:fldChar w:fldCharType="begin"/>
          </w:r>
          <w:r>
            <w:instrText xml:space="preserve"> PAGEREF _Toc1347504596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_Toc1250491245 </w:instrText>
          </w:r>
          <w:r>
            <w:fldChar w:fldCharType="separate"/>
          </w:r>
          <w:r>
            <w:rPr>
              <w:rFonts w:hint="eastAsia" w:ascii="黑体" w:hAnsi="黑体" w:eastAsia="黑体" w:cs="黑体"/>
              <w:szCs w:val="32"/>
            </w:rPr>
            <w:t>三、收支预算情况说明</w:t>
          </w:r>
          <w:r>
            <w:tab/>
          </w:r>
          <w:r>
            <w:fldChar w:fldCharType="begin"/>
          </w:r>
          <w:r>
            <w:instrText xml:space="preserve"> PAGEREF _Toc1250491245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_Toc2133580453 </w:instrText>
          </w:r>
          <w:r>
            <w:fldChar w:fldCharType="separate"/>
          </w:r>
          <w:r>
            <w:rPr>
              <w:rFonts w:hint="eastAsia" w:ascii="仿宋_GB2312" w:hAnsi="仿宋_GB2312" w:eastAsia="仿宋_GB2312" w:cs="仿宋_GB2312"/>
              <w:szCs w:val="32"/>
            </w:rPr>
            <w:t>（一）收入预算情况</w:t>
          </w:r>
          <w:r>
            <w:tab/>
          </w:r>
          <w:r>
            <w:fldChar w:fldCharType="begin"/>
          </w:r>
          <w:r>
            <w:instrText xml:space="preserve"> PAGEREF _Toc2133580453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_Toc82398703 </w:instrText>
          </w:r>
          <w:r>
            <w:fldChar w:fldCharType="separate"/>
          </w:r>
          <w:r>
            <w:rPr>
              <w:rFonts w:hint="eastAsia" w:ascii="仿宋_GB2312" w:hAnsi="仿宋_GB2312" w:eastAsia="仿宋_GB2312" w:cs="仿宋_GB2312"/>
              <w:szCs w:val="32"/>
            </w:rPr>
            <w:t>（二）支出预算情况</w:t>
          </w:r>
          <w:r>
            <w:tab/>
          </w:r>
          <w:r>
            <w:fldChar w:fldCharType="begin"/>
          </w:r>
          <w:r>
            <w:instrText xml:space="preserve"> PAGEREF _Toc82398703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_Toc1222550421 </w:instrText>
          </w:r>
          <w:r>
            <w:fldChar w:fldCharType="separate"/>
          </w:r>
          <w:r>
            <w:rPr>
              <w:rFonts w:hint="eastAsia" w:ascii="仿宋_GB2312" w:hAnsi="仿宋_GB2312" w:eastAsia="仿宋_GB2312" w:cs="仿宋_GB2312"/>
              <w:szCs w:val="32"/>
            </w:rPr>
            <w:t>四、财政拨款收支预算情况说明</w:t>
          </w:r>
          <w:r>
            <w:tab/>
          </w:r>
          <w:r>
            <w:fldChar w:fldCharType="begin"/>
          </w:r>
          <w:r>
            <w:instrText xml:space="preserve"> PAGEREF _Toc1222550421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_Toc690118591 </w:instrText>
          </w:r>
          <w:r>
            <w:fldChar w:fldCharType="separate"/>
          </w:r>
          <w:r>
            <w:rPr>
              <w:rFonts w:hint="eastAsia" w:ascii="黑体" w:hAnsi="黑体" w:eastAsia="黑体" w:cs="黑体"/>
              <w:szCs w:val="32"/>
            </w:rPr>
            <w:t>五、一般公共预算当年拨款情况说明</w:t>
          </w:r>
          <w:r>
            <w:tab/>
          </w:r>
          <w:r>
            <w:fldChar w:fldCharType="begin"/>
          </w:r>
          <w:r>
            <w:instrText xml:space="preserve"> PAGEREF _Toc690118591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_Toc1377202779 </w:instrText>
          </w:r>
          <w: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_Toc1377202779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_Toc2090581487 </w:instrText>
          </w:r>
          <w:r>
            <w:fldChar w:fldCharType="separate"/>
          </w:r>
          <w:r>
            <w:rPr>
              <w:rFonts w:hint="eastAsia" w:ascii="楷体_GB2312" w:hAnsi="楷体_GB2312" w:eastAsia="楷体_GB2312" w:cs="楷体_GB2312"/>
              <w:szCs w:val="32"/>
            </w:rPr>
            <w:t>（二） 一般公共预算当年拨款结构情况</w:t>
          </w:r>
          <w:r>
            <w:tab/>
          </w:r>
          <w:r>
            <w:fldChar w:fldCharType="begin"/>
          </w:r>
          <w:r>
            <w:instrText xml:space="preserve"> PAGEREF _Toc2090581487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_Toc1639314975 </w:instrText>
          </w:r>
          <w:r>
            <w:fldChar w:fldCharType="separate"/>
          </w:r>
          <w:r>
            <w:rPr>
              <w:rFonts w:hint="eastAsia" w:ascii="楷体_GB2312" w:hAnsi="楷体_GB2312" w:eastAsia="楷体_GB2312" w:cs="楷体_GB2312"/>
              <w:szCs w:val="32"/>
            </w:rPr>
            <w:t>（三） 一般公共预算当年拨款具体使用情况</w:t>
          </w:r>
          <w:r>
            <w:tab/>
          </w:r>
          <w:r>
            <w:fldChar w:fldCharType="begin"/>
          </w:r>
          <w:r>
            <w:instrText xml:space="preserve"> PAGEREF _Toc1639314975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_Toc585147800 </w:instrText>
          </w:r>
          <w:r>
            <w:fldChar w:fldCharType="separate"/>
          </w:r>
          <w:r>
            <w:rPr>
              <w:rFonts w:hint="eastAsia" w:ascii="黑体" w:hAnsi="黑体" w:eastAsia="黑体" w:cs="黑体"/>
              <w:szCs w:val="32"/>
            </w:rPr>
            <w:t>六、一般公共预算基本支出情况说明</w:t>
          </w:r>
          <w:r>
            <w:tab/>
          </w:r>
          <w:r>
            <w:fldChar w:fldCharType="begin"/>
          </w:r>
          <w:r>
            <w:instrText xml:space="preserve"> PAGEREF _Toc585147800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_Toc2079110970 </w:instrText>
          </w:r>
          <w: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_Toc2079110970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_Toc1680847170 </w:instrText>
          </w:r>
          <w:r>
            <w:fldChar w:fldCharType="separate"/>
          </w:r>
          <w:r>
            <w:rPr>
              <w:rFonts w:hint="eastAsia" w:ascii="楷体_GB2312" w:hAnsi="楷体_GB2312" w:eastAsia="楷体_GB2312" w:cs="楷体_GB2312"/>
              <w:szCs w:val="32"/>
            </w:rPr>
            <w:t>（一）公务接待费</w:t>
          </w:r>
          <w:r>
            <w:tab/>
          </w:r>
          <w:r>
            <w:fldChar w:fldCharType="begin"/>
          </w:r>
          <w:r>
            <w:instrText xml:space="preserve"> PAGEREF _Toc1680847170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_Toc1916660489 </w:instrText>
          </w:r>
          <w:r>
            <w:fldChar w:fldCharType="separate"/>
          </w:r>
          <w:r>
            <w:rPr>
              <w:rFonts w:hint="eastAsia" w:ascii="楷体_GB2312" w:hAnsi="楷体_GB2312" w:eastAsia="楷体_GB2312" w:cs="楷体_GB2312"/>
              <w:szCs w:val="32"/>
              <w:lang w:eastAsia="zh-CN"/>
            </w:rPr>
            <w:t>（二）</w:t>
          </w:r>
          <w:r>
            <w:rPr>
              <w:rFonts w:hint="eastAsia" w:ascii="楷体_GB2312" w:hAnsi="楷体_GB2312" w:eastAsia="楷体_GB2312" w:cs="楷体_GB2312"/>
              <w:szCs w:val="32"/>
            </w:rPr>
            <w:t>公务用车购置及运行维护费</w:t>
          </w:r>
          <w:r>
            <w:tab/>
          </w:r>
          <w:r>
            <w:fldChar w:fldCharType="begin"/>
          </w:r>
          <w:r>
            <w:instrText xml:space="preserve"> PAGEREF _Toc1916660489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_Toc1315823170 </w:instrText>
          </w:r>
          <w: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_Toc1315823170 \h </w:instrText>
          </w:r>
          <w:r>
            <w:fldChar w:fldCharType="separate"/>
          </w:r>
          <w:r>
            <w:t>10</w:t>
          </w:r>
          <w:r>
            <w:fldChar w:fldCharType="end"/>
          </w:r>
          <w:r>
            <w:fldChar w:fldCharType="end"/>
          </w:r>
        </w:p>
        <w:p>
          <w:pPr>
            <w:pStyle w:val="15"/>
            <w:tabs>
              <w:tab w:val="right" w:leader="dot" w:pos="8845"/>
            </w:tabs>
            <w:spacing w:line="360" w:lineRule="auto"/>
          </w:pPr>
          <w:r>
            <w:fldChar w:fldCharType="begin"/>
          </w:r>
          <w:r>
            <w:instrText xml:space="preserve"> HYPERLINK \l _Toc891657590 </w:instrText>
          </w:r>
          <w:r>
            <w:fldChar w:fldCharType="separate"/>
          </w:r>
          <w:r>
            <w:rPr>
              <w:rFonts w:hint="eastAsia" w:ascii="黑体" w:hAnsi="黑体" w:eastAsia="黑体" w:cs="黑体"/>
              <w:szCs w:val="32"/>
            </w:rPr>
            <w:t>八、政府性基金预算支出情况说明</w:t>
          </w:r>
          <w:r>
            <w:tab/>
          </w:r>
          <w:r>
            <w:fldChar w:fldCharType="begin"/>
          </w:r>
          <w:r>
            <w:instrText xml:space="preserve"> PAGEREF _Toc891657590 \h </w:instrText>
          </w:r>
          <w:r>
            <w:fldChar w:fldCharType="separate"/>
          </w:r>
          <w:r>
            <w:t>10</w:t>
          </w:r>
          <w:r>
            <w:fldChar w:fldCharType="end"/>
          </w:r>
          <w:r>
            <w:fldChar w:fldCharType="end"/>
          </w:r>
        </w:p>
        <w:p>
          <w:pPr>
            <w:pStyle w:val="15"/>
            <w:tabs>
              <w:tab w:val="right" w:leader="dot" w:pos="8845"/>
            </w:tabs>
            <w:spacing w:line="360" w:lineRule="auto"/>
          </w:pPr>
          <w:r>
            <w:fldChar w:fldCharType="begin"/>
          </w:r>
          <w:r>
            <w:instrText xml:space="preserve"> HYPERLINK \l _Toc644951381 </w:instrText>
          </w:r>
          <w:r>
            <w:fldChar w:fldCharType="separate"/>
          </w:r>
          <w:r>
            <w:rPr>
              <w:rFonts w:hint="eastAsia" w:ascii="黑体" w:hAnsi="黑体" w:eastAsia="黑体" w:cs="黑体"/>
              <w:szCs w:val="32"/>
            </w:rPr>
            <w:t>九、国有资本经营预算支出情况说明</w:t>
          </w:r>
          <w:r>
            <w:tab/>
          </w:r>
          <w:r>
            <w:fldChar w:fldCharType="begin"/>
          </w:r>
          <w:r>
            <w:instrText xml:space="preserve"> PAGEREF _Toc644951381 \h </w:instrText>
          </w:r>
          <w:r>
            <w:fldChar w:fldCharType="separate"/>
          </w:r>
          <w:r>
            <w:t>10</w:t>
          </w:r>
          <w:r>
            <w:fldChar w:fldCharType="end"/>
          </w:r>
          <w:r>
            <w:fldChar w:fldCharType="end"/>
          </w:r>
        </w:p>
        <w:p>
          <w:pPr>
            <w:pStyle w:val="15"/>
            <w:tabs>
              <w:tab w:val="right" w:leader="dot" w:pos="8845"/>
            </w:tabs>
            <w:spacing w:line="360" w:lineRule="auto"/>
          </w:pPr>
          <w:r>
            <w:fldChar w:fldCharType="begin"/>
          </w:r>
          <w:r>
            <w:instrText xml:space="preserve"> HYPERLINK \l _Toc1616063597 </w:instrText>
          </w:r>
          <w:r>
            <w:fldChar w:fldCharType="separate"/>
          </w:r>
          <w:r>
            <w:rPr>
              <w:rFonts w:hint="eastAsia" w:ascii="黑体" w:hAnsi="黑体" w:eastAsia="黑体" w:cs="黑体"/>
              <w:szCs w:val="32"/>
            </w:rPr>
            <w:t>十、其他重要事项的情况说明</w:t>
          </w:r>
          <w:r>
            <w:tab/>
          </w:r>
          <w:r>
            <w:fldChar w:fldCharType="begin"/>
          </w:r>
          <w:r>
            <w:instrText xml:space="preserve"> PAGEREF _Toc1616063597 \h </w:instrText>
          </w:r>
          <w:r>
            <w:fldChar w:fldCharType="separate"/>
          </w:r>
          <w:r>
            <w:t>10</w:t>
          </w:r>
          <w:r>
            <w:fldChar w:fldCharType="end"/>
          </w:r>
          <w:r>
            <w:fldChar w:fldCharType="end"/>
          </w:r>
        </w:p>
        <w:p>
          <w:pPr>
            <w:pStyle w:val="16"/>
            <w:tabs>
              <w:tab w:val="right" w:leader="dot" w:pos="8845"/>
            </w:tabs>
            <w:spacing w:line="360" w:lineRule="auto"/>
          </w:pPr>
          <w:r>
            <w:fldChar w:fldCharType="begin"/>
          </w:r>
          <w:r>
            <w:instrText xml:space="preserve"> HYPERLINK \l _Toc1008934072 </w:instrText>
          </w:r>
          <w:r>
            <w:fldChar w:fldCharType="separate"/>
          </w:r>
          <w:r>
            <w:rPr>
              <w:rFonts w:hint="eastAsia" w:ascii="楷体_GB2312" w:hAnsi="楷体_GB2312" w:eastAsia="楷体_GB2312" w:cs="楷体_GB2312"/>
              <w:szCs w:val="32"/>
            </w:rPr>
            <w:t>（一）机关运行经费</w:t>
          </w:r>
          <w:r>
            <w:tab/>
          </w:r>
          <w:r>
            <w:fldChar w:fldCharType="begin"/>
          </w:r>
          <w:r>
            <w:instrText xml:space="preserve"> PAGEREF _Toc1008934072 \h </w:instrText>
          </w:r>
          <w:r>
            <w:fldChar w:fldCharType="separate"/>
          </w:r>
          <w:r>
            <w:t>10</w:t>
          </w:r>
          <w:r>
            <w:fldChar w:fldCharType="end"/>
          </w:r>
          <w:r>
            <w:fldChar w:fldCharType="end"/>
          </w:r>
        </w:p>
        <w:p>
          <w:pPr>
            <w:pStyle w:val="16"/>
            <w:tabs>
              <w:tab w:val="right" w:leader="dot" w:pos="8845"/>
            </w:tabs>
            <w:spacing w:line="360" w:lineRule="auto"/>
          </w:pPr>
          <w:r>
            <w:fldChar w:fldCharType="begin"/>
          </w:r>
          <w:r>
            <w:instrText xml:space="preserve"> HYPERLINK \l _Toc1549224606 </w:instrText>
          </w:r>
          <w:r>
            <w:fldChar w:fldCharType="separate"/>
          </w:r>
          <w:r>
            <w:rPr>
              <w:rFonts w:hint="eastAsia" w:ascii="楷体_GB2312" w:hAnsi="楷体_GB2312" w:eastAsia="楷体_GB2312" w:cs="楷体_GB2312"/>
              <w:szCs w:val="32"/>
            </w:rPr>
            <w:t>（二）政府采购情况</w:t>
          </w:r>
          <w:r>
            <w:tab/>
          </w:r>
          <w:r>
            <w:fldChar w:fldCharType="begin"/>
          </w:r>
          <w:r>
            <w:instrText xml:space="preserve"> PAGEREF _Toc1549224606 \h </w:instrText>
          </w:r>
          <w:r>
            <w:fldChar w:fldCharType="separate"/>
          </w:r>
          <w:r>
            <w:t>10</w:t>
          </w:r>
          <w:r>
            <w:fldChar w:fldCharType="end"/>
          </w:r>
          <w:r>
            <w:fldChar w:fldCharType="end"/>
          </w:r>
        </w:p>
        <w:p>
          <w:pPr>
            <w:pStyle w:val="16"/>
            <w:tabs>
              <w:tab w:val="right" w:leader="dot" w:pos="8845"/>
            </w:tabs>
            <w:spacing w:line="360" w:lineRule="auto"/>
          </w:pPr>
          <w:r>
            <w:fldChar w:fldCharType="begin"/>
          </w:r>
          <w:r>
            <w:instrText xml:space="preserve"> HYPERLINK \l _Toc91517133 </w:instrText>
          </w:r>
          <w: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_Toc91517133 \h </w:instrText>
          </w:r>
          <w:r>
            <w:fldChar w:fldCharType="separate"/>
          </w:r>
          <w:r>
            <w:t>10</w:t>
          </w:r>
          <w:r>
            <w:fldChar w:fldCharType="end"/>
          </w:r>
          <w:r>
            <w:fldChar w:fldCharType="end"/>
          </w:r>
        </w:p>
        <w:p>
          <w:pPr>
            <w:pStyle w:val="16"/>
            <w:tabs>
              <w:tab w:val="right" w:leader="dot" w:pos="8845"/>
            </w:tabs>
            <w:spacing w:line="360" w:lineRule="auto"/>
          </w:pPr>
          <w:r>
            <w:fldChar w:fldCharType="begin"/>
          </w:r>
          <w:r>
            <w:instrText xml:space="preserve"> HYPERLINK \l _Toc2133979278 </w:instrText>
          </w:r>
          <w: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_Toc2133979278 \h </w:instrText>
          </w:r>
          <w:r>
            <w:fldChar w:fldCharType="separate"/>
          </w:r>
          <w:r>
            <w:t>11</w:t>
          </w:r>
          <w:r>
            <w:fldChar w:fldCharType="end"/>
          </w:r>
          <w:r>
            <w:fldChar w:fldCharType="end"/>
          </w:r>
        </w:p>
        <w:p>
          <w:pPr>
            <w:pStyle w:val="15"/>
            <w:tabs>
              <w:tab w:val="right" w:leader="dot" w:pos="8845"/>
            </w:tabs>
            <w:spacing w:line="360" w:lineRule="auto"/>
          </w:pPr>
          <w:r>
            <w:fldChar w:fldCharType="begin"/>
          </w:r>
          <w:r>
            <w:instrText xml:space="preserve"> HYPERLINK \l _Toc823005529 </w:instrText>
          </w:r>
          <w:r>
            <w:fldChar w:fldCharType="separate"/>
          </w:r>
          <w:r>
            <w:rPr>
              <w:rFonts w:hint="eastAsia" w:ascii="黑体" w:hAnsi="黑体" w:eastAsia="黑体" w:cs="黑体"/>
              <w:szCs w:val="32"/>
            </w:rPr>
            <w:t>十一、名词解释</w:t>
          </w:r>
          <w:r>
            <w:tab/>
          </w:r>
          <w:r>
            <w:fldChar w:fldCharType="begin"/>
          </w:r>
          <w:r>
            <w:instrText xml:space="preserve"> PAGEREF _Toc823005529 \h </w:instrText>
          </w:r>
          <w:r>
            <w:fldChar w:fldCharType="separate"/>
          </w:r>
          <w:r>
            <w:t>11</w:t>
          </w:r>
          <w:r>
            <w:fldChar w:fldCharType="end"/>
          </w:r>
          <w:r>
            <w:fldChar w:fldCharType="end"/>
          </w:r>
        </w:p>
        <w:p>
          <w:pPr>
            <w:pStyle w:val="7"/>
            <w:widowControl/>
            <w:shd w:val="clear" w:color="auto" w:fill="FFFFFF"/>
            <w:spacing w:before="130" w:line="580" w:lineRule="atLeast"/>
            <w:ind w:firstLine="480" w:firstLineChars="200"/>
          </w:pPr>
          <w:r>
            <w:fldChar w:fldCharType="end"/>
          </w:r>
          <w:bookmarkStart w:id="0" w:name="_Toc1218574639"/>
        </w:p>
      </w:sdtContent>
    </w:sdt>
    <w:p>
      <w:pPr>
        <w:spacing w:line="576"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一、基本职能及主要工作</w:t>
      </w:r>
      <w:bookmarkEnd w:id="0"/>
    </w:p>
    <w:p>
      <w:pPr>
        <w:pStyle w:val="7"/>
        <w:widowControl/>
        <w:shd w:val="clear" w:color="auto" w:fill="FFFFFF"/>
        <w:spacing w:before="130" w:line="580" w:lineRule="atLeast"/>
        <w:ind w:left="560"/>
        <w:outlineLvl w:val="1"/>
        <w:rPr>
          <w:rFonts w:ascii="宋体" w:hAnsi="宋体" w:cs="宋体"/>
          <w:bCs/>
          <w:color w:val="333333"/>
          <w:sz w:val="28"/>
          <w:szCs w:val="28"/>
          <w:shd w:val="clear" w:color="auto" w:fill="FFFFFF"/>
        </w:rPr>
      </w:pPr>
      <w:r>
        <w:rPr>
          <w:rFonts w:hint="eastAsia" w:ascii="宋体" w:hAnsi="宋体" w:cs="宋体"/>
          <w:bCs/>
          <w:color w:val="333333"/>
          <w:sz w:val="28"/>
          <w:szCs w:val="28"/>
          <w:shd w:val="clear" w:color="auto" w:fill="FFFFFF"/>
        </w:rPr>
        <w:t xml:space="preserve"> </w:t>
      </w:r>
      <w:r>
        <w:rPr>
          <w:rFonts w:hint="eastAsia" w:ascii="楷体_GB2312" w:hAnsi="楷体_GB2312" w:eastAsia="楷体_GB2312" w:cs="楷体_GB2312"/>
          <w:bCs/>
          <w:sz w:val="32"/>
          <w:szCs w:val="32"/>
        </w:rPr>
        <w:t xml:space="preserve"> </w:t>
      </w:r>
      <w:bookmarkStart w:id="1" w:name="_Toc379663903"/>
      <w:r>
        <w:rPr>
          <w:rFonts w:hint="eastAsia" w:ascii="楷体_GB2312" w:hAnsi="楷体_GB2312" w:eastAsia="楷体_GB2312" w:cs="楷体_GB2312"/>
          <w:bCs/>
          <w:sz w:val="32"/>
          <w:szCs w:val="32"/>
        </w:rPr>
        <w:t>(一)苍溪县人民法院职能简介</w:t>
      </w:r>
      <w:bookmarkEnd w:id="1"/>
    </w:p>
    <w:p>
      <w:pPr>
        <w:pStyle w:val="13"/>
        <w:spacing w:line="576" w:lineRule="exact"/>
        <w:ind w:left="420" w:firstLine="0" w:firstLineChars="0"/>
        <w:rPr>
          <w:rFonts w:ascii="仿宋" w:hAnsi="仿宋" w:eastAsia="仿宋" w:cs="宋体"/>
          <w:color w:val="000000"/>
          <w:sz w:val="32"/>
          <w:szCs w:val="32"/>
        </w:rPr>
      </w:pPr>
      <w:r>
        <w:rPr>
          <w:rFonts w:hint="eastAsia" w:ascii="宋体" w:hAnsi="宋体" w:cs="宋体"/>
          <w:color w:val="000000"/>
          <w:sz w:val="28"/>
          <w:szCs w:val="28"/>
        </w:rPr>
        <w:t xml:space="preserve">  </w:t>
      </w:r>
      <w:r>
        <w:rPr>
          <w:rFonts w:hint="eastAsia" w:ascii="仿宋" w:hAnsi="仿宋" w:eastAsia="仿宋" w:cs="宋体"/>
          <w:color w:val="000000"/>
          <w:sz w:val="32"/>
          <w:szCs w:val="32"/>
        </w:rPr>
        <w:t xml:space="preserve">  1.依法审判法律规定由基层法院管辖的刑事、民事、行政第一审案件。</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2.审判上级法院指定管辖、发回重审，本院一审案件发生法律效力后按审判监督程序进行再审的案件和申诉案件。</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3.复议本院作出的具有权力义务法律关系的各种决定。</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4.执行本院已发生法律效力的判决、裁定、决定和调解法律文书。</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5.依法行使司法决定权和执行权。</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6.负责办理审判工作中提出的具体适用法律方面问题的请示报告。</w:t>
      </w:r>
    </w:p>
    <w:p>
      <w:pPr>
        <w:pStyle w:val="13"/>
        <w:spacing w:line="576" w:lineRule="exact"/>
        <w:ind w:left="420" w:firstLine="0" w:firstLineChars="0"/>
        <w:rPr>
          <w:rFonts w:ascii="仿宋" w:hAnsi="仿宋" w:eastAsia="仿宋" w:cs="宋体"/>
          <w:color w:val="000000"/>
          <w:sz w:val="32"/>
          <w:szCs w:val="32"/>
        </w:rPr>
      </w:pPr>
      <w:r>
        <w:rPr>
          <w:rFonts w:hint="eastAsia" w:ascii="仿宋" w:hAnsi="仿宋" w:eastAsia="仿宋" w:cs="宋体"/>
          <w:color w:val="000000"/>
          <w:sz w:val="32"/>
          <w:szCs w:val="32"/>
        </w:rPr>
        <w:t xml:space="preserve">   7.对案件审理中发现的问题提出司法建议。</w:t>
      </w:r>
    </w:p>
    <w:p>
      <w:pPr>
        <w:spacing w:line="576" w:lineRule="exact"/>
        <w:rPr>
          <w:rFonts w:ascii="仿宋" w:hAnsi="仿宋" w:eastAsia="仿宋" w:cs="宋体"/>
          <w:color w:val="000000"/>
          <w:sz w:val="32"/>
          <w:szCs w:val="32"/>
        </w:rPr>
      </w:pPr>
      <w:r>
        <w:rPr>
          <w:rFonts w:hint="eastAsia" w:ascii="仿宋" w:hAnsi="仿宋" w:eastAsia="仿宋" w:cs="宋体"/>
          <w:color w:val="000000"/>
          <w:sz w:val="32"/>
          <w:szCs w:val="32"/>
        </w:rPr>
        <w:t xml:space="preserve">      8.负责本单位的思想政治，教育培训工作，协同有关部门管理本院机构设置、人员编制和中层领导班子。</w:t>
      </w:r>
    </w:p>
    <w:p>
      <w:pPr>
        <w:pStyle w:val="7"/>
        <w:widowControl/>
        <w:shd w:val="clear" w:color="auto" w:fill="FFFFFF"/>
        <w:spacing w:before="130" w:line="580" w:lineRule="atLeast"/>
        <w:ind w:left="674"/>
        <w:rPr>
          <w:rFonts w:ascii="仿宋" w:hAnsi="仿宋" w:eastAsia="仿宋" w:cs="宋体"/>
          <w:bCs/>
          <w:color w:val="333333"/>
          <w:sz w:val="32"/>
          <w:szCs w:val="32"/>
          <w:shd w:val="clear" w:color="auto" w:fill="FFFFFF"/>
        </w:rPr>
      </w:pPr>
      <w:r>
        <w:rPr>
          <w:rFonts w:hint="eastAsia" w:ascii="仿宋" w:hAnsi="仿宋" w:eastAsia="仿宋" w:cs="宋体"/>
          <w:color w:val="000000"/>
          <w:sz w:val="32"/>
          <w:szCs w:val="32"/>
        </w:rPr>
        <w:t xml:space="preserve"> 9.参与社会治安综合治理及其他应由县法院负责的工作。</w:t>
      </w:r>
    </w:p>
    <w:p>
      <w:pPr>
        <w:spacing w:line="576" w:lineRule="exact"/>
        <w:outlineLvl w:val="1"/>
        <w:rPr>
          <w:rFonts w:ascii="楷体_GB2312" w:hAnsi="楷体_GB2312" w:eastAsia="楷体_GB2312" w:cs="楷体_GB2312"/>
          <w:bCs/>
          <w:sz w:val="32"/>
          <w:szCs w:val="32"/>
        </w:rPr>
      </w:pPr>
      <w:r>
        <w:rPr>
          <w:rFonts w:hint="eastAsia" w:ascii="楷体_GB2312" w:hAnsi="楷体_GB2312" w:eastAsia="楷体_GB2312" w:cs="楷体_GB2312"/>
          <w:sz w:val="32"/>
          <w:szCs w:val="32"/>
        </w:rPr>
        <w:t xml:space="preserve">   </w:t>
      </w:r>
      <w:bookmarkStart w:id="2" w:name="_Toc405130390"/>
      <w:r>
        <w:rPr>
          <w:rFonts w:hint="eastAsia" w:ascii="楷体_GB2312" w:hAnsi="楷体_GB2312" w:eastAsia="楷体_GB2312" w:cs="楷体_GB2312"/>
          <w:sz w:val="32"/>
          <w:szCs w:val="32"/>
        </w:rPr>
        <w:t>（二）</w:t>
      </w:r>
      <w:r>
        <w:rPr>
          <w:rFonts w:hint="eastAsia" w:ascii="楷体_GB2312" w:hAnsi="楷体_GB2312" w:eastAsia="楷体_GB2312" w:cs="楷体_GB2312"/>
          <w:bCs/>
          <w:sz w:val="32"/>
          <w:szCs w:val="32"/>
        </w:rPr>
        <w:t>苍溪县人民法院2024年重点工作</w:t>
      </w:r>
      <w:bookmarkEnd w:id="2"/>
    </w:p>
    <w:p>
      <w:pPr>
        <w:spacing w:line="560" w:lineRule="exact"/>
        <w:ind w:firstLine="640" w:firstLineChars="200"/>
        <w:rPr>
          <w:rFonts w:ascii="仿宋" w:hAnsi="仿宋" w:eastAsia="仿宋"/>
          <w:sz w:val="32"/>
          <w:szCs w:val="32"/>
        </w:rPr>
      </w:pPr>
      <w:r>
        <w:rPr>
          <w:rFonts w:hint="eastAsia" w:ascii="仿宋" w:hAnsi="仿宋" w:eastAsia="仿宋"/>
          <w:sz w:val="32"/>
          <w:szCs w:val="32"/>
        </w:rPr>
        <w:t>坚持以习近平新时代中国特色社会主义思想为指导，深入贯彻习近平法治思想，坚持能动司法理念，抓牢提质增效主线，加快推进审判理念、审判机制、审判体系、审判管理现代化，紧扣一个“实”字抓好中央、省、市、县委决策部署的贯彻落实，着力维护国家安全，着力维护社会稳定，着力保障和促进社会公平正义，着力保障高质量发展，着力加强党的政治建设，努力以审判工作现代化助力谱写全面建设社会主义现代化苍溪新篇章。</w:t>
      </w:r>
    </w:p>
    <w:p>
      <w:pPr>
        <w:spacing w:line="560" w:lineRule="exact"/>
        <w:ind w:firstLine="640" w:firstLineChars="200"/>
        <w:rPr>
          <w:rFonts w:ascii="仿宋_GB2312" w:eastAsia="仿宋_GB2312"/>
          <w:sz w:val="32"/>
          <w:szCs w:val="32"/>
        </w:rPr>
      </w:pPr>
      <w:r>
        <w:rPr>
          <w:rFonts w:hint="eastAsia" w:ascii="黑体" w:hAnsi="黑体" w:eastAsia="黑体"/>
          <w:sz w:val="32"/>
          <w:szCs w:val="32"/>
        </w:rPr>
        <w:t>一要在政治建设上深入发力，以更高站位服务中心大局。</w:t>
      </w:r>
      <w:r>
        <w:rPr>
          <w:rFonts w:hint="eastAsia" w:ascii="仿宋_GB2312" w:eastAsia="仿宋_GB2312"/>
          <w:sz w:val="32"/>
          <w:szCs w:val="32"/>
        </w:rPr>
        <w:t>巩固拓展主题教育成果，树牢能动司法、“抓前端、治未病”、双赢多赢共赢、案结事了政通人和等理念，做实“从政治上看、从法治上办”。坚持党的绝对领导，紧密围绕县委中心工作提高司法服务水平。服务保障城乡融合发展，建立司法服务重大项目建设机制，妥善审理涉重点企业、特色产业、“三农”等纠纷案件，依法调节人产城关系。严惩非法采伐古树名木、污染环境等破坏生态犯罪行为，护航美丽苍溪建设。扎实开展问题楼盘化解处置两年攻坚专项行动，加强破产审判专业化建设，推进涉案企业合规改革，营造更高水平法治化营商环境。重拳打击诬告陷害、闹访缠访行为，助力营造风清气正的社会生态。</w:t>
      </w:r>
    </w:p>
    <w:p>
      <w:pPr>
        <w:spacing w:line="560" w:lineRule="exact"/>
        <w:ind w:firstLine="640" w:firstLineChars="200"/>
        <w:rPr>
          <w:rFonts w:ascii="仿宋_GB2312" w:eastAsia="仿宋_GB2312"/>
          <w:sz w:val="32"/>
          <w:szCs w:val="32"/>
        </w:rPr>
      </w:pPr>
      <w:r>
        <w:rPr>
          <w:rFonts w:hint="eastAsia" w:ascii="黑体" w:hAnsi="黑体" w:eastAsia="黑体"/>
          <w:sz w:val="32"/>
          <w:szCs w:val="32"/>
        </w:rPr>
        <w:t>二要在履职尽责上全面发力，以更强担当维护公平正义。</w:t>
      </w:r>
      <w:r>
        <w:rPr>
          <w:rFonts w:hint="eastAsia" w:ascii="仿宋_GB2312" w:eastAsia="仿宋_GB2312"/>
          <w:sz w:val="32"/>
          <w:szCs w:val="32"/>
        </w:rPr>
        <w:t>依法严惩非法集资、电信网络诈骗、养老诈骗、侵害未成年人等群众反映强烈的刑事犯罪，坚决维护社会安定。妥善审理金融、教育、就业、养老、育幼、医疗、住房等民生领域案件，坚决维护人民安宁。拓展府院联动深度，监督支持行政机关依法行政，促进法治政府建设。强化执源治理，完善执行难综合治理大格局，加强“立审执”衔接配合，健全网络执行查控、失信联合惩戒等联动机制，加大诉讼财产保全力度，让更多“纸上权益”变成“真金白银”。</w:t>
      </w:r>
    </w:p>
    <w:p>
      <w:pPr>
        <w:spacing w:line="560" w:lineRule="exact"/>
        <w:ind w:firstLine="640" w:firstLineChars="200"/>
        <w:rPr>
          <w:rFonts w:ascii="仿宋_GB2312" w:eastAsia="仿宋_GB2312"/>
          <w:sz w:val="32"/>
          <w:szCs w:val="32"/>
        </w:rPr>
      </w:pPr>
      <w:r>
        <w:rPr>
          <w:rFonts w:hint="eastAsia" w:ascii="黑体" w:hAnsi="黑体" w:eastAsia="黑体"/>
          <w:sz w:val="32"/>
          <w:szCs w:val="32"/>
        </w:rPr>
        <w:t>三要在司法为民上精准发力，以更大作为回应群众需求。</w:t>
      </w:r>
      <w:r>
        <w:rPr>
          <w:rFonts w:hint="eastAsia" w:ascii="仿宋_GB2312" w:eastAsia="仿宋_GB2312"/>
          <w:sz w:val="32"/>
          <w:szCs w:val="32"/>
        </w:rPr>
        <w:t>大力弘扬和践行社会主义核心价值观，传承中华优秀传统法律文化，深化“法律七进”“八五普法”，增强全社会法治意识。深化司法体制综合配套改革，全面准确落实院庭长阅核制，持续推进智慧法院建设，让司法工作更加公正高效权威。坚持和发展新时代“枫桥经验”，持续创建“枫桥式人民法庭”，做实指导调解法定职能，探寻诉源治理特色模式，充分发挥“夕阳红”调解工作队作用，努力将矛盾纠纷化解在基层、解决在萌芽。强化信源治理，落实“有信必复”，常态化开展“治重化积”，扎实推进涉诉信访法治化。</w:t>
      </w:r>
    </w:p>
    <w:p>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四要在严管厚爱上持续发力，以更严要求锤炼过硬队伍</w:t>
      </w:r>
      <w:r>
        <w:rPr>
          <w:rFonts w:hint="eastAsia" w:ascii="仿宋_GB2312" w:eastAsia="仿宋_GB2312"/>
          <w:sz w:val="32"/>
          <w:szCs w:val="32"/>
        </w:rPr>
        <w:t>。</w:t>
      </w:r>
      <w:r>
        <w:rPr>
          <w:rFonts w:hint="eastAsia" w:ascii="仿宋_GB2312" w:hAnsi="黑体" w:eastAsia="仿宋_GB2312"/>
          <w:sz w:val="32"/>
          <w:szCs w:val="32"/>
        </w:rPr>
        <w:t>推进党建与业务深度融合，以“梨乡天平”品牌创建促进党建业务双提升。</w:t>
      </w:r>
      <w:r>
        <w:rPr>
          <w:rFonts w:hint="eastAsia" w:ascii="仿宋_GB2312" w:eastAsia="仿宋_GB2312"/>
          <w:sz w:val="32"/>
          <w:szCs w:val="32"/>
        </w:rPr>
        <w:t>抓好市中院政治督察暨司法巡查反馈问题整改落实，切实推动改革、促进发展。坚持以严的基调强化正风肃纪反腐，以</w:t>
      </w:r>
      <w:r>
        <w:rPr>
          <w:rFonts w:hint="eastAsia" w:ascii="仿宋_GB2312" w:hAnsi="黑体" w:eastAsia="仿宋_GB2312"/>
          <w:sz w:val="32"/>
          <w:szCs w:val="32"/>
        </w:rPr>
        <w:t>学习贯彻新修订《中国共产党纪律处分条例》为契机</w:t>
      </w:r>
      <w:r>
        <w:rPr>
          <w:rFonts w:hint="eastAsia" w:ascii="仿宋_GB2312" w:eastAsia="仿宋_GB2312"/>
          <w:sz w:val="32"/>
          <w:szCs w:val="32"/>
        </w:rPr>
        <w:t>强化纪律教育、警示教育，深化以案促改、以案促治，确保公正廉洁司法。加大英模选树宣传力度，营造学习争当先进的浓厚氛围。深推“筑梦行动”，完善培训激励、考核评价、履职保障机制，提升干警素质能力和职业尊荣感，努力锻造忠诚干净担当的法院铁军。</w:t>
      </w:r>
    </w:p>
    <w:p>
      <w:pPr>
        <w:spacing w:line="560" w:lineRule="exact"/>
        <w:ind w:firstLine="640" w:firstLineChars="200"/>
        <w:rPr>
          <w:rFonts w:hint="eastAsia" w:ascii="仿宋_GB2312" w:eastAsia="仿宋_GB2312"/>
          <w:sz w:val="32"/>
          <w:szCs w:val="32"/>
        </w:rPr>
      </w:pPr>
    </w:p>
    <w:p>
      <w:pPr>
        <w:spacing w:line="576" w:lineRule="exact"/>
        <w:rPr>
          <w:rFonts w:ascii="楷体_GB2312" w:hAnsi="楷体_GB2312" w:eastAsia="楷体_GB2312" w:cs="楷体_GB2312"/>
          <w:bCs/>
          <w:sz w:val="32"/>
          <w:szCs w:val="32"/>
        </w:rPr>
      </w:pPr>
    </w:p>
    <w:p>
      <w:pPr>
        <w:spacing w:line="576" w:lineRule="exact"/>
        <w:ind w:firstLine="640" w:firstLineChars="200"/>
        <w:outlineLvl w:val="0"/>
        <w:rPr>
          <w:rFonts w:ascii="黑体" w:hAnsi="黑体" w:eastAsia="黑体" w:cs="黑体"/>
          <w:sz w:val="32"/>
          <w:szCs w:val="32"/>
        </w:rPr>
      </w:pPr>
      <w:bookmarkStart w:id="3" w:name="_Toc1347504596"/>
      <w:r>
        <w:rPr>
          <w:rFonts w:hint="eastAsia" w:ascii="黑体" w:hAnsi="黑体" w:eastAsia="黑体" w:cs="黑体"/>
          <w:sz w:val="32"/>
          <w:szCs w:val="32"/>
        </w:rPr>
        <w:t>二、部门预算单位构成</w:t>
      </w:r>
      <w:bookmarkEnd w:id="3"/>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苍溪县人民法院是一级预算单位，无下属二级预算单位。</w:t>
      </w:r>
    </w:p>
    <w:p>
      <w:pPr>
        <w:widowControl/>
        <w:pBdr>
          <w:bottom w:val="single" w:color="FFFFFF" w:sz="8" w:space="31"/>
        </w:pBdr>
        <w:shd w:val="clear" w:color="auto" w:fill="FFFFFF"/>
        <w:spacing w:line="580" w:lineRule="atLeast"/>
        <w:ind w:firstLine="640" w:firstLineChars="200"/>
        <w:outlineLvl w:val="0"/>
        <w:rPr>
          <w:rFonts w:ascii="仿宋_GB2312" w:hAnsi="仿宋_GB2312" w:eastAsia="仿宋_GB2312" w:cs="仿宋_GB2312"/>
          <w:sz w:val="32"/>
          <w:szCs w:val="32"/>
        </w:rPr>
      </w:pPr>
      <w:bookmarkStart w:id="4" w:name="_Toc1250491245"/>
      <w:r>
        <w:rPr>
          <w:rFonts w:hint="eastAsia" w:ascii="黑体" w:hAnsi="黑体" w:eastAsia="黑体" w:cs="黑体"/>
          <w:sz w:val="32"/>
          <w:szCs w:val="32"/>
        </w:rPr>
        <w:t>三、收支预算情况说明</w:t>
      </w:r>
      <w:bookmarkEnd w:id="4"/>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苍溪县人民法院所有收入和支出均纳入部门预算管理。收入包括：一般公共预算拨款收入；支出包括：公共安全支出、社会保障和就业支出、卫生健康支出、住房保障支出。苍溪人民法院2024年收支预算总</w:t>
      </w:r>
      <w:r>
        <w:rPr>
          <w:rFonts w:hint="eastAsia" w:ascii="仿宋_GB2312" w:hAnsi="仿宋_GB2312" w:eastAsia="仿宋_GB2312" w:cs="仿宋_GB2312"/>
          <w:sz w:val="32"/>
          <w:szCs w:val="32"/>
          <w:lang w:eastAsia="zh-CN"/>
        </w:rPr>
        <w:t>数</w:t>
      </w:r>
      <w:r>
        <w:rPr>
          <w:rFonts w:hint="eastAsia" w:ascii="仿宋_GB2312" w:hAnsi="仿宋_GB2312" w:eastAsia="仿宋_GB2312" w:cs="仿宋_GB2312"/>
          <w:sz w:val="32"/>
          <w:szCs w:val="32"/>
        </w:rPr>
        <w:t>2183.01万元,比2023年收支预算总数增加126.98万元，主要原因是上划基数发生变化。</w:t>
      </w:r>
    </w:p>
    <w:p>
      <w:pPr>
        <w:widowControl/>
        <w:pBdr>
          <w:bottom w:val="single" w:color="FFFFFF" w:sz="8" w:space="31"/>
        </w:pBdr>
        <w:shd w:val="clear" w:color="auto" w:fill="FFFFFF"/>
        <w:spacing w:line="580" w:lineRule="atLeast"/>
        <w:ind w:firstLine="640" w:firstLineChars="200"/>
        <w:outlineLvl w:val="1"/>
        <w:rPr>
          <w:rFonts w:hint="eastAsia" w:ascii="仿宋_GB2312" w:hAnsi="仿宋_GB2312" w:eastAsia="仿宋_GB2312" w:cs="仿宋_GB2312"/>
          <w:sz w:val="32"/>
          <w:szCs w:val="32"/>
        </w:rPr>
      </w:pPr>
      <w:bookmarkStart w:id="5" w:name="_Toc2133580453"/>
      <w:r>
        <w:rPr>
          <w:rFonts w:hint="eastAsia" w:ascii="仿宋_GB2312" w:hAnsi="仿宋_GB2312" w:eastAsia="仿宋_GB2312" w:cs="仿宋_GB2312"/>
          <w:sz w:val="32"/>
          <w:szCs w:val="32"/>
        </w:rPr>
        <w:t>（一）收入预算情况</w:t>
      </w:r>
      <w:bookmarkEnd w:id="5"/>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苍溪县人民法院</w:t>
      </w:r>
      <w:r>
        <w:rPr>
          <w:rFonts w:hint="eastAsia" w:ascii="仿宋_GB2312" w:hAnsi="仿宋_GB2312" w:eastAsia="仿宋_GB2312" w:cs="仿宋_GB2312"/>
          <w:sz w:val="32"/>
          <w:szCs w:val="32"/>
        </w:rPr>
        <w:t>2024年收入预算218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.01万元，其中：一般公共预算拨款收入218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.01万元，占100%。</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bookmarkStart w:id="6" w:name="_Toc82398703"/>
      <w:r>
        <w:rPr>
          <w:rFonts w:hint="eastAsia" w:ascii="仿宋_GB2312" w:hAnsi="仿宋_GB2312" w:eastAsia="仿宋_GB2312" w:cs="仿宋_GB2312"/>
          <w:sz w:val="32"/>
          <w:szCs w:val="32"/>
          <w:lang w:eastAsia="zh-CN"/>
        </w:rPr>
        <w:t>（二）支出预算情况</w:t>
      </w:r>
      <w:bookmarkEnd w:id="6"/>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苍溪县人民法院2024年支出预算2183.01万元，其中：基本支出1815.48万元，占83%；项目支出367.53万元，占17%。</w:t>
      </w:r>
      <w:bookmarkStart w:id="7" w:name="_Toc1222550421"/>
    </w:p>
    <w:p>
      <w:pPr>
        <w:widowControl/>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四、财政拨款收支预算情况说明</w:t>
      </w:r>
      <w:bookmarkEnd w:id="7"/>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苍溪县人民法院2024年财政拨款收支预算总数2183.01万元,比2023年财政拨款收支预算总数增加126.98万元，主要原</w:t>
      </w:r>
      <w:r>
        <w:rPr>
          <w:rFonts w:hint="eastAsia" w:ascii="仿宋_GB2312" w:hAnsi="仿宋_GB2312" w:eastAsia="仿宋_GB2312" w:cs="仿宋_GB2312"/>
          <w:sz w:val="32"/>
          <w:szCs w:val="32"/>
        </w:rPr>
        <w:t>因是上划基数发生变化。</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收入包括：本年一般公共预算拨款收入2183.01万元,支出包括：公共安全支出1879.39万元、社会保障和就业支出131.43万元、卫生健康支出62.32万元、住房保障支出109.87万元。</w:t>
      </w:r>
      <w:bookmarkStart w:id="8" w:name="_Toc690118591"/>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lang w:eastAsia="zh-CN"/>
        </w:rPr>
        <w:t>五、一般公共预算当年拨款情况说明</w:t>
      </w:r>
      <w:bookmarkEnd w:id="8"/>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bookmarkStart w:id="9" w:name="_Toc1377202779"/>
      <w:r>
        <w:rPr>
          <w:rFonts w:hint="eastAsia" w:ascii="仿宋_GB2312" w:hAnsi="仿宋_GB2312" w:eastAsia="仿宋_GB2312" w:cs="仿宋_GB2312"/>
          <w:sz w:val="32"/>
          <w:szCs w:val="32"/>
        </w:rPr>
        <w:t>（一）一般公共预算当年拨款规模变化情况</w:t>
      </w:r>
      <w:bookmarkEnd w:id="9"/>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苍溪县人民法院2024年一般公共预算当年拨款2183.01万元，</w:t>
      </w:r>
      <w:r>
        <w:rPr>
          <w:rFonts w:hint="eastAsia" w:ascii="仿宋_GB2312" w:hAnsi="仿宋_GB2312" w:eastAsia="仿宋_GB2312" w:cs="仿宋_GB2312"/>
          <w:bCs/>
          <w:sz w:val="32"/>
          <w:szCs w:val="32"/>
        </w:rPr>
        <w:t>比2023年预算数增加126.98万元，</w:t>
      </w:r>
      <w:r>
        <w:rPr>
          <w:rFonts w:hint="eastAsia" w:ascii="仿宋_GB2312" w:hAnsi="仿宋_GB2312" w:eastAsia="仿宋_GB2312" w:cs="仿宋_GB2312"/>
          <w:sz w:val="32"/>
          <w:szCs w:val="32"/>
        </w:rPr>
        <w:t>主要原因是上划基数发生变化。</w:t>
      </w:r>
    </w:p>
    <w:p>
      <w:pPr>
        <w:widowControl/>
        <w:numPr>
          <w:ilvl w:val="0"/>
          <w:numId w:val="1"/>
        </w:numPr>
        <w:pBdr>
          <w:bottom w:val="single" w:color="FFFFFF" w:sz="8" w:space="31"/>
        </w:pBdr>
        <w:shd w:val="clear" w:color="auto" w:fill="FFFFFF"/>
        <w:spacing w:line="580" w:lineRule="atLeast"/>
        <w:ind w:firstLine="640" w:firstLineChars="200"/>
        <w:outlineLvl w:val="1"/>
        <w:rPr>
          <w:rFonts w:hint="eastAsia" w:ascii="楷体_GB2312" w:hAnsi="楷体_GB2312" w:eastAsia="楷体_GB2312" w:cs="楷体_GB2312"/>
          <w:sz w:val="32"/>
          <w:szCs w:val="32"/>
        </w:rPr>
      </w:pPr>
      <w:bookmarkStart w:id="10" w:name="_Toc2090581487"/>
      <w:r>
        <w:rPr>
          <w:rFonts w:hint="eastAsia" w:ascii="楷体_GB2312" w:hAnsi="楷体_GB2312" w:eastAsia="楷体_GB2312" w:cs="楷体_GB2312"/>
          <w:sz w:val="32"/>
          <w:szCs w:val="32"/>
        </w:rPr>
        <w:t>一般公共预算当年拨款结构情况</w:t>
      </w:r>
      <w:bookmarkEnd w:id="10"/>
    </w:p>
    <w:p>
      <w:pPr>
        <w:widowControl/>
        <w:numPr>
          <w:ilvl w:val="0"/>
          <w:numId w:val="0"/>
        </w:numPr>
        <w:pBdr>
          <w:bottom w:val="single" w:color="FFFFFF" w:sz="8" w:space="31"/>
        </w:pBdr>
        <w:shd w:val="clear" w:color="auto" w:fill="FFFFFF"/>
        <w:spacing w:line="580" w:lineRule="atLeast"/>
        <w:ind w:firstLine="960" w:firstLineChars="3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公共安全支出1879.39万元，占86</w:t>
      </w:r>
      <w:r>
        <w:rPr>
          <w:rFonts w:hint="eastAsia" w:ascii="仿宋_GB2312" w:hAnsi="仿宋_GB2312" w:eastAsia="仿宋_GB2312" w:cs="仿宋_GB2312"/>
          <w:color w:val="auto"/>
          <w:sz w:val="32"/>
          <w:szCs w:val="32"/>
          <w:lang w:val="en-US" w:eastAsia="zh-CN"/>
        </w:rPr>
        <w:t>.09</w:t>
      </w:r>
      <w:r>
        <w:rPr>
          <w:rFonts w:hint="eastAsia" w:ascii="仿宋_GB2312" w:hAnsi="仿宋_GB2312" w:eastAsia="仿宋_GB2312" w:cs="仿宋_GB2312"/>
          <w:color w:val="auto"/>
          <w:sz w:val="32"/>
          <w:szCs w:val="32"/>
        </w:rPr>
        <w:t>%；社会保障和就业支出131.43万元，占6</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%；卫生健康支出62.32万元，占</w:t>
      </w:r>
      <w:r>
        <w:rPr>
          <w:rFonts w:hint="eastAsia" w:ascii="仿宋_GB2312" w:hAnsi="仿宋_GB2312" w:eastAsia="仿宋_GB2312" w:cs="仿宋_GB2312"/>
          <w:color w:val="auto"/>
          <w:sz w:val="32"/>
          <w:szCs w:val="32"/>
          <w:lang w:val="en-US" w:eastAsia="zh-CN"/>
        </w:rPr>
        <w:t>2.85</w:t>
      </w:r>
      <w:r>
        <w:rPr>
          <w:rFonts w:hint="eastAsia" w:ascii="仿宋_GB2312" w:hAnsi="仿宋_GB2312" w:eastAsia="仿宋_GB2312" w:cs="仿宋_GB2312"/>
          <w:color w:val="auto"/>
          <w:sz w:val="32"/>
          <w:szCs w:val="32"/>
        </w:rPr>
        <w:t>%；住房保障支出109.87万元，占</w:t>
      </w:r>
      <w:r>
        <w:rPr>
          <w:rFonts w:hint="eastAsia" w:ascii="仿宋_GB2312" w:hAnsi="仿宋_GB2312" w:eastAsia="仿宋_GB2312" w:cs="仿宋_GB2312"/>
          <w:color w:val="auto"/>
          <w:sz w:val="32"/>
          <w:szCs w:val="32"/>
          <w:lang w:val="en-US" w:eastAsia="zh-CN"/>
        </w:rPr>
        <w:t>5.04</w:t>
      </w:r>
      <w:r>
        <w:rPr>
          <w:rFonts w:hint="eastAsia" w:ascii="仿宋_GB2312" w:hAnsi="仿宋_GB2312" w:eastAsia="仿宋_GB2312" w:cs="仿宋_GB2312"/>
          <w:color w:val="auto"/>
          <w:sz w:val="32"/>
          <w:szCs w:val="32"/>
        </w:rPr>
        <w:t>%。</w:t>
      </w:r>
    </w:p>
    <w:p>
      <w:pPr>
        <w:widowControl/>
        <w:numPr>
          <w:ilvl w:val="0"/>
          <w:numId w:val="1"/>
        </w:numPr>
        <w:pBdr>
          <w:bottom w:val="single" w:color="FFFFFF" w:sz="8" w:space="31"/>
        </w:pBdr>
        <w:shd w:val="clear" w:color="auto" w:fill="FFFFFF"/>
        <w:spacing w:line="580" w:lineRule="atLeast"/>
        <w:ind w:left="0" w:leftChars="0" w:firstLine="640" w:firstLineChars="200"/>
        <w:outlineLvl w:val="1"/>
        <w:rPr>
          <w:rFonts w:hint="eastAsia" w:ascii="楷体_GB2312" w:hAnsi="楷体_GB2312" w:eastAsia="楷体_GB2312" w:cs="楷体_GB2312"/>
          <w:sz w:val="32"/>
          <w:szCs w:val="32"/>
        </w:rPr>
      </w:pPr>
      <w:bookmarkStart w:id="11" w:name="_Toc1639314975"/>
      <w:r>
        <w:rPr>
          <w:rFonts w:hint="eastAsia" w:ascii="楷体_GB2312" w:hAnsi="楷体_GB2312" w:eastAsia="楷体_GB2312" w:cs="楷体_GB2312"/>
          <w:sz w:val="32"/>
          <w:szCs w:val="32"/>
        </w:rPr>
        <w:t>一般公共预算当年拨款具体使用情况</w:t>
      </w:r>
      <w:bookmarkEnd w:id="11"/>
    </w:p>
    <w:p>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共安全（类）法院（款）行政运行（项）2024年预算数为1719.53万元，主要用于：机关正常运转的基本支出，包括基本工资、津贴补贴等人员经费以及办公费、印刷费、水电费等日常公用经费，保障部门正常运转。</w:t>
      </w:r>
    </w:p>
    <w:p>
      <w:pPr>
        <w:widowControl/>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2.公共安全（类）法院（款）案件审判（项）2024年预算数为135万元，主要用于：案件审判的差旅费、网络运行及维护费、陪审员专项经费、人民调解工作经费等。</w:t>
      </w:r>
    </w:p>
    <w:p>
      <w:pPr>
        <w:widowControl/>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3.公共安全（类）法院（款）案件执行（项）2024年预算数为24.86万元，主要用于：案件执行的差旅费、相关办公经费等。</w:t>
      </w:r>
    </w:p>
    <w:p>
      <w:pPr>
        <w:widowControl/>
        <w:shd w:val="clear" w:color="auto" w:fill="FFFFFF"/>
        <w:spacing w:line="580" w:lineRule="atLeast"/>
        <w:ind w:firstLine="66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4.社会保障和就业（类）行政事业单位养老支出（款）机关事业单位基本养老保险缴费支出（项）2024年预算数为131.43万元，主要用于：实施养老保险制度由单位缴纳的基本养老保险支出。</w:t>
      </w:r>
    </w:p>
    <w:p>
      <w:pPr>
        <w:widowControl/>
        <w:shd w:val="clear" w:color="auto" w:fill="FFFFFF"/>
        <w:spacing w:line="580" w:lineRule="atLeast"/>
        <w:ind w:firstLine="66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5.卫生健康（类）行政事业单位医疗（款）行政单位医疗（项）2024年预算数为62.32万元，主要用于：机关及参公管理事业单位按规定由单位缴纳的基本医疗保险支出。</w:t>
      </w:r>
    </w:p>
    <w:p>
      <w:pPr>
        <w:widowControl/>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6.住房保障（类）住房改革支出（款）住房公积金（项）2024年预算数为109.87万元，主要用于：部门按规定为职工缴纳的住房公积金支出。</w:t>
      </w:r>
    </w:p>
    <w:p>
      <w:pPr>
        <w:spacing w:line="576" w:lineRule="exact"/>
        <w:ind w:firstLine="640" w:firstLineChars="200"/>
        <w:outlineLvl w:val="0"/>
        <w:rPr>
          <w:rFonts w:ascii="黑体" w:hAnsi="黑体" w:eastAsia="黑体" w:cs="黑体"/>
          <w:sz w:val="32"/>
          <w:szCs w:val="32"/>
        </w:rPr>
      </w:pPr>
      <w:bookmarkStart w:id="12" w:name="_Toc585147800"/>
      <w:r>
        <w:rPr>
          <w:rFonts w:hint="eastAsia" w:ascii="黑体" w:hAnsi="黑体" w:eastAsia="黑体" w:cs="黑体"/>
          <w:sz w:val="32"/>
          <w:szCs w:val="32"/>
        </w:rPr>
        <w:t>六、一般公共预算基本支出情况说明</w:t>
      </w:r>
      <w:bookmarkEnd w:id="12"/>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苍溪县人民法院2024年一般公共预算基本支出1815.48万元，其中：</w:t>
      </w:r>
    </w:p>
    <w:p>
      <w:pP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人员经费1539.36万元，主要包括：基本工资、津贴补贴、奖金、机关事业单位基本养老保险缴费、职工基本医疗保险缴费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、住房公积金、其他工资福利支出、</w:t>
      </w:r>
      <w:r>
        <w:rPr>
          <w:rFonts w:hint="eastAsia" w:ascii="仿宋_GB2312" w:hAnsi="仿宋_GB2312" w:eastAsia="仿宋_GB2312" w:cs="仿宋_GB2312"/>
          <w:sz w:val="32"/>
          <w:szCs w:val="32"/>
          <w:lang w:val="en-US" w:eastAsia="zh-CN"/>
        </w:rPr>
        <w:t>生活补助等支出</w:t>
      </w:r>
      <w:r>
        <w:rPr>
          <w:rFonts w:hint="eastAsia" w:ascii="仿宋_GB2312" w:hAnsi="仿宋_GB2312" w:eastAsia="仿宋_GB2312" w:cs="仿宋_GB2312"/>
          <w:sz w:val="32"/>
          <w:szCs w:val="32"/>
        </w:rPr>
        <w:t>。</w:t>
      </w:r>
    </w:p>
    <w:p>
      <w:pP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公用经费276.12万元，主要包括：办公费、水费、电费、物业管理费、差旅费、会议费、培训费、公务接待费、工会经费、福利费、公务用车运行维护费、其他交通费用</w:t>
      </w:r>
      <w:r>
        <w:rPr>
          <w:rFonts w:hint="eastAsia"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r>
        <w:rPr>
          <w:rFonts w:hint="eastAsia" w:ascii="仿宋_GB2312" w:hAnsi="仿宋_GB2312" w:eastAsia="仿宋_GB2312" w:cs="仿宋_GB2312"/>
          <w:sz w:val="32"/>
          <w:szCs w:val="32"/>
        </w:rPr>
        <w:t>。</w:t>
      </w:r>
    </w:p>
    <w:p>
      <w:pPr>
        <w:spacing w:line="576" w:lineRule="exact"/>
        <w:ind w:firstLine="640" w:firstLineChars="200"/>
        <w:outlineLvl w:val="0"/>
        <w:rPr>
          <w:rFonts w:ascii="黑体" w:hAnsi="黑体" w:eastAsia="黑体" w:cs="黑体"/>
          <w:sz w:val="32"/>
          <w:szCs w:val="32"/>
        </w:rPr>
      </w:pPr>
      <w:bookmarkStart w:id="13" w:name="_Toc2079110970"/>
      <w:r>
        <w:rPr>
          <w:rFonts w:hint="eastAsia" w:ascii="黑体" w:hAnsi="黑体" w:eastAsia="黑体" w:cs="黑体"/>
          <w:sz w:val="32"/>
          <w:szCs w:val="32"/>
        </w:rPr>
        <w:t>七、“三公”经费财政拨款预算安排情况说明</w:t>
      </w:r>
      <w:bookmarkEnd w:id="1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苍溪县人民法院2024年“三公”经费财政拨款预算数40.6万元，其中：公务接待费7.6万元，公务用车购置及运行维护费33万元，因公出国（境）经费0万元。</w:t>
      </w:r>
    </w:p>
    <w:p>
      <w:pPr>
        <w:spacing w:line="576" w:lineRule="exact"/>
        <w:ind w:firstLine="640" w:firstLineChars="200"/>
        <w:outlineLvl w:val="1"/>
        <w:rPr>
          <w:rFonts w:ascii="楷体_GB2312" w:hAnsi="楷体_GB2312" w:eastAsia="楷体_GB2312" w:cs="楷体_GB2312"/>
          <w:color w:val="auto"/>
          <w:sz w:val="32"/>
          <w:szCs w:val="32"/>
        </w:rPr>
      </w:pPr>
      <w:bookmarkStart w:id="14" w:name="_Toc1680847170"/>
      <w:r>
        <w:rPr>
          <w:rFonts w:hint="eastAsia" w:ascii="楷体_GB2312" w:hAnsi="楷体_GB2312" w:eastAsia="楷体_GB2312" w:cs="楷体_GB2312"/>
          <w:color w:val="auto"/>
          <w:sz w:val="32"/>
          <w:szCs w:val="32"/>
        </w:rPr>
        <w:t>（一）公务接待费</w:t>
      </w:r>
      <w:bookmarkEnd w:id="14"/>
    </w:p>
    <w:p>
      <w:pPr>
        <w:spacing w:line="576"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公务接待费与2023年预算相比下降0.2万元，主要原因是</w:t>
      </w:r>
      <w:r>
        <w:rPr>
          <w:rFonts w:hint="eastAsia" w:ascii="仿宋_GB2312" w:hAnsi="仿宋_GB2312" w:eastAsia="仿宋_GB2312" w:cs="仿宋_GB2312"/>
          <w:bCs/>
          <w:color w:val="auto"/>
          <w:sz w:val="32"/>
          <w:szCs w:val="32"/>
        </w:rPr>
        <w:t>压缩开支，勤俭节约过紧日子。</w:t>
      </w:r>
    </w:p>
    <w:p>
      <w:pPr>
        <w:spacing w:line="576"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2024年公务接待费计划用于执行接待考察调研、检查指导等公务活动开支的交通费、住宿费、用餐费等。</w:t>
      </w:r>
    </w:p>
    <w:p>
      <w:pPr>
        <w:spacing w:line="576" w:lineRule="exact"/>
        <w:ind w:firstLine="640" w:firstLineChars="200"/>
        <w:outlineLvl w:val="1"/>
        <w:rPr>
          <w:rFonts w:ascii="楷体_GB2312" w:hAnsi="楷体_GB2312" w:eastAsia="楷体_GB2312" w:cs="楷体_GB2312"/>
          <w:color w:val="auto"/>
          <w:sz w:val="32"/>
          <w:szCs w:val="32"/>
        </w:rPr>
      </w:pPr>
      <w:bookmarkStart w:id="15" w:name="_Toc1916660489"/>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公务用车购置及运行维护费</w:t>
      </w:r>
      <w:bookmarkEnd w:id="15"/>
    </w:p>
    <w:p>
      <w:pPr>
        <w:spacing w:line="576" w:lineRule="exact"/>
        <w:ind w:firstLine="640" w:firstLineChars="20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color w:val="auto"/>
          <w:sz w:val="32"/>
          <w:szCs w:val="32"/>
        </w:rPr>
        <w:t>公务用车购置及运行维护费与2023年预算相比下降11万元，主要原因是</w:t>
      </w:r>
      <w:r>
        <w:rPr>
          <w:rFonts w:hint="eastAsia" w:ascii="仿宋_GB2312" w:hAnsi="仿宋_GB2312" w:eastAsia="仿宋_GB2312" w:cs="仿宋_GB2312"/>
          <w:color w:val="auto"/>
          <w:sz w:val="32"/>
          <w:szCs w:val="32"/>
          <w:lang w:val="en-US" w:eastAsia="zh-CN"/>
        </w:rPr>
        <w:t>2023年</w:t>
      </w:r>
      <w:r>
        <w:rPr>
          <w:rFonts w:hint="eastAsia" w:ascii="仿宋_GB2312" w:hAnsi="仿宋_GB2312" w:eastAsia="仿宋_GB2312" w:cs="仿宋_GB2312"/>
          <w:color w:val="auto"/>
          <w:sz w:val="32"/>
          <w:szCs w:val="32"/>
          <w:lang w:eastAsia="zh-CN"/>
        </w:rPr>
        <w:t>报废</w:t>
      </w:r>
      <w:r>
        <w:rPr>
          <w:rFonts w:hint="eastAsia" w:ascii="仿宋_GB2312" w:hAnsi="仿宋_GB2312" w:eastAsia="仿宋_GB2312" w:cs="仿宋_GB2312"/>
          <w:color w:val="auto"/>
          <w:sz w:val="32"/>
          <w:szCs w:val="32"/>
        </w:rPr>
        <w:t>4辆公务用车，</w:t>
      </w:r>
      <w:r>
        <w:rPr>
          <w:rFonts w:hint="eastAsia" w:ascii="仿宋_GB2312" w:hAnsi="仿宋_GB2312" w:eastAsia="仿宋_GB2312" w:cs="仿宋_GB2312"/>
          <w:color w:val="auto"/>
          <w:sz w:val="32"/>
          <w:szCs w:val="32"/>
          <w:lang w:eastAsia="zh-CN"/>
        </w:rPr>
        <w:t>运行</w:t>
      </w:r>
      <w:r>
        <w:rPr>
          <w:rFonts w:hint="eastAsia" w:ascii="仿宋_GB2312" w:hAnsi="仿宋_GB2312" w:eastAsia="仿宋_GB2312" w:cs="仿宋_GB2312"/>
          <w:color w:val="auto"/>
          <w:sz w:val="32"/>
          <w:szCs w:val="32"/>
        </w:rPr>
        <w:t>维护费减少。</w:t>
      </w:r>
    </w:p>
    <w:p>
      <w:pPr>
        <w:spacing w:line="576"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单位现有公务用车25辆，其中：轿车20辆，旅行车（含商务车）4辆，越野车1辆。</w:t>
      </w:r>
    </w:p>
    <w:p>
      <w:pPr>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2024年</w:t>
      </w:r>
      <w:r>
        <w:rPr>
          <w:rFonts w:hint="eastAsia" w:ascii="仿宋_GB2312" w:hAnsi="仿宋_GB2312" w:eastAsia="仿宋_GB2312" w:cs="仿宋_GB2312"/>
          <w:color w:val="auto"/>
          <w:sz w:val="32"/>
          <w:szCs w:val="32"/>
          <w:lang w:eastAsia="zh-CN"/>
        </w:rPr>
        <w:t>未安排</w:t>
      </w:r>
      <w:r>
        <w:rPr>
          <w:rFonts w:hint="eastAsia" w:ascii="仿宋_GB2312" w:hAnsi="仿宋_GB2312" w:eastAsia="仿宋_GB2312" w:cs="仿宋_GB2312"/>
          <w:color w:val="auto"/>
          <w:sz w:val="32"/>
          <w:szCs w:val="32"/>
        </w:rPr>
        <w:t>公务用车购置费</w:t>
      </w:r>
      <w:r>
        <w:rPr>
          <w:rFonts w:hint="eastAsia" w:ascii="仿宋_GB2312" w:hAnsi="仿宋_GB2312" w:eastAsia="仿宋_GB2312" w:cs="仿宋_GB2312"/>
          <w:color w:val="auto"/>
          <w:sz w:val="32"/>
          <w:szCs w:val="32"/>
          <w:lang w:eastAsia="zh-CN"/>
        </w:rPr>
        <w:t>。</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2024年安排公务用车运行维护费33万元，用于25辆公务用车燃油、过路（桥）、维修、保险等方面支出，主要保障部门办案、工作调研、乡村振兴等工作开展。</w:t>
      </w:r>
    </w:p>
    <w:p>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6" w:name="_Toc1315823170"/>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widowControl/>
        <w:shd w:val="clear" w:color="auto" w:fill="FFFFFF"/>
        <w:spacing w:line="576" w:lineRule="exact"/>
        <w:ind w:firstLine="640" w:firstLineChars="200"/>
        <w:rPr>
          <w:rFonts w:hint="eastAsia" w:ascii="仿宋_GB2312" w:hAnsi="Times New Roman" w:eastAsia="仿宋_GB2312" w:cs="仿宋_GB2312"/>
          <w:b/>
          <w:bCs/>
          <w:color w:val="7030A0"/>
          <w:kern w:val="0"/>
          <w:sz w:val="32"/>
          <w:szCs w:val="32"/>
          <w:shd w:val="clear" w:color="auto" w:fill="FFFFFF"/>
          <w:lang w:eastAsia="zh-CN"/>
        </w:rPr>
      </w:pPr>
      <w:r>
        <w:rPr>
          <w:rFonts w:hint="eastAsia" w:ascii="仿宋_GB2312" w:hAnsi="仿宋_GB2312" w:eastAsia="仿宋_GB2312" w:cs="仿宋_GB2312"/>
          <w:sz w:val="32"/>
          <w:szCs w:val="32"/>
          <w:lang w:val="en-US" w:eastAsia="zh-CN"/>
        </w:rPr>
        <w:t>2024年部门预算未编列</w:t>
      </w:r>
      <w:r>
        <w:rPr>
          <w:rFonts w:hint="eastAsia" w:ascii="仿宋_GB2312" w:hAnsi="仿宋_GB2312" w:eastAsia="仿宋_GB2312" w:cs="仿宋_GB2312"/>
          <w:sz w:val="32"/>
          <w:szCs w:val="32"/>
        </w:rPr>
        <w:t>因公出国（境）经费</w:t>
      </w:r>
      <w:r>
        <w:rPr>
          <w:rFonts w:hint="eastAsia" w:ascii="仿宋_GB2312" w:hAnsi="仿宋_GB2312" w:eastAsia="仿宋_GB2312" w:cs="仿宋_GB2312"/>
          <w:sz w:val="32"/>
          <w:szCs w:val="32"/>
          <w:lang w:eastAsia="zh-CN"/>
        </w:rPr>
        <w:t>，未安排出国</w:t>
      </w:r>
      <w:r>
        <w:rPr>
          <w:rFonts w:hint="eastAsia" w:ascii="仿宋_GB2312" w:hAnsi="仿宋_GB2312" w:eastAsia="仿宋_GB2312" w:cs="仿宋_GB2312"/>
          <w:sz w:val="32"/>
          <w:szCs w:val="32"/>
          <w:lang w:val="en-US" w:eastAsia="zh-CN"/>
        </w:rPr>
        <w:t>（出境）任务和计划。因公出国（境）经费与2023年预算相比持平。</w:t>
      </w:r>
    </w:p>
    <w:p>
      <w:pPr>
        <w:spacing w:line="576" w:lineRule="exact"/>
        <w:ind w:firstLine="640" w:firstLineChars="200"/>
        <w:outlineLvl w:val="0"/>
        <w:rPr>
          <w:rFonts w:ascii="黑体" w:hAnsi="黑体" w:eastAsia="黑体" w:cs="黑体"/>
          <w:sz w:val="32"/>
          <w:szCs w:val="32"/>
        </w:rPr>
      </w:pPr>
      <w:bookmarkStart w:id="17" w:name="_Toc891657590"/>
      <w:r>
        <w:rPr>
          <w:rFonts w:hint="eastAsia" w:ascii="黑体" w:hAnsi="黑体" w:eastAsia="黑体" w:cs="黑体"/>
          <w:sz w:val="32"/>
          <w:szCs w:val="32"/>
        </w:rPr>
        <w:t>八、政府性基金预算支出情况说明</w:t>
      </w:r>
      <w:bookmarkEnd w:id="17"/>
    </w:p>
    <w:p>
      <w:pPr>
        <w:widowControl/>
        <w:shd w:val="clear" w:color="auto" w:fill="FFFFFF"/>
        <w:spacing w:line="580" w:lineRule="atLeast"/>
        <w:ind w:firstLine="668"/>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苍溪县人民法院2024年无政府性基金预算拨款安排的支出。</w:t>
      </w:r>
    </w:p>
    <w:p>
      <w:pPr>
        <w:spacing w:line="576" w:lineRule="exact"/>
        <w:ind w:firstLine="640" w:firstLineChars="200"/>
        <w:outlineLvl w:val="0"/>
        <w:rPr>
          <w:rFonts w:ascii="黑体" w:hAnsi="黑体" w:eastAsia="黑体" w:cs="黑体"/>
          <w:sz w:val="32"/>
          <w:szCs w:val="32"/>
        </w:rPr>
      </w:pPr>
      <w:bookmarkStart w:id="18" w:name="_Toc644951381"/>
      <w:r>
        <w:rPr>
          <w:rFonts w:hint="eastAsia" w:ascii="黑体" w:hAnsi="黑体" w:eastAsia="黑体" w:cs="黑体"/>
          <w:sz w:val="32"/>
          <w:szCs w:val="32"/>
        </w:rPr>
        <w:t>九、国有资本经营预算支出情况说明</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苍溪县人民法院2024年无国有资本经营预算拨款安排的支出。</w:t>
      </w:r>
    </w:p>
    <w:p>
      <w:pPr>
        <w:spacing w:line="576" w:lineRule="exact"/>
        <w:ind w:firstLine="640" w:firstLineChars="200"/>
        <w:outlineLvl w:val="0"/>
        <w:rPr>
          <w:rFonts w:ascii="黑体" w:hAnsi="黑体" w:eastAsia="黑体" w:cs="黑体"/>
          <w:sz w:val="32"/>
          <w:szCs w:val="32"/>
        </w:rPr>
      </w:pPr>
      <w:bookmarkStart w:id="19" w:name="_Toc1616063597"/>
      <w:r>
        <w:rPr>
          <w:rFonts w:hint="eastAsia" w:ascii="黑体" w:hAnsi="黑体" w:eastAsia="黑体" w:cs="黑体"/>
          <w:sz w:val="32"/>
          <w:szCs w:val="32"/>
        </w:rPr>
        <w:t>十、其他重要事项的情况说明</w:t>
      </w:r>
      <w:bookmarkEnd w:id="19"/>
    </w:p>
    <w:p>
      <w:pPr>
        <w:spacing w:line="576" w:lineRule="exact"/>
        <w:ind w:firstLine="640" w:firstLineChars="200"/>
        <w:outlineLvl w:val="1"/>
        <w:rPr>
          <w:rFonts w:hint="eastAsia" w:ascii="楷体_GB2312" w:hAnsi="楷体_GB2312" w:eastAsia="楷体_GB2312" w:cs="楷体_GB2312"/>
          <w:sz w:val="32"/>
          <w:szCs w:val="32"/>
        </w:rPr>
      </w:pPr>
      <w:bookmarkStart w:id="20" w:name="_Toc1008934072"/>
      <w:r>
        <w:rPr>
          <w:rFonts w:hint="eastAsia" w:ascii="楷体_GB2312" w:hAnsi="楷体_GB2312" w:eastAsia="楷体_GB2312" w:cs="楷体_GB2312"/>
          <w:sz w:val="32"/>
          <w:szCs w:val="32"/>
        </w:rPr>
        <w:t>（一）机关运行经费</w:t>
      </w:r>
      <w:bookmarkEnd w:id="20"/>
    </w:p>
    <w:p>
      <w:pPr>
        <w:spacing w:line="576" w:lineRule="exact"/>
        <w:ind w:firstLine="640" w:firstLineChars="200"/>
        <w:rPr>
          <w:rFonts w:hint="eastAsia" w:ascii="仿宋_GB2312" w:hAnsi="Times New Roman" w:eastAsia="仿宋_GB2312" w:cs="仿宋_GB2312"/>
          <w:color w:val="auto"/>
          <w:kern w:val="0"/>
          <w:sz w:val="32"/>
          <w:szCs w:val="32"/>
          <w:shd w:val="clear" w:color="auto" w:fill="FFFFFF"/>
        </w:rPr>
      </w:pPr>
      <w:r>
        <w:rPr>
          <w:rFonts w:hint="eastAsia" w:ascii="仿宋_GB2312" w:hAnsi="仿宋_GB2312" w:eastAsia="仿宋_GB2312" w:cs="仿宋_GB2312"/>
          <w:color w:val="auto"/>
          <w:sz w:val="32"/>
          <w:szCs w:val="32"/>
        </w:rPr>
        <w:t>2024年，</w:t>
      </w:r>
      <w:r>
        <w:rPr>
          <w:rFonts w:hint="eastAsia" w:ascii="仿宋_GB2312" w:hAnsi="Times New Roman" w:eastAsia="仿宋_GB2312" w:cs="仿宋_GB2312"/>
          <w:color w:val="auto"/>
          <w:kern w:val="0"/>
          <w:sz w:val="32"/>
          <w:szCs w:val="32"/>
          <w:shd w:val="clear" w:color="auto" w:fill="FFFFFF"/>
        </w:rPr>
        <w:t>苍溪县人民法院机关运行经费财政拨款预算为276.12万元，比2023年预算增加</w:t>
      </w:r>
      <w:r>
        <w:rPr>
          <w:rFonts w:hint="eastAsia" w:ascii="宋体" w:hAnsi="宋体" w:cs="宋体"/>
          <w:color w:val="auto"/>
          <w:kern w:val="0"/>
          <w:sz w:val="28"/>
          <w:szCs w:val="28"/>
          <w:shd w:val="clear" w:color="auto" w:fill="FFFFFF"/>
        </w:rPr>
        <w:t>7.59</w:t>
      </w:r>
      <w:r>
        <w:rPr>
          <w:rFonts w:hint="eastAsia" w:ascii="仿宋_GB2312" w:hAnsi="Times New Roman" w:eastAsia="仿宋_GB2312" w:cs="仿宋_GB2312"/>
          <w:color w:val="auto"/>
          <w:kern w:val="0"/>
          <w:sz w:val="32"/>
          <w:szCs w:val="32"/>
          <w:shd w:val="clear" w:color="auto" w:fill="FFFFFF"/>
        </w:rPr>
        <w:t>万元，增长</w:t>
      </w:r>
      <w:r>
        <w:rPr>
          <w:rFonts w:hint="eastAsia" w:ascii="仿宋_GB2312" w:hAnsi="Times New Roman" w:eastAsia="仿宋_GB2312" w:cs="仿宋_GB2312"/>
          <w:color w:val="auto"/>
          <w:kern w:val="0"/>
          <w:sz w:val="32"/>
          <w:szCs w:val="32"/>
          <w:shd w:val="clear" w:color="auto" w:fill="FFFFFF"/>
          <w:lang w:val="en-US" w:eastAsia="zh-CN"/>
        </w:rPr>
        <w:t>2.83</w:t>
      </w:r>
      <w:r>
        <w:rPr>
          <w:rFonts w:hint="eastAsia" w:ascii="仿宋_GB2312" w:hAnsi="Times New Roman" w:eastAsia="仿宋_GB2312" w:cs="仿宋_GB2312"/>
          <w:color w:val="auto"/>
          <w:kern w:val="0"/>
          <w:sz w:val="32"/>
          <w:szCs w:val="32"/>
          <w:shd w:val="clear" w:color="auto" w:fill="FFFFFF"/>
        </w:rPr>
        <w:t>%。主要</w:t>
      </w:r>
      <w:r>
        <w:rPr>
          <w:rFonts w:hint="eastAsia" w:ascii="仿宋_GB2312" w:hAnsi="Times New Roman" w:eastAsia="仿宋_GB2312" w:cs="仿宋_GB2312"/>
          <w:color w:val="auto"/>
          <w:kern w:val="0"/>
          <w:sz w:val="32"/>
          <w:szCs w:val="32"/>
          <w:shd w:val="clear" w:color="auto" w:fill="FFFFFF"/>
          <w:lang w:eastAsia="zh-CN"/>
        </w:rPr>
        <w:t>原因</w:t>
      </w:r>
      <w:r>
        <w:rPr>
          <w:rFonts w:hint="eastAsia" w:ascii="仿宋_GB2312" w:hAnsi="Times New Roman" w:eastAsia="仿宋_GB2312" w:cs="仿宋_GB2312"/>
          <w:color w:val="auto"/>
          <w:kern w:val="0"/>
          <w:sz w:val="32"/>
          <w:szCs w:val="32"/>
          <w:shd w:val="clear" w:color="auto" w:fill="FFFFFF"/>
        </w:rPr>
        <w:t>人员增</w:t>
      </w:r>
      <w:r>
        <w:rPr>
          <w:rFonts w:hint="eastAsia" w:ascii="仿宋_GB2312" w:hAnsi="Times New Roman" w:eastAsia="仿宋_GB2312" w:cs="仿宋_GB2312"/>
          <w:color w:val="auto"/>
          <w:kern w:val="0"/>
          <w:sz w:val="32"/>
          <w:szCs w:val="32"/>
          <w:shd w:val="clear" w:color="auto" w:fill="FFFFFF"/>
          <w:lang w:eastAsia="zh-CN"/>
        </w:rPr>
        <w:t>加</w:t>
      </w:r>
      <w:r>
        <w:rPr>
          <w:rFonts w:hint="eastAsia" w:ascii="仿宋_GB2312" w:hAnsi="Times New Roman" w:eastAsia="仿宋_GB2312" w:cs="仿宋_GB2312"/>
          <w:color w:val="auto"/>
          <w:kern w:val="0"/>
          <w:sz w:val="32"/>
          <w:szCs w:val="32"/>
          <w:shd w:val="clear" w:color="auto" w:fill="FFFFFF"/>
        </w:rPr>
        <w:t>，</w:t>
      </w:r>
      <w:r>
        <w:rPr>
          <w:rFonts w:hint="eastAsia" w:ascii="仿宋_GB2312" w:hAnsi="Times New Roman" w:eastAsia="仿宋_GB2312" w:cs="仿宋_GB2312"/>
          <w:color w:val="auto"/>
          <w:kern w:val="0"/>
          <w:sz w:val="32"/>
          <w:szCs w:val="32"/>
          <w:shd w:val="clear" w:color="auto" w:fill="FFFFFF"/>
          <w:lang w:eastAsia="zh-CN"/>
        </w:rPr>
        <w:t>运行经费增加</w:t>
      </w:r>
      <w:r>
        <w:rPr>
          <w:rFonts w:hint="eastAsia" w:ascii="仿宋_GB2312" w:hAnsi="Times New Roman" w:eastAsia="仿宋_GB2312" w:cs="仿宋_GB2312"/>
          <w:color w:val="auto"/>
          <w:kern w:val="0"/>
          <w:sz w:val="32"/>
          <w:szCs w:val="32"/>
          <w:shd w:val="clear" w:color="auto" w:fill="FFFFFF"/>
        </w:rPr>
        <w:t>。</w:t>
      </w:r>
    </w:p>
    <w:p>
      <w:pPr>
        <w:spacing w:line="576" w:lineRule="exact"/>
        <w:ind w:firstLine="640" w:firstLineChars="200"/>
        <w:outlineLvl w:val="1"/>
        <w:rPr>
          <w:rFonts w:ascii="楷体_GB2312" w:hAnsi="楷体_GB2312" w:eastAsia="楷体_GB2312" w:cs="楷体_GB2312"/>
          <w:color w:val="auto"/>
          <w:sz w:val="32"/>
          <w:szCs w:val="32"/>
        </w:rPr>
      </w:pPr>
      <w:bookmarkStart w:id="21" w:name="_Toc1549224606"/>
      <w:r>
        <w:rPr>
          <w:rFonts w:hint="eastAsia" w:ascii="楷体_GB2312" w:hAnsi="楷体_GB2312" w:eastAsia="楷体_GB2312" w:cs="楷体_GB2312"/>
          <w:color w:val="auto"/>
          <w:sz w:val="32"/>
          <w:szCs w:val="32"/>
        </w:rPr>
        <w:t>（二）政府采购情况</w:t>
      </w:r>
      <w:bookmarkEnd w:id="21"/>
    </w:p>
    <w:p>
      <w:pPr>
        <w:widowControl/>
        <w:shd w:val="clear" w:color="auto" w:fill="FFFFFF"/>
        <w:spacing w:line="580" w:lineRule="atLeast"/>
        <w:ind w:firstLine="671"/>
        <w:rPr>
          <w:rFonts w:hint="eastAsia" w:ascii="仿宋_GB2312" w:hAnsi="Times New Roman" w:eastAsia="仿宋_GB2312" w:cs="仿宋_GB2312"/>
          <w:color w:val="auto"/>
          <w:kern w:val="0"/>
          <w:sz w:val="32"/>
          <w:szCs w:val="32"/>
          <w:shd w:val="clear" w:color="auto" w:fill="FFFFFF"/>
        </w:rPr>
      </w:pPr>
      <w:r>
        <w:rPr>
          <w:rFonts w:hint="eastAsia" w:ascii="仿宋_GB2312" w:hAnsi="Times New Roman" w:eastAsia="仿宋_GB2312" w:cs="仿宋_GB2312"/>
          <w:color w:val="auto"/>
          <w:kern w:val="0"/>
          <w:sz w:val="32"/>
          <w:szCs w:val="32"/>
          <w:shd w:val="clear" w:color="auto" w:fill="FFFFFF"/>
        </w:rPr>
        <w:t>2024年，苍溪县人民法院</w:t>
      </w:r>
      <w:r>
        <w:rPr>
          <w:rFonts w:hint="eastAsia" w:ascii="仿宋_GB2312" w:hAnsi="Times New Roman" w:eastAsia="仿宋_GB2312" w:cs="仿宋_GB2312"/>
          <w:color w:val="auto"/>
          <w:kern w:val="0"/>
          <w:sz w:val="32"/>
          <w:szCs w:val="32"/>
          <w:shd w:val="clear" w:color="auto" w:fill="FFFFFF"/>
          <w:lang w:eastAsia="zh-CN"/>
        </w:rPr>
        <w:t>安排政府采购预算</w:t>
      </w:r>
      <w:r>
        <w:rPr>
          <w:rFonts w:hint="eastAsia" w:ascii="仿宋_GB2312" w:hAnsi="Times New Roman" w:eastAsia="仿宋_GB2312" w:cs="仿宋_GB2312"/>
          <w:color w:val="auto"/>
          <w:kern w:val="0"/>
          <w:sz w:val="32"/>
          <w:szCs w:val="32"/>
          <w:shd w:val="clear" w:color="auto" w:fill="FFFFFF"/>
          <w:lang w:val="en-US" w:eastAsia="zh-CN"/>
        </w:rPr>
        <w:t>185万元，其中：</w:t>
      </w:r>
      <w:r>
        <w:rPr>
          <w:rFonts w:hint="eastAsia" w:ascii="仿宋_GB2312" w:hAnsi="Times New Roman" w:eastAsia="仿宋_GB2312" w:cs="仿宋_GB2312"/>
          <w:color w:val="auto"/>
          <w:kern w:val="0"/>
          <w:sz w:val="32"/>
          <w:szCs w:val="32"/>
          <w:shd w:val="clear" w:color="auto" w:fill="FFFFFF"/>
        </w:rPr>
        <w:t>政府采购</w:t>
      </w:r>
      <w:r>
        <w:rPr>
          <w:rFonts w:hint="eastAsia" w:ascii="仿宋_GB2312" w:hAnsi="Times New Roman" w:eastAsia="仿宋_GB2312" w:cs="仿宋_GB2312"/>
          <w:color w:val="auto"/>
          <w:kern w:val="0"/>
          <w:sz w:val="32"/>
          <w:szCs w:val="32"/>
          <w:shd w:val="clear" w:color="auto" w:fill="FFFFFF"/>
          <w:lang w:eastAsia="zh-CN"/>
        </w:rPr>
        <w:t>服务</w:t>
      </w:r>
      <w:r>
        <w:rPr>
          <w:rFonts w:hint="eastAsia" w:ascii="仿宋_GB2312" w:hAnsi="Times New Roman" w:eastAsia="仿宋_GB2312" w:cs="仿宋_GB2312"/>
          <w:color w:val="auto"/>
          <w:kern w:val="0"/>
          <w:sz w:val="32"/>
          <w:szCs w:val="32"/>
          <w:shd w:val="clear" w:color="auto" w:fill="FFFFFF"/>
        </w:rPr>
        <w:t>预算</w:t>
      </w:r>
      <w:r>
        <w:rPr>
          <w:rFonts w:hint="eastAsia" w:ascii="仿宋_GB2312" w:hAnsi="Times New Roman" w:eastAsia="仿宋_GB2312" w:cs="仿宋_GB2312"/>
          <w:color w:val="auto"/>
          <w:kern w:val="0"/>
          <w:sz w:val="32"/>
          <w:szCs w:val="32"/>
          <w:shd w:val="clear" w:color="auto" w:fill="FFFFFF"/>
          <w:lang w:val="en-US" w:eastAsia="zh-CN"/>
        </w:rPr>
        <w:t>185万元</w:t>
      </w:r>
      <w:r>
        <w:rPr>
          <w:rFonts w:hint="eastAsia" w:ascii="仿宋_GB2312" w:hAnsi="Times New Roman" w:eastAsia="仿宋_GB2312" w:cs="仿宋_GB2312"/>
          <w:color w:val="auto"/>
          <w:kern w:val="0"/>
          <w:sz w:val="32"/>
          <w:szCs w:val="32"/>
          <w:shd w:val="clear" w:color="auto" w:fill="FFFFFF"/>
        </w:rPr>
        <w:t>。</w:t>
      </w:r>
    </w:p>
    <w:p>
      <w:pPr>
        <w:spacing w:line="576" w:lineRule="exact"/>
        <w:ind w:firstLine="640" w:firstLineChars="200"/>
        <w:outlineLvl w:val="1"/>
        <w:rPr>
          <w:rFonts w:ascii="楷体_GB2312" w:hAnsi="楷体_GB2312" w:eastAsia="楷体_GB2312" w:cs="楷体_GB2312"/>
          <w:sz w:val="32"/>
          <w:szCs w:val="32"/>
        </w:rPr>
      </w:pPr>
      <w:bookmarkStart w:id="22" w:name="_Toc91517133"/>
      <w:r>
        <w:rPr>
          <w:rFonts w:hint="eastAsia" w:ascii="楷体_GB2312" w:hAnsi="楷体_GB2312" w:eastAsia="楷体_GB2312" w:cs="楷体_GB2312"/>
          <w:sz w:val="32"/>
          <w:szCs w:val="32"/>
        </w:rPr>
        <w:t>（三）国有资产占有使用情况</w:t>
      </w:r>
      <w:bookmarkEnd w:id="22"/>
    </w:p>
    <w:p>
      <w:pPr>
        <w:spacing w:line="576"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截至2023年底，苍溪县人民法院单位共有车辆25辆，其中，执法执勤用车25辆。单位</w:t>
      </w:r>
      <w:r>
        <w:rPr>
          <w:rFonts w:hint="eastAsia" w:ascii="仿宋_GB2312" w:hAnsi="仿宋_GB2312" w:eastAsia="仿宋_GB2312" w:cs="仿宋_GB2312"/>
          <w:color w:val="auto"/>
          <w:sz w:val="32"/>
          <w:szCs w:val="32"/>
          <w:lang w:eastAsia="zh-CN"/>
        </w:rPr>
        <w:t>无</w:t>
      </w:r>
      <w:r>
        <w:rPr>
          <w:rFonts w:hint="eastAsia" w:ascii="仿宋_GB2312" w:hAnsi="仿宋_GB2312" w:eastAsia="仿宋_GB2312" w:cs="仿宋_GB2312"/>
          <w:color w:val="auto"/>
          <w:sz w:val="32"/>
          <w:szCs w:val="32"/>
        </w:rPr>
        <w:t>价值</w:t>
      </w:r>
      <w:r>
        <w:rPr>
          <w:rFonts w:hint="eastAsia" w:ascii="仿宋_GB2312" w:hAnsi="仿宋_GB2312" w:eastAsia="仿宋_GB2312" w:cs="仿宋_GB2312"/>
          <w:color w:val="auto"/>
          <w:sz w:val="32"/>
          <w:szCs w:val="32"/>
          <w:lang w:val="en-US" w:eastAsia="zh-CN"/>
        </w:rPr>
        <w:t>200</w:t>
      </w:r>
      <w:r>
        <w:rPr>
          <w:rFonts w:hint="eastAsia" w:ascii="仿宋_GB2312" w:hAnsi="仿宋_GB2312" w:eastAsia="仿宋_GB2312" w:cs="仿宋_GB2312"/>
          <w:color w:val="auto"/>
          <w:sz w:val="32"/>
          <w:szCs w:val="32"/>
        </w:rPr>
        <w:t>万元以上大型设备。</w:t>
      </w:r>
    </w:p>
    <w:p>
      <w:pPr>
        <w:spacing w:line="576"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2024年部门预算未安排购置车辆及单位价值200万元以上大型设备。</w:t>
      </w:r>
    </w:p>
    <w:p>
      <w:pPr>
        <w:spacing w:line="576" w:lineRule="exact"/>
        <w:ind w:firstLine="640" w:firstLineChars="200"/>
        <w:outlineLvl w:val="1"/>
        <w:rPr>
          <w:rFonts w:ascii="楷体_GB2312" w:hAnsi="楷体_GB2312" w:eastAsia="楷体_GB2312" w:cs="楷体_GB2312"/>
          <w:color w:val="auto"/>
          <w:sz w:val="32"/>
          <w:szCs w:val="32"/>
        </w:rPr>
      </w:pPr>
      <w:bookmarkStart w:id="23" w:name="_Toc2133979278"/>
      <w:r>
        <w:rPr>
          <w:rFonts w:hint="eastAsia" w:ascii="楷体_GB2312" w:hAnsi="楷体_GB2312" w:eastAsia="楷体_GB2312" w:cs="楷体_GB2312"/>
          <w:color w:val="auto"/>
          <w:sz w:val="32"/>
          <w:szCs w:val="32"/>
        </w:rPr>
        <w:t>（四）绩效目标设置情况</w:t>
      </w:r>
      <w:bookmarkEnd w:id="23"/>
    </w:p>
    <w:p>
      <w:pPr>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2024年苍溪县人民法院单位开展绩效目标管理的项目10个，涉及预算2183.01万元。其中：人员类项目4个，涉及预算1539.3</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万元；运转类项目3个，涉及预算276.1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特定目标类项目3个，涉及预算367.5</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p>
    <w:p>
      <w:pPr>
        <w:spacing w:line="576" w:lineRule="exact"/>
        <w:ind w:firstLine="640" w:firstLineChars="200"/>
        <w:outlineLvl w:val="0"/>
        <w:rPr>
          <w:rFonts w:ascii="黑体" w:hAnsi="黑体" w:eastAsia="黑体" w:cs="黑体"/>
          <w:sz w:val="32"/>
          <w:szCs w:val="32"/>
        </w:rPr>
      </w:pPr>
      <w:bookmarkStart w:id="24" w:name="_Toc823005529"/>
      <w:r>
        <w:rPr>
          <w:rFonts w:hint="eastAsia" w:ascii="黑体" w:hAnsi="黑体" w:eastAsia="黑体" w:cs="黑体"/>
          <w:sz w:val="32"/>
          <w:szCs w:val="32"/>
        </w:rPr>
        <w:t>十一、名词解释</w:t>
      </w:r>
      <w:bookmarkEnd w:id="24"/>
    </w:p>
    <w:p>
      <w:pPr>
        <w:spacing w:line="576"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eastAsia="zh-CN"/>
        </w:rPr>
        <w:t>财政</w:t>
      </w:r>
      <w:r>
        <w:rPr>
          <w:rFonts w:hint="eastAsia" w:ascii="楷体_GB2312" w:hAnsi="楷体_GB2312" w:eastAsia="楷体_GB2312" w:cs="楷体_GB2312"/>
          <w:color w:val="auto"/>
          <w:sz w:val="32"/>
          <w:szCs w:val="32"/>
        </w:rPr>
        <w:t>拨款收入</w:t>
      </w:r>
      <w:r>
        <w:rPr>
          <w:rFonts w:hint="eastAsia" w:ascii="楷体_GB2312" w:hAnsi="楷体_GB2312" w:eastAsia="楷体_GB2312" w:cs="楷体_GB2312"/>
          <w:color w:val="auto"/>
          <w:sz w:val="32"/>
          <w:szCs w:val="32"/>
          <w:lang w:eastAsia="zh-CN"/>
        </w:rPr>
        <w:t>：</w:t>
      </w:r>
      <w:r>
        <w:rPr>
          <w:rFonts w:hint="eastAsia" w:ascii="仿宋_GB2312" w:hAnsi="仿宋_GB2312" w:eastAsia="仿宋_GB2312" w:cs="仿宋_GB2312"/>
          <w:color w:val="auto"/>
          <w:sz w:val="32"/>
          <w:szCs w:val="32"/>
          <w:lang w:eastAsia="zh-CN"/>
        </w:rPr>
        <w:t>指市财政当年安排的财政预算收入。按现行管理制度，部门预算中反映的财政</w:t>
      </w:r>
      <w:bookmarkStart w:id="25" w:name="_GoBack"/>
      <w:bookmarkEnd w:id="25"/>
      <w:r>
        <w:rPr>
          <w:rFonts w:hint="eastAsia" w:ascii="仿宋_GB2312" w:hAnsi="仿宋_GB2312" w:eastAsia="仿宋_GB2312" w:cs="仿宋_GB2312"/>
          <w:color w:val="auto"/>
          <w:sz w:val="32"/>
          <w:szCs w:val="32"/>
          <w:lang w:eastAsia="zh-CN"/>
        </w:rPr>
        <w:t>拨款包括一般公共预算拨款和政府性基金预算拨款。</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（二）公共安全（类）法院（款）行政运行（项）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指法院机关及参公管理事业单位用于保障机构正常运行、开展日常工作的基本支出。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（三）公共安全（类）法院（款）案件审判（项）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指法院机关用于开展案件审判工作的项目支出。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（四）公共安全（类）法院（款）案件执行（项）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指法院机关用于开展案件执行工作的项目支出。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（五）社会保障和就业（类）行政事业单</w:t>
      </w:r>
      <w:r>
        <w:rPr>
          <w:rFonts w:hint="eastAsia" w:ascii="楷体_GB2312" w:hAnsi="楷体_GB2312" w:eastAsia="楷体_GB2312" w:cs="楷体_GB2312"/>
          <w:sz w:val="32"/>
          <w:szCs w:val="32"/>
          <w:lang w:eastAsia="zh-CN"/>
        </w:rPr>
        <w:t>养老支出</w:t>
      </w:r>
      <w:r>
        <w:rPr>
          <w:rFonts w:hint="eastAsia" w:ascii="楷体_GB2312" w:hAnsi="楷体_GB2312" w:eastAsia="楷体_GB2312" w:cs="楷体_GB2312"/>
          <w:sz w:val="32"/>
          <w:szCs w:val="32"/>
        </w:rPr>
        <w:t>（款）机关事业单位基本养老保险缴费支出（项）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指部门实施养老保险制度由单位缴纳的养老保险费的支出。</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（六）卫生健康（类）行政事业单位医疗（款）行政单位医疗（项）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指机关及参公管理事业单位用于</w:t>
      </w:r>
      <w:r>
        <w:rPr>
          <w:rFonts w:hint="eastAsia" w:ascii="仿宋_GB2312" w:hAnsi="仿宋_GB2312" w:eastAsia="仿宋_GB2312" w:cs="仿宋_GB2312"/>
          <w:sz w:val="32"/>
          <w:szCs w:val="32"/>
          <w:lang w:eastAsia="zh-CN"/>
        </w:rPr>
        <w:t>单位应</w:t>
      </w:r>
      <w:r>
        <w:rPr>
          <w:rFonts w:hint="eastAsia" w:ascii="仿宋_GB2312" w:hAnsi="仿宋_GB2312" w:eastAsia="仿宋_GB2312" w:cs="仿宋_GB2312"/>
          <w:sz w:val="32"/>
          <w:szCs w:val="32"/>
        </w:rPr>
        <w:t>缴纳基本医疗保险支出。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（七）住房保障（类）住房改革支出（款）住房公积金（项）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指按照《住房公积金管理条例》的规定，由单位及其在职职工缴存的长期住房储金。</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（八）基本支出</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指为保证机构正常运转，完成日常工作任务而发生的人员支出和公用支出。</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（九）项目支出</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指在基本支出之外为完成特定行政任务和事业发展目标所发生的支出</w:t>
      </w:r>
      <w:r>
        <w:rPr>
          <w:rFonts w:hint="eastAsia" w:ascii="楷体_GB2312" w:hAnsi="楷体_GB2312" w:eastAsia="楷体_GB2312" w:cs="楷体_GB2312"/>
          <w:sz w:val="32"/>
          <w:szCs w:val="32"/>
        </w:rPr>
        <w:t>。</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（十）“三公”经费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color w:val="auto"/>
          <w:sz w:val="32"/>
          <w:szCs w:val="32"/>
          <w:highlight w:val="none"/>
        </w:rPr>
        <w:t>纳入</w:t>
      </w:r>
      <w:r>
        <w:rPr>
          <w:rFonts w:hint="eastAsia" w:ascii="仿宋_GB2312" w:hAnsi="仿宋_GB2312" w:eastAsia="仿宋_GB2312" w:cs="仿宋_GB2312"/>
          <w:color w:val="auto"/>
          <w:sz w:val="32"/>
          <w:szCs w:val="32"/>
          <w:highlight w:val="none"/>
          <w:lang w:eastAsia="zh-CN"/>
        </w:rPr>
        <w:t>市级财政</w:t>
      </w:r>
      <w:r>
        <w:rPr>
          <w:rFonts w:hint="eastAsia" w:ascii="仿宋_GB2312" w:hAnsi="仿宋_GB2312" w:eastAsia="仿宋_GB2312" w:cs="仿宋_GB2312"/>
          <w:color w:val="auto"/>
          <w:sz w:val="32"/>
          <w:szCs w:val="32"/>
          <w:highlight w:val="none"/>
        </w:rPr>
        <w:t>预算管理的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三公”经费，是指部门用财政拨款安排的因公出国（境）费用、公务用车购置及运行费和公务接待费。其中，因公出国（境）费用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w:t>
      </w:r>
      <w:r>
        <w:rPr>
          <w:rFonts w:hint="eastAsia" w:ascii="仿宋_GB2312" w:hAnsi="仿宋_GB2312" w:eastAsia="仿宋_GB2312" w:cs="仿宋_GB2312"/>
          <w:sz w:val="32"/>
          <w:szCs w:val="32"/>
          <w:lang w:eastAsia="zh-CN"/>
        </w:rPr>
        <w:t>（含外宾接待）</w:t>
      </w:r>
      <w:r>
        <w:rPr>
          <w:rFonts w:hint="eastAsia" w:ascii="仿宋_GB2312" w:hAnsi="仿宋_GB2312" w:eastAsia="仿宋_GB2312" w:cs="仿宋_GB2312"/>
          <w:sz w:val="32"/>
          <w:szCs w:val="32"/>
        </w:rPr>
        <w:t>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（十一）机关运行经费</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w:t>
      </w:r>
      <w:r>
        <w:rPr>
          <w:rFonts w:hint="eastAsia" w:ascii="仿宋_GB2312" w:hAnsi="仿宋_GB2312" w:eastAsia="仿宋_GB2312" w:cs="仿宋_GB2312"/>
          <w:sz w:val="32"/>
          <w:szCs w:val="32"/>
          <w:lang w:eastAsia="zh-CN"/>
        </w:rPr>
        <w:t>培训费、</w:t>
      </w:r>
      <w:r>
        <w:rPr>
          <w:rFonts w:hint="eastAsia" w:ascii="仿宋_GB2312" w:hAnsi="仿宋_GB2312" w:eastAsia="仿宋_GB2312" w:cs="仿宋_GB2312"/>
          <w:sz w:val="32"/>
          <w:szCs w:val="32"/>
        </w:rPr>
        <w:t>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附件：部门预算公开表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Dialog . plain">
    <w:altName w:val="Times New Roman"/>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DOqXm5zwAAAAUBAAAPAAAAAAAAAAEAIAAAADgAAABkcnMvZG93bnJldi54bWxQSwECFAAUAAAA&#10;CACHTuJA3rEPMeEBAADMAwAADgAAAAAAAAABACAAAAA0AQAAZHJzL2Uyb0RvYy54bWxQSwUGAAAA&#10;AAYABgBZAQAAhwU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A2B56B"/>
    <w:multiLevelType w:val="singleLevel"/>
    <w:tmpl w:val="79A2B56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NTJkYWRjMmYxMWU1MWYwMzM1MjQ3ZTVlZGUyY2QifQ=="/>
  </w:docVars>
  <w:rsids>
    <w:rsidRoot w:val="00C277D6"/>
    <w:rsid w:val="00055632"/>
    <w:rsid w:val="000A5EEB"/>
    <w:rsid w:val="00147AD9"/>
    <w:rsid w:val="001D0576"/>
    <w:rsid w:val="001D352F"/>
    <w:rsid w:val="00305B0C"/>
    <w:rsid w:val="004165FB"/>
    <w:rsid w:val="00584D95"/>
    <w:rsid w:val="005E25AB"/>
    <w:rsid w:val="006E3260"/>
    <w:rsid w:val="008F2E6A"/>
    <w:rsid w:val="00AA4D3C"/>
    <w:rsid w:val="00AE3501"/>
    <w:rsid w:val="00B838DA"/>
    <w:rsid w:val="00C277D6"/>
    <w:rsid w:val="00CA635F"/>
    <w:rsid w:val="00D43E43"/>
    <w:rsid w:val="00DE5E47"/>
    <w:rsid w:val="00E32E37"/>
    <w:rsid w:val="00F905AF"/>
    <w:rsid w:val="00FB7C22"/>
    <w:rsid w:val="00FC0E8C"/>
    <w:rsid w:val="012352D1"/>
    <w:rsid w:val="01814321"/>
    <w:rsid w:val="04BC7F5E"/>
    <w:rsid w:val="055E6E53"/>
    <w:rsid w:val="09AA3AC3"/>
    <w:rsid w:val="09E0077E"/>
    <w:rsid w:val="0ABB4D47"/>
    <w:rsid w:val="0FB23A71"/>
    <w:rsid w:val="17F353EE"/>
    <w:rsid w:val="185A5BA0"/>
    <w:rsid w:val="19AF0D41"/>
    <w:rsid w:val="1BF41E67"/>
    <w:rsid w:val="1D5454F5"/>
    <w:rsid w:val="1EDF5D2E"/>
    <w:rsid w:val="1F7BF06F"/>
    <w:rsid w:val="1F882FF2"/>
    <w:rsid w:val="1FEE4B73"/>
    <w:rsid w:val="20485F86"/>
    <w:rsid w:val="21E40288"/>
    <w:rsid w:val="23CE9849"/>
    <w:rsid w:val="2C091017"/>
    <w:rsid w:val="30153CEA"/>
    <w:rsid w:val="31B35D9A"/>
    <w:rsid w:val="320E0029"/>
    <w:rsid w:val="32EC51EE"/>
    <w:rsid w:val="343155AF"/>
    <w:rsid w:val="37E868CC"/>
    <w:rsid w:val="39F304DD"/>
    <w:rsid w:val="3EDDBCB6"/>
    <w:rsid w:val="423821FE"/>
    <w:rsid w:val="463E363B"/>
    <w:rsid w:val="4811150C"/>
    <w:rsid w:val="4E0D453F"/>
    <w:rsid w:val="4E5B4588"/>
    <w:rsid w:val="4EDDC789"/>
    <w:rsid w:val="4F1561E4"/>
    <w:rsid w:val="54244390"/>
    <w:rsid w:val="54662A63"/>
    <w:rsid w:val="58064E12"/>
    <w:rsid w:val="588817BB"/>
    <w:rsid w:val="58F44C79"/>
    <w:rsid w:val="5A533C21"/>
    <w:rsid w:val="5A6C6A91"/>
    <w:rsid w:val="5BE70239"/>
    <w:rsid w:val="5BFEE015"/>
    <w:rsid w:val="5C182DF8"/>
    <w:rsid w:val="5F9A275D"/>
    <w:rsid w:val="613C540F"/>
    <w:rsid w:val="63EDCF55"/>
    <w:rsid w:val="63FBFBCF"/>
    <w:rsid w:val="64393E88"/>
    <w:rsid w:val="669360FD"/>
    <w:rsid w:val="67A1421E"/>
    <w:rsid w:val="68FF6A83"/>
    <w:rsid w:val="6C0F54CE"/>
    <w:rsid w:val="6C7A6DEC"/>
    <w:rsid w:val="6EF32E85"/>
    <w:rsid w:val="6EFD1CB8"/>
    <w:rsid w:val="6FBBC9CF"/>
    <w:rsid w:val="72BDE561"/>
    <w:rsid w:val="747857D7"/>
    <w:rsid w:val="756B5E6B"/>
    <w:rsid w:val="761E4F3F"/>
    <w:rsid w:val="76FB851D"/>
    <w:rsid w:val="78462278"/>
    <w:rsid w:val="7997EA6C"/>
    <w:rsid w:val="7AEAE675"/>
    <w:rsid w:val="7BAFCE5D"/>
    <w:rsid w:val="7C413482"/>
    <w:rsid w:val="7D126BCC"/>
    <w:rsid w:val="7D46598C"/>
    <w:rsid w:val="7DDF2F52"/>
    <w:rsid w:val="7DFB240B"/>
    <w:rsid w:val="7E0935ED"/>
    <w:rsid w:val="7F552F1F"/>
    <w:rsid w:val="7FC94EE1"/>
    <w:rsid w:val="7FCF2AF7"/>
    <w:rsid w:val="7FFAE15E"/>
    <w:rsid w:val="9EDD26DA"/>
    <w:rsid w:val="9FEF033D"/>
    <w:rsid w:val="A27FF1E5"/>
    <w:rsid w:val="AFDEB5A7"/>
    <w:rsid w:val="AFEA7FBF"/>
    <w:rsid w:val="B5F2C28D"/>
    <w:rsid w:val="B7FF5B39"/>
    <w:rsid w:val="B83F4767"/>
    <w:rsid w:val="BF930F07"/>
    <w:rsid w:val="BFCE8436"/>
    <w:rsid w:val="C3F7EB7A"/>
    <w:rsid w:val="CF864643"/>
    <w:rsid w:val="CFF5FEEC"/>
    <w:rsid w:val="D3DD9064"/>
    <w:rsid w:val="D6F76A0C"/>
    <w:rsid w:val="D7ECE8D2"/>
    <w:rsid w:val="DFDD4FB5"/>
    <w:rsid w:val="E7F748B5"/>
    <w:rsid w:val="EE5F3713"/>
    <w:rsid w:val="EE76EB8F"/>
    <w:rsid w:val="EFC9D62C"/>
    <w:rsid w:val="EFFE8911"/>
    <w:rsid w:val="F3FDFC1A"/>
    <w:rsid w:val="F6BE9755"/>
    <w:rsid w:val="F6FFA89B"/>
    <w:rsid w:val="FAE4EFE1"/>
    <w:rsid w:val="FB9B6F12"/>
    <w:rsid w:val="FBB66A4A"/>
    <w:rsid w:val="FDEE6989"/>
    <w:rsid w:val="FF4FEBEF"/>
    <w:rsid w:val="FF5E7DB8"/>
    <w:rsid w:val="FF73E5B3"/>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 w:type="character" w:customStyle="1" w:styleId="14">
    <w:name w:val="font21"/>
    <w:basedOn w:val="9"/>
    <w:qFormat/>
    <w:uiPriority w:val="0"/>
    <w:rPr>
      <w:rFonts w:ascii="Dialog . plain" w:hAnsi="Dialog . plain" w:eastAsia="Dialog . plain" w:cs="Dialog . plain"/>
      <w:color w:val="000000"/>
      <w:sz w:val="22"/>
      <w:szCs w:val="22"/>
      <w:u w:val="none"/>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苍溪县智新商贸发展有限公司</Company>
  <Pages>13</Pages>
  <Words>4736</Words>
  <Characters>966</Characters>
  <Lines>8</Lines>
  <Paragraphs>11</Paragraphs>
  <TotalTime>6</TotalTime>
  <ScaleCrop>false</ScaleCrop>
  <LinksUpToDate>false</LinksUpToDate>
  <CharactersWithSpaces>5691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2024-02-02T11:51:00Z</dcterms:created>
  <dc:creator>admin</dc:creator>
  <cp:lastModifiedBy> </cp:lastModifiedBy>
  <dcterms:modified xsi:type="dcterms:W3CDTF">2024-02-06T17:36:10Z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E160B9C639694EBB84A7CBAB322B9BCB_13</vt:lpwstr>
  </property>
</Properties>
</file>