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3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广元市退役军人事务局</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134" w:gutter="0"/>
          <w:pgNumType w:fmt="numberInDash"/>
          <w:cols w:space="0" w:num="1"/>
          <w:rtlGutter w:val="0"/>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65357"/>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1"/>
          <w:szCs w:val="28"/>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4"/>
            <w:tabs>
              <w:tab w:val="right" w:leader="dot" w:pos="8845"/>
            </w:tabs>
            <w:spacing w:line="360" w:lineRule="auto"/>
            <w:rPr>
              <w:b/>
            </w:rPr>
          </w:pP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TOC \o "1-2" \h \u </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_Toc23216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一、基本职能及主要工作</w:t>
          </w:r>
          <w:r>
            <w:rPr>
              <w:b/>
            </w:rPr>
            <w:tab/>
          </w:r>
          <w:r>
            <w:rPr>
              <w:b/>
            </w:rPr>
            <w:fldChar w:fldCharType="begin"/>
          </w:r>
          <w:r>
            <w:rPr>
              <w:b/>
            </w:rPr>
            <w:instrText xml:space="preserve"> PAGEREF _Toc23216 \h </w:instrText>
          </w:r>
          <w:r>
            <w:rPr>
              <w:b/>
            </w:rPr>
            <w:fldChar w:fldCharType="separate"/>
          </w:r>
          <w:r>
            <w:rPr>
              <w:b/>
            </w:rPr>
            <w:t>- 3 -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_Toc18969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highlight w:val="none"/>
            </w:rPr>
            <w:t>（一）</w:t>
          </w:r>
          <w:r>
            <w:rPr>
              <w:rFonts w:hint="eastAsia" w:ascii="楷体_GB2312" w:hAnsi="楷体_GB2312" w:eastAsia="楷体_GB2312" w:cs="楷体_GB2312"/>
              <w:szCs w:val="32"/>
              <w:highlight w:val="none"/>
              <w:lang w:eastAsia="zh-CN"/>
            </w:rPr>
            <w:t>广元</w:t>
          </w:r>
          <w:r>
            <w:rPr>
              <w:rFonts w:hint="eastAsia" w:ascii="楷体_GB2312" w:hAnsi="楷体_GB2312" w:eastAsia="楷体_GB2312" w:cs="楷体_GB2312"/>
              <w:szCs w:val="32"/>
              <w:highlight w:val="none"/>
            </w:rPr>
            <w:t>市退役军人事务局职能简介</w:t>
          </w:r>
          <w:r>
            <w:tab/>
          </w:r>
          <w:r>
            <w:fldChar w:fldCharType="begin"/>
          </w:r>
          <w:r>
            <w:instrText xml:space="preserve"> PAGEREF _Toc18969 \h </w:instrText>
          </w:r>
          <w:r>
            <w:fldChar w:fldCharType="separate"/>
          </w:r>
          <w:r>
            <w:t>- 3 -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_Toc14264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highlight w:val="none"/>
              <w:lang w:eastAsia="zh-CN"/>
            </w:rPr>
            <w:t>广元市退役军人事务局</w:t>
          </w:r>
          <w:r>
            <w:rPr>
              <w:rFonts w:hint="eastAsia" w:ascii="楷体_GB2312" w:hAnsi="楷体_GB2312" w:eastAsia="楷体_GB2312" w:cs="楷体_GB2312"/>
              <w:szCs w:val="32"/>
              <w:highlight w:val="none"/>
              <w:lang w:val="en-US"/>
            </w:rPr>
            <w:t>2024</w:t>
          </w:r>
          <w:r>
            <w:rPr>
              <w:rFonts w:hint="eastAsia" w:ascii="楷体_GB2312" w:hAnsi="楷体_GB2312" w:eastAsia="楷体_GB2312" w:cs="楷体_GB2312"/>
              <w:szCs w:val="32"/>
              <w:highlight w:val="none"/>
            </w:rPr>
            <w:t>年重点工作</w:t>
          </w:r>
          <w:r>
            <w:tab/>
          </w:r>
          <w:r>
            <w:fldChar w:fldCharType="begin"/>
          </w:r>
          <w:r>
            <w:instrText xml:space="preserve"> PAGEREF _Toc14264 \h </w:instrText>
          </w:r>
          <w:r>
            <w:fldChar w:fldCharType="separate"/>
          </w:r>
          <w:r>
            <w:t>- 3 -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_Toc20411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二、部门预算单位构成</w:t>
          </w:r>
          <w:r>
            <w:rPr>
              <w:b/>
            </w:rPr>
            <w:tab/>
          </w:r>
          <w:r>
            <w:rPr>
              <w:b/>
            </w:rPr>
            <w:fldChar w:fldCharType="begin"/>
          </w:r>
          <w:r>
            <w:rPr>
              <w:b/>
            </w:rPr>
            <w:instrText xml:space="preserve"> PAGEREF _Toc20411 \h </w:instrText>
          </w:r>
          <w:r>
            <w:rPr>
              <w:b/>
            </w:rPr>
            <w:fldChar w:fldCharType="separate"/>
          </w:r>
          <w:r>
            <w:rPr>
              <w:b/>
            </w:rPr>
            <w:t>- 4 -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_Toc26557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三、收支预算情况说明</w:t>
          </w:r>
          <w:r>
            <w:rPr>
              <w:b/>
            </w:rPr>
            <w:tab/>
          </w:r>
          <w:r>
            <w:rPr>
              <w:b/>
            </w:rPr>
            <w:fldChar w:fldCharType="begin"/>
          </w:r>
          <w:r>
            <w:rPr>
              <w:b/>
            </w:rPr>
            <w:instrText xml:space="preserve"> PAGEREF _Toc26557 \h </w:instrText>
          </w:r>
          <w:r>
            <w:rPr>
              <w:b/>
            </w:rPr>
            <w:fldChar w:fldCharType="separate"/>
          </w:r>
          <w:r>
            <w:rPr>
              <w:b/>
            </w:rPr>
            <w:t>- 4 -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_Toc14208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（一）收入预算情况</w:t>
          </w:r>
          <w:r>
            <w:tab/>
          </w:r>
          <w:r>
            <w:fldChar w:fldCharType="begin"/>
          </w:r>
          <w:r>
            <w:instrText xml:space="preserve"> PAGEREF _Toc14208 \h </w:instrText>
          </w:r>
          <w:r>
            <w:fldChar w:fldCharType="separate"/>
          </w:r>
          <w:r>
            <w:t>- 4 -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_Toc6415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（二）支出预算情况</w:t>
          </w:r>
          <w:r>
            <w:tab/>
          </w:r>
          <w:r>
            <w:fldChar w:fldCharType="begin"/>
          </w:r>
          <w:r>
            <w:instrText xml:space="preserve"> PAGEREF _Toc6415 \h </w:instrText>
          </w:r>
          <w:r>
            <w:fldChar w:fldCharType="separate"/>
          </w:r>
          <w:r>
            <w:t>- 4 -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_Toc31053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四、财政拨款收支预算情况说明</w:t>
          </w:r>
          <w:r>
            <w:rPr>
              <w:b/>
            </w:rPr>
            <w:tab/>
          </w:r>
          <w:r>
            <w:rPr>
              <w:b/>
            </w:rPr>
            <w:fldChar w:fldCharType="begin"/>
          </w:r>
          <w:r>
            <w:rPr>
              <w:b/>
            </w:rPr>
            <w:instrText xml:space="preserve"> PAGEREF _Toc31053 \h </w:instrText>
          </w:r>
          <w:r>
            <w:rPr>
              <w:b/>
            </w:rPr>
            <w:fldChar w:fldCharType="separate"/>
          </w:r>
          <w:r>
            <w:rPr>
              <w:b/>
            </w:rPr>
            <w:t xml:space="preserve">- </w:t>
          </w:r>
          <w:r>
            <w:rPr>
              <w:rFonts w:hint="eastAsia"/>
              <w:b/>
              <w:lang w:val="en-US" w:eastAsia="zh-CN"/>
            </w:rPr>
            <w:t>5</w:t>
          </w:r>
          <w:r>
            <w:rPr>
              <w:b/>
            </w:rPr>
            <w:t xml:space="preserve">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_Toc9092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五、一般公共预算当年拨款情况说明</w:t>
          </w:r>
          <w:r>
            <w:rPr>
              <w:b/>
            </w:rPr>
            <w:tab/>
          </w:r>
          <w:r>
            <w:rPr>
              <w:b/>
            </w:rPr>
            <w:fldChar w:fldCharType="begin"/>
          </w:r>
          <w:r>
            <w:rPr>
              <w:b/>
            </w:rPr>
            <w:instrText xml:space="preserve"> PAGEREF _Toc9092 \h </w:instrText>
          </w:r>
          <w:r>
            <w:rPr>
              <w:b/>
            </w:rPr>
            <w:fldChar w:fldCharType="separate"/>
          </w:r>
          <w:r>
            <w:rPr>
              <w:b/>
            </w:rPr>
            <w:t>- 5 -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_Toc30463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（一）一般公共预算当年拨款规模变化情况</w:t>
          </w:r>
          <w:r>
            <w:tab/>
          </w:r>
          <w:r>
            <w:fldChar w:fldCharType="begin"/>
          </w:r>
          <w:r>
            <w:instrText xml:space="preserve"> PAGEREF _Toc30463 \h </w:instrText>
          </w:r>
          <w:r>
            <w:fldChar w:fldCharType="separate"/>
          </w:r>
          <w:r>
            <w:t>- 5 -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_Toc11614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（二）一般公共预算当年拨款结构情况</w:t>
          </w:r>
          <w:r>
            <w:tab/>
          </w:r>
          <w:r>
            <w:fldChar w:fldCharType="begin"/>
          </w:r>
          <w:r>
            <w:instrText xml:space="preserve"> PAGEREF _Toc11614 \h </w:instrText>
          </w:r>
          <w:r>
            <w:fldChar w:fldCharType="separate"/>
          </w:r>
          <w:r>
            <w:t>- 5 -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_Toc16960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（三）一般公共预算当年拨款具体使用情况</w:t>
          </w:r>
          <w:r>
            <w:tab/>
          </w:r>
          <w:r>
            <w:fldChar w:fldCharType="begin"/>
          </w:r>
          <w:r>
            <w:instrText xml:space="preserve"> PAGEREF _Toc16960 \h </w:instrText>
          </w:r>
          <w:r>
            <w:fldChar w:fldCharType="separate"/>
          </w:r>
          <w:r>
            <w:t>- 5 -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_Toc15432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六、一般公共预算基本支出情况说明</w:t>
          </w:r>
          <w:r>
            <w:rPr>
              <w:b/>
            </w:rPr>
            <w:tab/>
          </w:r>
          <w:r>
            <w:rPr>
              <w:b/>
            </w:rPr>
            <w:fldChar w:fldCharType="begin"/>
          </w:r>
          <w:r>
            <w:rPr>
              <w:b/>
            </w:rPr>
            <w:instrText xml:space="preserve"> PAGEREF _Toc15432 \h </w:instrText>
          </w:r>
          <w:r>
            <w:rPr>
              <w:b/>
            </w:rPr>
            <w:fldChar w:fldCharType="separate"/>
          </w:r>
          <w:r>
            <w:rPr>
              <w:b/>
            </w:rPr>
            <w:t>- 7 -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_Toc16918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 xml:space="preserve">七、 </w:t>
          </w:r>
          <w:r>
            <w:rPr>
              <w:rFonts w:hint="eastAsia" w:ascii="黑体" w:hAnsi="黑体" w:eastAsia="黑体" w:cs="黑体"/>
              <w:b/>
              <w:szCs w:val="32"/>
              <w:highlight w:val="none"/>
              <w:lang w:val="en-US" w:eastAsia="zh-CN"/>
            </w:rPr>
            <w:t>“三公”经费财政拨款预算安排情况说明</w:t>
          </w:r>
          <w:r>
            <w:rPr>
              <w:b/>
            </w:rPr>
            <w:tab/>
          </w:r>
          <w:r>
            <w:rPr>
              <w:b/>
            </w:rPr>
            <w:fldChar w:fldCharType="begin"/>
          </w:r>
          <w:r>
            <w:rPr>
              <w:b/>
            </w:rPr>
            <w:instrText xml:space="preserve"> PAGEREF _Toc16918 \h </w:instrText>
          </w:r>
          <w:r>
            <w:rPr>
              <w:b/>
            </w:rPr>
            <w:fldChar w:fldCharType="separate"/>
          </w:r>
          <w:r>
            <w:rPr>
              <w:b/>
            </w:rPr>
            <w:t>- 7 -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_Toc15152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（一）公务接待费</w:t>
          </w:r>
          <w:r>
            <w:tab/>
          </w:r>
          <w:r>
            <w:fldChar w:fldCharType="begin"/>
          </w:r>
          <w:r>
            <w:instrText xml:space="preserve"> PAGEREF _Toc15152 \h </w:instrText>
          </w:r>
          <w:r>
            <w:fldChar w:fldCharType="separate"/>
          </w:r>
          <w:r>
            <w:t xml:space="preserve">- </w:t>
          </w:r>
          <w:r>
            <w:rPr>
              <w:rFonts w:hint="eastAsia"/>
              <w:lang w:val="en-US" w:eastAsia="zh-CN"/>
            </w:rPr>
            <w:t>8</w:t>
          </w:r>
          <w:r>
            <w:t xml:space="preserve">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_Toc15812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 xml:space="preserve">（二） </w:t>
          </w:r>
          <w:r>
            <w:rPr>
              <w:rFonts w:hint="eastAsia" w:ascii="楷体_GB2312" w:hAnsi="楷体_GB2312" w:eastAsia="楷体_GB2312" w:cs="楷体_GB2312"/>
              <w:szCs w:val="32"/>
              <w:highlight w:val="none"/>
              <w:lang w:val="en-US" w:eastAsia="zh-CN"/>
            </w:rPr>
            <w:t>公务用车购置及运行维护费</w:t>
          </w:r>
          <w:r>
            <w:tab/>
          </w:r>
          <w:r>
            <w:fldChar w:fldCharType="begin"/>
          </w:r>
          <w:r>
            <w:instrText xml:space="preserve"> PAGEREF _Toc15812 \h </w:instrText>
          </w:r>
          <w:r>
            <w:fldChar w:fldCharType="separate"/>
          </w:r>
          <w:r>
            <w:t>- 8 -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_Toc1040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 xml:space="preserve">（三） </w:t>
          </w:r>
          <w:r>
            <w:rPr>
              <w:rFonts w:hint="eastAsia" w:ascii="楷体_GB2312" w:hAnsi="楷体_GB2312" w:eastAsia="楷体_GB2312" w:cs="楷体_GB2312"/>
              <w:szCs w:val="32"/>
              <w:highlight w:val="none"/>
              <w:lang w:val="en-US" w:eastAsia="zh-CN"/>
            </w:rPr>
            <w:t>因公出国（境）经费</w:t>
          </w:r>
          <w:r>
            <w:tab/>
          </w:r>
          <w:r>
            <w:fldChar w:fldCharType="begin"/>
          </w:r>
          <w:r>
            <w:instrText xml:space="preserve"> PAGEREF _Toc1040 \h </w:instrText>
          </w:r>
          <w:r>
            <w:fldChar w:fldCharType="separate"/>
          </w:r>
          <w:r>
            <w:t>- 8 -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_Toc16385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 xml:space="preserve">八、 </w:t>
          </w:r>
          <w:r>
            <w:rPr>
              <w:rFonts w:hint="eastAsia" w:ascii="黑体" w:hAnsi="黑体" w:eastAsia="黑体" w:cs="黑体"/>
              <w:b/>
              <w:szCs w:val="32"/>
              <w:highlight w:val="none"/>
              <w:lang w:val="en-US" w:eastAsia="zh-CN"/>
            </w:rPr>
            <w:t>政府性基金预算支出情况说明</w:t>
          </w:r>
          <w:r>
            <w:rPr>
              <w:b/>
            </w:rPr>
            <w:tab/>
          </w:r>
          <w:r>
            <w:rPr>
              <w:b/>
            </w:rPr>
            <w:fldChar w:fldCharType="begin"/>
          </w:r>
          <w:r>
            <w:rPr>
              <w:b/>
            </w:rPr>
            <w:instrText xml:space="preserve"> PAGEREF _Toc16385 \h </w:instrText>
          </w:r>
          <w:r>
            <w:rPr>
              <w:b/>
            </w:rPr>
            <w:fldChar w:fldCharType="separate"/>
          </w:r>
          <w:r>
            <w:rPr>
              <w:b/>
            </w:rPr>
            <w:t>- 8 -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_Toc13540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 xml:space="preserve">九、 </w:t>
          </w:r>
          <w:r>
            <w:rPr>
              <w:rFonts w:hint="eastAsia" w:ascii="黑体" w:hAnsi="黑体" w:eastAsia="黑体" w:cs="黑体"/>
              <w:b/>
              <w:szCs w:val="32"/>
              <w:highlight w:val="none"/>
              <w:lang w:val="en-US" w:eastAsia="zh-CN"/>
            </w:rPr>
            <w:t>国有资本经营预算支出情况说明</w:t>
          </w:r>
          <w:r>
            <w:rPr>
              <w:b/>
            </w:rPr>
            <w:tab/>
          </w:r>
          <w:r>
            <w:rPr>
              <w:b/>
            </w:rPr>
            <w:fldChar w:fldCharType="begin"/>
          </w:r>
          <w:r>
            <w:rPr>
              <w:b/>
            </w:rPr>
            <w:instrText xml:space="preserve"> PAGEREF _Toc13540 \h </w:instrText>
          </w:r>
          <w:r>
            <w:rPr>
              <w:b/>
            </w:rPr>
            <w:fldChar w:fldCharType="separate"/>
          </w:r>
          <w:r>
            <w:rPr>
              <w:b/>
            </w:rPr>
            <w:t xml:space="preserve">- </w:t>
          </w:r>
          <w:r>
            <w:rPr>
              <w:rFonts w:hint="eastAsia"/>
              <w:b/>
              <w:lang w:val="en-US" w:eastAsia="zh-CN"/>
            </w:rPr>
            <w:t>9</w:t>
          </w:r>
          <w:r>
            <w:rPr>
              <w:b/>
            </w:rPr>
            <w:t xml:space="preserve">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_Toc7305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 xml:space="preserve">十、 </w:t>
          </w:r>
          <w:r>
            <w:rPr>
              <w:rFonts w:hint="eastAsia" w:ascii="黑体" w:hAnsi="黑体" w:eastAsia="黑体" w:cs="黑体"/>
              <w:b/>
              <w:szCs w:val="32"/>
              <w:highlight w:val="none"/>
              <w:lang w:val="en-US" w:eastAsia="zh-CN"/>
            </w:rPr>
            <w:t>其他重要事项的情况说明</w:t>
          </w:r>
          <w:r>
            <w:rPr>
              <w:b/>
            </w:rPr>
            <w:tab/>
          </w:r>
          <w:r>
            <w:rPr>
              <w:b/>
            </w:rPr>
            <w:fldChar w:fldCharType="begin"/>
          </w:r>
          <w:r>
            <w:rPr>
              <w:b/>
            </w:rPr>
            <w:instrText xml:space="preserve"> PAGEREF _Toc7305 \h </w:instrText>
          </w:r>
          <w:r>
            <w:rPr>
              <w:b/>
            </w:rPr>
            <w:fldChar w:fldCharType="separate"/>
          </w:r>
          <w:r>
            <w:rPr>
              <w:b/>
            </w:rPr>
            <w:t>- 9 -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_Toc4442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 xml:space="preserve">（一） </w:t>
          </w:r>
          <w:r>
            <w:rPr>
              <w:rFonts w:hint="eastAsia" w:ascii="楷体_GB2312" w:hAnsi="楷体_GB2312" w:eastAsia="楷体_GB2312" w:cs="楷体_GB2312"/>
              <w:szCs w:val="32"/>
              <w:highlight w:val="none"/>
              <w:lang w:val="en-US" w:eastAsia="zh-CN"/>
            </w:rPr>
            <w:t>机关运行经费</w:t>
          </w:r>
          <w:r>
            <w:tab/>
          </w:r>
          <w:r>
            <w:fldChar w:fldCharType="begin"/>
          </w:r>
          <w:r>
            <w:instrText xml:space="preserve"> PAGEREF _Toc4442 \h </w:instrText>
          </w:r>
          <w:r>
            <w:fldChar w:fldCharType="separate"/>
          </w:r>
          <w:r>
            <w:t>- 9 -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_Toc29591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 xml:space="preserve">（二） </w:t>
          </w:r>
          <w:r>
            <w:rPr>
              <w:rFonts w:hint="eastAsia" w:ascii="楷体_GB2312" w:hAnsi="楷体_GB2312" w:eastAsia="楷体_GB2312" w:cs="楷体_GB2312"/>
              <w:szCs w:val="32"/>
              <w:highlight w:val="none"/>
              <w:lang w:val="en-US" w:eastAsia="zh-CN"/>
            </w:rPr>
            <w:t>政府采购情况</w:t>
          </w:r>
          <w:r>
            <w:tab/>
          </w:r>
          <w:r>
            <w:fldChar w:fldCharType="begin"/>
          </w:r>
          <w:r>
            <w:instrText xml:space="preserve"> PAGEREF _Toc29591 \h </w:instrText>
          </w:r>
          <w:r>
            <w:fldChar w:fldCharType="separate"/>
          </w:r>
          <w:r>
            <w:t>- 9 -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_Toc32515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 xml:space="preserve">（三） </w:t>
          </w:r>
          <w:r>
            <w:rPr>
              <w:rFonts w:hint="eastAsia" w:ascii="楷体_GB2312" w:hAnsi="楷体_GB2312" w:eastAsia="楷体_GB2312" w:cs="楷体_GB2312"/>
              <w:szCs w:val="32"/>
              <w:highlight w:val="none"/>
              <w:lang w:val="en-US" w:eastAsia="zh-CN"/>
            </w:rPr>
            <w:t>国有资产占有使用情况</w:t>
          </w:r>
          <w:r>
            <w:tab/>
          </w:r>
          <w:r>
            <w:fldChar w:fldCharType="begin"/>
          </w:r>
          <w:r>
            <w:instrText xml:space="preserve"> PAGEREF _Toc32515 \h </w:instrText>
          </w:r>
          <w:r>
            <w:fldChar w:fldCharType="separate"/>
          </w:r>
          <w:r>
            <w:t>- 9 -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_Toc10695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 xml:space="preserve">（四） </w:t>
          </w:r>
          <w:r>
            <w:rPr>
              <w:rFonts w:hint="eastAsia" w:ascii="楷体_GB2312" w:hAnsi="楷体_GB2312" w:eastAsia="楷体_GB2312" w:cs="楷体_GB2312"/>
              <w:szCs w:val="32"/>
              <w:highlight w:val="none"/>
              <w:lang w:val="en-US" w:eastAsia="zh-CN"/>
            </w:rPr>
            <w:t>绩效目标设置情况</w:t>
          </w:r>
          <w:r>
            <w:tab/>
          </w:r>
          <w:r>
            <w:fldChar w:fldCharType="begin"/>
          </w:r>
          <w:r>
            <w:instrText xml:space="preserve"> PAGEREF _Toc10695 \h </w:instrText>
          </w:r>
          <w:r>
            <w:fldChar w:fldCharType="separate"/>
          </w:r>
          <w:r>
            <w:t>- 9 -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_Toc22542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 xml:space="preserve">十一、 </w:t>
          </w:r>
          <w:r>
            <w:rPr>
              <w:rFonts w:hint="eastAsia" w:ascii="黑体" w:hAnsi="黑体" w:eastAsia="黑体" w:cs="黑体"/>
              <w:b/>
              <w:szCs w:val="32"/>
              <w:highlight w:val="none"/>
              <w:lang w:val="en-US" w:eastAsia="zh-CN"/>
            </w:rPr>
            <w:t>名词解释</w:t>
          </w:r>
          <w:r>
            <w:rPr>
              <w:b/>
            </w:rPr>
            <w:tab/>
          </w:r>
          <w:r>
            <w:rPr>
              <w:b/>
            </w:rPr>
            <w:fldChar w:fldCharType="begin"/>
          </w:r>
          <w:r>
            <w:rPr>
              <w:b/>
            </w:rPr>
            <w:instrText xml:space="preserve"> PAGEREF _Toc22542 \h </w:instrText>
          </w:r>
          <w:r>
            <w:rPr>
              <w:b/>
            </w:rPr>
            <w:fldChar w:fldCharType="separate"/>
          </w:r>
          <w:r>
            <w:rPr>
              <w:b/>
            </w:rPr>
            <w:t>- 10 -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360" w:lineRule="auto"/>
            <w:ind w:left="0" w:right="0" w:firstLine="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sectPr>
              <w:pgSz w:w="11906" w:h="16838"/>
              <w:pgMar w:top="2098" w:right="1474" w:bottom="1984" w:left="1587" w:header="720" w:footer="1134" w:gutter="0"/>
              <w:pgNumType w:fmt="numberInDash"/>
              <w:cols w:space="0" w:num="1"/>
              <w:rtlGutter w:val="0"/>
              <w:docGrid w:type="lines" w:linePitch="312" w:charSpace="0"/>
            </w:sect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sdtContent>
    </w:sdt>
    <w:p>
      <w:pPr>
        <w:pStyle w:val="2"/>
        <w:rPr>
          <w:rFonts w:hint="eastAsia"/>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 w:name="_Toc23216"/>
      <w:r>
        <w:rPr>
          <w:rFonts w:hint="eastAsia" w:ascii="黑体" w:hAnsi="黑体" w:eastAsia="黑体" w:cs="黑体"/>
          <w:sz w:val="32"/>
          <w:szCs w:val="32"/>
          <w:highlight w:val="none"/>
          <w:lang w:val="en-US" w:eastAsia="zh-CN"/>
        </w:rPr>
        <w:t>一、基本职能及主要工作</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2" w:name="_Toc18969"/>
      <w:r>
        <w:rPr>
          <w:rFonts w:hint="eastAsia" w:ascii="楷体_GB2312" w:hAnsi="楷体_GB2312" w:eastAsia="楷体_GB2312" w:cs="楷体_GB2312"/>
          <w:sz w:val="32"/>
          <w:szCs w:val="32"/>
          <w:highlight w:val="none"/>
        </w:rPr>
        <w:t>（一）</w:t>
      </w:r>
      <w:r>
        <w:rPr>
          <w:rFonts w:hint="eastAsia" w:ascii="楷体_GB2312" w:hAnsi="楷体_GB2312" w:eastAsia="楷体_GB2312" w:cs="楷体_GB2312"/>
          <w:sz w:val="32"/>
          <w:szCs w:val="32"/>
          <w:highlight w:val="none"/>
          <w:lang w:eastAsia="zh-CN"/>
        </w:rPr>
        <w:t>广元</w:t>
      </w:r>
      <w:r>
        <w:rPr>
          <w:rFonts w:hint="eastAsia" w:ascii="楷体_GB2312" w:hAnsi="楷体_GB2312" w:eastAsia="楷体_GB2312" w:cs="楷体_GB2312"/>
          <w:sz w:val="32"/>
          <w:szCs w:val="32"/>
          <w:highlight w:val="none"/>
        </w:rPr>
        <w:t>市退役军人事务局职能简介</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highlight w:val="none"/>
        </w:rPr>
      </w:pPr>
      <w:r>
        <w:rPr>
          <w:rFonts w:hint="eastAsia" w:ascii="仿宋_GB2312" w:hAnsi="仿宋_GB2312" w:eastAsia="仿宋_GB2312"/>
          <w:color w:val="auto"/>
          <w:kern w:val="2"/>
          <w:sz w:val="32"/>
          <w:szCs w:val="24"/>
          <w:highlight w:val="none"/>
          <w:lang w:val="en" w:eastAsia="zh-CN"/>
        </w:rPr>
        <w:t>贯彻落实国家有关退役军人思想政治、管理保障、安置优抚等工作政策法规，负责军队转业干部、复员干部、离休退休干部、退役士兵和无军籍退</w:t>
      </w:r>
      <w:bookmarkStart w:id="26" w:name="_GoBack"/>
      <w:bookmarkEnd w:id="26"/>
      <w:r>
        <w:rPr>
          <w:rFonts w:hint="eastAsia" w:ascii="仿宋_GB2312" w:hAnsi="仿宋_GB2312" w:eastAsia="仿宋_GB2312"/>
          <w:color w:val="auto"/>
          <w:kern w:val="2"/>
          <w:sz w:val="32"/>
          <w:szCs w:val="24"/>
          <w:highlight w:val="none"/>
          <w:lang w:val="en" w:eastAsia="zh-CN"/>
        </w:rPr>
        <w:t>休退职职工的移交安置和自主择业退役军人服务管理等工作，组织开展退役军人教育培训、就业创业、优待抚恤、帮扶援助等工作，组织指导拥军优属工作，负责烈士及退役军人荣誉奖励、烈士纪念设施建设管理、组织纪念活动等工作。</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3" w:name="_Toc14264"/>
      <w:r>
        <w:rPr>
          <w:rFonts w:hint="eastAsia" w:ascii="楷体_GB2312" w:hAnsi="楷体_GB2312" w:eastAsia="楷体_GB2312" w:cs="楷体_GB2312"/>
          <w:sz w:val="32"/>
          <w:szCs w:val="32"/>
          <w:highlight w:val="none"/>
          <w:lang w:eastAsia="zh-CN"/>
        </w:rPr>
        <w:t>广元市退役军人事务局</w:t>
      </w:r>
      <w:r>
        <w:rPr>
          <w:rFonts w:hint="eastAsia" w:ascii="楷体_GB2312" w:hAnsi="楷体_GB2312" w:eastAsia="楷体_GB2312" w:cs="楷体_GB2312"/>
          <w:sz w:val="32"/>
          <w:szCs w:val="32"/>
          <w:highlight w:val="none"/>
          <w:lang w:val="en-US"/>
        </w:rPr>
        <w:t>2024</w:t>
      </w:r>
      <w:r>
        <w:rPr>
          <w:rFonts w:hint="eastAsia" w:ascii="楷体_GB2312" w:hAnsi="楷体_GB2312" w:eastAsia="楷体_GB2312" w:cs="楷体_GB2312"/>
          <w:sz w:val="32"/>
          <w:szCs w:val="32"/>
          <w:highlight w:val="none"/>
        </w:rPr>
        <w:t>年重点工作</w:t>
      </w:r>
      <w:bookmarkEnd w:id="3"/>
    </w:p>
    <w:p>
      <w:pPr>
        <w:shd w:val="clear"/>
        <w:spacing w:line="560" w:lineRule="exact"/>
        <w:ind w:firstLine="640" w:firstLineChars="200"/>
        <w:rPr>
          <w:rFonts w:hint="default" w:ascii="楷体_GB2312" w:hAnsi="楷体_GB2312" w:eastAsia="楷体_GB2312" w:cs="楷体_GB2312"/>
          <w:sz w:val="32"/>
          <w:szCs w:val="32"/>
          <w:highlight w:val="none"/>
          <w:lang w:val="en-US" w:eastAsia="zh-CN"/>
        </w:rPr>
      </w:pPr>
      <w:r>
        <w:rPr>
          <w:rFonts w:hint="eastAsia" w:ascii="仿宋_GB2312" w:hAnsi="仿宋_GB2312" w:eastAsia="仿宋_GB2312"/>
          <w:color w:val="auto"/>
          <w:kern w:val="2"/>
          <w:sz w:val="32"/>
          <w:szCs w:val="24"/>
          <w:highlight w:val="none"/>
          <w:lang w:val="en-US" w:eastAsia="zh-CN"/>
        </w:rPr>
        <w:t>坚定以习近平新时代中国特色社会主义思想为指导，深入学习领会习近平强军思想和习近平总书记关于退役军人工作重要论述，全面贯彻党的二十大和习近平总书记来川来广视察重要指示精神，认真落实市委市政府和省退役军人事务厅工作部署，不断推进全市退役军人工作在新征程上取得更大成绩。一是全力冲刺全国新一届双拥模范城创建，突出特色亮点，认真做好各项迎检准备工作。</w:t>
      </w:r>
      <w:r>
        <w:rPr>
          <w:rFonts w:hint="eastAsia" w:ascii="仿宋_GB2312" w:hAnsi="仿宋_GB2312" w:eastAsia="仿宋_GB2312" w:cs="仿宋_GB2312"/>
          <w:sz w:val="32"/>
          <w:szCs w:val="32"/>
          <w:highlight w:val="none"/>
          <w:lang w:val="en-US"/>
        </w:rPr>
        <w:t>二是</w:t>
      </w:r>
      <w:r>
        <w:rPr>
          <w:rFonts w:hint="eastAsia" w:ascii="仿宋_GB2312" w:hAnsi="仿宋_GB2312" w:eastAsia="仿宋_GB2312" w:cs="仿宋_GB2312"/>
          <w:sz w:val="32"/>
          <w:szCs w:val="32"/>
          <w:highlight w:val="none"/>
          <w:lang w:val="en-US" w:eastAsia="zh-CN"/>
        </w:rPr>
        <w:t>扎实</w:t>
      </w:r>
      <w:r>
        <w:rPr>
          <w:rFonts w:hint="eastAsia" w:ascii="仿宋_GB2312" w:hAnsi="仿宋_GB2312" w:eastAsia="仿宋_GB2312" w:cs="仿宋_GB2312"/>
          <w:sz w:val="32"/>
          <w:szCs w:val="32"/>
          <w:highlight w:val="none"/>
          <w:lang w:val="en-US"/>
        </w:rPr>
        <w:t>做好安置就业工作</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rPr>
        <w:t>深挖安置潜力，优化安置渠道，确保高质量完成省下目标任务。</w:t>
      </w:r>
      <w:r>
        <w:rPr>
          <w:rFonts w:hint="eastAsia" w:ascii="仿宋_GB2312" w:hAnsi="仿宋_GB2312" w:eastAsia="仿宋_GB2312" w:cs="仿宋_GB2312"/>
          <w:sz w:val="32"/>
          <w:szCs w:val="32"/>
          <w:highlight w:val="none"/>
          <w:lang w:val="en-US" w:eastAsia="zh-CN"/>
        </w:rPr>
        <w:t>举办广元市退役军人创业创新大赛，</w:t>
      </w:r>
      <w:r>
        <w:rPr>
          <w:rFonts w:hint="eastAsia" w:ascii="仿宋_GB2312" w:hAnsi="仿宋_GB2312" w:eastAsia="仿宋_GB2312" w:cs="仿宋_GB2312"/>
          <w:sz w:val="32"/>
          <w:szCs w:val="32"/>
          <w:highlight w:val="none"/>
          <w:lang w:eastAsia="zh-CN"/>
        </w:rPr>
        <w:t>激发退役军人双创热情。三是突出思想政治引领，发挥退役军人作用，做好先进典型选树推荐工作。四是持续抓好服务中心（站）、优抚医院、光荣院等阵地建设，不断提升服务保障水平。五是大力弘扬英烈精神，开展英烈事迹挖掘，做好国家级烈士纪念设施创建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4" w:name="_Toc20411"/>
      <w:r>
        <w:rPr>
          <w:rFonts w:hint="eastAsia" w:ascii="黑体" w:hAnsi="黑体" w:eastAsia="黑体" w:cs="黑体"/>
          <w:sz w:val="32"/>
          <w:szCs w:val="32"/>
          <w:highlight w:val="none"/>
          <w:lang w:val="en-US" w:eastAsia="zh-CN"/>
        </w:rPr>
        <w:t>二、部门预算单位构成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bCs/>
          <w:i w:val="0"/>
          <w:caps w:val="0"/>
          <w:color w:val="333333"/>
          <w:spacing w:val="0"/>
          <w:sz w:val="32"/>
          <w:szCs w:val="32"/>
          <w:highlight w:val="none"/>
          <w:shd w:val="clear" w:color="auto" w:fill="FFFFFF"/>
          <w:lang w:eastAsia="zh-CN"/>
        </w:rPr>
        <w:t>广元</w:t>
      </w:r>
      <w:r>
        <w:rPr>
          <w:rFonts w:hint="eastAsia" w:ascii="仿宋_GB2312" w:hAnsi="仿宋_GB2312" w:eastAsia="仿宋_GB2312" w:cs="仿宋_GB2312"/>
          <w:b w:val="0"/>
          <w:bCs/>
          <w:i w:val="0"/>
          <w:caps w:val="0"/>
          <w:color w:val="333333"/>
          <w:spacing w:val="0"/>
          <w:sz w:val="32"/>
          <w:szCs w:val="32"/>
          <w:highlight w:val="none"/>
          <w:shd w:val="clear" w:color="auto" w:fill="FFFFFF"/>
        </w:rPr>
        <w:t>市退役军人事务局</w:t>
      </w:r>
      <w:r>
        <w:rPr>
          <w:rFonts w:hint="eastAsia" w:ascii="仿宋_GB2312" w:hAnsi="仿宋_GB2312" w:eastAsia="仿宋_GB2312" w:cs="仿宋_GB2312"/>
          <w:sz w:val="32"/>
          <w:szCs w:val="32"/>
          <w:highlight w:val="none"/>
          <w:lang w:val="en-US" w:eastAsia="zh-CN"/>
        </w:rPr>
        <w:t>下属二级预算单位6个，其中行政单位1个，参照公务员法管理的事业单位0个，其他事业单位5个。主要包括：</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局机关本级、市退役军人服务中心、广元军供站、市军队离退休干部休养所、市烈士陵园管理所、市光荣院。</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5" w:name="_Toc26557"/>
      <w:r>
        <w:rPr>
          <w:rFonts w:hint="eastAsia" w:ascii="黑体" w:hAnsi="黑体" w:eastAsia="黑体" w:cs="黑体"/>
          <w:sz w:val="32"/>
          <w:szCs w:val="32"/>
          <w:highlight w:val="none"/>
          <w:lang w:val="en-US" w:eastAsia="zh-CN"/>
        </w:rPr>
        <w:t>三、收支预算情况说明</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按照综合预算的原则，广元</w:t>
      </w:r>
      <w:r>
        <w:rPr>
          <w:rFonts w:hint="eastAsia" w:ascii="仿宋_GB2312" w:hAnsi="仿宋_GB2312" w:eastAsia="仿宋_GB2312" w:cs="仿宋_GB2312"/>
          <w:b w:val="0"/>
          <w:bCs/>
          <w:i w:val="0"/>
          <w:caps w:val="0"/>
          <w:color w:val="333333"/>
          <w:spacing w:val="0"/>
          <w:sz w:val="32"/>
          <w:szCs w:val="32"/>
          <w:highlight w:val="none"/>
          <w:shd w:val="clear" w:color="auto" w:fill="FFFFFF"/>
        </w:rPr>
        <w:t>市退役军人事务局</w:t>
      </w:r>
      <w:r>
        <w:rPr>
          <w:rFonts w:hint="eastAsia" w:ascii="仿宋_GB2312" w:hAnsi="仿宋_GB2312" w:eastAsia="仿宋_GB2312" w:cs="仿宋_GB2312"/>
          <w:sz w:val="32"/>
          <w:szCs w:val="32"/>
          <w:highlight w:val="none"/>
          <w:lang w:val="en-US" w:eastAsia="zh-CN"/>
        </w:rPr>
        <w:t>所有收入和支出均纳入部门预算管理。收入包括：一般公共预算拨款收入、其他收入；支出包括：社会保障和就业支出、卫生健康支出、住房保障支出。</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广元市退役军人事务局</w:t>
      </w:r>
      <w:r>
        <w:rPr>
          <w:rFonts w:hint="eastAsia" w:ascii="仿宋_GB2312" w:hAnsi="仿宋_GB2312" w:eastAsia="仿宋_GB2312" w:cs="仿宋_GB2312"/>
          <w:sz w:val="32"/>
          <w:szCs w:val="32"/>
          <w:highlight w:val="none"/>
          <w:lang w:val="en-US" w:eastAsia="zh-CN"/>
        </w:rPr>
        <w:t>2024年收支预算总数1627.40万元，比2023年收支预算总数减少289.61万元，主要原因是涉密单位不予公开</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6" w:name="_Toc14208"/>
      <w:r>
        <w:rPr>
          <w:rFonts w:hint="eastAsia" w:ascii="楷体_GB2312" w:hAnsi="楷体_GB2312" w:eastAsia="楷体_GB2312" w:cs="楷体_GB2312"/>
          <w:sz w:val="32"/>
          <w:szCs w:val="32"/>
          <w:highlight w:val="none"/>
          <w:lang w:val="en-US" w:eastAsia="zh-CN"/>
        </w:rPr>
        <w:t>（一）收入预算情况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w:t>
      </w:r>
      <w:r>
        <w:rPr>
          <w:rFonts w:hint="eastAsia" w:ascii="仿宋_GB2312" w:hAnsi="仿宋_GB2312" w:eastAsia="仿宋_GB2312" w:cs="仿宋_GB2312"/>
          <w:b w:val="0"/>
          <w:bCs/>
          <w:i w:val="0"/>
          <w:caps w:val="0"/>
          <w:color w:val="333333"/>
          <w:spacing w:val="0"/>
          <w:sz w:val="32"/>
          <w:szCs w:val="32"/>
          <w:highlight w:val="none"/>
          <w:shd w:val="clear" w:color="auto" w:fill="FFFFFF"/>
        </w:rPr>
        <w:t>市退役军人事务局</w:t>
      </w:r>
      <w:r>
        <w:rPr>
          <w:rFonts w:hint="eastAsia" w:ascii="仿宋_GB2312" w:hAnsi="仿宋_GB2312" w:eastAsia="仿宋_GB2312" w:cs="仿宋_GB2312"/>
          <w:sz w:val="32"/>
          <w:szCs w:val="32"/>
          <w:highlight w:val="none"/>
          <w:lang w:val="en-US" w:eastAsia="zh-CN"/>
        </w:rPr>
        <w:t>2024年收入预算1627.40万元，其中：一般公共预算拨款收入1612.88万元，占99.11%；其他收入14.52万元，占0.89%。</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7" w:name="_Toc6415"/>
      <w:r>
        <w:rPr>
          <w:rFonts w:hint="eastAsia" w:ascii="楷体_GB2312" w:hAnsi="楷体_GB2312" w:eastAsia="楷体_GB2312" w:cs="楷体_GB2312"/>
          <w:sz w:val="32"/>
          <w:szCs w:val="32"/>
          <w:highlight w:val="none"/>
          <w:lang w:val="en-US" w:eastAsia="zh-CN"/>
        </w:rPr>
        <w:t>（二）支出预算情况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w:t>
      </w:r>
      <w:r>
        <w:rPr>
          <w:rFonts w:hint="eastAsia" w:ascii="仿宋_GB2312" w:hAnsi="仿宋_GB2312" w:eastAsia="仿宋_GB2312" w:cs="仿宋_GB2312"/>
          <w:b w:val="0"/>
          <w:bCs/>
          <w:i w:val="0"/>
          <w:caps w:val="0"/>
          <w:color w:val="333333"/>
          <w:spacing w:val="0"/>
          <w:sz w:val="32"/>
          <w:szCs w:val="32"/>
          <w:highlight w:val="none"/>
          <w:shd w:val="clear" w:color="auto" w:fill="FFFFFF"/>
        </w:rPr>
        <w:t>市退役军人事务局</w:t>
      </w:r>
      <w:r>
        <w:rPr>
          <w:rFonts w:hint="eastAsia" w:ascii="仿宋_GB2312" w:hAnsi="仿宋_GB2312" w:eastAsia="仿宋_GB2312" w:cs="仿宋_GB2312"/>
          <w:sz w:val="32"/>
          <w:szCs w:val="32"/>
          <w:highlight w:val="none"/>
          <w:lang w:val="en-US" w:eastAsia="zh-CN"/>
        </w:rPr>
        <w:t>2024年支出预算1627.40万元，其中：基本支出1447.49万元，占88.94%；项目支出179.91万元，占11.06%</w:t>
      </w:r>
      <w:r>
        <w:rPr>
          <w:rFonts w:hint="eastAsia" w:ascii="仿宋_GB2312" w:hAnsi="仿宋_GB2312" w:eastAsia="仿宋_GB2312" w:cs="仿宋_GB2312"/>
          <w:b w:val="0"/>
          <w:bCs w:val="0"/>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8" w:name="_Toc31053"/>
      <w:r>
        <w:rPr>
          <w:rFonts w:hint="eastAsia" w:ascii="黑体" w:hAnsi="黑体" w:eastAsia="黑体" w:cs="黑体"/>
          <w:sz w:val="32"/>
          <w:szCs w:val="32"/>
          <w:highlight w:val="none"/>
          <w:lang w:val="en-US" w:eastAsia="zh-CN"/>
        </w:rPr>
        <w:t>四、财政拨款收支预算情况说明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广元</w:t>
      </w:r>
      <w:r>
        <w:rPr>
          <w:rFonts w:hint="eastAsia" w:ascii="仿宋_GB2312" w:hAnsi="仿宋_GB2312" w:eastAsia="仿宋_GB2312" w:cs="仿宋_GB2312"/>
          <w:b w:val="0"/>
          <w:bCs/>
          <w:i w:val="0"/>
          <w:caps w:val="0"/>
          <w:color w:val="333333"/>
          <w:spacing w:val="0"/>
          <w:sz w:val="32"/>
          <w:szCs w:val="32"/>
          <w:highlight w:val="none"/>
          <w:shd w:val="clear" w:color="auto" w:fill="FFFFFF"/>
        </w:rPr>
        <w:t>市退役军人事务局</w:t>
      </w:r>
      <w:r>
        <w:rPr>
          <w:rFonts w:hint="eastAsia" w:ascii="仿宋_GB2312" w:hAnsi="仿宋_GB2312" w:eastAsia="仿宋_GB2312" w:cs="仿宋_GB2312"/>
          <w:sz w:val="32"/>
          <w:szCs w:val="32"/>
          <w:highlight w:val="none"/>
          <w:lang w:val="en-US" w:eastAsia="zh-CN"/>
        </w:rPr>
        <w:t>2024年财政拨款收支预算总数1612.88万元，比2023年财政拨款收支预算总数减少304.13万元，主要原因是涉密单位不予公开</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收入包括：本年一般公共预算拨款收入1612.88万元；支出包括：社会保障和就业支出1452.29万元、卫生健康支出49.13万元、住房保障支出111.46万元。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9" w:name="_Toc9092"/>
      <w:r>
        <w:rPr>
          <w:rFonts w:hint="eastAsia" w:ascii="黑体" w:hAnsi="黑体" w:eastAsia="黑体" w:cs="黑体"/>
          <w:sz w:val="32"/>
          <w:szCs w:val="32"/>
          <w:highlight w:val="none"/>
          <w:lang w:val="en-US" w:eastAsia="zh-CN"/>
        </w:rPr>
        <w:t>五、一般公共预算当年拨款情况说明</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0" w:name="_Toc30463"/>
      <w:r>
        <w:rPr>
          <w:rFonts w:hint="eastAsia" w:ascii="楷体_GB2312" w:hAnsi="楷体_GB2312" w:eastAsia="楷体_GB2312" w:cs="楷体_GB2312"/>
          <w:sz w:val="32"/>
          <w:szCs w:val="32"/>
          <w:highlight w:val="none"/>
          <w:lang w:val="en-US" w:eastAsia="zh-CN"/>
        </w:rPr>
        <w:t>（一）一般公共预算当年拨款规模变化情况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广元</w:t>
      </w:r>
      <w:r>
        <w:rPr>
          <w:rFonts w:hint="eastAsia" w:ascii="仿宋_GB2312" w:hAnsi="仿宋_GB2312" w:eastAsia="仿宋_GB2312" w:cs="仿宋_GB2312"/>
          <w:b w:val="0"/>
          <w:bCs/>
          <w:i w:val="0"/>
          <w:caps w:val="0"/>
          <w:color w:val="333333"/>
          <w:spacing w:val="0"/>
          <w:sz w:val="32"/>
          <w:szCs w:val="32"/>
          <w:highlight w:val="none"/>
          <w:shd w:val="clear" w:color="auto" w:fill="FFFFFF"/>
        </w:rPr>
        <w:t>市退役军人事务局</w:t>
      </w:r>
      <w:r>
        <w:rPr>
          <w:rFonts w:hint="eastAsia" w:ascii="仿宋_GB2312" w:hAnsi="仿宋_GB2312" w:eastAsia="仿宋_GB2312" w:cs="仿宋_GB2312"/>
          <w:sz w:val="32"/>
          <w:szCs w:val="32"/>
          <w:highlight w:val="none"/>
          <w:lang w:val="en-US" w:eastAsia="zh-CN"/>
        </w:rPr>
        <w:t>2024年一般公共预算当年拨款1612.88万元，比2023年预算数减少304.13万元，主要原因是涉密单位不予公开</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1" w:name="_Toc11614"/>
      <w:r>
        <w:rPr>
          <w:rFonts w:hint="eastAsia" w:ascii="楷体_GB2312" w:hAnsi="楷体_GB2312" w:eastAsia="楷体_GB2312" w:cs="楷体_GB2312"/>
          <w:sz w:val="32"/>
          <w:szCs w:val="32"/>
          <w:highlight w:val="none"/>
          <w:lang w:val="en-US" w:eastAsia="zh-CN"/>
        </w:rPr>
        <w:t>（二）一般公共预算当年拨款结构情况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社会保障和就业支出1452.29万元，占90.04%；卫生健康支出49.13万元，占3.05%；住房保障支出111.46万元，占6.91%。</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2" w:name="_Toc16960"/>
      <w:r>
        <w:rPr>
          <w:rFonts w:hint="eastAsia" w:ascii="楷体_GB2312" w:hAnsi="楷体_GB2312" w:eastAsia="楷体_GB2312" w:cs="楷体_GB2312"/>
          <w:sz w:val="32"/>
          <w:szCs w:val="32"/>
          <w:highlight w:val="none"/>
          <w:lang w:val="en-US" w:eastAsia="zh-CN"/>
        </w:rPr>
        <w:t>（三）一般公共预算当年拨款具体使用情况</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1.社会保障和就业（类）行政事业单位养老支出（款）机关事业单位基本养老保险缴费支出（项）2024年预算数为131.01万元，主要用于：实施养老保险制度由单位缴纳的基本养老保险支出。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社会保障和就业（类）退役安置（款）军队移交政府离退休干部管理机构（项）2024年预算数为296.42万元，主要用于：市军队离退休干部休养所列入事业编制的人员经费、公用经费以及管理机构用房建设经费等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仿宋_GB2312" w:cs="仿宋_GB2312"/>
          <w:i w:val="0"/>
          <w:caps w:val="0"/>
          <w:color w:val="333333"/>
          <w:spacing w:val="0"/>
          <w:kern w:val="0"/>
          <w:sz w:val="32"/>
          <w:szCs w:val="32"/>
          <w:highlight w:val="none"/>
          <w:shd w:val="clear" w:color="auto" w:fill="FFFFFF"/>
          <w:lang w:val="en-US" w:eastAsia="zh-CN" w:bidi="ar"/>
        </w:rPr>
        <w:t>3.</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社会保障和就业（类）退役军人管理事务（款）行政运行（项）2024年预算数为288.73万元，主要用于：广元市退役军人事务局机关的基本支出，保障干部职工的人员经费按时足额发放，保障单位正常运转等开支。</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仿宋_GB2312" w:cs="仿宋_GB2312"/>
          <w:i w:val="0"/>
          <w:caps w:val="0"/>
          <w:color w:val="333333"/>
          <w:spacing w:val="0"/>
          <w:kern w:val="0"/>
          <w:sz w:val="32"/>
          <w:szCs w:val="32"/>
          <w:highlight w:val="none"/>
          <w:shd w:val="clear" w:color="auto" w:fill="FFFFFF"/>
          <w:lang w:val="en-US" w:eastAsia="zh-CN" w:bidi="ar"/>
        </w:rPr>
        <w:t>4.</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社会保障和就业（类）退役军人管理事务（款）事业运行（项）2024年预算数为622.59万元，主要用于：广元市退役军人事务局直属事业单位的基本支出，保障直属事业单位职工的人员经费按时足额发放，保障机构正常运转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仿宋_GB2312" w:cs="仿宋_GB2312"/>
          <w:i w:val="0"/>
          <w:caps w:val="0"/>
          <w:color w:val="333333"/>
          <w:spacing w:val="0"/>
          <w:kern w:val="0"/>
          <w:sz w:val="32"/>
          <w:szCs w:val="32"/>
          <w:highlight w:val="none"/>
          <w:shd w:val="clear" w:color="auto" w:fill="FFFFFF"/>
          <w:lang w:val="en-US" w:eastAsia="zh-CN" w:bidi="ar"/>
        </w:rPr>
        <w:t>5.</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社会保障和就业（类）退役军人管理事务（款）其他退役军人事务管理支出（项）2024年预算数为113.54万元，主要用于：市退役军人事务局及直属事业单位其他用于退役军人事务管理方面的支出。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仿宋_GB2312" w:cs="仿宋_GB2312"/>
          <w:i w:val="0"/>
          <w:caps w:val="0"/>
          <w:color w:val="333333"/>
          <w:spacing w:val="0"/>
          <w:kern w:val="0"/>
          <w:sz w:val="32"/>
          <w:szCs w:val="32"/>
          <w:highlight w:val="none"/>
          <w:shd w:val="clear" w:color="auto" w:fill="FFFFFF"/>
          <w:lang w:val="en-US" w:eastAsia="zh-CN" w:bidi="ar"/>
        </w:rPr>
        <w:t>6.</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卫生健康（类）公立医院（款）优抚医院（项）2024年预算数为6.83万元，主要用于：政府举办的用于集中收治优抚对象、伤残退役军人的医疗机构的支出。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仿宋_GB2312" w:cs="仿宋_GB2312"/>
          <w:i w:val="0"/>
          <w:caps w:val="0"/>
          <w:color w:val="333333"/>
          <w:spacing w:val="0"/>
          <w:kern w:val="0"/>
          <w:sz w:val="32"/>
          <w:szCs w:val="32"/>
          <w:highlight w:val="none"/>
          <w:shd w:val="clear" w:color="auto" w:fill="FFFFFF"/>
          <w:lang w:val="en-US" w:eastAsia="zh-CN" w:bidi="ar"/>
        </w:rPr>
        <w:t>7.</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卫生健康（类）行政事业单位医疗（款）行政单位医疗（项）2024年预算数为11.26万元，主要用于：机关按规定由单位缴纳的基本医疗保险支出。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仿宋_GB2312" w:cs="仿宋_GB2312"/>
          <w:i w:val="0"/>
          <w:caps w:val="0"/>
          <w:color w:val="333333"/>
          <w:spacing w:val="0"/>
          <w:kern w:val="0"/>
          <w:sz w:val="32"/>
          <w:szCs w:val="32"/>
          <w:highlight w:val="none"/>
          <w:shd w:val="clear" w:color="auto" w:fill="FFFFFF"/>
          <w:lang w:val="en-US" w:eastAsia="zh-CN" w:bidi="ar"/>
        </w:rPr>
        <w:t>8.</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卫生健康（类）行政事业单位医疗（款）事业单位医疗（项）2024年预算数为31.04万元，主要用于：部门下属事业单位按规定由单位缴纳的基本医疗保险支出。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仿宋_GB2312" w:cs="仿宋_GB2312"/>
          <w:i w:val="0"/>
          <w:caps w:val="0"/>
          <w:color w:val="333333"/>
          <w:spacing w:val="0"/>
          <w:kern w:val="0"/>
          <w:sz w:val="32"/>
          <w:szCs w:val="32"/>
          <w:highlight w:val="none"/>
          <w:shd w:val="clear" w:color="auto" w:fill="FFFFFF"/>
          <w:lang w:val="en-US" w:eastAsia="zh-CN" w:bidi="ar"/>
        </w:rPr>
        <w:t>9.</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住房保障（类）住房改革支出（款）住房公积金（项）2024年预算数为111.46万元，主要用于：部门按规定为职工缴纳的住房公积金支出。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outlineLvl w:val="0"/>
        <w:rPr>
          <w:rFonts w:hint="eastAsia" w:ascii="黑体" w:hAnsi="黑体" w:eastAsia="黑体" w:cs="黑体"/>
          <w:sz w:val="32"/>
          <w:szCs w:val="32"/>
          <w:highlight w:val="none"/>
          <w:lang w:val="en-US" w:eastAsia="zh-CN"/>
        </w:rPr>
      </w:pPr>
      <w:bookmarkStart w:id="13" w:name="_Toc15432"/>
      <w:r>
        <w:rPr>
          <w:rFonts w:hint="eastAsia" w:ascii="黑体" w:hAnsi="黑体" w:eastAsia="黑体" w:cs="黑体"/>
          <w:sz w:val="32"/>
          <w:szCs w:val="32"/>
          <w:highlight w:val="none"/>
          <w:lang w:val="en-US" w:eastAsia="zh-CN"/>
        </w:rPr>
        <w:t>六、一般公共预算基本支出情况说明</w:t>
      </w:r>
      <w:bookmarkEnd w:id="13"/>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bCs/>
          <w:i w:val="0"/>
          <w:caps w:val="0"/>
          <w:color w:val="333333"/>
          <w:spacing w:val="0"/>
          <w:kern w:val="0"/>
          <w:sz w:val="32"/>
          <w:szCs w:val="32"/>
          <w:highlight w:val="none"/>
          <w:shd w:val="clear" w:color="auto" w:fill="FFFFFF"/>
          <w:lang w:val="en-US" w:eastAsia="zh-CN" w:bidi="ar"/>
        </w:rPr>
        <w:t>广元市退役军人事务局</w:t>
      </w:r>
      <w:r>
        <w:rPr>
          <w:rFonts w:hint="eastAsia" w:ascii="仿宋_GB2312" w:hAnsi="仿宋_GB2312" w:eastAsia="仿宋_GB2312" w:cs="仿宋_GB2312"/>
          <w:sz w:val="32"/>
          <w:szCs w:val="32"/>
          <w:highlight w:val="none"/>
          <w:lang w:val="en-US" w:eastAsia="zh-CN"/>
        </w:rPr>
        <w:t>2024年一般公共预算基本支出1447.49万元，其中：</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人员经费1296.44万元，主要包括：基本工资、津贴补贴、奖金、绩效工资、机关事业单位基本养老保险缴费、职工基本医疗保险缴费、其他社会保障缴费、住房公积金、生活补助和其他对个人和家庭的补助等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用经费151.05万元，主要包括：办公费、印刷费、咨询费、手续费、水费、电费、邮电费、物业管理费、差旅费、邮电费、维修（护）费、租赁费、会议费、培训费、公务接待费、劳务费、委托业务费、工会经费、福利费、公务用车运行维护费、其他交通费用、其他商品和服务、办公设备购置等支出。</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outlineLvl w:val="0"/>
        <w:rPr>
          <w:rFonts w:hint="eastAsia" w:ascii="黑体" w:hAnsi="黑体" w:eastAsia="黑体" w:cs="黑体"/>
          <w:sz w:val="32"/>
          <w:szCs w:val="32"/>
          <w:highlight w:val="none"/>
          <w:lang w:val="en-US" w:eastAsia="zh-CN"/>
        </w:rPr>
      </w:pPr>
      <w:bookmarkStart w:id="14" w:name="_Toc16918"/>
      <w:r>
        <w:rPr>
          <w:rFonts w:hint="eastAsia" w:ascii="黑体" w:hAnsi="黑体" w:eastAsia="黑体" w:cs="黑体"/>
          <w:sz w:val="32"/>
          <w:szCs w:val="32"/>
          <w:highlight w:val="none"/>
          <w:lang w:val="en-US" w:eastAsia="zh-CN"/>
        </w:rPr>
        <w:t>“三公”经费财政拨款预算安排情况说明</w:t>
      </w:r>
      <w:bookmarkEnd w:id="14"/>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bCs/>
          <w:i w:val="0"/>
          <w:caps w:val="0"/>
          <w:color w:val="333333"/>
          <w:spacing w:val="0"/>
          <w:kern w:val="0"/>
          <w:sz w:val="32"/>
          <w:szCs w:val="32"/>
          <w:highlight w:val="none"/>
          <w:shd w:val="clear" w:color="auto" w:fill="FFFFFF"/>
          <w:lang w:val="en-US" w:eastAsia="zh-CN" w:bidi="ar"/>
        </w:rPr>
        <w:t>广元市退役军人事务局</w:t>
      </w:r>
      <w:r>
        <w:rPr>
          <w:rFonts w:hint="eastAsia" w:ascii="仿宋_GB2312" w:hAnsi="仿宋_GB2312" w:eastAsia="仿宋_GB2312" w:cs="仿宋_GB2312"/>
          <w:sz w:val="32"/>
          <w:szCs w:val="32"/>
          <w:highlight w:val="none"/>
          <w:lang w:val="en-US" w:eastAsia="zh-CN"/>
        </w:rPr>
        <w:t>2024年“三公”经费财政拨款预算数9.50万元，其中：公务接待费3.00万元，公务用车购置及运行维护费6.50万元，因公出国（境）经费0万元。</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outlineLvl w:val="1"/>
        <w:rPr>
          <w:rFonts w:hint="eastAsia" w:ascii="仿宋_GB2312" w:hAnsi="仿宋_GB2312" w:eastAsia="仿宋_GB2312" w:cs="仿宋_GB2312"/>
          <w:sz w:val="32"/>
          <w:szCs w:val="32"/>
          <w:highlight w:val="none"/>
          <w:lang w:val="en-US" w:eastAsia="zh-CN"/>
        </w:rPr>
      </w:pPr>
      <w:bookmarkStart w:id="15" w:name="_Toc15152"/>
      <w:r>
        <w:rPr>
          <w:rFonts w:hint="eastAsia" w:ascii="楷体_GB2312" w:hAnsi="楷体_GB2312" w:eastAsia="楷体_GB2312" w:cs="楷体_GB2312"/>
          <w:sz w:val="32"/>
          <w:szCs w:val="32"/>
          <w:highlight w:val="none"/>
          <w:lang w:val="en-US" w:eastAsia="zh-CN"/>
        </w:rPr>
        <w:t>（一）公务接待费</w:t>
      </w:r>
      <w:bookmarkEnd w:id="15"/>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公务接待费与2023年预算相比下降0.14万元，主要原因是厉行节约。</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2024年公务接待费计划用于执行接待考察调研、检查指导等公务活动开支的交通费、住宿费、用餐费等。</w:t>
      </w:r>
    </w:p>
    <w:p>
      <w:pPr>
        <w:keepNext w:val="0"/>
        <w:keepLines w:val="0"/>
        <w:pageBreakBefore w:val="0"/>
        <w:widowControl w:val="0"/>
        <w:numPr>
          <w:numId w:val="0"/>
        </w:numPr>
        <w:suppressLineNumbers w:val="0"/>
        <w:pBdr>
          <w:top w:val="none" w:color="auto" w:sz="0" w:space="0"/>
          <w:left w:val="none" w:color="auto" w:sz="0" w:space="0"/>
          <w:bottom w:val="single" w:color="FFFFFF" w:sz="8" w:space="31"/>
          <w:right w:val="none" w:color="auto" w:sz="0" w:space="0"/>
        </w:pBdr>
        <w:shd w:val="clear" w:color="auto"/>
        <w:tabs>
          <w:tab w:val="left" w:pos="1304"/>
        </w:tabs>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outlineLvl w:val="1"/>
        <w:rPr>
          <w:rFonts w:hint="eastAsia" w:ascii="楷体_GB2312" w:hAnsi="楷体_GB2312" w:eastAsia="楷体_GB2312" w:cs="楷体_GB2312"/>
          <w:sz w:val="32"/>
          <w:szCs w:val="32"/>
          <w:highlight w:val="none"/>
          <w:lang w:val="en-US" w:eastAsia="zh-CN"/>
        </w:rPr>
      </w:pPr>
      <w:bookmarkStart w:id="16" w:name="_Toc15812"/>
      <w:r>
        <w:rPr>
          <w:rFonts w:hint="eastAsia" w:ascii="楷体_GB2312" w:hAnsi="楷体_GB2312" w:eastAsia="楷体_GB2312" w:cs="楷体_GB2312"/>
          <w:sz w:val="32"/>
          <w:szCs w:val="32"/>
          <w:highlight w:val="none"/>
          <w:lang w:val="en-US" w:eastAsia="zh-CN"/>
        </w:rPr>
        <w:t>（二）公务用车购置及运行维护费</w:t>
      </w:r>
      <w:bookmarkEnd w:id="16"/>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公务用车购置及运行维护费与2023年预算相比下降2.86万元，主要原因是加强公务用车管理，厉行节约。</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b w:val="0"/>
          <w:bCs/>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sz w:val="32"/>
          <w:szCs w:val="32"/>
          <w:highlight w:val="none"/>
          <w:lang w:val="en-US" w:eastAsia="zh-CN"/>
        </w:rPr>
        <w:t>单位现有公务用车</w:t>
      </w:r>
      <w:r>
        <w:rPr>
          <w:rFonts w:hint="eastAsia" w:ascii="仿宋_GB2312" w:hAnsi="仿宋_GB2312" w:eastAsia="仿宋_GB2312" w:cs="仿宋_GB2312"/>
          <w:b w:val="0"/>
          <w:bCs/>
          <w:i w:val="0"/>
          <w:caps w:val="0"/>
          <w:color w:val="333333"/>
          <w:spacing w:val="0"/>
          <w:kern w:val="0"/>
          <w:sz w:val="32"/>
          <w:szCs w:val="32"/>
          <w:highlight w:val="none"/>
          <w:shd w:val="clear" w:color="auto" w:fill="FFFFFF"/>
          <w:lang w:val="en-US" w:eastAsia="zh-CN" w:bidi="ar"/>
        </w:rPr>
        <w:t>4</w:t>
      </w:r>
      <w:r>
        <w:rPr>
          <w:rFonts w:hint="eastAsia" w:ascii="仿宋_GB2312" w:hAnsi="仿宋_GB2312" w:eastAsia="仿宋_GB2312" w:cs="仿宋_GB2312"/>
          <w:sz w:val="32"/>
          <w:szCs w:val="32"/>
          <w:highlight w:val="none"/>
          <w:lang w:val="en-US" w:eastAsia="zh-CN"/>
        </w:rPr>
        <w:t>辆，其中：轿车</w:t>
      </w:r>
      <w:r>
        <w:rPr>
          <w:rFonts w:hint="eastAsia" w:ascii="仿宋_GB2312" w:hAnsi="仿宋_GB2312" w:eastAsia="仿宋_GB2312" w:cs="仿宋_GB2312"/>
          <w:b w:val="0"/>
          <w:bCs/>
          <w:i w:val="0"/>
          <w:caps w:val="0"/>
          <w:color w:val="333333"/>
          <w:spacing w:val="0"/>
          <w:kern w:val="0"/>
          <w:sz w:val="32"/>
          <w:szCs w:val="32"/>
          <w:highlight w:val="none"/>
          <w:shd w:val="clear" w:color="auto" w:fill="FFFFFF"/>
          <w:lang w:val="en-US" w:eastAsia="zh-CN" w:bidi="ar"/>
        </w:rPr>
        <w:t>2</w:t>
      </w:r>
      <w:r>
        <w:rPr>
          <w:rFonts w:hint="eastAsia" w:ascii="仿宋_GB2312" w:hAnsi="仿宋_GB2312" w:eastAsia="仿宋_GB2312" w:cs="仿宋_GB2312"/>
          <w:sz w:val="32"/>
          <w:szCs w:val="32"/>
          <w:highlight w:val="none"/>
          <w:lang w:val="en-US" w:eastAsia="zh-CN"/>
        </w:rPr>
        <w:t>辆，旅行车（含商务车）</w:t>
      </w:r>
      <w:r>
        <w:rPr>
          <w:rFonts w:hint="eastAsia" w:ascii="仿宋_GB2312" w:hAnsi="仿宋_GB2312" w:eastAsia="仿宋_GB2312" w:cs="仿宋_GB2312"/>
          <w:b w:val="0"/>
          <w:bCs/>
          <w:i w:val="0"/>
          <w:caps w:val="0"/>
          <w:color w:val="333333"/>
          <w:spacing w:val="0"/>
          <w:kern w:val="0"/>
          <w:sz w:val="32"/>
          <w:szCs w:val="32"/>
          <w:highlight w:val="none"/>
          <w:shd w:val="clear" w:color="auto" w:fill="FFFFFF"/>
          <w:lang w:val="en-US" w:eastAsia="zh-CN" w:bidi="ar"/>
        </w:rPr>
        <w:t>1辆，大型客车1辆。</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2024年安排公务用车购置费0万元，2024年未安排公务用车购置费。</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sz w:val="32"/>
          <w:szCs w:val="32"/>
          <w:highlight w:val="none"/>
          <w:lang w:val="en-US" w:eastAsia="zh-CN"/>
        </w:rPr>
        <w:t>2024年安排公务用车运行维护费6.50万元，用于4辆公务用车燃油、过路（桥）、维修、保险等方面支出，</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主要保障军休及供养老人等工作用车。</w:t>
      </w:r>
    </w:p>
    <w:p>
      <w:pPr>
        <w:keepNext w:val="0"/>
        <w:keepLines w:val="0"/>
        <w:pageBreakBefore w:val="0"/>
        <w:widowControl w:val="0"/>
        <w:numPr>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outlineLvl w:val="1"/>
        <w:rPr>
          <w:rFonts w:hint="eastAsia" w:ascii="楷体_GB2312" w:hAnsi="楷体_GB2312" w:eastAsia="楷体_GB2312" w:cs="楷体_GB2312"/>
          <w:sz w:val="32"/>
          <w:szCs w:val="32"/>
          <w:highlight w:val="none"/>
          <w:lang w:val="en-US" w:eastAsia="zh-CN"/>
        </w:rPr>
      </w:pPr>
      <w:bookmarkStart w:id="17" w:name="_Toc1040"/>
      <w:r>
        <w:rPr>
          <w:rFonts w:hint="eastAsia" w:ascii="楷体_GB2312" w:hAnsi="楷体_GB2312" w:eastAsia="楷体_GB2312" w:cs="楷体_GB2312"/>
          <w:sz w:val="32"/>
          <w:szCs w:val="32"/>
          <w:highlight w:val="none"/>
          <w:lang w:val="en-US" w:eastAsia="zh-CN"/>
        </w:rPr>
        <w:t>（三）因公出国（境）经费</w:t>
      </w:r>
      <w:bookmarkEnd w:id="17"/>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因公出国（境）经费与2023年预算相比持平。2024年部门预算未编列因公出国（境）费用，未安排出国（境）任务和计划。  </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left="0" w:leftChars="0" w:right="0" w:rightChars="0" w:firstLine="640" w:firstLineChars="200"/>
        <w:jc w:val="both"/>
        <w:textAlignment w:val="auto"/>
        <w:outlineLvl w:val="0"/>
        <w:rPr>
          <w:rFonts w:hint="eastAsia" w:ascii="黑体" w:hAnsi="黑体" w:eastAsia="黑体" w:cs="黑体"/>
          <w:sz w:val="32"/>
          <w:szCs w:val="32"/>
          <w:highlight w:val="none"/>
          <w:lang w:val="en-US" w:eastAsia="zh-CN"/>
        </w:rPr>
      </w:pPr>
      <w:bookmarkStart w:id="18" w:name="_Toc16385"/>
      <w:r>
        <w:rPr>
          <w:rFonts w:hint="eastAsia" w:ascii="黑体" w:hAnsi="黑体" w:eastAsia="黑体" w:cs="黑体"/>
          <w:sz w:val="32"/>
          <w:szCs w:val="32"/>
          <w:highlight w:val="none"/>
          <w:lang w:val="en-US" w:eastAsia="zh-CN"/>
        </w:rPr>
        <w:t>政府性基金预算支出情况说明</w:t>
      </w:r>
      <w:bookmarkEnd w:id="18"/>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bCs/>
          <w:i w:val="0"/>
          <w:caps w:val="0"/>
          <w:color w:val="333333"/>
          <w:spacing w:val="0"/>
          <w:kern w:val="0"/>
          <w:sz w:val="32"/>
          <w:szCs w:val="32"/>
          <w:highlight w:val="none"/>
          <w:shd w:val="clear" w:color="auto" w:fill="FFFFFF"/>
          <w:lang w:val="en-US" w:eastAsia="zh-CN" w:bidi="ar"/>
        </w:rPr>
        <w:t>广元市退役军人事务局</w:t>
      </w:r>
      <w:r>
        <w:rPr>
          <w:rFonts w:hint="eastAsia" w:ascii="仿宋_GB2312" w:hAnsi="仿宋_GB2312" w:eastAsia="仿宋_GB2312" w:cs="仿宋_GB2312"/>
          <w:sz w:val="32"/>
          <w:szCs w:val="32"/>
          <w:highlight w:val="none"/>
          <w:lang w:val="en-US" w:eastAsia="zh-CN"/>
        </w:rPr>
        <w:t>2024年无政府性基金预算拨款安排的支出。</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left="0" w:leftChars="0" w:right="0" w:rightChars="0" w:firstLine="640" w:firstLineChars="200"/>
        <w:jc w:val="both"/>
        <w:textAlignment w:val="auto"/>
        <w:outlineLvl w:val="0"/>
        <w:rPr>
          <w:rFonts w:hint="eastAsia" w:ascii="黑体" w:hAnsi="黑体" w:eastAsia="黑体" w:cs="黑体"/>
          <w:sz w:val="32"/>
          <w:szCs w:val="32"/>
          <w:highlight w:val="none"/>
          <w:lang w:val="en-US" w:eastAsia="zh-CN"/>
        </w:rPr>
      </w:pPr>
      <w:bookmarkStart w:id="19" w:name="_Toc13540"/>
      <w:r>
        <w:rPr>
          <w:rFonts w:hint="eastAsia" w:ascii="黑体" w:hAnsi="黑体" w:eastAsia="黑体" w:cs="黑体"/>
          <w:sz w:val="32"/>
          <w:szCs w:val="32"/>
          <w:highlight w:val="none"/>
          <w:lang w:val="en-US" w:eastAsia="zh-CN"/>
        </w:rPr>
        <w:t>国有资本经营预算支出情况说明</w:t>
      </w:r>
      <w:bookmarkEnd w:id="19"/>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bCs/>
          <w:i w:val="0"/>
          <w:caps w:val="0"/>
          <w:color w:val="333333"/>
          <w:spacing w:val="0"/>
          <w:kern w:val="0"/>
          <w:sz w:val="32"/>
          <w:szCs w:val="32"/>
          <w:highlight w:val="none"/>
          <w:shd w:val="clear" w:color="auto" w:fill="FFFFFF"/>
          <w:lang w:val="en-US" w:eastAsia="zh-CN" w:bidi="ar"/>
        </w:rPr>
        <w:t>广元市退役军人事务局</w:t>
      </w:r>
      <w:r>
        <w:rPr>
          <w:rFonts w:hint="eastAsia" w:ascii="仿宋_GB2312" w:hAnsi="仿宋_GB2312" w:eastAsia="仿宋_GB2312" w:cs="仿宋_GB2312"/>
          <w:sz w:val="32"/>
          <w:szCs w:val="32"/>
          <w:highlight w:val="none"/>
          <w:lang w:val="en-US" w:eastAsia="zh-CN"/>
        </w:rPr>
        <w:t>2024年无国有资本经营预算拨款安排的支出。</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left="0" w:leftChars="0" w:right="0" w:rightChars="0" w:firstLine="640" w:firstLineChars="200"/>
        <w:jc w:val="both"/>
        <w:textAlignment w:val="auto"/>
        <w:outlineLvl w:val="0"/>
        <w:rPr>
          <w:rFonts w:hint="eastAsia" w:ascii="黑体" w:hAnsi="黑体" w:eastAsia="黑体" w:cs="黑体"/>
          <w:sz w:val="32"/>
          <w:szCs w:val="32"/>
          <w:highlight w:val="none"/>
          <w:lang w:val="en-US" w:eastAsia="zh-CN"/>
        </w:rPr>
      </w:pPr>
      <w:bookmarkStart w:id="20" w:name="_Toc7305"/>
      <w:r>
        <w:rPr>
          <w:rFonts w:hint="eastAsia" w:ascii="黑体" w:hAnsi="黑体" w:eastAsia="黑体" w:cs="黑体"/>
          <w:sz w:val="32"/>
          <w:szCs w:val="32"/>
          <w:highlight w:val="none"/>
          <w:lang w:val="en-US" w:eastAsia="zh-CN"/>
        </w:rPr>
        <w:t>其他重要事项的情况说明</w:t>
      </w:r>
      <w:bookmarkEnd w:id="20"/>
    </w:p>
    <w:p>
      <w:pPr>
        <w:keepNext w:val="0"/>
        <w:keepLines w:val="0"/>
        <w:pageBreakBefore w:val="0"/>
        <w:widowControl w:val="0"/>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outlineLvl w:val="1"/>
        <w:rPr>
          <w:rFonts w:hint="eastAsia" w:ascii="楷体_GB2312" w:hAnsi="楷体_GB2312" w:eastAsia="楷体_GB2312" w:cs="楷体_GB2312"/>
          <w:sz w:val="32"/>
          <w:szCs w:val="32"/>
          <w:highlight w:val="none"/>
          <w:lang w:val="en-US" w:eastAsia="zh-CN"/>
        </w:rPr>
      </w:pPr>
      <w:bookmarkStart w:id="21" w:name="_Toc4442"/>
      <w:r>
        <w:rPr>
          <w:rFonts w:hint="eastAsia" w:ascii="楷体_GB2312" w:hAnsi="楷体_GB2312" w:eastAsia="楷体_GB2312" w:cs="楷体_GB2312"/>
          <w:sz w:val="32"/>
          <w:szCs w:val="32"/>
          <w:highlight w:val="none"/>
          <w:lang w:val="en-US" w:eastAsia="zh-CN"/>
        </w:rPr>
        <w:t>机关运行经费</w:t>
      </w:r>
      <w:bookmarkEnd w:id="21"/>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w:t>
      </w:r>
      <w:r>
        <w:rPr>
          <w:rFonts w:hint="eastAsia" w:ascii="仿宋_GB2312" w:hAnsi="仿宋_GB2312" w:eastAsia="仿宋_GB2312" w:cs="仿宋_GB2312"/>
          <w:b w:val="0"/>
          <w:bCs/>
          <w:i w:val="0"/>
          <w:caps w:val="0"/>
          <w:color w:val="333333"/>
          <w:spacing w:val="0"/>
          <w:kern w:val="0"/>
          <w:sz w:val="32"/>
          <w:szCs w:val="32"/>
          <w:highlight w:val="none"/>
          <w:shd w:val="clear" w:color="auto" w:fill="FFFFFF"/>
          <w:lang w:val="en-US" w:eastAsia="zh-CN" w:bidi="ar"/>
        </w:rPr>
        <w:t>广元市退役军人事务局</w:t>
      </w:r>
      <w:r>
        <w:rPr>
          <w:rFonts w:hint="eastAsia" w:ascii="仿宋_GB2312" w:hAnsi="仿宋_GB2312" w:eastAsia="仿宋_GB2312" w:cs="仿宋_GB2312"/>
          <w:sz w:val="32"/>
          <w:szCs w:val="32"/>
          <w:highlight w:val="none"/>
          <w:lang w:val="en-US" w:eastAsia="zh-CN"/>
        </w:rPr>
        <w:t>下属局机关等1家行政单位的机关运行经费财政拨款预算为55.41万元，比2023年预算增加0.06万元，增长0.11%。主要原因是福利费、党建经费等费用增加。</w:t>
      </w:r>
    </w:p>
    <w:p>
      <w:pPr>
        <w:keepNext w:val="0"/>
        <w:keepLines w:val="0"/>
        <w:pageBreakBefore w:val="0"/>
        <w:widowControl w:val="0"/>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highlight w:val="none"/>
          <w:lang w:val="en-US" w:eastAsia="zh-CN"/>
        </w:rPr>
      </w:pPr>
      <w:bookmarkStart w:id="22" w:name="_Toc29591"/>
      <w:r>
        <w:rPr>
          <w:rFonts w:hint="eastAsia" w:ascii="楷体_GB2312" w:hAnsi="楷体_GB2312" w:eastAsia="楷体_GB2312" w:cs="楷体_GB2312"/>
          <w:sz w:val="32"/>
          <w:szCs w:val="32"/>
          <w:highlight w:val="none"/>
          <w:lang w:val="en-US" w:eastAsia="zh-CN"/>
        </w:rPr>
        <w:t>政府采购情况</w:t>
      </w:r>
      <w:bookmarkEnd w:id="22"/>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w:t>
      </w:r>
      <w:r>
        <w:rPr>
          <w:rFonts w:hint="eastAsia" w:ascii="仿宋_GB2312" w:hAnsi="仿宋_GB2312" w:eastAsia="仿宋_GB2312" w:cs="仿宋_GB2312"/>
          <w:b w:val="0"/>
          <w:bCs/>
          <w:i w:val="0"/>
          <w:caps w:val="0"/>
          <w:color w:val="333333"/>
          <w:spacing w:val="0"/>
          <w:kern w:val="0"/>
          <w:sz w:val="32"/>
          <w:szCs w:val="32"/>
          <w:highlight w:val="none"/>
          <w:shd w:val="clear" w:color="auto" w:fill="FFFFFF"/>
          <w:lang w:val="en-US" w:eastAsia="zh-CN" w:bidi="ar"/>
        </w:rPr>
        <w:t>广元市退役军人事务局</w:t>
      </w:r>
      <w:r>
        <w:rPr>
          <w:rFonts w:hint="eastAsia" w:ascii="仿宋_GB2312" w:hAnsi="仿宋_GB2312" w:eastAsia="仿宋_GB2312" w:cs="仿宋_GB2312"/>
          <w:sz w:val="32"/>
          <w:szCs w:val="32"/>
          <w:highlight w:val="none"/>
          <w:lang w:val="en-US" w:eastAsia="zh-CN"/>
        </w:rPr>
        <w:t>安排政府采购预算0.30万元，其中：政府采购货物预算0.30万元。</w:t>
      </w:r>
    </w:p>
    <w:p>
      <w:pPr>
        <w:keepNext w:val="0"/>
        <w:keepLines w:val="0"/>
        <w:pageBreakBefore w:val="0"/>
        <w:widowControl w:val="0"/>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highlight w:val="none"/>
          <w:lang w:val="en-US" w:eastAsia="zh-CN"/>
        </w:rPr>
      </w:pPr>
      <w:bookmarkStart w:id="23" w:name="_Toc32515"/>
      <w:r>
        <w:rPr>
          <w:rFonts w:hint="eastAsia" w:ascii="楷体_GB2312" w:hAnsi="楷体_GB2312" w:eastAsia="楷体_GB2312" w:cs="楷体_GB2312"/>
          <w:sz w:val="32"/>
          <w:szCs w:val="32"/>
          <w:highlight w:val="none"/>
          <w:lang w:val="en-US" w:eastAsia="zh-CN"/>
        </w:rPr>
        <w:t>国有资产占有使用情况</w:t>
      </w:r>
      <w:bookmarkEnd w:id="23"/>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截至2023年底，</w:t>
      </w:r>
      <w:r>
        <w:rPr>
          <w:rFonts w:hint="eastAsia" w:ascii="仿宋_GB2312" w:hAnsi="仿宋_GB2312" w:eastAsia="仿宋_GB2312" w:cs="仿宋_GB2312"/>
          <w:b w:val="0"/>
          <w:bCs/>
          <w:i w:val="0"/>
          <w:caps w:val="0"/>
          <w:color w:val="333333"/>
          <w:spacing w:val="0"/>
          <w:kern w:val="0"/>
          <w:sz w:val="32"/>
          <w:szCs w:val="32"/>
          <w:highlight w:val="none"/>
          <w:shd w:val="clear" w:color="auto" w:fill="FFFFFF"/>
          <w:lang w:val="en-US" w:eastAsia="zh-CN" w:bidi="ar"/>
        </w:rPr>
        <w:t>广元市退役军人事务局</w:t>
      </w:r>
      <w:r>
        <w:rPr>
          <w:rFonts w:hint="eastAsia" w:ascii="仿宋_GB2312" w:hAnsi="仿宋_GB2312" w:eastAsia="仿宋_GB2312" w:cs="仿宋_GB2312"/>
          <w:sz w:val="32"/>
          <w:szCs w:val="32"/>
          <w:highlight w:val="none"/>
          <w:lang w:val="en-US" w:eastAsia="zh-CN"/>
        </w:rPr>
        <w:t>共有车辆4辆，其中，定向保障用车4辆</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w:t>
      </w:r>
      <w:r>
        <w:rPr>
          <w:rFonts w:hint="eastAsia" w:ascii="仿宋_GB2312" w:hAnsi="仿宋_GB2312" w:eastAsia="仿宋_GB2312" w:cs="仿宋_GB2312"/>
          <w:sz w:val="32"/>
          <w:szCs w:val="32"/>
          <w:highlight w:val="none"/>
          <w:lang w:val="en-US" w:eastAsia="zh-CN"/>
        </w:rPr>
        <w:t>单位价值200万元以上大型设备0台（套）。</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2024年部门预算未安排购置车辆及单位价值200万元以上大型设备。</w:t>
      </w:r>
    </w:p>
    <w:p>
      <w:pPr>
        <w:keepNext w:val="0"/>
        <w:keepLines w:val="0"/>
        <w:pageBreakBefore w:val="0"/>
        <w:widowControl w:val="0"/>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highlight w:val="none"/>
          <w:lang w:val="en-US" w:eastAsia="zh-CN"/>
        </w:rPr>
      </w:pPr>
      <w:bookmarkStart w:id="24" w:name="_Toc10695"/>
      <w:r>
        <w:rPr>
          <w:rFonts w:hint="eastAsia" w:ascii="楷体_GB2312" w:hAnsi="楷体_GB2312" w:eastAsia="楷体_GB2312" w:cs="楷体_GB2312"/>
          <w:sz w:val="32"/>
          <w:szCs w:val="32"/>
          <w:highlight w:val="none"/>
          <w:lang w:val="en-US" w:eastAsia="zh-CN"/>
        </w:rPr>
        <w:t>绩效目标设置情况</w:t>
      </w:r>
      <w:bookmarkEnd w:id="24"/>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b w:val="0"/>
          <w:bCs/>
          <w:i w:val="0"/>
          <w:caps w:val="0"/>
          <w:color w:val="auto"/>
          <w:spacing w:val="0"/>
          <w:kern w:val="0"/>
          <w:sz w:val="32"/>
          <w:szCs w:val="32"/>
          <w:highlight w:val="none"/>
          <w:shd w:val="clear" w:color="auto" w:fill="FFFFFF"/>
          <w:lang w:val="en-US" w:eastAsia="zh-CN" w:bidi="ar"/>
        </w:rPr>
      </w:pP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b w:val="0"/>
          <w:bCs/>
          <w:i w:val="0"/>
          <w:caps w:val="0"/>
          <w:color w:val="auto"/>
          <w:spacing w:val="0"/>
          <w:kern w:val="0"/>
          <w:sz w:val="32"/>
          <w:szCs w:val="32"/>
          <w:highlight w:val="none"/>
          <w:shd w:val="clear" w:color="auto" w:fill="FFFFFF"/>
          <w:lang w:val="en-US" w:eastAsia="zh-CN" w:bidi="ar"/>
        </w:rPr>
        <w:t>年广元市退役军人事务局开展绩效目标管理的项目66个，涉及预算1627.40万元。其中：人员类项目28个，涉及预算1296.44万元；运转类项目15个，涉及预算151.05万元；特定目标类项目23个，涉及预算179.91万元。因部分项目内容涉密，不予公开。</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left="0" w:leftChars="0" w:right="0" w:rightChars="0" w:firstLine="640" w:firstLineChars="200"/>
        <w:jc w:val="both"/>
        <w:textAlignment w:val="auto"/>
        <w:outlineLvl w:val="0"/>
        <w:rPr>
          <w:rFonts w:hint="eastAsia" w:ascii="黑体" w:hAnsi="黑体" w:eastAsia="黑体" w:cs="黑体"/>
          <w:sz w:val="32"/>
          <w:szCs w:val="32"/>
          <w:highlight w:val="none"/>
          <w:lang w:val="en-US" w:eastAsia="zh-CN"/>
        </w:rPr>
      </w:pPr>
      <w:bookmarkStart w:id="25" w:name="_Toc22542"/>
      <w:r>
        <w:rPr>
          <w:rFonts w:hint="eastAsia" w:ascii="黑体" w:hAnsi="黑体" w:eastAsia="黑体" w:cs="黑体"/>
          <w:sz w:val="32"/>
          <w:szCs w:val="32"/>
          <w:highlight w:val="none"/>
          <w:lang w:val="en-US" w:eastAsia="zh-CN"/>
        </w:rPr>
        <w:t>名词解释</w:t>
      </w:r>
      <w:bookmarkEnd w:id="25"/>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（一）财政拨款收入：</w:t>
      </w:r>
      <w:r>
        <w:rPr>
          <w:rFonts w:hint="eastAsia" w:ascii="仿宋_GB2312" w:hAnsi="仿宋_GB2312" w:eastAsia="仿宋_GB2312" w:cs="仿宋_GB2312"/>
          <w:sz w:val="32"/>
          <w:szCs w:val="32"/>
          <w:highlight w:val="none"/>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（二）其他收入：</w:t>
      </w:r>
      <w:r>
        <w:rPr>
          <w:rFonts w:hint="eastAsia" w:ascii="仿宋_GB2312" w:hAnsi="仿宋_GB2312" w:eastAsia="仿宋_GB2312" w:cs="仿宋_GB2312"/>
          <w:sz w:val="32"/>
          <w:szCs w:val="32"/>
          <w:highlight w:val="none"/>
          <w:lang w:val="en-US" w:eastAsia="zh-CN"/>
        </w:rPr>
        <w:t>指除上述“一般公共预算拨款收入” “事业收入”等以外的收入。主要指市局机关拨给市退役军人服务中心的办公设施设备补助资金。</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（三）社会保障和就业（类）行政事业单位养老支出（款）机关事业单位基本养老保险缴费支出（项）：</w:t>
      </w:r>
      <w:r>
        <w:rPr>
          <w:rFonts w:hint="eastAsia" w:ascii="仿宋_GB2312" w:hAnsi="仿宋_GB2312" w:eastAsia="仿宋_GB2312" w:cs="仿宋_GB2312"/>
          <w:sz w:val="32"/>
          <w:szCs w:val="32"/>
          <w:highlight w:val="none"/>
          <w:lang w:val="en-US" w:eastAsia="zh-CN"/>
        </w:rPr>
        <w:t>指部门实施养老保险制度由单位缴纳的养老保险的支出。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楷体_GB2312" w:hAnsi="楷体_GB2312" w:eastAsia="楷体_GB2312" w:cs="楷体_GB2312"/>
          <w:sz w:val="32"/>
          <w:szCs w:val="32"/>
          <w:highlight w:val="none"/>
          <w:lang w:val="en-US" w:eastAsia="zh-CN"/>
        </w:rPr>
        <w:t>（四）社会保障和就业（类）退役安置（款）军队移交政府离退休干部管理机构（项）：</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指退役军人事务部门管理的军队移交政府安置的离退休干部管理机构列入事业编制的人员经费、公用经费以及管理机构用房建设经费等支出。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楷体_GB2312" w:hAnsi="楷体_GB2312" w:eastAsia="楷体_GB2312" w:cs="楷体_GB2312"/>
          <w:sz w:val="32"/>
          <w:szCs w:val="32"/>
          <w:highlight w:val="none"/>
          <w:lang w:val="en-US" w:eastAsia="zh-CN"/>
        </w:rPr>
        <w:t>（五）社会保障和就业（类）退役军人管理事务（款）行政运行（项）</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：指行政单位的基本支出，保障干部职工的人员经费按时足额发放，保障单位正常运转等开支。</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楷体_GB2312" w:hAnsi="楷体_GB2312" w:eastAsia="楷体_GB2312" w:cs="楷体_GB2312"/>
          <w:sz w:val="32"/>
          <w:szCs w:val="32"/>
          <w:highlight w:val="none"/>
          <w:lang w:val="en-US" w:eastAsia="zh-CN"/>
        </w:rPr>
        <w:t>（六）社会保障和就业（类）退役军人管理事务（款）事业运行（项）：</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指事业单位的基本支出，保障事业单位职工的人员经费按时足额发放，保障机构正常运转支出。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楷体_GB2312" w:hAnsi="楷体_GB2312" w:eastAsia="楷体_GB2312" w:cs="楷体_GB2312"/>
          <w:sz w:val="32"/>
          <w:szCs w:val="32"/>
          <w:highlight w:val="none"/>
          <w:lang w:val="en-US" w:eastAsia="zh-CN"/>
        </w:rPr>
        <w:t>（七）社会保障和就业（类）退役军人管理事务（款）其他退役军人事务管理支出（项）：</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指部门其他用于退役军人事务管理方面的支出。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楷体_GB2312" w:hAnsi="楷体_GB2312" w:eastAsia="楷体_GB2312" w:cs="楷体_GB2312"/>
          <w:sz w:val="32"/>
          <w:szCs w:val="32"/>
          <w:highlight w:val="none"/>
          <w:lang w:val="en-US" w:eastAsia="zh-CN"/>
        </w:rPr>
        <w:t>（八）卫生健康（类）公立医院（款）优抚医院（项）：</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指政府举办的用于集中收治优抚对象、伤残退役军人的医疗机构的支出。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（九）卫生健康（类）行政事业单位医疗（款）行政单位医疗（项）：</w:t>
      </w:r>
      <w:r>
        <w:rPr>
          <w:rFonts w:hint="eastAsia" w:ascii="仿宋_GB2312" w:hAnsi="仿宋_GB2312" w:eastAsia="仿宋_GB2312" w:cs="仿宋_GB2312"/>
          <w:sz w:val="32"/>
          <w:szCs w:val="32"/>
          <w:highlight w:val="none"/>
          <w:lang w:val="en-US" w:eastAsia="zh-CN"/>
        </w:rPr>
        <w:t>指</w:t>
      </w: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机关用</w:t>
      </w:r>
      <w:r>
        <w:rPr>
          <w:rFonts w:hint="eastAsia" w:ascii="仿宋_GB2312" w:hAnsi="仿宋_GB2312" w:eastAsia="仿宋_GB2312" w:cs="仿宋_GB2312"/>
          <w:sz w:val="32"/>
          <w:szCs w:val="32"/>
          <w:highlight w:val="none"/>
          <w:lang w:val="en-US" w:eastAsia="zh-CN"/>
        </w:rPr>
        <w:t>于单位应缴纳基本医疗保险支出。</w:t>
      </w:r>
      <w:r>
        <w:rPr>
          <w:rFonts w:hint="eastAsia" w:ascii="仿宋_GB2312" w:hAnsi="仿宋_GB2312" w:eastAsia="仿宋_GB2312" w:cs="仿宋_GB2312"/>
          <w:sz w:val="32"/>
          <w:szCs w:val="32"/>
          <w:highlight w:val="none"/>
          <w:lang w:val="en-US" w:eastAsia="zh-CN"/>
        </w:rPr>
        <w:br w:type="textWrapping"/>
      </w:r>
      <w:r>
        <w:rPr>
          <w:rFonts w:hint="eastAsia" w:ascii="仿宋_GB2312" w:hAnsi="仿宋_GB2312" w:eastAsia="仿宋_GB2312" w:cs="仿宋_GB2312"/>
          <w:sz w:val="32"/>
          <w:szCs w:val="32"/>
          <w:highlight w:val="none"/>
          <w:lang w:val="en-US" w:eastAsia="zh-CN"/>
        </w:rPr>
        <w:t xml:space="preserve">    </w:t>
      </w:r>
      <w:r>
        <w:rPr>
          <w:rFonts w:hint="eastAsia" w:ascii="楷体_GB2312" w:hAnsi="楷体_GB2312" w:eastAsia="楷体_GB2312" w:cs="楷体_GB2312"/>
          <w:sz w:val="32"/>
          <w:szCs w:val="32"/>
          <w:highlight w:val="none"/>
          <w:lang w:val="en-US" w:eastAsia="zh-CN"/>
        </w:rPr>
        <w:t>（十）卫生健康（类）行政事业单位医疗（款）事业单位医疗（项）：</w:t>
      </w:r>
      <w:r>
        <w:rPr>
          <w:rFonts w:hint="eastAsia" w:ascii="仿宋_GB2312" w:hAnsi="仿宋_GB2312" w:eastAsia="仿宋_GB2312" w:cs="仿宋_GB2312"/>
          <w:sz w:val="32"/>
          <w:szCs w:val="32"/>
          <w:highlight w:val="none"/>
          <w:lang w:val="en-US" w:eastAsia="zh-CN"/>
        </w:rPr>
        <w:t>指事业单位用于单位应缴纳基本医疗保险支出。</w:t>
      </w:r>
      <w:r>
        <w:rPr>
          <w:rFonts w:hint="eastAsia" w:ascii="仿宋_GB2312" w:hAnsi="仿宋_GB2312" w:eastAsia="仿宋_GB2312" w:cs="仿宋_GB2312"/>
          <w:sz w:val="32"/>
          <w:szCs w:val="32"/>
          <w:highlight w:val="none"/>
          <w:lang w:val="en-US" w:eastAsia="zh-CN"/>
        </w:rPr>
        <w:br w:type="textWrapping"/>
      </w:r>
      <w:r>
        <w:rPr>
          <w:rFonts w:hint="eastAsia" w:ascii="仿宋_GB2312" w:hAnsi="仿宋_GB2312" w:eastAsia="仿宋_GB2312" w:cs="仿宋_GB2312"/>
          <w:sz w:val="32"/>
          <w:szCs w:val="32"/>
          <w:highlight w:val="none"/>
          <w:lang w:val="en-US" w:eastAsia="zh-CN"/>
        </w:rPr>
        <w:t>　　</w:t>
      </w:r>
      <w:r>
        <w:rPr>
          <w:rFonts w:hint="eastAsia" w:ascii="楷体_GB2312" w:hAnsi="楷体_GB2312" w:eastAsia="楷体_GB2312" w:cs="楷体_GB2312"/>
          <w:sz w:val="32"/>
          <w:szCs w:val="32"/>
          <w:highlight w:val="none"/>
          <w:lang w:val="en-US" w:eastAsia="zh-CN"/>
        </w:rPr>
        <w:t>（十一）住房保障（类）住房改革支出（款）住房公积金（项）：</w:t>
      </w:r>
      <w:r>
        <w:rPr>
          <w:rFonts w:hint="eastAsia" w:ascii="仿宋_GB2312" w:hAnsi="仿宋_GB2312" w:eastAsia="仿宋_GB2312" w:cs="仿宋_GB2312"/>
          <w:sz w:val="32"/>
          <w:szCs w:val="32"/>
          <w:highlight w:val="none"/>
          <w:lang w:val="en-US" w:eastAsia="zh-CN"/>
        </w:rPr>
        <w:t>指按照《住房公积金管理条例》的规定，由单位及其在职职工缴存的长期住房储金。</w:t>
      </w:r>
      <w:r>
        <w:rPr>
          <w:rFonts w:hint="eastAsia" w:ascii="仿宋_GB2312" w:hAnsi="仿宋_GB2312" w:eastAsia="仿宋_GB2312" w:cs="仿宋_GB2312"/>
          <w:sz w:val="32"/>
          <w:szCs w:val="32"/>
          <w:highlight w:val="none"/>
          <w:lang w:val="en-US" w:eastAsia="zh-CN"/>
        </w:rPr>
        <w:br w:type="textWrapping"/>
      </w:r>
      <w:r>
        <w:rPr>
          <w:rFonts w:hint="eastAsia" w:ascii="仿宋_GB2312" w:hAnsi="仿宋_GB2312" w:eastAsia="仿宋_GB2312" w:cs="仿宋_GB2312"/>
          <w:sz w:val="32"/>
          <w:szCs w:val="32"/>
          <w:highlight w:val="none"/>
          <w:lang w:val="en-US" w:eastAsia="zh-CN"/>
        </w:rPr>
        <w:t>　　</w:t>
      </w:r>
      <w:r>
        <w:rPr>
          <w:rFonts w:hint="eastAsia" w:ascii="楷体_GB2312" w:hAnsi="楷体_GB2312" w:eastAsia="楷体_GB2312" w:cs="楷体_GB2312"/>
          <w:sz w:val="32"/>
          <w:szCs w:val="32"/>
          <w:highlight w:val="none"/>
          <w:lang w:val="en-US" w:eastAsia="zh-CN"/>
        </w:rPr>
        <w:t>（十二）基本支出：</w:t>
      </w:r>
      <w:r>
        <w:rPr>
          <w:rFonts w:hint="eastAsia" w:ascii="仿宋_GB2312" w:hAnsi="仿宋_GB2312" w:eastAsia="仿宋_GB2312" w:cs="仿宋_GB2312"/>
          <w:sz w:val="32"/>
          <w:szCs w:val="32"/>
          <w:highlight w:val="none"/>
          <w:lang w:val="en-US" w:eastAsia="zh-CN"/>
        </w:rPr>
        <w:t>指为保证机构正常运转，完成日常工作任务而发生的人员支出和公用支出。</w:t>
      </w:r>
      <w:r>
        <w:rPr>
          <w:rFonts w:hint="eastAsia" w:ascii="仿宋_GB2312" w:hAnsi="仿宋_GB2312" w:eastAsia="仿宋_GB2312" w:cs="仿宋_GB2312"/>
          <w:sz w:val="32"/>
          <w:szCs w:val="32"/>
          <w:highlight w:val="none"/>
          <w:lang w:val="en-US" w:eastAsia="zh-CN"/>
        </w:rPr>
        <w:br w:type="textWrapping"/>
      </w:r>
      <w:r>
        <w:rPr>
          <w:rFonts w:hint="eastAsia" w:ascii="仿宋_GB2312" w:hAnsi="仿宋_GB2312" w:eastAsia="仿宋_GB2312" w:cs="仿宋_GB2312"/>
          <w:sz w:val="32"/>
          <w:szCs w:val="32"/>
          <w:highlight w:val="none"/>
          <w:lang w:val="en-US" w:eastAsia="zh-CN"/>
        </w:rPr>
        <w:t>　　</w:t>
      </w:r>
      <w:r>
        <w:rPr>
          <w:rFonts w:hint="eastAsia" w:ascii="楷体_GB2312" w:hAnsi="楷体_GB2312" w:eastAsia="楷体_GB2312" w:cs="楷体_GB2312"/>
          <w:sz w:val="32"/>
          <w:szCs w:val="32"/>
          <w:highlight w:val="none"/>
          <w:lang w:val="en-US" w:eastAsia="zh-CN"/>
        </w:rPr>
        <w:t>（十三）项目支出：</w:t>
      </w:r>
      <w:r>
        <w:rPr>
          <w:rFonts w:hint="eastAsia" w:ascii="仿宋_GB2312" w:hAnsi="仿宋_GB2312" w:eastAsia="仿宋_GB2312" w:cs="仿宋_GB2312"/>
          <w:sz w:val="32"/>
          <w:szCs w:val="32"/>
          <w:highlight w:val="none"/>
          <w:lang w:val="en-US" w:eastAsia="zh-CN"/>
        </w:rPr>
        <w:t>指在基本支出之外为完成特定行政任务和事业发展目标所发生的支出。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val="0"/>
        <w:snapToGrid w:val="0"/>
        <w:spacing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（十四）“三公”经费：</w:t>
      </w:r>
      <w:r>
        <w:rPr>
          <w:rFonts w:hint="eastAsia" w:ascii="仿宋_GB2312" w:hAnsi="仿宋_GB2312" w:eastAsia="仿宋_GB2312" w:cs="仿宋_GB2312"/>
          <w:sz w:val="32"/>
          <w:szCs w:val="32"/>
          <w:highlight w:val="none"/>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highlight w:val="none"/>
          <w:lang w:val="en-US" w:eastAsia="zh-CN"/>
        </w:rPr>
        <w:br w:type="textWrapping"/>
      </w:r>
      <w:r>
        <w:rPr>
          <w:rFonts w:hint="eastAsia" w:ascii="仿宋_GB2312" w:hAnsi="仿宋_GB2312" w:eastAsia="仿宋_GB2312" w:cs="仿宋_GB2312"/>
          <w:sz w:val="32"/>
          <w:szCs w:val="32"/>
          <w:highlight w:val="none"/>
          <w:lang w:val="en-US" w:eastAsia="zh-CN"/>
        </w:rPr>
        <w:t xml:space="preserve">    </w:t>
      </w:r>
      <w:r>
        <w:rPr>
          <w:rFonts w:hint="eastAsia" w:ascii="楷体_GB2312" w:hAnsi="楷体_GB2312" w:eastAsia="楷体_GB2312" w:cs="楷体_GB2312"/>
          <w:sz w:val="32"/>
          <w:szCs w:val="32"/>
          <w:highlight w:val="none"/>
          <w:lang w:val="en-US" w:eastAsia="zh-CN"/>
        </w:rPr>
        <w:t>（十五）机关运行经费：</w:t>
      </w:r>
      <w:r>
        <w:rPr>
          <w:rFonts w:hint="eastAsia" w:ascii="仿宋_GB2312" w:hAnsi="仿宋_GB2312" w:eastAsia="仿宋_GB2312" w:cs="仿宋_GB2312"/>
          <w:sz w:val="32"/>
          <w:szCs w:val="32"/>
          <w:highlight w:val="none"/>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附件：2024年部门预算公开表</w:t>
      </w:r>
    </w:p>
    <w:p>
      <w:pPr>
        <w:pStyle w:val="2"/>
        <w:shd w:val="clear"/>
        <w:rPr>
          <w:rFonts w:hint="default"/>
          <w:highlight w:val="none"/>
          <w:lang w:val="en-US" w:eastAsia="zh-CN"/>
        </w:rPr>
      </w:pPr>
      <w:r>
        <w:rPr>
          <w:rFonts w:hint="eastAsia" w:ascii="仿宋_GB2312" w:hAnsi="仿宋_GB2312" w:cs="仿宋_GB2312"/>
          <w:sz w:val="32"/>
          <w:szCs w:val="32"/>
          <w:highlight w:val="none"/>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highlight w:val="none"/>
          <w:lang w:eastAsia="zh-CN"/>
        </w:rPr>
      </w:pPr>
    </w:p>
    <w:sectPr>
      <w:pgSz w:w="11906" w:h="16838"/>
      <w:pgMar w:top="2098" w:right="1474" w:bottom="1984" w:left="1587" w:header="720"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253EEF-A358-4F1B-8BBC-CB5411EC5F4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0DEB0084-587B-4C22-9511-4A5C9F09958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embedRegular r:id="rId3" w:fontKey="{2380C7A7-0F37-445D-9FA5-491FF1CB9168}"/>
  </w:font>
  <w:font w:name="楷体_GB2312">
    <w:panose1 w:val="02010609030101010101"/>
    <w:charset w:val="86"/>
    <w:family w:val="auto"/>
    <w:pitch w:val="default"/>
    <w:sig w:usb0="00000001" w:usb1="080E0000" w:usb2="00000000" w:usb3="00000000" w:csb0="00040000" w:csb1="00000000"/>
    <w:embedRegular r:id="rId4" w:fontKey="{CD62E9B6-F18A-4448-B49B-FD267B8AC28C}"/>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BAFD88"/>
    <w:multiLevelType w:val="singleLevel"/>
    <w:tmpl w:val="D3BAFD88"/>
    <w:lvl w:ilvl="0" w:tentative="0">
      <w:start w:val="7"/>
      <w:numFmt w:val="chineseCounting"/>
      <w:suff w:val="nothing"/>
      <w:lvlText w:val="%1、"/>
      <w:lvlJc w:val="left"/>
      <w:rPr>
        <w:rFonts w:hint="eastAsia"/>
      </w:rPr>
    </w:lvl>
  </w:abstractNum>
  <w:abstractNum w:abstractNumId="1">
    <w:nsid w:val="E2876FF3"/>
    <w:multiLevelType w:val="singleLevel"/>
    <w:tmpl w:val="E2876FF3"/>
    <w:lvl w:ilvl="0" w:tentative="0">
      <w:start w:val="2"/>
      <w:numFmt w:val="chineseCounting"/>
      <w:suff w:val="nothing"/>
      <w:lvlText w:val="（%1）"/>
      <w:lvlJc w:val="left"/>
      <w:rPr>
        <w:rFonts w:hint="eastAsia"/>
      </w:rPr>
    </w:lvl>
  </w:abstractNum>
  <w:abstractNum w:abstractNumId="2">
    <w:nsid w:val="62457408"/>
    <w:multiLevelType w:val="singleLevel"/>
    <w:tmpl w:val="62457408"/>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010645B"/>
    <w:rsid w:val="001F0C5B"/>
    <w:rsid w:val="001F2BD1"/>
    <w:rsid w:val="012352D1"/>
    <w:rsid w:val="01374B39"/>
    <w:rsid w:val="014B2372"/>
    <w:rsid w:val="01681B9A"/>
    <w:rsid w:val="01BF716F"/>
    <w:rsid w:val="01DD55DF"/>
    <w:rsid w:val="01EF3C24"/>
    <w:rsid w:val="02042765"/>
    <w:rsid w:val="02743390"/>
    <w:rsid w:val="02A72AA6"/>
    <w:rsid w:val="02AB04B5"/>
    <w:rsid w:val="02B50CCC"/>
    <w:rsid w:val="02DC60DF"/>
    <w:rsid w:val="03035126"/>
    <w:rsid w:val="03061097"/>
    <w:rsid w:val="032464E2"/>
    <w:rsid w:val="03641F89"/>
    <w:rsid w:val="036D142C"/>
    <w:rsid w:val="036D601B"/>
    <w:rsid w:val="03936112"/>
    <w:rsid w:val="03A2521B"/>
    <w:rsid w:val="03AE7B7D"/>
    <w:rsid w:val="043C65B3"/>
    <w:rsid w:val="04416B75"/>
    <w:rsid w:val="04621A06"/>
    <w:rsid w:val="04621AD4"/>
    <w:rsid w:val="04CB7BE8"/>
    <w:rsid w:val="04DF41CE"/>
    <w:rsid w:val="04F456C6"/>
    <w:rsid w:val="05415C73"/>
    <w:rsid w:val="058148C5"/>
    <w:rsid w:val="05B8334C"/>
    <w:rsid w:val="05C00A0F"/>
    <w:rsid w:val="061B1861"/>
    <w:rsid w:val="063105CD"/>
    <w:rsid w:val="06584723"/>
    <w:rsid w:val="06596886"/>
    <w:rsid w:val="06627353"/>
    <w:rsid w:val="06A44435"/>
    <w:rsid w:val="06D17784"/>
    <w:rsid w:val="06DC2CDD"/>
    <w:rsid w:val="06ED3E27"/>
    <w:rsid w:val="076025AC"/>
    <w:rsid w:val="07680C2F"/>
    <w:rsid w:val="077457CB"/>
    <w:rsid w:val="08161970"/>
    <w:rsid w:val="081B059C"/>
    <w:rsid w:val="08234156"/>
    <w:rsid w:val="088565C7"/>
    <w:rsid w:val="08A37227"/>
    <w:rsid w:val="08AC4DD4"/>
    <w:rsid w:val="08C32452"/>
    <w:rsid w:val="09010ADE"/>
    <w:rsid w:val="091A588A"/>
    <w:rsid w:val="094212E7"/>
    <w:rsid w:val="09433B4F"/>
    <w:rsid w:val="0973659D"/>
    <w:rsid w:val="098F245B"/>
    <w:rsid w:val="099C34A7"/>
    <w:rsid w:val="09C810F1"/>
    <w:rsid w:val="0A5971AB"/>
    <w:rsid w:val="0AA9107A"/>
    <w:rsid w:val="0AF707EA"/>
    <w:rsid w:val="0B4C278F"/>
    <w:rsid w:val="0B925713"/>
    <w:rsid w:val="0BD36BFF"/>
    <w:rsid w:val="0C395BEF"/>
    <w:rsid w:val="0C6604AE"/>
    <w:rsid w:val="0C777468"/>
    <w:rsid w:val="0CA84271"/>
    <w:rsid w:val="0CBB3FC5"/>
    <w:rsid w:val="0CDA16A6"/>
    <w:rsid w:val="0D117F9E"/>
    <w:rsid w:val="0D3654E2"/>
    <w:rsid w:val="0D3F5D48"/>
    <w:rsid w:val="0D513C19"/>
    <w:rsid w:val="0D9F069B"/>
    <w:rsid w:val="0E005B6E"/>
    <w:rsid w:val="0E8274D3"/>
    <w:rsid w:val="0F1F4B55"/>
    <w:rsid w:val="0F372EB4"/>
    <w:rsid w:val="0F4D54CF"/>
    <w:rsid w:val="0F4D5845"/>
    <w:rsid w:val="0F6750E9"/>
    <w:rsid w:val="0F9078B6"/>
    <w:rsid w:val="0FA13F8C"/>
    <w:rsid w:val="0FAE6940"/>
    <w:rsid w:val="0FCE3322"/>
    <w:rsid w:val="0FE2680C"/>
    <w:rsid w:val="100977FE"/>
    <w:rsid w:val="104E1AA3"/>
    <w:rsid w:val="106575F0"/>
    <w:rsid w:val="10703473"/>
    <w:rsid w:val="10A12C66"/>
    <w:rsid w:val="10AF2ABE"/>
    <w:rsid w:val="10C4740E"/>
    <w:rsid w:val="10D24EB8"/>
    <w:rsid w:val="10D57F03"/>
    <w:rsid w:val="10DD573C"/>
    <w:rsid w:val="111B09D1"/>
    <w:rsid w:val="1157682B"/>
    <w:rsid w:val="11815813"/>
    <w:rsid w:val="11951BB3"/>
    <w:rsid w:val="119F5ECE"/>
    <w:rsid w:val="11DA29EC"/>
    <w:rsid w:val="126E03B0"/>
    <w:rsid w:val="129965BF"/>
    <w:rsid w:val="12A07B69"/>
    <w:rsid w:val="12AC0C5B"/>
    <w:rsid w:val="12EF0C35"/>
    <w:rsid w:val="12F02698"/>
    <w:rsid w:val="12F22D54"/>
    <w:rsid w:val="1302401E"/>
    <w:rsid w:val="13091614"/>
    <w:rsid w:val="131F1170"/>
    <w:rsid w:val="131F4567"/>
    <w:rsid w:val="13494902"/>
    <w:rsid w:val="13511536"/>
    <w:rsid w:val="135C7A06"/>
    <w:rsid w:val="136218D6"/>
    <w:rsid w:val="14100D01"/>
    <w:rsid w:val="14261566"/>
    <w:rsid w:val="146F4219"/>
    <w:rsid w:val="1488168F"/>
    <w:rsid w:val="14992D4C"/>
    <w:rsid w:val="14B33019"/>
    <w:rsid w:val="14BC646F"/>
    <w:rsid w:val="14BF042A"/>
    <w:rsid w:val="14E60BAE"/>
    <w:rsid w:val="14F43241"/>
    <w:rsid w:val="150A0824"/>
    <w:rsid w:val="152039A4"/>
    <w:rsid w:val="15341A0C"/>
    <w:rsid w:val="153E736E"/>
    <w:rsid w:val="1573229E"/>
    <w:rsid w:val="15B752FC"/>
    <w:rsid w:val="15DE774B"/>
    <w:rsid w:val="16061000"/>
    <w:rsid w:val="161A5D71"/>
    <w:rsid w:val="164633D0"/>
    <w:rsid w:val="16A46929"/>
    <w:rsid w:val="16EF5792"/>
    <w:rsid w:val="16FE3C67"/>
    <w:rsid w:val="17800766"/>
    <w:rsid w:val="17F37DE7"/>
    <w:rsid w:val="180C76B0"/>
    <w:rsid w:val="18265998"/>
    <w:rsid w:val="187B071F"/>
    <w:rsid w:val="18833695"/>
    <w:rsid w:val="18936A47"/>
    <w:rsid w:val="18E347FA"/>
    <w:rsid w:val="18FB1C91"/>
    <w:rsid w:val="19221E22"/>
    <w:rsid w:val="19747738"/>
    <w:rsid w:val="19800137"/>
    <w:rsid w:val="19885EB4"/>
    <w:rsid w:val="19A03204"/>
    <w:rsid w:val="19B92F9A"/>
    <w:rsid w:val="1A16645E"/>
    <w:rsid w:val="1A1E2C68"/>
    <w:rsid w:val="1A324385"/>
    <w:rsid w:val="1A512A09"/>
    <w:rsid w:val="1A857ACC"/>
    <w:rsid w:val="1AC84192"/>
    <w:rsid w:val="1AEB62B5"/>
    <w:rsid w:val="1B3447FB"/>
    <w:rsid w:val="1B761D97"/>
    <w:rsid w:val="1B9B493A"/>
    <w:rsid w:val="1BE1644E"/>
    <w:rsid w:val="1BEF4275"/>
    <w:rsid w:val="1BFC705F"/>
    <w:rsid w:val="1C0A1C23"/>
    <w:rsid w:val="1C153742"/>
    <w:rsid w:val="1C1A7F2A"/>
    <w:rsid w:val="1C7F0C48"/>
    <w:rsid w:val="1C987BB3"/>
    <w:rsid w:val="1CA047F6"/>
    <w:rsid w:val="1CA620B0"/>
    <w:rsid w:val="1CBB10E6"/>
    <w:rsid w:val="1CC34DE0"/>
    <w:rsid w:val="1D0E5F70"/>
    <w:rsid w:val="1D3C1E5D"/>
    <w:rsid w:val="1D495CBD"/>
    <w:rsid w:val="1D500758"/>
    <w:rsid w:val="1D7A62AD"/>
    <w:rsid w:val="1D931B2E"/>
    <w:rsid w:val="1D9742AC"/>
    <w:rsid w:val="1DAA5631"/>
    <w:rsid w:val="1DF83741"/>
    <w:rsid w:val="1E553206"/>
    <w:rsid w:val="1E585BAC"/>
    <w:rsid w:val="1EB01B08"/>
    <w:rsid w:val="1F19727C"/>
    <w:rsid w:val="1F304093"/>
    <w:rsid w:val="1F4105F5"/>
    <w:rsid w:val="1F775E89"/>
    <w:rsid w:val="1F7BF06F"/>
    <w:rsid w:val="1F8F5C49"/>
    <w:rsid w:val="1F9522E0"/>
    <w:rsid w:val="1FA84F37"/>
    <w:rsid w:val="1FEE4B73"/>
    <w:rsid w:val="20005003"/>
    <w:rsid w:val="200D22C9"/>
    <w:rsid w:val="20176360"/>
    <w:rsid w:val="20431DAB"/>
    <w:rsid w:val="20680195"/>
    <w:rsid w:val="206F74F1"/>
    <w:rsid w:val="20BD79B5"/>
    <w:rsid w:val="20F93AB4"/>
    <w:rsid w:val="212F7CEE"/>
    <w:rsid w:val="21401CE5"/>
    <w:rsid w:val="214A1D78"/>
    <w:rsid w:val="21543D74"/>
    <w:rsid w:val="215A4A72"/>
    <w:rsid w:val="216D7AD4"/>
    <w:rsid w:val="223D6ECF"/>
    <w:rsid w:val="2265693D"/>
    <w:rsid w:val="226B45E5"/>
    <w:rsid w:val="229A3092"/>
    <w:rsid w:val="22AC60AA"/>
    <w:rsid w:val="22B136A4"/>
    <w:rsid w:val="22BE0ADD"/>
    <w:rsid w:val="22F771C5"/>
    <w:rsid w:val="23042455"/>
    <w:rsid w:val="23496A03"/>
    <w:rsid w:val="237A14E3"/>
    <w:rsid w:val="23952583"/>
    <w:rsid w:val="23CE9849"/>
    <w:rsid w:val="241B48C1"/>
    <w:rsid w:val="244A4CAC"/>
    <w:rsid w:val="24527F62"/>
    <w:rsid w:val="245824C3"/>
    <w:rsid w:val="24583739"/>
    <w:rsid w:val="246C33F3"/>
    <w:rsid w:val="24CB60A5"/>
    <w:rsid w:val="25041738"/>
    <w:rsid w:val="250F731A"/>
    <w:rsid w:val="2515369B"/>
    <w:rsid w:val="25431560"/>
    <w:rsid w:val="25660B94"/>
    <w:rsid w:val="258D64EB"/>
    <w:rsid w:val="25AC77A5"/>
    <w:rsid w:val="25B12403"/>
    <w:rsid w:val="263D19C9"/>
    <w:rsid w:val="265B134E"/>
    <w:rsid w:val="26816845"/>
    <w:rsid w:val="26857FB7"/>
    <w:rsid w:val="26AE75D4"/>
    <w:rsid w:val="26E55498"/>
    <w:rsid w:val="26E64667"/>
    <w:rsid w:val="26E74FD1"/>
    <w:rsid w:val="274407FA"/>
    <w:rsid w:val="27982143"/>
    <w:rsid w:val="27BA14D0"/>
    <w:rsid w:val="27C40473"/>
    <w:rsid w:val="27C712A8"/>
    <w:rsid w:val="27D870B1"/>
    <w:rsid w:val="287233EA"/>
    <w:rsid w:val="289F39BF"/>
    <w:rsid w:val="28F708C0"/>
    <w:rsid w:val="292216F2"/>
    <w:rsid w:val="299802CC"/>
    <w:rsid w:val="299F43F8"/>
    <w:rsid w:val="29AF4205"/>
    <w:rsid w:val="2A036347"/>
    <w:rsid w:val="2A2F02EC"/>
    <w:rsid w:val="2A3E7425"/>
    <w:rsid w:val="2A511288"/>
    <w:rsid w:val="2A5A6749"/>
    <w:rsid w:val="2A6C0B5D"/>
    <w:rsid w:val="2A7E4252"/>
    <w:rsid w:val="2A813662"/>
    <w:rsid w:val="2A907683"/>
    <w:rsid w:val="2AB4644C"/>
    <w:rsid w:val="2AE34529"/>
    <w:rsid w:val="2B147441"/>
    <w:rsid w:val="2B1834B2"/>
    <w:rsid w:val="2B26053E"/>
    <w:rsid w:val="2B7E5166"/>
    <w:rsid w:val="2BB37A5A"/>
    <w:rsid w:val="2BBD44B4"/>
    <w:rsid w:val="2BC72289"/>
    <w:rsid w:val="2BE67F24"/>
    <w:rsid w:val="2C0C25E2"/>
    <w:rsid w:val="2C310EE5"/>
    <w:rsid w:val="2C391DA0"/>
    <w:rsid w:val="2C3A6C91"/>
    <w:rsid w:val="2C5F6246"/>
    <w:rsid w:val="2C61371B"/>
    <w:rsid w:val="2C6F7C17"/>
    <w:rsid w:val="2C8E4FBF"/>
    <w:rsid w:val="2CAF1D1A"/>
    <w:rsid w:val="2CB047A8"/>
    <w:rsid w:val="2D061840"/>
    <w:rsid w:val="2D066951"/>
    <w:rsid w:val="2D270BB6"/>
    <w:rsid w:val="2D481695"/>
    <w:rsid w:val="2D60387E"/>
    <w:rsid w:val="2D7436F5"/>
    <w:rsid w:val="2DB94D1A"/>
    <w:rsid w:val="2DFC6B3A"/>
    <w:rsid w:val="2E5317FC"/>
    <w:rsid w:val="2E7E1FFF"/>
    <w:rsid w:val="2EB87AE3"/>
    <w:rsid w:val="2EC36FBC"/>
    <w:rsid w:val="2F0F4B0E"/>
    <w:rsid w:val="2F372FF0"/>
    <w:rsid w:val="2F406032"/>
    <w:rsid w:val="2F656E89"/>
    <w:rsid w:val="2F887F02"/>
    <w:rsid w:val="2FBA62A4"/>
    <w:rsid w:val="2FBC3387"/>
    <w:rsid w:val="2FF90DB1"/>
    <w:rsid w:val="30017C3B"/>
    <w:rsid w:val="301B13A3"/>
    <w:rsid w:val="3062603A"/>
    <w:rsid w:val="30783384"/>
    <w:rsid w:val="308342F5"/>
    <w:rsid w:val="308E35D5"/>
    <w:rsid w:val="30CD3CDC"/>
    <w:rsid w:val="30E33ED6"/>
    <w:rsid w:val="30E62C97"/>
    <w:rsid w:val="31345694"/>
    <w:rsid w:val="31751403"/>
    <w:rsid w:val="31BA5B70"/>
    <w:rsid w:val="31BC2FA6"/>
    <w:rsid w:val="32125316"/>
    <w:rsid w:val="3216334D"/>
    <w:rsid w:val="32403778"/>
    <w:rsid w:val="32751DB6"/>
    <w:rsid w:val="327E3A51"/>
    <w:rsid w:val="32AB07B0"/>
    <w:rsid w:val="32B735E8"/>
    <w:rsid w:val="32EF42E7"/>
    <w:rsid w:val="32F82874"/>
    <w:rsid w:val="331E20AC"/>
    <w:rsid w:val="332425D0"/>
    <w:rsid w:val="332B1F28"/>
    <w:rsid w:val="332F11CF"/>
    <w:rsid w:val="338A353C"/>
    <w:rsid w:val="33BF3472"/>
    <w:rsid w:val="33D76E19"/>
    <w:rsid w:val="33EE536A"/>
    <w:rsid w:val="3427004D"/>
    <w:rsid w:val="343F43EE"/>
    <w:rsid w:val="346B4C22"/>
    <w:rsid w:val="348F44AD"/>
    <w:rsid w:val="34994C83"/>
    <w:rsid w:val="34E65B03"/>
    <w:rsid w:val="34EC15A7"/>
    <w:rsid w:val="351C39F0"/>
    <w:rsid w:val="3537153B"/>
    <w:rsid w:val="35462D17"/>
    <w:rsid w:val="357A2AED"/>
    <w:rsid w:val="35DA7927"/>
    <w:rsid w:val="366C2C24"/>
    <w:rsid w:val="3698466B"/>
    <w:rsid w:val="36DD1009"/>
    <w:rsid w:val="371A42FC"/>
    <w:rsid w:val="37310C3E"/>
    <w:rsid w:val="375B7A02"/>
    <w:rsid w:val="375D053E"/>
    <w:rsid w:val="379876AB"/>
    <w:rsid w:val="37DB7CC0"/>
    <w:rsid w:val="37EE0C1A"/>
    <w:rsid w:val="37F40187"/>
    <w:rsid w:val="38216C37"/>
    <w:rsid w:val="38334E5F"/>
    <w:rsid w:val="38527193"/>
    <w:rsid w:val="38AD56C8"/>
    <w:rsid w:val="38CB3548"/>
    <w:rsid w:val="38D07FE6"/>
    <w:rsid w:val="38F54AA1"/>
    <w:rsid w:val="39002F33"/>
    <w:rsid w:val="39365EE0"/>
    <w:rsid w:val="394C2F09"/>
    <w:rsid w:val="395663D9"/>
    <w:rsid w:val="395825BA"/>
    <w:rsid w:val="395A1A25"/>
    <w:rsid w:val="3968257D"/>
    <w:rsid w:val="39B04947"/>
    <w:rsid w:val="39B22419"/>
    <w:rsid w:val="39F304DD"/>
    <w:rsid w:val="3A482B0A"/>
    <w:rsid w:val="3A6F0828"/>
    <w:rsid w:val="3AA16122"/>
    <w:rsid w:val="3AC6747A"/>
    <w:rsid w:val="3ACD1F70"/>
    <w:rsid w:val="3ADA7D72"/>
    <w:rsid w:val="3B52471B"/>
    <w:rsid w:val="3B715BF6"/>
    <w:rsid w:val="3B763F10"/>
    <w:rsid w:val="3B7642E9"/>
    <w:rsid w:val="3B83087F"/>
    <w:rsid w:val="3BB62356"/>
    <w:rsid w:val="3BBF57BD"/>
    <w:rsid w:val="3BE10C62"/>
    <w:rsid w:val="3BEE5AA2"/>
    <w:rsid w:val="3C083F93"/>
    <w:rsid w:val="3C1F3856"/>
    <w:rsid w:val="3C4153BE"/>
    <w:rsid w:val="3C9B253E"/>
    <w:rsid w:val="3CC83AEE"/>
    <w:rsid w:val="3CD8551C"/>
    <w:rsid w:val="3CE17CEF"/>
    <w:rsid w:val="3D342A80"/>
    <w:rsid w:val="3D5917B9"/>
    <w:rsid w:val="3DFF46E7"/>
    <w:rsid w:val="3E5240FE"/>
    <w:rsid w:val="3E543CA7"/>
    <w:rsid w:val="3EEE5572"/>
    <w:rsid w:val="3F064587"/>
    <w:rsid w:val="3F2167BB"/>
    <w:rsid w:val="3F2C0582"/>
    <w:rsid w:val="3F425612"/>
    <w:rsid w:val="3F773C49"/>
    <w:rsid w:val="3F9324E1"/>
    <w:rsid w:val="3FA175D3"/>
    <w:rsid w:val="3FA3348F"/>
    <w:rsid w:val="3FB36953"/>
    <w:rsid w:val="3FEF7C1A"/>
    <w:rsid w:val="40265F14"/>
    <w:rsid w:val="408070EF"/>
    <w:rsid w:val="40AB7EC7"/>
    <w:rsid w:val="40AE5777"/>
    <w:rsid w:val="40CD5F4A"/>
    <w:rsid w:val="412A6B14"/>
    <w:rsid w:val="41312BE9"/>
    <w:rsid w:val="413428DA"/>
    <w:rsid w:val="418B527D"/>
    <w:rsid w:val="418F5EE8"/>
    <w:rsid w:val="41A67103"/>
    <w:rsid w:val="41D82706"/>
    <w:rsid w:val="41E755C0"/>
    <w:rsid w:val="41F5142B"/>
    <w:rsid w:val="41F9715C"/>
    <w:rsid w:val="421340BA"/>
    <w:rsid w:val="422238CC"/>
    <w:rsid w:val="42440433"/>
    <w:rsid w:val="4262371D"/>
    <w:rsid w:val="427564AE"/>
    <w:rsid w:val="428E1326"/>
    <w:rsid w:val="42A45CE4"/>
    <w:rsid w:val="42B85E8E"/>
    <w:rsid w:val="42E86F0B"/>
    <w:rsid w:val="42EF4130"/>
    <w:rsid w:val="42FB32C8"/>
    <w:rsid w:val="430324C0"/>
    <w:rsid w:val="4312724D"/>
    <w:rsid w:val="432E049B"/>
    <w:rsid w:val="433445C4"/>
    <w:rsid w:val="435A57A2"/>
    <w:rsid w:val="435F00EC"/>
    <w:rsid w:val="436B786D"/>
    <w:rsid w:val="437F69ED"/>
    <w:rsid w:val="43CA0E65"/>
    <w:rsid w:val="43D270FF"/>
    <w:rsid w:val="43F512DA"/>
    <w:rsid w:val="440D3325"/>
    <w:rsid w:val="44267789"/>
    <w:rsid w:val="44342C1D"/>
    <w:rsid w:val="446E04F3"/>
    <w:rsid w:val="44717698"/>
    <w:rsid w:val="44766DA1"/>
    <w:rsid w:val="447C1514"/>
    <w:rsid w:val="44A4772E"/>
    <w:rsid w:val="44E55815"/>
    <w:rsid w:val="451D7D6C"/>
    <w:rsid w:val="45301326"/>
    <w:rsid w:val="45886972"/>
    <w:rsid w:val="45CB7FF1"/>
    <w:rsid w:val="4625258C"/>
    <w:rsid w:val="466C08B6"/>
    <w:rsid w:val="467A3748"/>
    <w:rsid w:val="46985F02"/>
    <w:rsid w:val="46BA7A55"/>
    <w:rsid w:val="46DB082A"/>
    <w:rsid w:val="46E82D80"/>
    <w:rsid w:val="47021411"/>
    <w:rsid w:val="477A4965"/>
    <w:rsid w:val="478E5618"/>
    <w:rsid w:val="47950AC2"/>
    <w:rsid w:val="47AC1497"/>
    <w:rsid w:val="47DD1564"/>
    <w:rsid w:val="47FA59C8"/>
    <w:rsid w:val="48141669"/>
    <w:rsid w:val="488B5D00"/>
    <w:rsid w:val="48E836AD"/>
    <w:rsid w:val="490D640D"/>
    <w:rsid w:val="494C03B5"/>
    <w:rsid w:val="4998549A"/>
    <w:rsid w:val="49A109D0"/>
    <w:rsid w:val="4A1B1713"/>
    <w:rsid w:val="4A1C0D8C"/>
    <w:rsid w:val="4A1E3CC7"/>
    <w:rsid w:val="4A3842B6"/>
    <w:rsid w:val="4A470974"/>
    <w:rsid w:val="4A782E60"/>
    <w:rsid w:val="4A873869"/>
    <w:rsid w:val="4A87552F"/>
    <w:rsid w:val="4A900B49"/>
    <w:rsid w:val="4A966100"/>
    <w:rsid w:val="4AD1487E"/>
    <w:rsid w:val="4AEF6DB3"/>
    <w:rsid w:val="4B260829"/>
    <w:rsid w:val="4B3E6168"/>
    <w:rsid w:val="4B5F0C59"/>
    <w:rsid w:val="4B7B3C5E"/>
    <w:rsid w:val="4B87268C"/>
    <w:rsid w:val="4B991A8A"/>
    <w:rsid w:val="4BA46D00"/>
    <w:rsid w:val="4BB9426E"/>
    <w:rsid w:val="4BF7369E"/>
    <w:rsid w:val="4C15258B"/>
    <w:rsid w:val="4C2A5881"/>
    <w:rsid w:val="4C3B3CCC"/>
    <w:rsid w:val="4C561457"/>
    <w:rsid w:val="4C820373"/>
    <w:rsid w:val="4C892CDE"/>
    <w:rsid w:val="4C970D32"/>
    <w:rsid w:val="4C9A3A6E"/>
    <w:rsid w:val="4CAB47F6"/>
    <w:rsid w:val="4CC76A2A"/>
    <w:rsid w:val="4CD6646B"/>
    <w:rsid w:val="4D3B66A6"/>
    <w:rsid w:val="4D4C0C10"/>
    <w:rsid w:val="4D4C2A85"/>
    <w:rsid w:val="4D6E6569"/>
    <w:rsid w:val="4D731195"/>
    <w:rsid w:val="4D864F53"/>
    <w:rsid w:val="4D8914DB"/>
    <w:rsid w:val="4DA45CD7"/>
    <w:rsid w:val="4DA757AC"/>
    <w:rsid w:val="4DC105BA"/>
    <w:rsid w:val="4DFD5CC5"/>
    <w:rsid w:val="4E232B83"/>
    <w:rsid w:val="4E294110"/>
    <w:rsid w:val="4E5D34AC"/>
    <w:rsid w:val="4E5E7560"/>
    <w:rsid w:val="4E734433"/>
    <w:rsid w:val="4E95362A"/>
    <w:rsid w:val="4EAC5214"/>
    <w:rsid w:val="4EDA362B"/>
    <w:rsid w:val="4EF467D4"/>
    <w:rsid w:val="4F1006E8"/>
    <w:rsid w:val="4F29371A"/>
    <w:rsid w:val="4F3C1C64"/>
    <w:rsid w:val="4F6572FD"/>
    <w:rsid w:val="4F8640EA"/>
    <w:rsid w:val="4F88594C"/>
    <w:rsid w:val="4FA73999"/>
    <w:rsid w:val="4FC86A78"/>
    <w:rsid w:val="4FE77466"/>
    <w:rsid w:val="4FF13F1C"/>
    <w:rsid w:val="502A4A38"/>
    <w:rsid w:val="505A5D5B"/>
    <w:rsid w:val="506E29DA"/>
    <w:rsid w:val="50840429"/>
    <w:rsid w:val="50890512"/>
    <w:rsid w:val="50D65DC1"/>
    <w:rsid w:val="50D9031E"/>
    <w:rsid w:val="50DB78E8"/>
    <w:rsid w:val="50DE1CAF"/>
    <w:rsid w:val="5100747F"/>
    <w:rsid w:val="5159563B"/>
    <w:rsid w:val="51B4267F"/>
    <w:rsid w:val="51E93065"/>
    <w:rsid w:val="51EA65B3"/>
    <w:rsid w:val="522A74E6"/>
    <w:rsid w:val="52526A30"/>
    <w:rsid w:val="527F0D57"/>
    <w:rsid w:val="528529D7"/>
    <w:rsid w:val="528E5F11"/>
    <w:rsid w:val="529D13EE"/>
    <w:rsid w:val="529D782B"/>
    <w:rsid w:val="52AD1CC0"/>
    <w:rsid w:val="52CC79FC"/>
    <w:rsid w:val="52F35CD3"/>
    <w:rsid w:val="52FF2D97"/>
    <w:rsid w:val="53090098"/>
    <w:rsid w:val="530D75FF"/>
    <w:rsid w:val="53422A3B"/>
    <w:rsid w:val="534A1446"/>
    <w:rsid w:val="53BB3578"/>
    <w:rsid w:val="53C10A63"/>
    <w:rsid w:val="53F04E5E"/>
    <w:rsid w:val="5414554E"/>
    <w:rsid w:val="54244390"/>
    <w:rsid w:val="54321913"/>
    <w:rsid w:val="54662A63"/>
    <w:rsid w:val="546A5D1E"/>
    <w:rsid w:val="549A6958"/>
    <w:rsid w:val="54A24D7D"/>
    <w:rsid w:val="54BB3A77"/>
    <w:rsid w:val="54BD65D6"/>
    <w:rsid w:val="54C7589F"/>
    <w:rsid w:val="54DB005E"/>
    <w:rsid w:val="54FD28E5"/>
    <w:rsid w:val="550C09E9"/>
    <w:rsid w:val="553A59F9"/>
    <w:rsid w:val="55766D2C"/>
    <w:rsid w:val="559309A1"/>
    <w:rsid w:val="55941599"/>
    <w:rsid w:val="559D0A09"/>
    <w:rsid w:val="55A71286"/>
    <w:rsid w:val="55BF3021"/>
    <w:rsid w:val="55E33798"/>
    <w:rsid w:val="560F56A0"/>
    <w:rsid w:val="561B56C8"/>
    <w:rsid w:val="562B3692"/>
    <w:rsid w:val="567D0B0C"/>
    <w:rsid w:val="56AF3665"/>
    <w:rsid w:val="56CC4CFE"/>
    <w:rsid w:val="56DF0E23"/>
    <w:rsid w:val="574A3D71"/>
    <w:rsid w:val="57583649"/>
    <w:rsid w:val="5765054A"/>
    <w:rsid w:val="576B5A91"/>
    <w:rsid w:val="577642CA"/>
    <w:rsid w:val="57D30276"/>
    <w:rsid w:val="58064E12"/>
    <w:rsid w:val="5813179C"/>
    <w:rsid w:val="581E2482"/>
    <w:rsid w:val="584829BB"/>
    <w:rsid w:val="587F1715"/>
    <w:rsid w:val="588B6620"/>
    <w:rsid w:val="58AB529F"/>
    <w:rsid w:val="59075BBC"/>
    <w:rsid w:val="591E14BD"/>
    <w:rsid w:val="59537E7C"/>
    <w:rsid w:val="596107CC"/>
    <w:rsid w:val="596F5EA0"/>
    <w:rsid w:val="598547AD"/>
    <w:rsid w:val="599C36B4"/>
    <w:rsid w:val="59B700A5"/>
    <w:rsid w:val="59E97C70"/>
    <w:rsid w:val="5A1A14F4"/>
    <w:rsid w:val="5A2C045D"/>
    <w:rsid w:val="5A7726C0"/>
    <w:rsid w:val="5A9D566B"/>
    <w:rsid w:val="5AA33833"/>
    <w:rsid w:val="5AA731B6"/>
    <w:rsid w:val="5AA94EB0"/>
    <w:rsid w:val="5AB33329"/>
    <w:rsid w:val="5AC9142C"/>
    <w:rsid w:val="5B1D1A69"/>
    <w:rsid w:val="5B542876"/>
    <w:rsid w:val="5B620CD3"/>
    <w:rsid w:val="5B6408B6"/>
    <w:rsid w:val="5B9C6273"/>
    <w:rsid w:val="5BEC367A"/>
    <w:rsid w:val="5BFEE015"/>
    <w:rsid w:val="5C1E29B4"/>
    <w:rsid w:val="5C525183"/>
    <w:rsid w:val="5C7178AB"/>
    <w:rsid w:val="5CBF4080"/>
    <w:rsid w:val="5CD24145"/>
    <w:rsid w:val="5CE831AB"/>
    <w:rsid w:val="5CFB572E"/>
    <w:rsid w:val="5D042F62"/>
    <w:rsid w:val="5D266423"/>
    <w:rsid w:val="5D7C49CA"/>
    <w:rsid w:val="5D7C7D7F"/>
    <w:rsid w:val="5D972AEE"/>
    <w:rsid w:val="5DA41D08"/>
    <w:rsid w:val="5DAC5C82"/>
    <w:rsid w:val="5DD434C3"/>
    <w:rsid w:val="5DEE7914"/>
    <w:rsid w:val="5DFB5588"/>
    <w:rsid w:val="5E2D1659"/>
    <w:rsid w:val="5E3B549F"/>
    <w:rsid w:val="5E516E09"/>
    <w:rsid w:val="5E685EFC"/>
    <w:rsid w:val="5E9749F8"/>
    <w:rsid w:val="5EC04897"/>
    <w:rsid w:val="5ED45CEA"/>
    <w:rsid w:val="5EE937FB"/>
    <w:rsid w:val="5F056017"/>
    <w:rsid w:val="5F1A1F83"/>
    <w:rsid w:val="5F347CAC"/>
    <w:rsid w:val="5F4B7152"/>
    <w:rsid w:val="5F53412B"/>
    <w:rsid w:val="5F5542CE"/>
    <w:rsid w:val="5F700086"/>
    <w:rsid w:val="5F75381E"/>
    <w:rsid w:val="5F7B6260"/>
    <w:rsid w:val="5FC735E2"/>
    <w:rsid w:val="5FD543FE"/>
    <w:rsid w:val="601D3F43"/>
    <w:rsid w:val="602651F6"/>
    <w:rsid w:val="603E34ED"/>
    <w:rsid w:val="6060250C"/>
    <w:rsid w:val="60850B8D"/>
    <w:rsid w:val="60961686"/>
    <w:rsid w:val="60A47958"/>
    <w:rsid w:val="60E47AB1"/>
    <w:rsid w:val="61575FD6"/>
    <w:rsid w:val="616E4AA7"/>
    <w:rsid w:val="61AC1991"/>
    <w:rsid w:val="61C55CE1"/>
    <w:rsid w:val="61CF2A7B"/>
    <w:rsid w:val="62113F17"/>
    <w:rsid w:val="625B3C7B"/>
    <w:rsid w:val="62626870"/>
    <w:rsid w:val="6276307C"/>
    <w:rsid w:val="62932989"/>
    <w:rsid w:val="62941C84"/>
    <w:rsid w:val="62BA5AF6"/>
    <w:rsid w:val="62C7751A"/>
    <w:rsid w:val="62ED12B6"/>
    <w:rsid w:val="62F43B4D"/>
    <w:rsid w:val="62F942C0"/>
    <w:rsid w:val="635F64A7"/>
    <w:rsid w:val="636B3B06"/>
    <w:rsid w:val="63A77CBA"/>
    <w:rsid w:val="63B30959"/>
    <w:rsid w:val="63EDCF55"/>
    <w:rsid w:val="63FBFBCF"/>
    <w:rsid w:val="64206919"/>
    <w:rsid w:val="6421665F"/>
    <w:rsid w:val="64246E15"/>
    <w:rsid w:val="642C023E"/>
    <w:rsid w:val="64444830"/>
    <w:rsid w:val="64A76524"/>
    <w:rsid w:val="64B42E2E"/>
    <w:rsid w:val="64E15A44"/>
    <w:rsid w:val="64EC48EB"/>
    <w:rsid w:val="652B5FFC"/>
    <w:rsid w:val="656D78BF"/>
    <w:rsid w:val="658E4F81"/>
    <w:rsid w:val="65915E66"/>
    <w:rsid w:val="65B9446F"/>
    <w:rsid w:val="661E3C5A"/>
    <w:rsid w:val="66323251"/>
    <w:rsid w:val="663F0865"/>
    <w:rsid w:val="664A7D2A"/>
    <w:rsid w:val="665E4CE8"/>
    <w:rsid w:val="669360FD"/>
    <w:rsid w:val="66A73726"/>
    <w:rsid w:val="66D67B08"/>
    <w:rsid w:val="66FA10E9"/>
    <w:rsid w:val="673004B8"/>
    <w:rsid w:val="677E4885"/>
    <w:rsid w:val="67AE225D"/>
    <w:rsid w:val="680A775D"/>
    <w:rsid w:val="680B4D66"/>
    <w:rsid w:val="68676CCC"/>
    <w:rsid w:val="686940CD"/>
    <w:rsid w:val="68830089"/>
    <w:rsid w:val="68A97093"/>
    <w:rsid w:val="68AF4607"/>
    <w:rsid w:val="68DC70F4"/>
    <w:rsid w:val="68F3403F"/>
    <w:rsid w:val="68FF6A83"/>
    <w:rsid w:val="69264BFE"/>
    <w:rsid w:val="692866DC"/>
    <w:rsid w:val="692D2E21"/>
    <w:rsid w:val="69477D25"/>
    <w:rsid w:val="694B44EC"/>
    <w:rsid w:val="69934234"/>
    <w:rsid w:val="69AA7624"/>
    <w:rsid w:val="69D31BD0"/>
    <w:rsid w:val="6A843AE8"/>
    <w:rsid w:val="6A8E3E89"/>
    <w:rsid w:val="6AB41937"/>
    <w:rsid w:val="6B34439C"/>
    <w:rsid w:val="6B3C549B"/>
    <w:rsid w:val="6B914240"/>
    <w:rsid w:val="6BC42358"/>
    <w:rsid w:val="6BC50D8F"/>
    <w:rsid w:val="6BE24F4D"/>
    <w:rsid w:val="6CCE07E6"/>
    <w:rsid w:val="6CCF3869"/>
    <w:rsid w:val="6D1D364C"/>
    <w:rsid w:val="6D5C7F6C"/>
    <w:rsid w:val="6D61421B"/>
    <w:rsid w:val="6D7C0809"/>
    <w:rsid w:val="6D8224F9"/>
    <w:rsid w:val="6D9800F6"/>
    <w:rsid w:val="6E272770"/>
    <w:rsid w:val="6E4D7668"/>
    <w:rsid w:val="6E67617A"/>
    <w:rsid w:val="6E7D1309"/>
    <w:rsid w:val="6EA1388B"/>
    <w:rsid w:val="6ED518DE"/>
    <w:rsid w:val="6F2F3D98"/>
    <w:rsid w:val="6F4F5BD0"/>
    <w:rsid w:val="6FBBC9CF"/>
    <w:rsid w:val="6FBC0A4C"/>
    <w:rsid w:val="6FDE1A8B"/>
    <w:rsid w:val="6FE04EFB"/>
    <w:rsid w:val="700A4F76"/>
    <w:rsid w:val="70470087"/>
    <w:rsid w:val="70503079"/>
    <w:rsid w:val="70685251"/>
    <w:rsid w:val="706977AD"/>
    <w:rsid w:val="707461E7"/>
    <w:rsid w:val="70AC174C"/>
    <w:rsid w:val="70BF0D1D"/>
    <w:rsid w:val="70BF608F"/>
    <w:rsid w:val="70E535E0"/>
    <w:rsid w:val="71186647"/>
    <w:rsid w:val="71200805"/>
    <w:rsid w:val="71412D63"/>
    <w:rsid w:val="7183723D"/>
    <w:rsid w:val="71AD3E78"/>
    <w:rsid w:val="71BB7502"/>
    <w:rsid w:val="71DF0691"/>
    <w:rsid w:val="71DF7B84"/>
    <w:rsid w:val="723B6DB5"/>
    <w:rsid w:val="72423ED5"/>
    <w:rsid w:val="72672474"/>
    <w:rsid w:val="72685F45"/>
    <w:rsid w:val="72BDE561"/>
    <w:rsid w:val="730D474B"/>
    <w:rsid w:val="731F4531"/>
    <w:rsid w:val="73207702"/>
    <w:rsid w:val="73391468"/>
    <w:rsid w:val="734A71E0"/>
    <w:rsid w:val="73654036"/>
    <w:rsid w:val="737062B6"/>
    <w:rsid w:val="737B33C4"/>
    <w:rsid w:val="73AC4FCC"/>
    <w:rsid w:val="741820A3"/>
    <w:rsid w:val="74606D2B"/>
    <w:rsid w:val="74B312A1"/>
    <w:rsid w:val="74EA0572"/>
    <w:rsid w:val="75033E34"/>
    <w:rsid w:val="754449B1"/>
    <w:rsid w:val="75B14766"/>
    <w:rsid w:val="75DC407D"/>
    <w:rsid w:val="75F37B57"/>
    <w:rsid w:val="761F145F"/>
    <w:rsid w:val="764E13AD"/>
    <w:rsid w:val="76884CAF"/>
    <w:rsid w:val="7698265C"/>
    <w:rsid w:val="76C12F97"/>
    <w:rsid w:val="77083E74"/>
    <w:rsid w:val="775C3C58"/>
    <w:rsid w:val="77716D19"/>
    <w:rsid w:val="7782371E"/>
    <w:rsid w:val="77962449"/>
    <w:rsid w:val="77B62D88"/>
    <w:rsid w:val="77FB23EF"/>
    <w:rsid w:val="781D2505"/>
    <w:rsid w:val="782B68DC"/>
    <w:rsid w:val="78462278"/>
    <w:rsid w:val="788B465E"/>
    <w:rsid w:val="78924AB5"/>
    <w:rsid w:val="78BE4F38"/>
    <w:rsid w:val="79793764"/>
    <w:rsid w:val="797A2685"/>
    <w:rsid w:val="79907C25"/>
    <w:rsid w:val="799216A5"/>
    <w:rsid w:val="7997EA6C"/>
    <w:rsid w:val="79A20812"/>
    <w:rsid w:val="79BB255E"/>
    <w:rsid w:val="7A9E6EA7"/>
    <w:rsid w:val="7AAF0345"/>
    <w:rsid w:val="7ABF45E4"/>
    <w:rsid w:val="7ACC78B6"/>
    <w:rsid w:val="7AEAE675"/>
    <w:rsid w:val="7B2057F6"/>
    <w:rsid w:val="7B2F110F"/>
    <w:rsid w:val="7BA940A7"/>
    <w:rsid w:val="7BAC3F4C"/>
    <w:rsid w:val="7BAFCE5D"/>
    <w:rsid w:val="7BC755AB"/>
    <w:rsid w:val="7C1A10ED"/>
    <w:rsid w:val="7C2010DF"/>
    <w:rsid w:val="7C5470A7"/>
    <w:rsid w:val="7C834146"/>
    <w:rsid w:val="7CA9429B"/>
    <w:rsid w:val="7CCA4327"/>
    <w:rsid w:val="7CFB20B7"/>
    <w:rsid w:val="7D46598C"/>
    <w:rsid w:val="7DAD6688"/>
    <w:rsid w:val="7DC929F5"/>
    <w:rsid w:val="7DF637DA"/>
    <w:rsid w:val="7DFB240B"/>
    <w:rsid w:val="7E003D53"/>
    <w:rsid w:val="7E0935ED"/>
    <w:rsid w:val="7E0E6096"/>
    <w:rsid w:val="7E140C79"/>
    <w:rsid w:val="7E250560"/>
    <w:rsid w:val="7E2C0DA0"/>
    <w:rsid w:val="7E432384"/>
    <w:rsid w:val="7E682536"/>
    <w:rsid w:val="7E7F2137"/>
    <w:rsid w:val="7E986634"/>
    <w:rsid w:val="7EB71BD4"/>
    <w:rsid w:val="7ECB3A6C"/>
    <w:rsid w:val="7F271718"/>
    <w:rsid w:val="7F6F2C80"/>
    <w:rsid w:val="7FA01C68"/>
    <w:rsid w:val="7FB55AF2"/>
    <w:rsid w:val="7FBD11AB"/>
    <w:rsid w:val="7FCF2AF7"/>
    <w:rsid w:val="7FD42953"/>
    <w:rsid w:val="7FD64CE2"/>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customStyle="1" w:styleId="2">
    <w:name w:val="_Style 2"/>
    <w:next w:val="1"/>
    <w:qFormat/>
    <w:uiPriority w:val="0"/>
    <w:pPr>
      <w:keepNext/>
      <w:keepLines/>
      <w:spacing w:beforeAutospacing="0" w:after="0" w:afterAutospacing="0" w:line="576" w:lineRule="exact"/>
      <w:jc w:val="both"/>
      <w:outlineLvl w:val="9"/>
    </w:pPr>
    <w:rPr>
      <w:rFonts w:ascii="仿宋" w:hAnsi="仿宋" w:eastAsia="仿宋_GB2312" w:cs="Times New Roman"/>
      <w:color w:val="000000"/>
      <w:kern w:val="0"/>
      <w:sz w:val="32"/>
      <w:szCs w:val="32"/>
      <w:lang w:val="en-US" w:eastAsia="zh-CN" w:bidi="ar-SA"/>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2024-02-22T02:37:56Z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