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000000" w:themeColor="text1"/>
          <w:kern w:val="0"/>
          <w:sz w:val="44"/>
          <w:szCs w:val="44"/>
          <w:shd w:val="clear" w:color="auto" w:fill="FFFFFF"/>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000000" w:themeColor="text1"/>
          <w:kern w:val="0"/>
          <w:sz w:val="44"/>
          <w:szCs w:val="44"/>
          <w:shd w:val="clear" w:color="auto" w:fill="FFFFFF"/>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outlineLvl w:val="0"/>
        <w:rPr>
          <w:rFonts w:hint="eastAsia" w:ascii="方正小标宋简体" w:hAnsi="方正小标宋简体" w:eastAsia="方正小标宋简体" w:cs="方正小标宋简体"/>
          <w:b w:val="0"/>
          <w:bCs w:val="0"/>
          <w:color w:val="000000" w:themeColor="text1"/>
          <w:kern w:val="0"/>
          <w:sz w:val="44"/>
          <w:szCs w:val="44"/>
          <w:shd w:val="clear" w:color="auto" w:fill="FFFFFF"/>
        </w:rPr>
      </w:pPr>
      <w:bookmarkStart w:id="0" w:name="_Toc15558"/>
      <w:r>
        <w:rPr>
          <w:rFonts w:hint="eastAsia" w:ascii="方正小标宋简体" w:hAnsi="方正小标宋简体" w:eastAsia="方正小标宋简体" w:cs="方正小标宋简体"/>
          <w:b w:val="0"/>
          <w:bCs w:val="0"/>
          <w:color w:val="000000" w:themeColor="text1"/>
          <w:kern w:val="0"/>
          <w:sz w:val="44"/>
          <w:szCs w:val="44"/>
          <w:shd w:val="clear" w:color="auto" w:fill="FFFFFF"/>
        </w:rPr>
        <w:t>广元市以工代赈事务中心</w:t>
      </w:r>
      <w:bookmarkEnd w:id="0"/>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000000" w:themeColor="text1"/>
          <w:kern w:val="0"/>
          <w:sz w:val="44"/>
          <w:szCs w:val="44"/>
          <w:shd w:val="clear" w:color="auto" w:fill="FFFFFF"/>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000000" w:themeColor="text1"/>
          <w:kern w:val="0"/>
          <w:sz w:val="44"/>
          <w:szCs w:val="44"/>
          <w:shd w:val="clear" w:color="auto" w:fill="FFFFFF"/>
        </w:rPr>
        <w:sectPr>
          <w:footerReference r:id="rId3" w:type="default"/>
          <w:pgSz w:w="11906" w:h="16838"/>
          <w:pgMar w:top="2098" w:right="1474" w:bottom="1984" w:left="1587" w:header="720" w:footer="1559" w:gutter="0"/>
          <w:cols w:space="720" w:num="1"/>
          <w:docGrid w:type="lines" w:linePitch="312" w:charSpace="0"/>
        </w:sectPr>
      </w:pPr>
      <w:r>
        <w:rPr>
          <w:rFonts w:hint="eastAsia" w:ascii="方正小标宋简体" w:hAnsi="方正小标宋简体" w:eastAsia="方正小标宋简体" w:cs="方正小标宋简体"/>
          <w:b w:val="0"/>
          <w:bCs w:val="0"/>
          <w:color w:val="000000" w:themeColor="text1"/>
          <w:kern w:val="0"/>
          <w:sz w:val="44"/>
          <w:szCs w:val="44"/>
          <w:shd w:val="clear" w:color="auto" w:fill="FFFFFF"/>
        </w:rPr>
        <w:t>2024年部门预算编制说明</w:t>
      </w:r>
    </w:p>
    <w:sdt>
      <w:sdtPr>
        <w:rPr>
          <w:rFonts w:ascii="宋体" w:hAnsi="宋体" w:eastAsia="宋体" w:cs="Times New Roman"/>
          <w:kern w:val="2"/>
          <w:sz w:val="21"/>
          <w:szCs w:val="24"/>
          <w:lang w:val="en-US" w:eastAsia="zh-CN" w:bidi="ar-SA"/>
        </w:rPr>
        <w:id w:val="147475491"/>
        <w15:color w:val="DBDBDB"/>
        <w:docPartObj>
          <w:docPartGallery w:val="Table of Contents"/>
          <w:docPartUnique/>
        </w:docPartObj>
      </w:sdtPr>
      <w:sdtEndPr>
        <w:rPr>
          <w:rFonts w:hint="eastAsia" w:ascii="方正小标宋简体" w:hAnsi="方正小标宋简体" w:eastAsia="方正小标宋简体" w:cs="方正小标宋简体"/>
          <w:b/>
          <w:bCs w:val="0"/>
          <w:color w:val="000000" w:themeColor="text1"/>
          <w:kern w:val="0"/>
          <w:sz w:val="21"/>
          <w:szCs w:val="44"/>
          <w:shd w:val="clear" w:color="auto" w:fill="FFFFFF"/>
          <w:lang w:val="en-US" w:eastAsia="zh-CN" w:bidi="ar-SA"/>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3"/>
            <w:tabs>
              <w:tab w:val="right" w:leader="dot" w:pos="8845"/>
            </w:tabs>
            <w:spacing w:line="360" w:lineRule="auto"/>
            <w:rPr>
              <w:b/>
            </w:rPr>
          </w:pPr>
          <w:r>
            <w:rPr>
              <w:rFonts w:hint="eastAsia" w:ascii="方正小标宋简体" w:hAnsi="方正小标宋简体" w:eastAsia="方正小标宋简体" w:cs="方正小标宋简体"/>
              <w:b w:val="0"/>
              <w:bCs w:val="0"/>
              <w:color w:val="000000" w:themeColor="text1"/>
              <w:kern w:val="0"/>
              <w:sz w:val="44"/>
              <w:szCs w:val="44"/>
              <w:shd w:val="clear" w:color="auto" w:fill="FFFFFF"/>
            </w:rPr>
            <w:fldChar w:fldCharType="begin"/>
          </w:r>
          <w:r>
            <w:rPr>
              <w:rFonts w:hint="eastAsia" w:ascii="方正小标宋简体" w:hAnsi="方正小标宋简体" w:eastAsia="方正小标宋简体" w:cs="方正小标宋简体"/>
              <w:b w:val="0"/>
              <w:bCs w:val="0"/>
              <w:color w:val="000000" w:themeColor="text1"/>
              <w:kern w:val="0"/>
              <w:sz w:val="44"/>
              <w:szCs w:val="44"/>
              <w:shd w:val="clear" w:color="auto" w:fill="FFFFFF"/>
            </w:rPr>
            <w:instrText xml:space="preserve">TOC \o "1-2" \h \u </w:instrText>
          </w:r>
          <w:r>
            <w:rPr>
              <w:rFonts w:hint="eastAsia" w:ascii="方正小标宋简体" w:hAnsi="方正小标宋简体" w:eastAsia="方正小标宋简体" w:cs="方正小标宋简体"/>
              <w:b w:val="0"/>
              <w:bCs w:val="0"/>
              <w:color w:val="000000" w:themeColor="text1"/>
              <w:kern w:val="0"/>
              <w:sz w:val="44"/>
              <w:szCs w:val="44"/>
              <w:shd w:val="clear" w:color="auto" w:fill="FFFFFF"/>
            </w:rPr>
            <w:fldChar w:fldCharType="separate"/>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
              <w:bCs w:val="0"/>
              <w:kern w:val="0"/>
              <w:szCs w:val="44"/>
              <w:shd w:val="clear" w:color="auto" w:fill="FFFFFF"/>
            </w:rPr>
            <w:instrText xml:space="preserve"> HYPERLINK \l _Toc12456 </w:instrText>
          </w:r>
          <w:r>
            <w:rPr>
              <w:rFonts w:hint="eastAsia" w:ascii="方正小标宋简体" w:hAnsi="方正小标宋简体" w:eastAsia="方正小标宋简体" w:cs="方正小标宋简体"/>
              <w:b/>
              <w:bCs w:val="0"/>
              <w:kern w:val="0"/>
              <w:szCs w:val="44"/>
              <w:shd w:val="clear" w:color="auto" w:fill="FFFFFF"/>
            </w:rPr>
            <w:fldChar w:fldCharType="separate"/>
          </w:r>
          <w:r>
            <w:rPr>
              <w:rFonts w:hint="eastAsia" w:ascii="黑体" w:hAnsi="黑体" w:eastAsia="黑体" w:cs="黑体"/>
              <w:b/>
              <w:bCs w:val="0"/>
              <w:szCs w:val="32"/>
            </w:rPr>
            <w:t>一、基本职能及主要工作</w:t>
          </w:r>
          <w:r>
            <w:rPr>
              <w:b/>
            </w:rPr>
            <w:tab/>
          </w:r>
          <w:r>
            <w:rPr>
              <w:b/>
            </w:rPr>
            <w:fldChar w:fldCharType="begin"/>
          </w:r>
          <w:r>
            <w:rPr>
              <w:b/>
            </w:rPr>
            <w:instrText xml:space="preserve"> PAGEREF _Toc12456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_Toc2288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（一）市以工代赈事务中心职能简介</w:t>
          </w:r>
          <w:r>
            <w:tab/>
          </w:r>
          <w:r>
            <w:fldChar w:fldCharType="begin"/>
          </w:r>
          <w:r>
            <w:instrText xml:space="preserve"> PAGEREF _Toc2288 \h </w:instrText>
          </w:r>
          <w:r>
            <w:fldChar w:fldCharType="separate"/>
          </w:r>
          <w:r>
            <w:t>3</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_Toc19266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（二） 市以工代赈事务中心2024年重点工作</w:t>
          </w:r>
          <w:r>
            <w:tab/>
          </w:r>
          <w:r>
            <w:fldChar w:fldCharType="begin"/>
          </w:r>
          <w:r>
            <w:instrText xml:space="preserve"> PAGEREF _Toc19266 \h </w:instrText>
          </w:r>
          <w:r>
            <w:fldChar w:fldCharType="separate"/>
          </w:r>
          <w:r>
            <w:t>4</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
              <w:bCs w:val="0"/>
              <w:kern w:val="0"/>
              <w:szCs w:val="44"/>
              <w:shd w:val="clear" w:color="auto" w:fill="FFFFFF"/>
            </w:rPr>
            <w:instrText xml:space="preserve"> HYPERLINK \l _Toc11777 </w:instrText>
          </w:r>
          <w:r>
            <w:rPr>
              <w:rFonts w:hint="eastAsia" w:ascii="方正小标宋简体" w:hAnsi="方正小标宋简体" w:eastAsia="方正小标宋简体" w:cs="方正小标宋简体"/>
              <w:b/>
              <w:bCs w:val="0"/>
              <w:kern w:val="0"/>
              <w:szCs w:val="44"/>
              <w:shd w:val="clear" w:color="auto" w:fill="FFFFFF"/>
            </w:rPr>
            <w:fldChar w:fldCharType="separate"/>
          </w:r>
          <w:r>
            <w:rPr>
              <w:rFonts w:hint="eastAsia" w:ascii="黑体" w:hAnsi="黑体" w:eastAsia="黑体" w:cs="黑体"/>
              <w:b/>
              <w:bCs w:val="0"/>
              <w:szCs w:val="32"/>
            </w:rPr>
            <w:t>二、部门预算单位构成</w:t>
          </w:r>
          <w:r>
            <w:rPr>
              <w:b/>
            </w:rPr>
            <w:tab/>
          </w:r>
          <w:r>
            <w:rPr>
              <w:b/>
            </w:rPr>
            <w:fldChar w:fldCharType="begin"/>
          </w:r>
          <w:r>
            <w:rPr>
              <w:b/>
            </w:rPr>
            <w:instrText xml:space="preserve"> PAGEREF _Toc11777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
              <w:bCs w:val="0"/>
              <w:kern w:val="0"/>
              <w:szCs w:val="44"/>
              <w:shd w:val="clear" w:color="auto" w:fill="FFFFFF"/>
            </w:rPr>
            <w:instrText xml:space="preserve"> HYPERLINK \l _Toc10004 </w:instrText>
          </w:r>
          <w:r>
            <w:rPr>
              <w:rFonts w:hint="eastAsia" w:ascii="方正小标宋简体" w:hAnsi="方正小标宋简体" w:eastAsia="方正小标宋简体" w:cs="方正小标宋简体"/>
              <w:b/>
              <w:bCs w:val="0"/>
              <w:kern w:val="0"/>
              <w:szCs w:val="44"/>
              <w:shd w:val="clear" w:color="auto" w:fill="FFFFFF"/>
            </w:rPr>
            <w:fldChar w:fldCharType="separate"/>
          </w:r>
          <w:r>
            <w:rPr>
              <w:rFonts w:hint="eastAsia" w:ascii="黑体" w:hAnsi="黑体" w:eastAsia="黑体" w:cs="黑体"/>
              <w:b/>
              <w:bCs w:val="0"/>
              <w:szCs w:val="32"/>
            </w:rPr>
            <w:t>三、收支预算情况说明</w:t>
          </w:r>
          <w:r>
            <w:rPr>
              <w:b/>
            </w:rPr>
            <w:tab/>
          </w:r>
          <w:r>
            <w:rPr>
              <w:b/>
            </w:rPr>
            <w:fldChar w:fldCharType="begin"/>
          </w:r>
          <w:r>
            <w:rPr>
              <w:b/>
            </w:rPr>
            <w:instrText xml:space="preserve"> PAGEREF _Toc10004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_Toc15510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（一）收入预算情况</w:t>
          </w:r>
          <w:r>
            <w:tab/>
          </w:r>
          <w:r>
            <w:fldChar w:fldCharType="begin"/>
          </w:r>
          <w:r>
            <w:instrText xml:space="preserve"> PAGEREF _Toc15510 \h </w:instrText>
          </w:r>
          <w:r>
            <w:fldChar w:fldCharType="separate"/>
          </w:r>
          <w:r>
            <w:t>5</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_Toc3020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（二）支出预算情况</w:t>
          </w:r>
          <w:r>
            <w:tab/>
          </w:r>
          <w:r>
            <w:fldChar w:fldCharType="begin"/>
          </w:r>
          <w:r>
            <w:instrText xml:space="preserve"> PAGEREF _Toc3020 \h </w:instrText>
          </w:r>
          <w:r>
            <w:fldChar w:fldCharType="separate"/>
          </w:r>
          <w:r>
            <w:t>5</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
              <w:bCs w:val="0"/>
              <w:kern w:val="0"/>
              <w:szCs w:val="44"/>
              <w:shd w:val="clear" w:color="auto" w:fill="FFFFFF"/>
            </w:rPr>
            <w:instrText xml:space="preserve"> HYPERLINK \l _Toc31012 </w:instrText>
          </w:r>
          <w:r>
            <w:rPr>
              <w:rFonts w:hint="eastAsia" w:ascii="方正小标宋简体" w:hAnsi="方正小标宋简体" w:eastAsia="方正小标宋简体" w:cs="方正小标宋简体"/>
              <w:b/>
              <w:bCs w:val="0"/>
              <w:kern w:val="0"/>
              <w:szCs w:val="44"/>
              <w:shd w:val="clear" w:color="auto" w:fill="FFFFFF"/>
            </w:rPr>
            <w:fldChar w:fldCharType="separate"/>
          </w:r>
          <w:r>
            <w:rPr>
              <w:rFonts w:hint="eastAsia" w:ascii="黑体" w:hAnsi="黑体" w:eastAsia="黑体" w:cs="黑体"/>
              <w:b/>
              <w:bCs w:val="0"/>
              <w:szCs w:val="32"/>
            </w:rPr>
            <w:t>四、财政拨款收支预算情况说明</w:t>
          </w:r>
          <w:r>
            <w:rPr>
              <w:b/>
            </w:rPr>
            <w:tab/>
          </w:r>
          <w:r>
            <w:rPr>
              <w:b/>
            </w:rPr>
            <w:fldChar w:fldCharType="begin"/>
          </w:r>
          <w:r>
            <w:rPr>
              <w:b/>
            </w:rPr>
            <w:instrText xml:space="preserve"> PAGEREF _Toc31012 \h </w:instrText>
          </w:r>
          <w:r>
            <w:rPr>
              <w:b/>
            </w:rPr>
            <w:fldChar w:fldCharType="separate"/>
          </w:r>
          <w:r>
            <w:rPr>
              <w:b/>
            </w:rPr>
            <w:t>5</w:t>
          </w:r>
          <w:r>
            <w:rPr>
              <w:b/>
            </w:rPr>
            <w:fldChar w:fldCharType="end"/>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
              <w:bCs w:val="0"/>
              <w:kern w:val="0"/>
              <w:szCs w:val="44"/>
              <w:shd w:val="clear" w:color="auto" w:fill="FFFFFF"/>
            </w:rPr>
            <w:instrText xml:space="preserve"> HYPERLINK \l _Toc16799 </w:instrText>
          </w:r>
          <w:r>
            <w:rPr>
              <w:rFonts w:hint="eastAsia" w:ascii="方正小标宋简体" w:hAnsi="方正小标宋简体" w:eastAsia="方正小标宋简体" w:cs="方正小标宋简体"/>
              <w:b/>
              <w:bCs w:val="0"/>
              <w:kern w:val="0"/>
              <w:szCs w:val="44"/>
              <w:shd w:val="clear" w:color="auto" w:fill="FFFFFF"/>
            </w:rPr>
            <w:fldChar w:fldCharType="separate"/>
          </w:r>
          <w:r>
            <w:rPr>
              <w:rFonts w:hint="eastAsia" w:ascii="黑体" w:hAnsi="黑体" w:eastAsia="黑体" w:cs="黑体"/>
              <w:b/>
              <w:bCs w:val="0"/>
              <w:szCs w:val="32"/>
            </w:rPr>
            <w:t>五、一般公共预算当年拨款情况说明</w:t>
          </w:r>
          <w:r>
            <w:rPr>
              <w:b/>
            </w:rPr>
            <w:tab/>
          </w:r>
          <w:r>
            <w:rPr>
              <w:b/>
            </w:rPr>
            <w:fldChar w:fldCharType="begin"/>
          </w:r>
          <w:r>
            <w:rPr>
              <w:b/>
            </w:rPr>
            <w:instrText xml:space="preserve"> PAGEREF _Toc16799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_Toc4693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（一）一般公共预算当年拨款规模变化情况</w:t>
          </w:r>
          <w:r>
            <w:tab/>
          </w:r>
          <w:r>
            <w:fldChar w:fldCharType="begin"/>
          </w:r>
          <w:r>
            <w:instrText xml:space="preserve"> PAGEREF _Toc4693 \h </w:instrText>
          </w:r>
          <w:r>
            <w:fldChar w:fldCharType="separate"/>
          </w:r>
          <w:r>
            <w:t>6</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_Toc20145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（二）一般公共预算当年拨款结构情况</w:t>
          </w:r>
          <w:r>
            <w:tab/>
          </w:r>
          <w:r>
            <w:fldChar w:fldCharType="begin"/>
          </w:r>
          <w:r>
            <w:instrText xml:space="preserve"> PAGEREF _Toc20145 \h </w:instrText>
          </w:r>
          <w:r>
            <w:fldChar w:fldCharType="separate"/>
          </w:r>
          <w:r>
            <w:t>6</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_Toc18263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（三）一般公共预算当年拨款具体使用情况</w:t>
          </w:r>
          <w:r>
            <w:tab/>
          </w:r>
          <w:r>
            <w:fldChar w:fldCharType="begin"/>
          </w:r>
          <w:r>
            <w:instrText xml:space="preserve"> PAGEREF _Toc18263 \h </w:instrText>
          </w:r>
          <w:r>
            <w:fldChar w:fldCharType="separate"/>
          </w:r>
          <w:r>
            <w:t>6</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
              <w:bCs w:val="0"/>
              <w:kern w:val="0"/>
              <w:szCs w:val="44"/>
              <w:shd w:val="clear" w:color="auto" w:fill="FFFFFF"/>
            </w:rPr>
            <w:instrText xml:space="preserve"> HYPERLINK \l _Toc26790 </w:instrText>
          </w:r>
          <w:r>
            <w:rPr>
              <w:rFonts w:hint="eastAsia" w:ascii="方正小标宋简体" w:hAnsi="方正小标宋简体" w:eastAsia="方正小标宋简体" w:cs="方正小标宋简体"/>
              <w:b/>
              <w:bCs w:val="0"/>
              <w:kern w:val="0"/>
              <w:szCs w:val="44"/>
              <w:shd w:val="clear" w:color="auto" w:fill="FFFFFF"/>
            </w:rPr>
            <w:fldChar w:fldCharType="separate"/>
          </w:r>
          <w:r>
            <w:rPr>
              <w:rFonts w:hint="eastAsia" w:ascii="黑体" w:hAnsi="黑体" w:eastAsia="黑体" w:cs="黑体"/>
              <w:b/>
              <w:bCs w:val="0"/>
              <w:szCs w:val="32"/>
            </w:rPr>
            <w:t>六、一般公共预算基本支出情况说明</w:t>
          </w:r>
          <w:r>
            <w:rPr>
              <w:b/>
            </w:rPr>
            <w:tab/>
          </w:r>
          <w:r>
            <w:rPr>
              <w:b/>
            </w:rPr>
            <w:fldChar w:fldCharType="begin"/>
          </w:r>
          <w:r>
            <w:rPr>
              <w:b/>
            </w:rPr>
            <w:instrText xml:space="preserve"> PAGEREF _Toc26790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
              <w:bCs w:val="0"/>
              <w:kern w:val="0"/>
              <w:szCs w:val="44"/>
              <w:shd w:val="clear" w:color="auto" w:fill="FFFFFF"/>
            </w:rPr>
            <w:instrText xml:space="preserve"> HYPERLINK \l _Toc26023 </w:instrText>
          </w:r>
          <w:r>
            <w:rPr>
              <w:rFonts w:hint="eastAsia" w:ascii="方正小标宋简体" w:hAnsi="方正小标宋简体" w:eastAsia="方正小标宋简体" w:cs="方正小标宋简体"/>
              <w:b/>
              <w:bCs w:val="0"/>
              <w:kern w:val="0"/>
              <w:szCs w:val="44"/>
              <w:shd w:val="clear" w:color="auto" w:fill="FFFFFF"/>
            </w:rPr>
            <w:fldChar w:fldCharType="separate"/>
          </w:r>
          <w:r>
            <w:rPr>
              <w:rFonts w:hint="eastAsia" w:ascii="黑体" w:hAnsi="黑体" w:eastAsia="黑体" w:cs="黑体"/>
              <w:b/>
              <w:bCs w:val="0"/>
              <w:szCs w:val="32"/>
            </w:rPr>
            <w:t>七、“三公”经费财政拨款预算安排情况说明</w:t>
          </w:r>
          <w:r>
            <w:rPr>
              <w:b/>
            </w:rPr>
            <w:tab/>
          </w:r>
          <w:r>
            <w:rPr>
              <w:b/>
            </w:rPr>
            <w:fldChar w:fldCharType="begin"/>
          </w:r>
          <w:r>
            <w:rPr>
              <w:b/>
            </w:rPr>
            <w:instrText xml:space="preserve"> PAGEREF _Toc26023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_Toc970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（一）公务接待费</w:t>
          </w:r>
          <w:r>
            <w:tab/>
          </w:r>
          <w:r>
            <w:fldChar w:fldCharType="begin"/>
          </w:r>
          <w:r>
            <w:instrText xml:space="preserve"> PAGEREF _Toc970 \h </w:instrText>
          </w:r>
          <w:r>
            <w:fldChar w:fldCharType="separate"/>
          </w:r>
          <w:r>
            <w:t>8</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_Toc536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（二） 公务用车购置及运行维护费</w:t>
          </w:r>
          <w:r>
            <w:tab/>
          </w:r>
          <w:r>
            <w:fldChar w:fldCharType="begin"/>
          </w:r>
          <w:r>
            <w:instrText xml:space="preserve"> PAGEREF _Toc536 \h </w:instrText>
          </w:r>
          <w:r>
            <w:fldChar w:fldCharType="separate"/>
          </w:r>
          <w:r>
            <w:t>8</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_Toc29818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仿宋_GB2312" w:hAnsi="仿宋_GB2312" w:eastAsia="仿宋_GB2312" w:cs="仿宋_GB2312"/>
              <w:bCs w:val="0"/>
              <w:szCs w:val="32"/>
            </w:rPr>
            <w:t>（</w:t>
          </w:r>
          <w:r>
            <w:rPr>
              <w:rFonts w:hint="eastAsia" w:ascii="楷体_GB2312" w:hAnsi="楷体_GB2312" w:eastAsia="楷体_GB2312" w:cs="楷体_GB2312"/>
              <w:bCs w:val="0"/>
              <w:szCs w:val="32"/>
            </w:rPr>
            <w:t>三）因公出国（境）经费</w:t>
          </w:r>
          <w:r>
            <w:tab/>
          </w:r>
          <w:r>
            <w:fldChar w:fldCharType="begin"/>
          </w:r>
          <w:r>
            <w:instrText xml:space="preserve"> PAGEREF _Toc29818 \h </w:instrText>
          </w:r>
          <w:r>
            <w:fldChar w:fldCharType="separate"/>
          </w:r>
          <w:r>
            <w:t>8</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
              <w:bCs w:val="0"/>
              <w:kern w:val="0"/>
              <w:szCs w:val="44"/>
              <w:shd w:val="clear" w:color="auto" w:fill="FFFFFF"/>
            </w:rPr>
            <w:instrText xml:space="preserve"> HYPERLINK \l _Toc12068 </w:instrText>
          </w:r>
          <w:r>
            <w:rPr>
              <w:rFonts w:hint="eastAsia" w:ascii="方正小标宋简体" w:hAnsi="方正小标宋简体" w:eastAsia="方正小标宋简体" w:cs="方正小标宋简体"/>
              <w:b/>
              <w:bCs w:val="0"/>
              <w:kern w:val="0"/>
              <w:szCs w:val="44"/>
              <w:shd w:val="clear" w:color="auto" w:fill="FFFFFF"/>
            </w:rPr>
            <w:fldChar w:fldCharType="separate"/>
          </w:r>
          <w:r>
            <w:rPr>
              <w:rFonts w:hint="eastAsia" w:ascii="黑体" w:hAnsi="黑体" w:eastAsia="黑体" w:cs="黑体"/>
              <w:b/>
              <w:bCs w:val="0"/>
              <w:szCs w:val="32"/>
            </w:rPr>
            <w:t>八、政府性基金预算支出情况说明</w:t>
          </w:r>
          <w:r>
            <w:rPr>
              <w:b/>
            </w:rPr>
            <w:tab/>
          </w:r>
          <w:r>
            <w:rPr>
              <w:b/>
            </w:rPr>
            <w:fldChar w:fldCharType="begin"/>
          </w:r>
          <w:r>
            <w:rPr>
              <w:b/>
            </w:rPr>
            <w:instrText xml:space="preserve"> PAGEREF _Toc12068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
              <w:bCs w:val="0"/>
              <w:kern w:val="0"/>
              <w:szCs w:val="44"/>
              <w:shd w:val="clear" w:color="auto" w:fill="FFFFFF"/>
            </w:rPr>
            <w:instrText xml:space="preserve"> HYPERLINK \l _Toc31909 </w:instrText>
          </w:r>
          <w:r>
            <w:rPr>
              <w:rFonts w:hint="eastAsia" w:ascii="方正小标宋简体" w:hAnsi="方正小标宋简体" w:eastAsia="方正小标宋简体" w:cs="方正小标宋简体"/>
              <w:b/>
              <w:bCs w:val="0"/>
              <w:kern w:val="0"/>
              <w:szCs w:val="44"/>
              <w:shd w:val="clear" w:color="auto" w:fill="FFFFFF"/>
            </w:rPr>
            <w:fldChar w:fldCharType="separate"/>
          </w:r>
          <w:r>
            <w:rPr>
              <w:rFonts w:hint="eastAsia" w:ascii="黑体" w:hAnsi="黑体" w:eastAsia="黑体" w:cs="黑体"/>
              <w:b/>
              <w:bCs w:val="0"/>
              <w:szCs w:val="32"/>
            </w:rPr>
            <w:t>九、国有资本经营预算支出情况说明</w:t>
          </w:r>
          <w:r>
            <w:rPr>
              <w:b/>
            </w:rPr>
            <w:tab/>
          </w:r>
          <w:r>
            <w:rPr>
              <w:b/>
            </w:rPr>
            <w:fldChar w:fldCharType="begin"/>
          </w:r>
          <w:r>
            <w:rPr>
              <w:b/>
            </w:rPr>
            <w:instrText xml:space="preserve"> PAGEREF _Toc31909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
              <w:bCs w:val="0"/>
              <w:kern w:val="0"/>
              <w:szCs w:val="44"/>
              <w:shd w:val="clear" w:color="auto" w:fill="FFFFFF"/>
            </w:rPr>
            <w:instrText xml:space="preserve"> HYPERLINK \l _Toc17106 </w:instrText>
          </w:r>
          <w:r>
            <w:rPr>
              <w:rFonts w:hint="eastAsia" w:ascii="方正小标宋简体" w:hAnsi="方正小标宋简体" w:eastAsia="方正小标宋简体" w:cs="方正小标宋简体"/>
              <w:b/>
              <w:bCs w:val="0"/>
              <w:kern w:val="0"/>
              <w:szCs w:val="44"/>
              <w:shd w:val="clear" w:color="auto" w:fill="FFFFFF"/>
            </w:rPr>
            <w:fldChar w:fldCharType="separate"/>
          </w:r>
          <w:r>
            <w:rPr>
              <w:rFonts w:hint="eastAsia" w:ascii="黑体" w:hAnsi="黑体" w:eastAsia="黑体" w:cs="黑体"/>
              <w:b/>
              <w:bCs w:val="0"/>
              <w:szCs w:val="32"/>
            </w:rPr>
            <w:t>十、其他重要事项的情况说明</w:t>
          </w:r>
          <w:r>
            <w:rPr>
              <w:b/>
            </w:rPr>
            <w:tab/>
          </w:r>
          <w:r>
            <w:rPr>
              <w:b/>
            </w:rPr>
            <w:fldChar w:fldCharType="begin"/>
          </w:r>
          <w:r>
            <w:rPr>
              <w:b/>
            </w:rPr>
            <w:instrText xml:space="preserve"> PAGEREF _Toc17106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_Toc11947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（一）机关运行经费</w:t>
          </w:r>
          <w:r>
            <w:tab/>
          </w:r>
          <w:r>
            <w:fldChar w:fldCharType="begin"/>
          </w:r>
          <w:r>
            <w:instrText xml:space="preserve"> PAGEREF _Toc11947 \h </w:instrText>
          </w:r>
          <w:r>
            <w:fldChar w:fldCharType="separate"/>
          </w:r>
          <w:r>
            <w:t>9</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_Toc4273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（二）政府采购情况</w:t>
          </w:r>
          <w:r>
            <w:tab/>
          </w:r>
          <w:r>
            <w:fldChar w:fldCharType="begin"/>
          </w:r>
          <w:r>
            <w:instrText xml:space="preserve"> PAGEREF _Toc4273 \h </w:instrText>
          </w:r>
          <w:r>
            <w:fldChar w:fldCharType="separate"/>
          </w:r>
          <w:r>
            <w:t>9</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_Toc6114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（三）国有资产占有使用情况</w:t>
          </w:r>
          <w:r>
            <w:tab/>
          </w:r>
          <w:r>
            <w:fldChar w:fldCharType="begin"/>
          </w:r>
          <w:r>
            <w:instrText xml:space="preserve"> PAGEREF _Toc6114 \h </w:instrText>
          </w:r>
          <w:r>
            <w:fldChar w:fldCharType="separate"/>
          </w:r>
          <w:r>
            <w:t>9</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Cs w:val="0"/>
              <w:kern w:val="0"/>
              <w:szCs w:val="44"/>
              <w:shd w:val="clear" w:color="auto" w:fill="FFFFFF"/>
            </w:rPr>
            <w:instrText xml:space="preserve"> HYPERLINK \l _Toc24754 </w:instrText>
          </w:r>
          <w:r>
            <w:rPr>
              <w:rFonts w:hint="eastAsia" w:ascii="方正小标宋简体" w:hAnsi="方正小标宋简体" w:eastAsia="方正小标宋简体" w:cs="方正小标宋简体"/>
              <w:bCs w:val="0"/>
              <w:kern w:val="0"/>
              <w:szCs w:val="44"/>
              <w:shd w:val="clear" w:color="auto" w:fill="FFFFFF"/>
            </w:rPr>
            <w:fldChar w:fldCharType="separate"/>
          </w:r>
          <w:r>
            <w:rPr>
              <w:rFonts w:hint="eastAsia" w:ascii="楷体_GB2312" w:hAnsi="楷体_GB2312" w:eastAsia="楷体_GB2312" w:cs="楷体_GB2312"/>
              <w:bCs w:val="0"/>
              <w:szCs w:val="32"/>
            </w:rPr>
            <w:t>（四）绩效目标设置情况</w:t>
          </w:r>
          <w:r>
            <w:tab/>
          </w:r>
          <w:r>
            <w:fldChar w:fldCharType="begin"/>
          </w:r>
          <w:r>
            <w:instrText xml:space="preserve"> PAGEREF _Toc24754 \h </w:instrText>
          </w:r>
          <w:r>
            <w:fldChar w:fldCharType="separate"/>
          </w:r>
          <w:r>
            <w:t>9</w:t>
          </w:r>
          <w:r>
            <w:fldChar w:fldCharType="end"/>
          </w:r>
          <w:r>
            <w:rPr>
              <w:rFonts w:hint="eastAsia" w:ascii="方正小标宋简体" w:hAnsi="方正小标宋简体" w:eastAsia="方正小标宋简体" w:cs="方正小标宋简体"/>
              <w:bCs w:val="0"/>
              <w:color w:val="000000" w:themeColor="text1"/>
              <w:kern w:val="0"/>
              <w:szCs w:val="44"/>
              <w:shd w:val="clear" w:color="auto" w:fill="FFFFFF"/>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begin"/>
          </w:r>
          <w:r>
            <w:rPr>
              <w:rFonts w:hint="eastAsia" w:ascii="方正小标宋简体" w:hAnsi="方正小标宋简体" w:eastAsia="方正小标宋简体" w:cs="方正小标宋简体"/>
              <w:b/>
              <w:bCs w:val="0"/>
              <w:kern w:val="0"/>
              <w:szCs w:val="44"/>
              <w:shd w:val="clear" w:color="auto" w:fill="FFFFFF"/>
            </w:rPr>
            <w:instrText xml:space="preserve"> HYPERLINK \l _Toc30854 </w:instrText>
          </w:r>
          <w:r>
            <w:rPr>
              <w:rFonts w:hint="eastAsia" w:ascii="方正小标宋简体" w:hAnsi="方正小标宋简体" w:eastAsia="方正小标宋简体" w:cs="方正小标宋简体"/>
              <w:b/>
              <w:bCs w:val="0"/>
              <w:kern w:val="0"/>
              <w:szCs w:val="44"/>
              <w:shd w:val="clear" w:color="auto" w:fill="FFFFFF"/>
            </w:rPr>
            <w:fldChar w:fldCharType="separate"/>
          </w:r>
          <w:r>
            <w:rPr>
              <w:rFonts w:hint="eastAsia" w:ascii="黑体" w:hAnsi="黑体" w:eastAsia="黑体" w:cs="黑体"/>
              <w:b/>
              <w:bCs w:val="0"/>
              <w:szCs w:val="32"/>
            </w:rPr>
            <w:t>十一、名词解释</w:t>
          </w:r>
          <w:r>
            <w:rPr>
              <w:b/>
            </w:rPr>
            <w:tab/>
          </w:r>
          <w:r>
            <w:rPr>
              <w:b/>
            </w:rPr>
            <w:fldChar w:fldCharType="begin"/>
          </w:r>
          <w:r>
            <w:rPr>
              <w:b/>
            </w:rPr>
            <w:instrText xml:space="preserve"> PAGEREF _Toc30854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方正小标宋简体" w:hAnsi="方正小标宋简体" w:eastAsia="方正小标宋简体" w:cs="方正小标宋简体"/>
              <w:b w:val="0"/>
              <w:bCs w:val="0"/>
              <w:color w:val="000000" w:themeColor="text1"/>
              <w:kern w:val="0"/>
              <w:sz w:val="44"/>
              <w:szCs w:val="44"/>
              <w:shd w:val="clear" w:color="auto" w:fill="FFFFFF"/>
            </w:rPr>
            <w:sectPr>
              <w:pgSz w:w="11906" w:h="16838"/>
              <w:pgMar w:top="2098" w:right="1474" w:bottom="1984" w:left="1587" w:header="720" w:footer="1559" w:gutter="0"/>
              <w:cols w:space="720" w:num="1"/>
              <w:docGrid w:type="lines" w:linePitch="312" w:charSpace="0"/>
            </w:sectPr>
          </w:pPr>
          <w:r>
            <w:rPr>
              <w:rFonts w:hint="eastAsia" w:ascii="方正小标宋简体" w:hAnsi="方正小标宋简体" w:eastAsia="方正小标宋简体" w:cs="方正小标宋简体"/>
              <w:b/>
              <w:bCs w:val="0"/>
              <w:color w:val="000000" w:themeColor="text1"/>
              <w:kern w:val="0"/>
              <w:szCs w:val="44"/>
              <w:shd w:val="clear" w:color="auto" w:fill="FFFFFF"/>
            </w:rPr>
            <w:fldChar w:fldCharType="end"/>
          </w:r>
        </w:p>
      </w:sdtContent>
    </w:sdt>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000000" w:themeColor="text1"/>
          <w:kern w:val="0"/>
          <w:sz w:val="44"/>
          <w:szCs w:val="44"/>
          <w:shd w:val="clear" w:color="auto" w:fill="FFFFFF"/>
        </w:rPr>
      </w:pP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0"/>
        <w:rPr>
          <w:rFonts w:ascii="黑体" w:hAnsi="黑体" w:eastAsia="黑体" w:cs="黑体"/>
          <w:b w:val="0"/>
          <w:bCs w:val="0"/>
          <w:sz w:val="32"/>
          <w:szCs w:val="32"/>
        </w:rPr>
      </w:pPr>
      <w:bookmarkStart w:id="1" w:name="_Toc12456"/>
      <w:r>
        <w:rPr>
          <w:rFonts w:hint="eastAsia" w:ascii="黑体" w:hAnsi="黑体" w:eastAsia="黑体" w:cs="黑体"/>
          <w:b w:val="0"/>
          <w:bCs w:val="0"/>
          <w:sz w:val="32"/>
          <w:szCs w:val="32"/>
        </w:rPr>
        <w:t>一、基本职能及主要工作</w:t>
      </w:r>
      <w:bookmarkEnd w:id="1"/>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2" w:name="_Toc2288"/>
      <w:r>
        <w:rPr>
          <w:rFonts w:hint="eastAsia" w:ascii="楷体_GB2312" w:hAnsi="楷体_GB2312" w:eastAsia="楷体_GB2312" w:cs="楷体_GB2312"/>
          <w:b w:val="0"/>
          <w:bCs w:val="0"/>
          <w:sz w:val="32"/>
          <w:szCs w:val="32"/>
        </w:rPr>
        <w:t>（一）市以工代赈事务中心职能简介</w:t>
      </w:r>
      <w:bookmarkEnd w:id="2"/>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1.负责全市以工代赈和易地扶贫搬迁实施意见、管理办法及易地扶贫搬迁后续发展等政策研究的相关事务工作。</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2.承担全市以工代赈和易地扶贫搬迁中长期规划及年度计划的编制和上报等相关事务工作。</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3.承担全市以工代赈易地扶贫搬迁项目论证、可行性研究，负责项目库管理服务工作。</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4.争取以工代赈和易地扶贫搬迁资金，做好与上级部门的项目衔接工作。</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5.承担以工代赈和易地扶贫搬迁资金、地方配套资金计划的协调服务工作。</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6.负责以工代赈和易地扶贫搬迁项目建设的服务保障工作</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推行好以工代赈方式。</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7.负责做好以工代赈和易地扶贫搬迁领域深化改革工作，指导县区做好以工代赈和易地扶贫搬迁资产收益扶贫项目。</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8.完成市委、市政府交办的其他任务。</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广元市以工代赈事务中心是负责全市以工代赈工作的市政府直属公益一类事业单位（参公管理），正县级，为财政全额一级预算单位，核定参公事业编制10个，其中，主任1名（正县级），副主任2名（副县级），中层领导职数6名（正科级4名，副科级2名），退休人员7名。</w:t>
      </w:r>
    </w:p>
    <w:p>
      <w:pPr>
        <w:keepNext w:val="0"/>
        <w:keepLines w:val="0"/>
        <w:pageBreakBefore w:val="0"/>
        <w:widowControl w:val="0"/>
        <w:numPr>
          <w:ilvl w:val="0"/>
          <w:numId w:val="1"/>
        </w:numPr>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3" w:name="_Toc19266"/>
      <w:r>
        <w:rPr>
          <w:rFonts w:hint="eastAsia" w:ascii="楷体_GB2312" w:hAnsi="楷体_GB2312" w:eastAsia="楷体_GB2312" w:cs="楷体_GB2312"/>
          <w:b w:val="0"/>
          <w:bCs w:val="0"/>
          <w:sz w:val="32"/>
          <w:szCs w:val="32"/>
        </w:rPr>
        <w:t>市以工代赈事务中心2024年重点工作</w:t>
      </w:r>
      <w:bookmarkEnd w:id="3"/>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1.高质量推进以工代赈工作。</w:t>
      </w:r>
      <w:r>
        <w:rPr>
          <w:rFonts w:hint="eastAsia" w:ascii="仿宋_GB2312" w:hAnsi="仿宋_GB2312" w:eastAsia="仿宋_GB2312" w:cs="仿宋_GB2312"/>
          <w:b w:val="0"/>
          <w:bCs w:val="0"/>
          <w:kern w:val="0"/>
          <w:sz w:val="32"/>
          <w:szCs w:val="32"/>
        </w:rPr>
        <w:t>持续加大中省以工代赈资金争取力度，力争到位1亿元以上。规范实施以工代赈专项，抓实项目前期、严格过程管理、把好工程验收，坚持“一卡通”发放劳务报酬。</w:t>
      </w:r>
      <w:r>
        <w:rPr>
          <w:rFonts w:hint="eastAsia" w:ascii="仿宋_GB2312" w:hAnsi="仿宋_GB2312" w:eastAsia="仿宋_GB2312" w:cs="仿宋_GB2312"/>
          <w:b w:val="0"/>
          <w:bCs w:val="0"/>
          <w:sz w:val="32"/>
          <w:szCs w:val="32"/>
        </w:rPr>
        <w:t>在</w:t>
      </w:r>
      <w:r>
        <w:rPr>
          <w:rFonts w:hint="eastAsia" w:ascii="仿宋_GB2312" w:eastAsia="仿宋_GB2312"/>
          <w:b w:val="0"/>
          <w:bCs w:val="0"/>
          <w:sz w:val="32"/>
          <w:szCs w:val="32"/>
        </w:rPr>
        <w:t>农业农村基础设施建设领域大力推广以工代赈方式，在国、省、市重点工程项目中大力实施以工代赈，力争吸纳更多群众就地就近就业增收。</w:t>
      </w:r>
      <w:r>
        <w:rPr>
          <w:rFonts w:hint="eastAsia" w:ascii="仿宋_GB2312" w:hAnsi="仿宋_GB2312" w:eastAsia="仿宋_GB2312" w:cs="仿宋_GB2312"/>
          <w:b w:val="0"/>
          <w:bCs w:val="0"/>
          <w:sz w:val="32"/>
          <w:szCs w:val="32"/>
        </w:rPr>
        <w:t>承办</w:t>
      </w:r>
      <w:r>
        <w:rPr>
          <w:rFonts w:hint="eastAsia" w:ascii="仿宋_GB2312" w:eastAsia="仿宋_GB2312" w:cs="仿宋_GB2312"/>
          <w:b w:val="0"/>
          <w:bCs w:val="0"/>
          <w:sz w:val="32"/>
          <w:szCs w:val="32"/>
        </w:rPr>
        <w:t>“</w:t>
      </w:r>
      <w:r>
        <w:rPr>
          <w:rFonts w:hint="eastAsia" w:ascii="仿宋_GB2312" w:hAnsi="仿宋_GB2312" w:eastAsia="仿宋_GB2312" w:cs="仿宋_GB2312"/>
          <w:b w:val="0"/>
          <w:bCs w:val="0"/>
          <w:sz w:val="32"/>
          <w:szCs w:val="32"/>
        </w:rPr>
        <w:t>川陕甘结合部27个县区以工代赈助力欠发达地区高质量发展经验交流活动”，</w:t>
      </w:r>
      <w:r>
        <w:rPr>
          <w:rFonts w:hint="eastAsia" w:ascii="仿宋_GB2312" w:eastAsia="仿宋_GB2312" w:cs="仿宋_GB2312"/>
          <w:b w:val="0"/>
          <w:bCs w:val="0"/>
          <w:sz w:val="32"/>
          <w:szCs w:val="32"/>
        </w:rPr>
        <w:t>进一步探索如何用好、用活、用足以工代赈政策。</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2.持续抓好易地搬迁后续扶持。</w:t>
      </w:r>
      <w:r>
        <w:rPr>
          <w:rFonts w:hint="eastAsia" w:ascii="仿宋_GB2312" w:hAnsi="仿宋_GB2312" w:eastAsia="仿宋_GB2312" w:cs="仿宋_GB2312"/>
          <w:b w:val="0"/>
          <w:bCs w:val="0"/>
          <w:sz w:val="32"/>
          <w:szCs w:val="32"/>
        </w:rPr>
        <w:t>扎实开展易地搬迁后续扶持强基提质行动，搬迁群众收入持续稳定增长，人均收入增速高于全省搬迁群众收入增速、高于当地脱贫群众收入增速。安置区基础设施建设配套总体完善，基本公共服务实现均等化，社区治理水平明显提升，搬迁群众全面融入新生活。</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3.深入推进托底性帮扶工作。</w:t>
      </w:r>
      <w:r>
        <w:rPr>
          <w:rFonts w:hint="eastAsia" w:ascii="仿宋_GB2312" w:hAnsi="仿宋_GB2312" w:eastAsia="仿宋_GB2312" w:cs="仿宋_GB2312"/>
          <w:b w:val="0"/>
          <w:bCs w:val="0"/>
          <w:sz w:val="32"/>
          <w:szCs w:val="32"/>
        </w:rPr>
        <w:t>按照受扶县《经济社会发展2023—2027年预期目标》，加强督促检查，推动完成</w:t>
      </w:r>
      <w:r>
        <w:rPr>
          <w:rFonts w:hint="eastAsia" w:ascii="仿宋_GB2312" w:hAnsi="仿宋_GB2312" w:eastAsia="仿宋_GB2312" w:cs="仿宋_GB2312"/>
          <w:b w:val="0"/>
          <w:bCs w:val="0"/>
          <w:sz w:val="32"/>
          <w:szCs w:val="32"/>
          <w:lang w:val="en-US" w:eastAsia="zh-CN"/>
        </w:rPr>
        <w:t>3个受扶县</w:t>
      </w:r>
      <w:r>
        <w:rPr>
          <w:rFonts w:hint="eastAsia" w:ascii="仿宋_GB2312" w:hAnsi="仿宋_GB2312" w:eastAsia="仿宋_GB2312" w:cs="仿宋_GB2312"/>
          <w:b w:val="0"/>
          <w:bCs w:val="0"/>
          <w:sz w:val="32"/>
          <w:szCs w:val="32"/>
        </w:rPr>
        <w:t>2024年度平台建设、产业发展和重点项目实施，实现欠发达县域加速追赶跨越。</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4.全力做好消费帮扶。</w:t>
      </w:r>
      <w:r>
        <w:rPr>
          <w:rFonts w:hint="eastAsia" w:ascii="仿宋_GB2312" w:hAnsi="仿宋_GB2312" w:eastAsia="仿宋_GB2312" w:cs="仿宋_GB2312"/>
          <w:b w:val="0"/>
          <w:bCs w:val="0"/>
          <w:sz w:val="32"/>
          <w:szCs w:val="32"/>
        </w:rPr>
        <w:t>围绕消费帮扶产地示范区创建目标，深入实施农副产品质量提升、产品服务对接帮销、产品滞销风险防控、文旅产业提质增效“四大工程”，促进群众持续增收。</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0"/>
        <w:rPr>
          <w:rFonts w:ascii="黑体" w:hAnsi="黑体" w:eastAsia="黑体" w:cs="黑体"/>
          <w:b w:val="0"/>
          <w:bCs w:val="0"/>
          <w:sz w:val="32"/>
          <w:szCs w:val="32"/>
        </w:rPr>
      </w:pPr>
      <w:bookmarkStart w:id="4" w:name="_Toc11777"/>
      <w:r>
        <w:rPr>
          <w:rFonts w:hint="eastAsia" w:ascii="黑体" w:hAnsi="黑体" w:eastAsia="黑体" w:cs="黑体"/>
          <w:b w:val="0"/>
          <w:bCs w:val="0"/>
          <w:sz w:val="32"/>
          <w:szCs w:val="32"/>
        </w:rPr>
        <w:t>二、部门预算单位构成</w:t>
      </w:r>
      <w:bookmarkEnd w:id="4"/>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广元市以工代赈事务中心为市级直属部门，无下属二级单位，预算部门包括：机关本级预算。</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0"/>
        <w:rPr>
          <w:rFonts w:ascii="黑体" w:hAnsi="黑体" w:eastAsia="黑体" w:cs="黑体"/>
          <w:b w:val="0"/>
          <w:bCs w:val="0"/>
          <w:sz w:val="32"/>
          <w:szCs w:val="32"/>
        </w:rPr>
      </w:pPr>
      <w:bookmarkStart w:id="5" w:name="_Toc10004"/>
      <w:r>
        <w:rPr>
          <w:rFonts w:hint="eastAsia" w:ascii="黑体" w:hAnsi="黑体" w:eastAsia="黑体" w:cs="黑体"/>
          <w:b w:val="0"/>
          <w:bCs w:val="0"/>
          <w:sz w:val="32"/>
          <w:szCs w:val="32"/>
        </w:rPr>
        <w:t>三、收支预算情况说明</w:t>
      </w:r>
      <w:bookmarkEnd w:id="5"/>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按照综合预算的原则，市以工代赈事务中心所有收入和支出均纳入部门预算管理。收入包括：一般公共预算拨款收入；支出包括：一般公共服务支出、社会保障和就业支出、卫生健康支出、住房保障支出。市以工代赈事务中心2024年收支预算总数281.52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比2023年收支预算总数增加36.02万元，主要原因是2023年调入1人，且新增托</w:t>
      </w:r>
      <w:r>
        <w:rPr>
          <w:rFonts w:hint="eastAsia" w:ascii="仿宋_GB2312" w:hAnsi="仿宋_GB2312" w:eastAsia="仿宋_GB2312" w:cs="仿宋_GB2312"/>
          <w:b w:val="0"/>
          <w:bCs w:val="0"/>
          <w:sz w:val="32"/>
          <w:szCs w:val="32"/>
          <w:lang w:eastAsia="zh-CN"/>
        </w:rPr>
        <w:t>底</w:t>
      </w:r>
      <w:r>
        <w:rPr>
          <w:rFonts w:hint="eastAsia" w:ascii="仿宋_GB2312" w:hAnsi="仿宋_GB2312" w:eastAsia="仿宋_GB2312" w:cs="仿宋_GB2312"/>
          <w:b w:val="0"/>
          <w:bCs w:val="0"/>
          <w:sz w:val="32"/>
          <w:szCs w:val="32"/>
        </w:rPr>
        <w:t>性帮扶等工作职能，</w:t>
      </w:r>
      <w:r>
        <w:rPr>
          <w:rFonts w:hint="eastAsia" w:ascii="仿宋_GB2312" w:hAnsi="仿宋_GB2312" w:eastAsia="仿宋_GB2312" w:cs="仿宋_GB2312"/>
          <w:b w:val="0"/>
          <w:bCs w:val="0"/>
          <w:sz w:val="32"/>
          <w:szCs w:val="32"/>
          <w:lang w:eastAsia="zh-CN"/>
        </w:rPr>
        <w:t>工作</w:t>
      </w:r>
      <w:r>
        <w:rPr>
          <w:rFonts w:hint="eastAsia" w:ascii="仿宋_GB2312" w:hAnsi="仿宋_GB2312" w:eastAsia="仿宋_GB2312" w:cs="仿宋_GB2312"/>
          <w:b w:val="0"/>
          <w:bCs w:val="0"/>
          <w:sz w:val="32"/>
          <w:szCs w:val="32"/>
        </w:rPr>
        <w:t>经费增加。</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6" w:name="_Toc15510"/>
      <w:r>
        <w:rPr>
          <w:rFonts w:hint="eastAsia" w:ascii="楷体_GB2312" w:hAnsi="楷体_GB2312" w:eastAsia="楷体_GB2312" w:cs="楷体_GB2312"/>
          <w:b w:val="0"/>
          <w:bCs w:val="0"/>
          <w:sz w:val="32"/>
          <w:szCs w:val="32"/>
        </w:rPr>
        <w:t>（一）收入预算情况</w:t>
      </w:r>
      <w:bookmarkEnd w:id="6"/>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市以工代赈事务中心2024年收入预算281.52万元，其中：一般公共预算拨款收入281.52万元，占100%。</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7" w:name="_Toc3020"/>
      <w:r>
        <w:rPr>
          <w:rFonts w:hint="eastAsia" w:ascii="楷体_GB2312" w:hAnsi="楷体_GB2312" w:eastAsia="楷体_GB2312" w:cs="楷体_GB2312"/>
          <w:b w:val="0"/>
          <w:bCs w:val="0"/>
          <w:sz w:val="32"/>
          <w:szCs w:val="32"/>
        </w:rPr>
        <w:t>（二）支出预算情况</w:t>
      </w:r>
      <w:bookmarkEnd w:id="7"/>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市以工代赈事务中心2024年支出预算281.52万元，其中：基本支出202.19万元，占71.82%；项目支出79.33万元，占28.</w:t>
      </w:r>
      <w:r>
        <w:rPr>
          <w:rFonts w:hint="eastAsia" w:ascii="仿宋_GB2312" w:hAnsi="仿宋_GB2312" w:eastAsia="仿宋_GB2312" w:cs="仿宋_GB2312"/>
          <w:b w:val="0"/>
          <w:bCs w:val="0"/>
          <w:sz w:val="32"/>
          <w:szCs w:val="32"/>
          <w:lang w:val="en-US" w:eastAsia="zh-CN"/>
        </w:rPr>
        <w:t>18</w:t>
      </w:r>
      <w:r>
        <w:rPr>
          <w:rFonts w:hint="eastAsia" w:ascii="仿宋_GB2312" w:hAnsi="仿宋_GB2312" w:eastAsia="仿宋_GB2312" w:cs="仿宋_GB2312"/>
          <w:b w:val="0"/>
          <w:bCs w:val="0"/>
          <w:sz w:val="32"/>
          <w:szCs w:val="32"/>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0"/>
        <w:rPr>
          <w:rFonts w:ascii="黑体" w:hAnsi="黑体" w:eastAsia="黑体" w:cs="黑体"/>
          <w:b w:val="0"/>
          <w:bCs w:val="0"/>
          <w:sz w:val="32"/>
          <w:szCs w:val="32"/>
        </w:rPr>
      </w:pPr>
      <w:bookmarkStart w:id="8" w:name="_Toc31012"/>
      <w:r>
        <w:rPr>
          <w:rFonts w:hint="eastAsia" w:ascii="黑体" w:hAnsi="黑体" w:eastAsia="黑体" w:cs="黑体"/>
          <w:b w:val="0"/>
          <w:bCs w:val="0"/>
          <w:sz w:val="32"/>
          <w:szCs w:val="32"/>
        </w:rPr>
        <w:t>四、财政拨款收支预算情况说明</w:t>
      </w:r>
      <w:bookmarkEnd w:id="8"/>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市以工代赈事务中心2024年财政拨款收支预算总数281.52万元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比2023年财政拨款收支预算总数增加36.02万元，主要原因是2023年调入1人，且新增托</w:t>
      </w:r>
      <w:r>
        <w:rPr>
          <w:rFonts w:hint="eastAsia" w:ascii="仿宋_GB2312" w:hAnsi="仿宋_GB2312" w:eastAsia="仿宋_GB2312" w:cs="仿宋_GB2312"/>
          <w:b w:val="0"/>
          <w:bCs w:val="0"/>
          <w:sz w:val="32"/>
          <w:szCs w:val="32"/>
          <w:lang w:eastAsia="zh-CN"/>
        </w:rPr>
        <w:t>底</w:t>
      </w:r>
      <w:r>
        <w:rPr>
          <w:rFonts w:hint="eastAsia" w:ascii="仿宋_GB2312" w:hAnsi="仿宋_GB2312" w:eastAsia="仿宋_GB2312" w:cs="仿宋_GB2312"/>
          <w:b w:val="0"/>
          <w:bCs w:val="0"/>
          <w:sz w:val="32"/>
          <w:szCs w:val="32"/>
        </w:rPr>
        <w:t>性帮扶等工作职能，</w:t>
      </w:r>
      <w:r>
        <w:rPr>
          <w:rFonts w:hint="eastAsia" w:ascii="仿宋_GB2312" w:hAnsi="仿宋_GB2312" w:eastAsia="仿宋_GB2312" w:cs="仿宋_GB2312"/>
          <w:b w:val="0"/>
          <w:bCs w:val="0"/>
          <w:sz w:val="32"/>
          <w:szCs w:val="32"/>
          <w:lang w:eastAsia="zh-CN"/>
        </w:rPr>
        <w:t>工作</w:t>
      </w:r>
      <w:r>
        <w:rPr>
          <w:rFonts w:hint="eastAsia" w:ascii="仿宋_GB2312" w:hAnsi="仿宋_GB2312" w:eastAsia="仿宋_GB2312" w:cs="仿宋_GB2312"/>
          <w:b w:val="0"/>
          <w:bCs w:val="0"/>
          <w:sz w:val="32"/>
          <w:szCs w:val="32"/>
        </w:rPr>
        <w:t>经费增加。</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收入包括：本年一般公共预算拨款收入281.52万元；支出包括：一般公共服务支出244.10万元、社会保障和就业支出17.34万元、卫生健康支出5.53万元、住房保障支出14.56万元。</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0"/>
        <w:rPr>
          <w:rFonts w:ascii="黑体" w:hAnsi="黑体" w:eastAsia="黑体" w:cs="黑体"/>
          <w:b w:val="0"/>
          <w:bCs w:val="0"/>
          <w:sz w:val="32"/>
          <w:szCs w:val="32"/>
        </w:rPr>
      </w:pPr>
      <w:bookmarkStart w:id="9" w:name="_Toc16799"/>
      <w:r>
        <w:rPr>
          <w:rFonts w:hint="eastAsia" w:ascii="黑体" w:hAnsi="黑体" w:eastAsia="黑体" w:cs="黑体"/>
          <w:b w:val="0"/>
          <w:bCs w:val="0"/>
          <w:sz w:val="32"/>
          <w:szCs w:val="32"/>
        </w:rPr>
        <w:t>五、一般公共预算当年拨款情况说明</w:t>
      </w:r>
      <w:bookmarkEnd w:id="9"/>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10" w:name="_Toc4693"/>
      <w:r>
        <w:rPr>
          <w:rFonts w:hint="eastAsia" w:ascii="楷体_GB2312" w:hAnsi="楷体_GB2312" w:eastAsia="楷体_GB2312" w:cs="楷体_GB2312"/>
          <w:b w:val="0"/>
          <w:bCs w:val="0"/>
          <w:sz w:val="32"/>
          <w:szCs w:val="32"/>
        </w:rPr>
        <w:t>（一）一般公共预算当年拨款规模变化情况</w:t>
      </w:r>
      <w:bookmarkEnd w:id="10"/>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市以工代赈事务中心2024年一般公共预算当年拨款281.52万元，比2023年预算数增加36.02万元，主要原因是2023年调入1人，且新增托</w:t>
      </w:r>
      <w:r>
        <w:rPr>
          <w:rFonts w:hint="eastAsia" w:ascii="仿宋_GB2312" w:hAnsi="仿宋_GB2312" w:eastAsia="仿宋_GB2312" w:cs="仿宋_GB2312"/>
          <w:b w:val="0"/>
          <w:bCs w:val="0"/>
          <w:sz w:val="32"/>
          <w:szCs w:val="32"/>
          <w:lang w:eastAsia="zh-CN"/>
        </w:rPr>
        <w:t>底</w:t>
      </w:r>
      <w:r>
        <w:rPr>
          <w:rFonts w:hint="eastAsia" w:ascii="仿宋_GB2312" w:hAnsi="仿宋_GB2312" w:eastAsia="仿宋_GB2312" w:cs="仿宋_GB2312"/>
          <w:b w:val="0"/>
          <w:bCs w:val="0"/>
          <w:sz w:val="32"/>
          <w:szCs w:val="32"/>
        </w:rPr>
        <w:t>性帮扶等工作职能，</w:t>
      </w:r>
      <w:r>
        <w:rPr>
          <w:rFonts w:hint="eastAsia" w:ascii="仿宋_GB2312" w:hAnsi="仿宋_GB2312" w:eastAsia="仿宋_GB2312" w:cs="仿宋_GB2312"/>
          <w:b w:val="0"/>
          <w:bCs w:val="0"/>
          <w:sz w:val="32"/>
          <w:szCs w:val="32"/>
          <w:lang w:eastAsia="zh-CN"/>
        </w:rPr>
        <w:t>工作</w:t>
      </w:r>
      <w:r>
        <w:rPr>
          <w:rFonts w:hint="eastAsia" w:ascii="仿宋_GB2312" w:hAnsi="仿宋_GB2312" w:eastAsia="仿宋_GB2312" w:cs="仿宋_GB2312"/>
          <w:b w:val="0"/>
          <w:bCs w:val="0"/>
          <w:sz w:val="32"/>
          <w:szCs w:val="32"/>
        </w:rPr>
        <w:t>经费增加。</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11" w:name="_Toc20145"/>
      <w:r>
        <w:rPr>
          <w:rFonts w:hint="eastAsia" w:ascii="楷体_GB2312" w:hAnsi="楷体_GB2312" w:eastAsia="楷体_GB2312" w:cs="楷体_GB2312"/>
          <w:b w:val="0"/>
          <w:bCs w:val="0"/>
          <w:sz w:val="32"/>
          <w:szCs w:val="32"/>
        </w:rPr>
        <w:t>（二）一般公共预算当年拨款结构情况</w:t>
      </w:r>
      <w:bookmarkEnd w:id="11"/>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一般公共服务支出244.10万元，占86.71%；社会保障和就业支出17.34万元，占6.16%；卫生健康支出5.53万元，占1.96%；住房保障支出14.56万元，占5.17%。</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12" w:name="_Toc18263"/>
      <w:r>
        <w:rPr>
          <w:rFonts w:hint="eastAsia" w:ascii="楷体_GB2312" w:hAnsi="楷体_GB2312" w:eastAsia="楷体_GB2312" w:cs="楷体_GB2312"/>
          <w:b w:val="0"/>
          <w:bCs w:val="0"/>
          <w:sz w:val="32"/>
          <w:szCs w:val="32"/>
        </w:rPr>
        <w:t>（三）一般公共预算当年拨款具体使用情况</w:t>
      </w:r>
      <w:bookmarkEnd w:id="12"/>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b w:val="0"/>
          <w:bCs w:val="0"/>
          <w:sz w:val="32"/>
          <w:szCs w:val="32"/>
        </w:rPr>
      </w:pPr>
      <w:r>
        <w:rPr>
          <w:rFonts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一般公共服务（类）政府办公厅（室）及相关机构事务（款）其他政府办公厅（室）及相关机构事务支出（项）2024年预算数为244.10万元，主要用于：单位工资福利支出、办公费、印刷费、邮电费、物业管理费、差旅费、维修（护）费、会议费、培训费、公务接待费、劳务费、工会经费、福利费、其他交通费、其他商品和服务支出、党建经费、退休人员活动经费、其他对个人和家庭补助以及争取项目资金工作经费、以工代赈项目管理工作经费、乡村振兴工作专项经费、办公室设备购置工作经费、易地搬迁后续扶持工作经费、欠发达县域托底性帮扶及消费帮扶工作经费6个项目支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rPr>
        <w:t>.社会保障和就业（类）行政事业单位养老支出（款）机关事业单位基本养老保险缴费支出（项）2024年预算数为17.34万元，主要用于：实施养老保险制度由单位缴纳的基本养老保险支出。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3.卫生健康（类）行政事业单位医疗（款）行政单位医疗（项）2024年预算数为5.53万元，主要用于：机关及参公管理事业单位按规定由单位缴纳的基本医疗保险支出。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4.住房保障（类）住房改革支出（款）住房公积金（项）2024年预算数为14.56万元，主要用于：部门按规定为职工缴纳的住房公积金支出。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0"/>
        <w:rPr>
          <w:rFonts w:ascii="黑体" w:hAnsi="黑体" w:eastAsia="黑体" w:cs="黑体"/>
          <w:b w:val="0"/>
          <w:bCs w:val="0"/>
          <w:sz w:val="32"/>
          <w:szCs w:val="32"/>
        </w:rPr>
      </w:pPr>
      <w:bookmarkStart w:id="13" w:name="_Toc26790"/>
      <w:r>
        <w:rPr>
          <w:rFonts w:hint="eastAsia" w:ascii="黑体" w:hAnsi="黑体" w:eastAsia="黑体" w:cs="黑体"/>
          <w:b w:val="0"/>
          <w:bCs w:val="0"/>
          <w:sz w:val="32"/>
          <w:szCs w:val="32"/>
        </w:rPr>
        <w:t>六、一般公共预算基本支出情况说明</w:t>
      </w:r>
      <w:bookmarkEnd w:id="13"/>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市以工代赈事务中心2024年一般公共预算基本支出202.19万元，其中：</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人员经费171.84万元，主要包括：基本工资、津贴补贴、奖金、机关事业单位基本养老保险缴费</w:t>
      </w:r>
      <w:r>
        <w:rPr>
          <w:rFonts w:hint="eastAsia" w:ascii="仿宋_GB2312" w:hAnsi="仿宋_GB2312" w:eastAsia="仿宋_GB2312" w:cs="仿宋_GB2312"/>
          <w:b w:val="0"/>
          <w:bCs w:val="0"/>
          <w:sz w:val="32"/>
          <w:szCs w:val="32"/>
          <w:lang w:eastAsia="zh-CN"/>
        </w:rPr>
        <w:t>、职工基本医疗保险缴费、其他社会保障缴费、</w:t>
      </w:r>
      <w:r>
        <w:rPr>
          <w:rFonts w:hint="eastAsia" w:ascii="仿宋_GB2312" w:hAnsi="仿宋_GB2312" w:eastAsia="仿宋_GB2312" w:cs="仿宋_GB2312"/>
          <w:b w:val="0"/>
          <w:bCs w:val="0"/>
          <w:sz w:val="32"/>
          <w:szCs w:val="32"/>
        </w:rPr>
        <w:t>住房公积金</w:t>
      </w:r>
      <w:r>
        <w:rPr>
          <w:rFonts w:hint="eastAsia" w:ascii="仿宋_GB2312" w:hAnsi="仿宋_GB2312" w:eastAsia="仿宋_GB2312" w:cs="仿宋_GB2312"/>
          <w:b w:val="0"/>
          <w:bCs w:val="0"/>
          <w:sz w:val="32"/>
          <w:szCs w:val="32"/>
          <w:lang w:eastAsia="zh-CN"/>
        </w:rPr>
        <w:t>、 生活补助</w:t>
      </w:r>
      <w:r>
        <w:rPr>
          <w:rFonts w:hint="eastAsia" w:ascii="仿宋_GB2312" w:hAnsi="仿宋_GB2312" w:eastAsia="仿宋_GB2312" w:cs="仿宋_GB2312"/>
          <w:b w:val="0"/>
          <w:bCs w:val="0"/>
          <w:sz w:val="32"/>
          <w:szCs w:val="32"/>
        </w:rPr>
        <w:t>等支出。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公用经费30.36万元，主要包括：办公费、印刷费、水费、电费、邮电费、物业管理费、差旅费、维修（护）费、会议费、培训费、公务接待费、劳务费、工会经费、福利费、其他交通费用</w:t>
      </w:r>
      <w:r>
        <w:rPr>
          <w:rFonts w:hint="eastAsia" w:ascii="仿宋_GB2312" w:hAnsi="仿宋_GB2312" w:eastAsia="仿宋_GB2312" w:cs="仿宋_GB2312"/>
          <w:b w:val="0"/>
          <w:bCs w:val="0"/>
          <w:sz w:val="32"/>
          <w:szCs w:val="32"/>
          <w:lang w:eastAsia="zh-CN"/>
        </w:rPr>
        <w:t>、其他商品和服务支出</w:t>
      </w:r>
      <w:r>
        <w:rPr>
          <w:rFonts w:hint="eastAsia" w:ascii="仿宋_GB2312" w:hAnsi="仿宋_GB2312" w:eastAsia="仿宋_GB2312" w:cs="仿宋_GB2312"/>
          <w:b w:val="0"/>
          <w:bCs w:val="0"/>
          <w:sz w:val="32"/>
          <w:szCs w:val="32"/>
        </w:rPr>
        <w:t>等支出。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0"/>
        <w:rPr>
          <w:rFonts w:ascii="黑体" w:hAnsi="黑体" w:eastAsia="黑体" w:cs="黑体"/>
          <w:b w:val="0"/>
          <w:bCs w:val="0"/>
          <w:sz w:val="32"/>
          <w:szCs w:val="32"/>
        </w:rPr>
      </w:pPr>
      <w:bookmarkStart w:id="14" w:name="_Toc26023"/>
      <w:r>
        <w:rPr>
          <w:rFonts w:hint="eastAsia" w:ascii="黑体" w:hAnsi="黑体" w:eastAsia="黑体" w:cs="黑体"/>
          <w:b w:val="0"/>
          <w:bCs w:val="0"/>
          <w:sz w:val="32"/>
          <w:szCs w:val="32"/>
        </w:rPr>
        <w:t>七、“三公”经费财政拨款预算安排情况说明</w:t>
      </w:r>
      <w:bookmarkEnd w:id="14"/>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市以工代赈事务中心2024年“三公”经费财政拨款预算数2万元，其中：公务接待费2万元，公务用车购置及运行维护费0万元，因公出国（境）经费0万元。</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15" w:name="_Toc970"/>
      <w:r>
        <w:rPr>
          <w:rFonts w:hint="eastAsia" w:ascii="楷体_GB2312" w:hAnsi="楷体_GB2312" w:eastAsia="楷体_GB2312" w:cs="楷体_GB2312"/>
          <w:b w:val="0"/>
          <w:bCs w:val="0"/>
          <w:sz w:val="32"/>
          <w:szCs w:val="32"/>
        </w:rPr>
        <w:t>（一）公务接待费</w:t>
      </w:r>
      <w:bookmarkEnd w:id="15"/>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公务接待费与2023年预算相比增长1.5万元，</w:t>
      </w:r>
      <w:r>
        <w:rPr>
          <w:rFonts w:hint="eastAsia" w:ascii="仿宋_GB2312" w:hAnsi="仿宋_GB2312" w:eastAsia="仿宋_GB2312" w:cs="仿宋_GB2312"/>
          <w:b w:val="0"/>
          <w:bCs w:val="0"/>
          <w:sz w:val="32"/>
          <w:szCs w:val="32"/>
          <w:lang w:val="en-US" w:eastAsia="zh-CN"/>
        </w:rPr>
        <w:t>增长300%。</w:t>
      </w:r>
      <w:r>
        <w:rPr>
          <w:rFonts w:hint="eastAsia" w:ascii="仿宋_GB2312" w:hAnsi="仿宋_GB2312" w:eastAsia="仿宋_GB2312" w:cs="仿宋_GB2312"/>
          <w:b w:val="0"/>
          <w:bCs w:val="0"/>
          <w:sz w:val="32"/>
          <w:szCs w:val="32"/>
        </w:rPr>
        <w:t>主要原因是单位新增消费帮扶和托</w:t>
      </w:r>
      <w:r>
        <w:rPr>
          <w:rFonts w:hint="eastAsia" w:ascii="仿宋_GB2312" w:hAnsi="仿宋_GB2312" w:eastAsia="仿宋_GB2312" w:cs="仿宋_GB2312"/>
          <w:b w:val="0"/>
          <w:bCs w:val="0"/>
          <w:sz w:val="32"/>
          <w:szCs w:val="32"/>
          <w:lang w:eastAsia="zh-CN"/>
        </w:rPr>
        <w:t>底</w:t>
      </w:r>
      <w:r>
        <w:rPr>
          <w:rFonts w:hint="eastAsia" w:ascii="仿宋_GB2312" w:hAnsi="仿宋_GB2312" w:eastAsia="仿宋_GB2312" w:cs="仿宋_GB2312"/>
          <w:b w:val="0"/>
          <w:bCs w:val="0"/>
          <w:sz w:val="32"/>
          <w:szCs w:val="32"/>
        </w:rPr>
        <w:t>性帮扶等工作职能。</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2024年公务接待费计划用于执行接待考察调研、检查指导等公务活动开支的交通费、住宿费、用餐费等。</w:t>
      </w:r>
    </w:p>
    <w:p>
      <w:pPr>
        <w:keepNext w:val="0"/>
        <w:keepLines w:val="0"/>
        <w:pageBreakBefore w:val="0"/>
        <w:widowControl w:val="0"/>
        <w:numPr>
          <w:ilvl w:val="0"/>
          <w:numId w:val="2"/>
        </w:numPr>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16" w:name="_Toc536"/>
      <w:r>
        <w:rPr>
          <w:rFonts w:hint="eastAsia" w:ascii="楷体_GB2312" w:hAnsi="楷体_GB2312" w:eastAsia="楷体_GB2312" w:cs="楷体_GB2312"/>
          <w:b w:val="0"/>
          <w:bCs w:val="0"/>
          <w:sz w:val="32"/>
          <w:szCs w:val="32"/>
        </w:rPr>
        <w:t>公务用车购置及运行维护费</w:t>
      </w:r>
      <w:bookmarkEnd w:id="16"/>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公务用车购置及运行维护费预算数0万元，与2023年预算相比下降2万元，</w:t>
      </w:r>
      <w:r>
        <w:rPr>
          <w:rFonts w:hint="eastAsia" w:ascii="仿宋_GB2312" w:hAnsi="仿宋_GB2312" w:eastAsia="仿宋_GB2312" w:cs="仿宋_GB2312"/>
          <w:b w:val="0"/>
          <w:bCs w:val="0"/>
          <w:sz w:val="32"/>
          <w:szCs w:val="32"/>
          <w:lang w:val="en-US" w:eastAsia="zh-CN"/>
        </w:rPr>
        <w:t>下降100%。</w:t>
      </w:r>
      <w:r>
        <w:rPr>
          <w:rFonts w:hint="eastAsia" w:ascii="仿宋_GB2312" w:hAnsi="仿宋_GB2312" w:eastAsia="仿宋_GB2312" w:cs="仿宋_GB2312"/>
          <w:b w:val="0"/>
          <w:bCs w:val="0"/>
          <w:sz w:val="32"/>
          <w:szCs w:val="32"/>
        </w:rPr>
        <w:t>主要原因是</w:t>
      </w:r>
      <w:r>
        <w:rPr>
          <w:rFonts w:hint="default" w:ascii="仿宋_GB2312" w:hAnsi="仿宋_GB2312" w:eastAsia="仿宋_GB2312" w:cs="仿宋_GB2312"/>
          <w:b w:val="0"/>
          <w:bCs w:val="0"/>
          <w:sz w:val="32"/>
          <w:szCs w:val="32"/>
          <w:lang w:val="en-US"/>
        </w:rPr>
        <w:t>2024</w:t>
      </w:r>
      <w:r>
        <w:rPr>
          <w:rFonts w:hint="eastAsia" w:ascii="仿宋_GB2312" w:hAnsi="仿宋_GB2312" w:eastAsia="仿宋_GB2312" w:cs="仿宋_GB2312"/>
          <w:b w:val="0"/>
          <w:bCs w:val="0"/>
          <w:sz w:val="32"/>
          <w:szCs w:val="32"/>
          <w:lang w:val="en-US" w:eastAsia="zh-CN"/>
        </w:rPr>
        <w:t>年</w:t>
      </w:r>
      <w:r>
        <w:rPr>
          <w:rFonts w:hint="eastAsia" w:ascii="仿宋_GB2312" w:hAnsi="仿宋_GB2312" w:eastAsia="仿宋_GB2312" w:cs="仿宋_GB2312"/>
          <w:b w:val="0"/>
          <w:bCs w:val="0"/>
          <w:sz w:val="32"/>
          <w:szCs w:val="32"/>
        </w:rPr>
        <w:t>单位没有公务用车。</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单位现有公务用车0辆</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2024年未安排公务用车购置费。</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2024年安排公务用车运行维护费0万元。</w:t>
      </w:r>
    </w:p>
    <w:p>
      <w:pPr>
        <w:keepNext w:val="0"/>
        <w:keepLines w:val="0"/>
        <w:pageBreakBefore w:val="0"/>
        <w:widowControl w:val="0"/>
        <w:kinsoku/>
        <w:wordWrap/>
        <w:overflowPunct/>
        <w:topLinePunct w:val="0"/>
        <w:autoSpaceDE/>
        <w:autoSpaceDN/>
        <w:bidi w:val="0"/>
        <w:spacing w:line="576" w:lineRule="exact"/>
        <w:textAlignment w:val="auto"/>
        <w:outlineLvl w:val="1"/>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    </w:t>
      </w:r>
      <w:bookmarkStart w:id="17" w:name="_Toc29818"/>
      <w:r>
        <w:rPr>
          <w:rFonts w:hint="eastAsia" w:ascii="仿宋_GB2312" w:hAnsi="仿宋_GB2312" w:eastAsia="仿宋_GB2312" w:cs="仿宋_GB2312"/>
          <w:b w:val="0"/>
          <w:bCs w:val="0"/>
          <w:sz w:val="32"/>
          <w:szCs w:val="32"/>
        </w:rPr>
        <w:t>（</w:t>
      </w:r>
      <w:r>
        <w:rPr>
          <w:rFonts w:hint="eastAsia" w:ascii="楷体_GB2312" w:hAnsi="楷体_GB2312" w:eastAsia="楷体_GB2312" w:cs="楷体_GB2312"/>
          <w:b w:val="0"/>
          <w:bCs w:val="0"/>
          <w:sz w:val="32"/>
          <w:szCs w:val="32"/>
        </w:rPr>
        <w:t>三）因公出国（境）经费</w:t>
      </w:r>
      <w:bookmarkEnd w:id="17"/>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2024年未安排因公出国（境）经费，与2023年预算持平。</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0"/>
        <w:rPr>
          <w:rFonts w:ascii="黑体" w:hAnsi="黑体" w:eastAsia="黑体" w:cs="黑体"/>
          <w:b w:val="0"/>
          <w:bCs w:val="0"/>
          <w:sz w:val="32"/>
          <w:szCs w:val="32"/>
        </w:rPr>
      </w:pPr>
      <w:bookmarkStart w:id="18" w:name="_Toc12068"/>
      <w:r>
        <w:rPr>
          <w:rFonts w:hint="eastAsia" w:ascii="黑体" w:hAnsi="黑体" w:eastAsia="黑体" w:cs="黑体"/>
          <w:b w:val="0"/>
          <w:bCs w:val="0"/>
          <w:sz w:val="32"/>
          <w:szCs w:val="32"/>
        </w:rPr>
        <w:t>八、政府性基金预算支出情况说明</w:t>
      </w:r>
      <w:bookmarkEnd w:id="18"/>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市以工代赈事务中心2024年无政府性基金预算拨款安排的支出。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0"/>
        <w:rPr>
          <w:rFonts w:ascii="黑体" w:hAnsi="黑体" w:eastAsia="黑体" w:cs="黑体"/>
          <w:b w:val="0"/>
          <w:bCs w:val="0"/>
          <w:sz w:val="32"/>
          <w:szCs w:val="32"/>
        </w:rPr>
      </w:pPr>
      <w:bookmarkStart w:id="19" w:name="_Toc31909"/>
      <w:r>
        <w:rPr>
          <w:rFonts w:hint="eastAsia" w:ascii="黑体" w:hAnsi="黑体" w:eastAsia="黑体" w:cs="黑体"/>
          <w:b w:val="0"/>
          <w:bCs w:val="0"/>
          <w:sz w:val="32"/>
          <w:szCs w:val="32"/>
        </w:rPr>
        <w:t>九、国有资本经营预算支出情况说明</w:t>
      </w:r>
      <w:bookmarkEnd w:id="19"/>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市以工代赈事务中心2024年无国有资本经营预算拨款安排的支出。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0"/>
        <w:rPr>
          <w:rFonts w:ascii="黑体" w:hAnsi="黑体" w:eastAsia="黑体" w:cs="黑体"/>
          <w:b w:val="0"/>
          <w:bCs w:val="0"/>
          <w:sz w:val="32"/>
          <w:szCs w:val="32"/>
        </w:rPr>
      </w:pPr>
      <w:bookmarkStart w:id="20" w:name="_Toc17106"/>
      <w:r>
        <w:rPr>
          <w:rFonts w:hint="eastAsia" w:ascii="黑体" w:hAnsi="黑体" w:eastAsia="黑体" w:cs="黑体"/>
          <w:b w:val="0"/>
          <w:bCs w:val="0"/>
          <w:sz w:val="32"/>
          <w:szCs w:val="32"/>
        </w:rPr>
        <w:t>十、其他重要事项的情况说明</w:t>
      </w:r>
      <w:bookmarkEnd w:id="20"/>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21" w:name="_Toc11947"/>
      <w:r>
        <w:rPr>
          <w:rFonts w:hint="eastAsia" w:ascii="楷体_GB2312" w:hAnsi="楷体_GB2312" w:eastAsia="楷体_GB2312" w:cs="楷体_GB2312"/>
          <w:b w:val="0"/>
          <w:bCs w:val="0"/>
          <w:sz w:val="32"/>
          <w:szCs w:val="32"/>
        </w:rPr>
        <w:t>（一）机关运行经费</w:t>
      </w:r>
      <w:bookmarkEnd w:id="21"/>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2024年，市以工代赈事务中心机关运行经费财政拨款预算为30.36万元，比2023年预算增加3.02万元，增长9.95%。主要原因2023年新调人员1人。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22" w:name="_Toc4273"/>
      <w:r>
        <w:rPr>
          <w:rFonts w:hint="eastAsia" w:ascii="楷体_GB2312" w:hAnsi="楷体_GB2312" w:eastAsia="楷体_GB2312" w:cs="楷体_GB2312"/>
          <w:b w:val="0"/>
          <w:bCs w:val="0"/>
          <w:sz w:val="32"/>
          <w:szCs w:val="32"/>
        </w:rPr>
        <w:t>（二）政府采购情况</w:t>
      </w:r>
      <w:bookmarkEnd w:id="22"/>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2024年，市以工代赈事务中心安排政府采购预算</w:t>
      </w:r>
      <w:r>
        <w:rPr>
          <w:rFonts w:hint="eastAsia" w:ascii="仿宋_GB2312" w:hAnsi="仿宋_GB2312" w:eastAsia="仿宋_GB2312" w:cs="仿宋_GB2312"/>
          <w:b w:val="0"/>
          <w:bCs w:val="0"/>
          <w:sz w:val="32"/>
          <w:szCs w:val="32"/>
          <w:lang w:val="en-US" w:eastAsia="zh-CN"/>
        </w:rPr>
        <w:t>0.1</w:t>
      </w:r>
      <w:r>
        <w:rPr>
          <w:rFonts w:hint="eastAsia" w:ascii="仿宋_GB2312" w:hAnsi="仿宋_GB2312" w:eastAsia="仿宋_GB2312" w:cs="仿宋_GB2312"/>
          <w:b w:val="0"/>
          <w:bCs w:val="0"/>
          <w:sz w:val="32"/>
          <w:szCs w:val="32"/>
        </w:rPr>
        <w:t>万元，其中：政府采购货物预算</w:t>
      </w:r>
      <w:r>
        <w:rPr>
          <w:rFonts w:hint="eastAsia" w:ascii="仿宋_GB2312" w:hAnsi="仿宋_GB2312" w:eastAsia="仿宋_GB2312" w:cs="仿宋_GB2312"/>
          <w:b w:val="0"/>
          <w:bCs w:val="0"/>
          <w:sz w:val="32"/>
          <w:szCs w:val="32"/>
          <w:lang w:val="en-US" w:eastAsia="zh-CN"/>
        </w:rPr>
        <w:t>0.1</w:t>
      </w:r>
      <w:r>
        <w:rPr>
          <w:rFonts w:hint="eastAsia" w:ascii="仿宋_GB2312" w:hAnsi="仿宋_GB2312" w:eastAsia="仿宋_GB2312" w:cs="仿宋_GB2312"/>
          <w:b w:val="0"/>
          <w:bCs w:val="0"/>
          <w:sz w:val="32"/>
          <w:szCs w:val="32"/>
        </w:rPr>
        <w:t>万元。</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23" w:name="_Toc6114"/>
      <w:r>
        <w:rPr>
          <w:rFonts w:hint="eastAsia" w:ascii="楷体_GB2312" w:hAnsi="楷体_GB2312" w:eastAsia="楷体_GB2312" w:cs="楷体_GB2312"/>
          <w:b w:val="0"/>
          <w:bCs w:val="0"/>
          <w:sz w:val="32"/>
          <w:szCs w:val="32"/>
        </w:rPr>
        <w:t>（三）国有资产占有使用情况</w:t>
      </w:r>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截至2023年底，市以工代赈事务中心</w:t>
      </w:r>
      <w:r>
        <w:rPr>
          <w:rFonts w:hint="eastAsia" w:ascii="仿宋_GB2312" w:hAnsi="仿宋_GB2312" w:eastAsia="仿宋_GB2312" w:cs="仿宋_GB2312"/>
          <w:b w:val="0"/>
          <w:bCs w:val="0"/>
          <w:color w:val="auto"/>
          <w:sz w:val="32"/>
          <w:szCs w:val="32"/>
          <w:lang w:eastAsia="zh-CN"/>
        </w:rPr>
        <w:t>没有车辆</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sz w:val="32"/>
          <w:szCs w:val="32"/>
          <w:lang w:val="en-US" w:eastAsia="zh-CN"/>
        </w:rPr>
        <w:t>单位无价值200万元以上的大型设备。</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2024年部门预算未安排购置车辆及单位价值200万元以上大型设备。</w:t>
      </w:r>
      <w:bookmarkStart w:id="26" w:name="_GoBack"/>
      <w:bookmarkEnd w:id="26"/>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1"/>
        <w:rPr>
          <w:rFonts w:ascii="楷体_GB2312" w:hAnsi="楷体_GB2312" w:eastAsia="楷体_GB2312" w:cs="楷体_GB2312"/>
          <w:b w:val="0"/>
          <w:bCs w:val="0"/>
          <w:sz w:val="32"/>
          <w:szCs w:val="32"/>
        </w:rPr>
      </w:pPr>
      <w:bookmarkStart w:id="24" w:name="_Toc24754"/>
      <w:r>
        <w:rPr>
          <w:rFonts w:hint="eastAsia" w:ascii="楷体_GB2312" w:hAnsi="楷体_GB2312" w:eastAsia="楷体_GB2312" w:cs="楷体_GB2312"/>
          <w:b w:val="0"/>
          <w:bCs w:val="0"/>
          <w:sz w:val="32"/>
          <w:szCs w:val="32"/>
        </w:rPr>
        <w:t>（四）绩效目标设置情况</w:t>
      </w:r>
      <w:bookmarkEnd w:id="24"/>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2024年市以工代赈事务中心开展绩效目标管理的项目</w:t>
      </w:r>
      <w:r>
        <w:rPr>
          <w:rFonts w:hint="eastAsia" w:ascii="仿宋_GB2312" w:hAnsi="仿宋_GB2312" w:eastAsia="仿宋_GB2312" w:cs="仿宋_GB2312"/>
          <w:b w:val="0"/>
          <w:bCs w:val="0"/>
          <w:sz w:val="32"/>
          <w:szCs w:val="32"/>
          <w:lang w:val="en-US" w:eastAsia="zh-CN"/>
        </w:rPr>
        <w:t>15</w:t>
      </w:r>
      <w:r>
        <w:rPr>
          <w:rFonts w:hint="eastAsia" w:ascii="仿宋_GB2312" w:hAnsi="仿宋_GB2312" w:eastAsia="仿宋_GB2312" w:cs="仿宋_GB2312"/>
          <w:b w:val="0"/>
          <w:bCs w:val="0"/>
          <w:sz w:val="32"/>
          <w:szCs w:val="32"/>
        </w:rPr>
        <w:t>个，涉及预算</w:t>
      </w:r>
      <w:r>
        <w:rPr>
          <w:rFonts w:hint="eastAsia" w:ascii="仿宋_GB2312" w:hAnsi="仿宋_GB2312" w:eastAsia="仿宋_GB2312" w:cs="仿宋_GB2312"/>
          <w:b w:val="0"/>
          <w:bCs w:val="0"/>
          <w:sz w:val="32"/>
          <w:szCs w:val="32"/>
          <w:lang w:val="en-US" w:eastAsia="zh-CN"/>
        </w:rPr>
        <w:t>281.52</w:t>
      </w:r>
      <w:r>
        <w:rPr>
          <w:rFonts w:hint="eastAsia" w:ascii="仿宋_GB2312" w:hAnsi="仿宋_GB2312" w:eastAsia="仿宋_GB2312" w:cs="仿宋_GB2312"/>
          <w:b w:val="0"/>
          <w:bCs w:val="0"/>
          <w:sz w:val="32"/>
          <w:szCs w:val="32"/>
        </w:rPr>
        <w:t>万元。其中：人员类项目</w:t>
      </w: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 xml:space="preserve">个，涉及预算 </w:t>
      </w:r>
      <w:r>
        <w:rPr>
          <w:rFonts w:hint="eastAsia" w:ascii="仿宋_GB2312" w:hAnsi="仿宋_GB2312" w:eastAsia="仿宋_GB2312" w:cs="仿宋_GB2312"/>
          <w:b w:val="0"/>
          <w:bCs w:val="0"/>
          <w:sz w:val="32"/>
          <w:szCs w:val="32"/>
          <w:lang w:val="en-US" w:eastAsia="zh-CN"/>
        </w:rPr>
        <w:t>171.83</w:t>
      </w:r>
      <w:r>
        <w:rPr>
          <w:rFonts w:hint="eastAsia" w:ascii="仿宋_GB2312" w:hAnsi="仿宋_GB2312" w:eastAsia="仿宋_GB2312" w:cs="仿宋_GB2312"/>
          <w:b w:val="0"/>
          <w:bCs w:val="0"/>
          <w:sz w:val="32"/>
          <w:szCs w:val="32"/>
        </w:rPr>
        <w:t>万元；运转类项目</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个，涉及预算</w:t>
      </w:r>
      <w:r>
        <w:rPr>
          <w:rFonts w:hint="eastAsia" w:ascii="仿宋_GB2312" w:hAnsi="仿宋_GB2312" w:eastAsia="仿宋_GB2312" w:cs="仿宋_GB2312"/>
          <w:b w:val="0"/>
          <w:bCs w:val="0"/>
          <w:sz w:val="32"/>
          <w:szCs w:val="32"/>
          <w:lang w:val="en-US" w:eastAsia="zh-CN"/>
        </w:rPr>
        <w:t>30.36</w:t>
      </w:r>
      <w:r>
        <w:rPr>
          <w:rFonts w:hint="eastAsia" w:ascii="仿宋_GB2312" w:hAnsi="仿宋_GB2312" w:eastAsia="仿宋_GB2312" w:cs="仿宋_GB2312"/>
          <w:b w:val="0"/>
          <w:bCs w:val="0"/>
          <w:sz w:val="32"/>
          <w:szCs w:val="32"/>
        </w:rPr>
        <w:t>万元；特定目标类项目</w:t>
      </w: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个，涉及预算</w:t>
      </w:r>
      <w:r>
        <w:rPr>
          <w:rFonts w:hint="eastAsia" w:ascii="仿宋_GB2312" w:hAnsi="仿宋_GB2312" w:eastAsia="仿宋_GB2312" w:cs="仿宋_GB2312"/>
          <w:b w:val="0"/>
          <w:bCs w:val="0"/>
          <w:sz w:val="32"/>
          <w:szCs w:val="32"/>
          <w:lang w:val="en-US" w:eastAsia="zh-CN"/>
        </w:rPr>
        <w:t>79.33</w:t>
      </w:r>
      <w:r>
        <w:rPr>
          <w:rFonts w:hint="eastAsia" w:ascii="仿宋_GB2312" w:hAnsi="仿宋_GB2312" w:eastAsia="仿宋_GB2312" w:cs="仿宋_GB2312"/>
          <w:b w:val="0"/>
          <w:bCs w:val="0"/>
          <w:sz w:val="32"/>
          <w:szCs w:val="32"/>
        </w:rPr>
        <w:t>万元。</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outlineLvl w:val="0"/>
        <w:rPr>
          <w:rFonts w:ascii="黑体" w:hAnsi="黑体" w:eastAsia="黑体" w:cs="黑体"/>
          <w:b w:val="0"/>
          <w:bCs w:val="0"/>
          <w:sz w:val="32"/>
          <w:szCs w:val="32"/>
        </w:rPr>
      </w:pPr>
      <w:bookmarkStart w:id="25" w:name="_Toc30854"/>
      <w:r>
        <w:rPr>
          <w:rFonts w:hint="eastAsia" w:ascii="黑体" w:hAnsi="黑体" w:eastAsia="黑体" w:cs="黑体"/>
          <w:b w:val="0"/>
          <w:bCs w:val="0"/>
          <w:sz w:val="32"/>
          <w:szCs w:val="32"/>
        </w:rPr>
        <w:t>十一、名词解释</w:t>
      </w:r>
      <w:bookmarkEnd w:id="25"/>
    </w:p>
    <w:p>
      <w:pPr>
        <w:keepNext w:val="0"/>
        <w:keepLines w:val="0"/>
        <w:pageBreakBefore w:val="0"/>
        <w:widowControl w:val="0"/>
        <w:numPr>
          <w:ilvl w:val="0"/>
          <w:numId w:val="3"/>
        </w:numPr>
        <w:kinsoku/>
        <w:wordWrap/>
        <w:overflowPunct/>
        <w:topLinePunct w:val="0"/>
        <w:autoSpaceDE/>
        <w:autoSpaceDN/>
        <w:bidi w:val="0"/>
        <w:spacing w:line="576" w:lineRule="exact"/>
        <w:ind w:left="0" w:leftChars="0" w:firstLine="420" w:firstLineChars="0"/>
        <w:textAlignment w:val="auto"/>
        <w:rPr>
          <w:rFonts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财政拨款收入</w:t>
      </w:r>
      <w:r>
        <w:rPr>
          <w:rFonts w:hint="eastAsia" w:ascii="楷体_GB2312" w:hAnsi="楷体_GB2312" w:eastAsia="楷体_GB2312" w:cs="楷体_GB2312"/>
          <w:b w:val="0"/>
          <w:bCs w:val="0"/>
          <w:sz w:val="32"/>
          <w:szCs w:val="32"/>
          <w:lang w:eastAsia="zh-CN"/>
        </w:rPr>
        <w:t>：</w:t>
      </w:r>
      <w:r>
        <w:rPr>
          <w:rFonts w:hint="eastAsia" w:ascii="仿宋_GB2312" w:hAnsi="仿宋_GB2312" w:eastAsia="仿宋_GB2312" w:cs="仿宋_GB2312"/>
          <w:b w:val="0"/>
          <w:bCs w:val="0"/>
          <w:sz w:val="32"/>
          <w:szCs w:val="32"/>
        </w:rPr>
        <w:t>指市财政当年安排的财政预算收入。按现行管理制度</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部门预算中反映的财政拨款包括一般公共预算拨款和政府性基金预算拨款。</w:t>
      </w:r>
    </w:p>
    <w:p>
      <w:pPr>
        <w:keepNext w:val="0"/>
        <w:keepLines w:val="0"/>
        <w:pageBreakBefore w:val="0"/>
        <w:widowControl w:val="0"/>
        <w:numPr>
          <w:ilvl w:val="0"/>
          <w:numId w:val="3"/>
        </w:numPr>
        <w:kinsoku/>
        <w:wordWrap/>
        <w:overflowPunct/>
        <w:topLinePunct w:val="0"/>
        <w:autoSpaceDE/>
        <w:autoSpaceDN/>
        <w:bidi w:val="0"/>
        <w:spacing w:line="576" w:lineRule="exact"/>
        <w:ind w:left="0" w:leftChars="0" w:firstLine="420" w:firstLineChars="0"/>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一般公共服务（类）政府办公厅（室）及相关机构事务（款）其他政府办公厅（室）及相关机构事务支出（项）：</w:t>
      </w:r>
      <w:r>
        <w:rPr>
          <w:rFonts w:hint="eastAsia" w:ascii="仿宋_GB2312" w:hAnsi="仿宋_GB2312" w:eastAsia="仿宋_GB2312" w:cs="仿宋_GB2312"/>
          <w:b w:val="0"/>
          <w:bCs w:val="0"/>
          <w:sz w:val="32"/>
          <w:szCs w:val="32"/>
        </w:rPr>
        <w:t>指机关单位用于保障机构正常运行、开展日常工作的基本支出</w:t>
      </w:r>
      <w:r>
        <w:rPr>
          <w:rFonts w:hint="eastAsia" w:ascii="仿宋_GB2312" w:hAnsi="仿宋_GB2312" w:eastAsia="仿宋_GB2312" w:cs="仿宋_GB2312"/>
          <w:b w:val="0"/>
          <w:bCs w:val="0"/>
          <w:sz w:val="32"/>
          <w:szCs w:val="32"/>
          <w:lang w:val="en-US" w:eastAsia="zh-CN"/>
        </w:rPr>
        <w:t>和项目支出。　</w:t>
      </w:r>
    </w:p>
    <w:p>
      <w:pPr>
        <w:keepNext w:val="0"/>
        <w:keepLines w:val="0"/>
        <w:pageBreakBefore w:val="0"/>
        <w:widowControl w:val="0"/>
        <w:numPr>
          <w:ilvl w:val="0"/>
          <w:numId w:val="3"/>
        </w:numPr>
        <w:kinsoku/>
        <w:wordWrap/>
        <w:overflowPunct/>
        <w:topLinePunct w:val="0"/>
        <w:autoSpaceDE/>
        <w:autoSpaceDN/>
        <w:bidi w:val="0"/>
        <w:spacing w:line="576" w:lineRule="exact"/>
        <w:ind w:left="0" w:leftChars="0" w:firstLine="420" w:firstLineChars="0"/>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社会保障和就业（类）行政事业单位养老支出（款）机关事业单位基本养老保险缴费支出（项）：</w:t>
      </w:r>
      <w:r>
        <w:rPr>
          <w:rFonts w:hint="eastAsia" w:ascii="仿宋_GB2312" w:hAnsi="仿宋_GB2312" w:eastAsia="仿宋_GB2312" w:cs="仿宋_GB2312"/>
          <w:b w:val="0"/>
          <w:bCs w:val="0"/>
          <w:sz w:val="32"/>
          <w:szCs w:val="32"/>
        </w:rPr>
        <w:t>指部门实施养老保险制度由单位缴纳的</w:t>
      </w:r>
      <w:r>
        <w:rPr>
          <w:rFonts w:hint="eastAsia" w:ascii="仿宋_GB2312" w:hAnsi="仿宋_GB2312" w:eastAsia="仿宋_GB2312" w:cs="仿宋_GB2312"/>
          <w:b w:val="0"/>
          <w:bCs w:val="0"/>
          <w:sz w:val="32"/>
          <w:szCs w:val="32"/>
          <w:lang w:eastAsia="zh-CN"/>
        </w:rPr>
        <w:t>基本</w:t>
      </w:r>
      <w:r>
        <w:rPr>
          <w:rFonts w:hint="eastAsia" w:ascii="仿宋_GB2312" w:hAnsi="仿宋_GB2312" w:eastAsia="仿宋_GB2312" w:cs="仿宋_GB2312"/>
          <w:b w:val="0"/>
          <w:bCs w:val="0"/>
          <w:sz w:val="32"/>
          <w:szCs w:val="32"/>
        </w:rPr>
        <w:t>养老保险</w:t>
      </w:r>
      <w:r>
        <w:rPr>
          <w:rFonts w:hint="eastAsia" w:ascii="仿宋_GB2312" w:hAnsi="仿宋_GB2312" w:eastAsia="仿宋_GB2312" w:cs="仿宋_GB2312"/>
          <w:b w:val="0"/>
          <w:bCs w:val="0"/>
          <w:sz w:val="32"/>
          <w:szCs w:val="32"/>
          <w:lang w:eastAsia="zh-CN"/>
        </w:rPr>
        <w:t>费</w:t>
      </w:r>
      <w:r>
        <w:rPr>
          <w:rFonts w:hint="eastAsia" w:ascii="仿宋_GB2312" w:hAnsi="仿宋_GB2312" w:eastAsia="仿宋_GB2312" w:cs="仿宋_GB2312"/>
          <w:b w:val="0"/>
          <w:bCs w:val="0"/>
          <w:sz w:val="32"/>
          <w:szCs w:val="32"/>
        </w:rPr>
        <w:t>的支出。</w:t>
      </w:r>
    </w:p>
    <w:p>
      <w:pPr>
        <w:keepNext w:val="0"/>
        <w:keepLines w:val="0"/>
        <w:pageBreakBefore w:val="0"/>
        <w:widowControl w:val="0"/>
        <w:numPr>
          <w:ilvl w:val="0"/>
          <w:numId w:val="3"/>
        </w:numPr>
        <w:kinsoku/>
        <w:wordWrap/>
        <w:overflowPunct/>
        <w:topLinePunct w:val="0"/>
        <w:autoSpaceDE/>
        <w:autoSpaceDN/>
        <w:bidi w:val="0"/>
        <w:spacing w:line="576" w:lineRule="exact"/>
        <w:ind w:left="0" w:leftChars="0" w:firstLine="420" w:firstLineChars="0"/>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卫生健康（类）行政事业单位医疗（款）行政单位医疗（项）：</w:t>
      </w:r>
      <w:r>
        <w:rPr>
          <w:rFonts w:hint="eastAsia" w:ascii="仿宋_GB2312" w:hAnsi="仿宋_GB2312" w:eastAsia="仿宋_GB2312" w:cs="仿宋_GB2312"/>
          <w:b w:val="0"/>
          <w:bCs w:val="0"/>
          <w:sz w:val="32"/>
          <w:szCs w:val="32"/>
        </w:rPr>
        <w:t>指机关及参公管理事业单位用于单位应缴纳基本医疗保险支出。</w:t>
      </w:r>
    </w:p>
    <w:p>
      <w:pPr>
        <w:keepNext w:val="0"/>
        <w:keepLines w:val="0"/>
        <w:pageBreakBefore w:val="0"/>
        <w:widowControl w:val="0"/>
        <w:numPr>
          <w:ilvl w:val="0"/>
          <w:numId w:val="3"/>
        </w:numPr>
        <w:kinsoku/>
        <w:wordWrap/>
        <w:overflowPunct/>
        <w:topLinePunct w:val="0"/>
        <w:autoSpaceDE/>
        <w:autoSpaceDN/>
        <w:bidi w:val="0"/>
        <w:spacing w:line="576" w:lineRule="exact"/>
        <w:ind w:left="0" w:leftChars="0" w:firstLine="420" w:firstLineChars="0"/>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住房保障（类）住房改革支出（款）住房公积金（项）：</w:t>
      </w:r>
      <w:r>
        <w:rPr>
          <w:rFonts w:hint="eastAsia" w:ascii="仿宋_GB2312" w:hAnsi="仿宋_GB2312" w:eastAsia="仿宋_GB2312" w:cs="仿宋_GB2312"/>
          <w:b w:val="0"/>
          <w:bCs w:val="0"/>
          <w:sz w:val="32"/>
          <w:szCs w:val="32"/>
        </w:rPr>
        <w:t>指按照《住房公积金管理条例》的规定，由单位及其在职职工缴存的长期住房储金。</w:t>
      </w:r>
    </w:p>
    <w:p>
      <w:pPr>
        <w:keepNext w:val="0"/>
        <w:keepLines w:val="0"/>
        <w:pageBreakBefore w:val="0"/>
        <w:widowControl w:val="0"/>
        <w:numPr>
          <w:ilvl w:val="0"/>
          <w:numId w:val="3"/>
        </w:numPr>
        <w:kinsoku/>
        <w:wordWrap/>
        <w:overflowPunct/>
        <w:topLinePunct w:val="0"/>
        <w:autoSpaceDE/>
        <w:autoSpaceDN/>
        <w:bidi w:val="0"/>
        <w:spacing w:line="576" w:lineRule="exact"/>
        <w:ind w:left="0" w:leftChars="0" w:firstLine="420" w:firstLineChars="0"/>
        <w:textAlignment w:val="auto"/>
        <w:rPr>
          <w:rFonts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基本支出：</w:t>
      </w:r>
      <w:r>
        <w:rPr>
          <w:rFonts w:hint="eastAsia" w:ascii="仿宋_GB2312" w:hAnsi="仿宋_GB2312" w:eastAsia="仿宋_GB2312" w:cs="仿宋_GB2312"/>
          <w:b w:val="0"/>
          <w:bCs w:val="0"/>
          <w:sz w:val="32"/>
          <w:szCs w:val="32"/>
        </w:rPr>
        <w:t>指为保证机构正常运转，完成日常工作任务而发生的人员支出和公用支出。</w:t>
      </w:r>
    </w:p>
    <w:p>
      <w:pPr>
        <w:keepNext w:val="0"/>
        <w:keepLines w:val="0"/>
        <w:pageBreakBefore w:val="0"/>
        <w:widowControl w:val="0"/>
        <w:numPr>
          <w:ilvl w:val="0"/>
          <w:numId w:val="3"/>
        </w:numPr>
        <w:kinsoku/>
        <w:wordWrap/>
        <w:overflowPunct/>
        <w:topLinePunct w:val="0"/>
        <w:autoSpaceDE/>
        <w:autoSpaceDN/>
        <w:bidi w:val="0"/>
        <w:spacing w:line="576" w:lineRule="exact"/>
        <w:ind w:left="0" w:leftChars="0" w:firstLine="420" w:firstLineChars="0"/>
        <w:textAlignment w:val="auto"/>
        <w:rPr>
          <w:rFonts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项目支出：</w:t>
      </w:r>
      <w:r>
        <w:rPr>
          <w:rFonts w:hint="eastAsia" w:ascii="仿宋_GB2312" w:hAnsi="仿宋_GB2312" w:eastAsia="仿宋_GB2312" w:cs="仿宋_GB2312"/>
          <w:b w:val="0"/>
          <w:bCs w:val="0"/>
          <w:sz w:val="32"/>
          <w:szCs w:val="32"/>
        </w:rPr>
        <w:t>指在基本支出之外为完成特定行政任务和事业发展目标所发生的支出。</w:t>
      </w:r>
    </w:p>
    <w:p>
      <w:pPr>
        <w:keepNext w:val="0"/>
        <w:keepLines w:val="0"/>
        <w:pageBreakBefore w:val="0"/>
        <w:widowControl w:val="0"/>
        <w:numPr>
          <w:ilvl w:val="0"/>
          <w:numId w:val="3"/>
        </w:numPr>
        <w:kinsoku/>
        <w:wordWrap/>
        <w:overflowPunct/>
        <w:topLinePunct w:val="0"/>
        <w:autoSpaceDE/>
        <w:autoSpaceDN/>
        <w:bidi w:val="0"/>
        <w:spacing w:line="576" w:lineRule="exact"/>
        <w:ind w:left="0" w:leftChars="0" w:firstLine="420" w:firstLineChars="0"/>
        <w:textAlignment w:val="auto"/>
        <w:rPr>
          <w:rFonts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“三公”经费：</w:t>
      </w:r>
      <w:r>
        <w:rPr>
          <w:rFonts w:hint="eastAsia" w:ascii="仿宋_GB2312" w:hAnsi="仿宋_GB2312" w:eastAsia="仿宋_GB2312" w:cs="仿宋_GB2312"/>
          <w:b w:val="0"/>
          <w:bCs w:val="0"/>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3"/>
        </w:numPr>
        <w:kinsoku/>
        <w:wordWrap/>
        <w:overflowPunct/>
        <w:topLinePunct w:val="0"/>
        <w:autoSpaceDE/>
        <w:autoSpaceDN/>
        <w:bidi w:val="0"/>
        <w:spacing w:line="576" w:lineRule="exact"/>
        <w:ind w:left="0" w:leftChars="0" w:firstLine="420" w:firstLineChars="0"/>
        <w:textAlignment w:val="auto"/>
        <w:rPr>
          <w:rFonts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机关运行经费：</w:t>
      </w:r>
      <w:r>
        <w:rPr>
          <w:rFonts w:hint="eastAsia" w:ascii="仿宋_GB2312" w:hAnsi="仿宋_GB2312" w:eastAsia="仿宋_GB2312" w:cs="仿宋_GB2312"/>
          <w:b w:val="0"/>
          <w:bCs w:val="0"/>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附件：部门预算公开表</w:t>
      </w:r>
    </w:p>
    <w:p>
      <w:pPr>
        <w:spacing w:line="576" w:lineRule="exact"/>
        <w:rPr>
          <w:rFonts w:ascii="仿宋_GB2312" w:hAnsi="仿宋_GB2312" w:eastAsia="仿宋_GB2312" w:cs="仿宋_GB2312"/>
          <w:b w:val="0"/>
          <w:bCs w:val="0"/>
          <w:sz w:val="32"/>
          <w:szCs w:val="32"/>
        </w:rPr>
      </w:pPr>
    </w:p>
    <w:p>
      <w:pPr>
        <w:spacing w:line="576" w:lineRule="exact"/>
        <w:ind w:firstLine="640" w:firstLineChars="200"/>
        <w:rPr>
          <w:rFonts w:ascii="仿宋_GB2312" w:hAnsi="仿宋_GB2312" w:eastAsia="仿宋_GB2312" w:cs="仿宋_GB2312"/>
          <w:b w:val="0"/>
          <w:bCs w:val="0"/>
          <w:sz w:val="32"/>
          <w:szCs w:val="32"/>
        </w:rPr>
      </w:pPr>
    </w:p>
    <w:sectPr>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A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FAAAAAgAh07iQIoUZjzRAAAAlAEAAAsAAAAAAAAAAQAgAAAAYQMAAF9yZWxzLy5yZWxzUEsBAhQA&#10;CgAAAAAAh07iQAAAAAAAAAAAAAAAAAYAAAAAAAAAAAAQAAAAPQMAAF9yZWxzL1BLAQIUAAoAAAAA&#10;AIdO4kAAAAAAAAAAAAAAAAAEAAAAAAAAAAAAEAAAABYAAABkcnMvUEsBAhQAFAAAAAgAh07iQG15&#10;XmjdAQAAvgMAAA4AAAAAAAAAAQAgAAAANAEAAGRycy9lMm9Eb2MueG1sUEsBAhQAFAAAAAgAh07i&#10;QM6pebnPAAAABQEAAA8AAAAAAAAAAQAgAAAAOAAAAGRycy9kb3ducmV2LnhtbFBLBQYAAAAABgAG&#10;AFkBAACDBQ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12</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E679FF"/>
    <w:multiLevelType w:val="singleLevel"/>
    <w:tmpl w:val="C7E679FF"/>
    <w:lvl w:ilvl="0" w:tentative="0">
      <w:start w:val="2"/>
      <w:numFmt w:val="chineseCounting"/>
      <w:suff w:val="nothing"/>
      <w:lvlText w:val="（%1）"/>
      <w:lvlJc w:val="left"/>
      <w:rPr>
        <w:rFonts w:hint="eastAsia"/>
      </w:rPr>
    </w:lvl>
  </w:abstractNum>
  <w:abstractNum w:abstractNumId="1">
    <w:nsid w:val="09959B7E"/>
    <w:multiLevelType w:val="singleLevel"/>
    <w:tmpl w:val="09959B7E"/>
    <w:lvl w:ilvl="0" w:tentative="0">
      <w:start w:val="1"/>
      <w:numFmt w:val="chineseCounting"/>
      <w:suff w:val="nothing"/>
      <w:lvlText w:val="（%1）"/>
      <w:lvlJc w:val="left"/>
      <w:pPr>
        <w:ind w:left="0" w:firstLine="420"/>
      </w:pPr>
      <w:rPr>
        <w:rFonts w:hint="eastAsia"/>
        <w:b/>
        <w:bCs/>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c2ZGZiNzZiNDVlOGViOWVmM2JhOTY0NGJkNjUyYzgifQ=="/>
  </w:docVars>
  <w:rsids>
    <w:rsidRoot w:val="00F77025"/>
    <w:rsid w:val="0004108C"/>
    <w:rsid w:val="00263617"/>
    <w:rsid w:val="003046F5"/>
    <w:rsid w:val="003F3181"/>
    <w:rsid w:val="006233C9"/>
    <w:rsid w:val="00776759"/>
    <w:rsid w:val="008D2A38"/>
    <w:rsid w:val="009D6742"/>
    <w:rsid w:val="00A019C6"/>
    <w:rsid w:val="00E77934"/>
    <w:rsid w:val="00F536F7"/>
    <w:rsid w:val="00F77025"/>
    <w:rsid w:val="012352D1"/>
    <w:rsid w:val="0489352B"/>
    <w:rsid w:val="1F7BF06F"/>
    <w:rsid w:val="1FEE4B73"/>
    <w:rsid w:val="23CE9849"/>
    <w:rsid w:val="39F304DD"/>
    <w:rsid w:val="3BE58F5D"/>
    <w:rsid w:val="54244390"/>
    <w:rsid w:val="54662A63"/>
    <w:rsid w:val="58064E12"/>
    <w:rsid w:val="5BFEE015"/>
    <w:rsid w:val="5F3FE2D6"/>
    <w:rsid w:val="63EDCF55"/>
    <w:rsid w:val="63FBFBCF"/>
    <w:rsid w:val="669360FD"/>
    <w:rsid w:val="68FF6A83"/>
    <w:rsid w:val="6DA42F1C"/>
    <w:rsid w:val="6FBBC9CF"/>
    <w:rsid w:val="72BDE561"/>
    <w:rsid w:val="78462278"/>
    <w:rsid w:val="7997EA6C"/>
    <w:rsid w:val="7AEAE675"/>
    <w:rsid w:val="7BAFCE5D"/>
    <w:rsid w:val="7D46598C"/>
    <w:rsid w:val="7DFB240B"/>
    <w:rsid w:val="7E0935ED"/>
    <w:rsid w:val="7F7F86A6"/>
    <w:rsid w:val="7FABA14B"/>
    <w:rsid w:val="7FCF2AF7"/>
    <w:rsid w:val="9FEF033D"/>
    <w:rsid w:val="A27FF1E5"/>
    <w:rsid w:val="AFDEB5A7"/>
    <w:rsid w:val="AFEA7FBF"/>
    <w:rsid w:val="B83F4767"/>
    <w:rsid w:val="BF930F07"/>
    <w:rsid w:val="BFCE8436"/>
    <w:rsid w:val="BFD51C5C"/>
    <w:rsid w:val="C3F7EB7A"/>
    <w:rsid w:val="CFF5FEEC"/>
    <w:rsid w:val="D3DD9064"/>
    <w:rsid w:val="D6F76A0C"/>
    <w:rsid w:val="D7BD49E9"/>
    <w:rsid w:val="D7ECE8D2"/>
    <w:rsid w:val="DFDD4FB5"/>
    <w:rsid w:val="E7F748B5"/>
    <w:rsid w:val="E97673ED"/>
    <w:rsid w:val="ED962973"/>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caption"/>
    <w:basedOn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 w:type="paragraph" w:customStyle="1" w:styleId="13">
    <w:name w:val="WPSOffice手动目录 1"/>
    <w:qFormat/>
    <w:uiPriority w:val="0"/>
    <w:pPr>
      <w:ind w:leftChars="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4506</Words>
  <Characters>938</Characters>
  <Lines>7</Lines>
  <Paragraphs>10</Paragraphs>
  <TotalTime>0</TotalTime>
  <ScaleCrop>false</ScaleCrop>
  <LinksUpToDate>false</LinksUpToDate>
  <CharactersWithSpaces>5434</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2024-02-07T09:37:58Z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