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bidi w:val="0"/>
        <w:jc w:val="center"/>
        <w:outlineLvl w:val="0"/>
        <w:rPr>
          <w:rFonts w:hint="eastAsia" w:ascii="方正小标宋简体" w:hAnsi="方正小标宋简体" w:eastAsia="方正小标宋简体" w:cs="方正小标宋简体"/>
          <w:sz w:val="44"/>
          <w:szCs w:val="44"/>
          <w:highlight w:val="none"/>
          <w:lang w:val="en-US"/>
        </w:rPr>
      </w:pPr>
      <w:bookmarkStart w:id="0" w:name="_Toc4584"/>
      <w:bookmarkStart w:id="1" w:name="_Toc5175"/>
      <w:r>
        <w:rPr>
          <w:rFonts w:hint="eastAsia" w:ascii="方正小标宋简体" w:hAnsi="方正小标宋简体" w:eastAsia="方正小标宋简体" w:cs="方正小标宋简体"/>
          <w:sz w:val="44"/>
          <w:szCs w:val="44"/>
          <w:highlight w:val="none"/>
          <w:lang w:val="en-US" w:eastAsia="zh-CN"/>
        </w:rPr>
        <w:t>广元市卫生健康委员会</w:t>
      </w:r>
      <w:bookmarkEnd w:id="0"/>
      <w:bookmarkEnd w:id="1"/>
    </w:p>
    <w:p>
      <w:pPr>
        <w:shd w:val="clear"/>
        <w:bidi w:val="0"/>
        <w:jc w:val="center"/>
        <w:rPr>
          <w:rFonts w:hint="eastAsia" w:ascii="方正小标宋简体" w:hAnsi="方正小标宋简体" w:eastAsia="方正小标宋简体" w:cs="方正小标宋简体"/>
          <w:sz w:val="44"/>
          <w:szCs w:val="44"/>
          <w:highlight w:val="none"/>
          <w:lang w:val="en-US" w:eastAsia="zh-CN"/>
        </w:rPr>
        <w:sectPr>
          <w:footerReference r:id="rId3" w:type="default"/>
          <w:pgSz w:w="11906" w:h="16838"/>
          <w:pgMar w:top="2098" w:right="1474" w:bottom="1984" w:left="1587" w:header="720" w:footer="1559" w:gutter="0"/>
          <w:pgNumType w:fmt="decimal" w:start="1"/>
          <w:cols w:space="720" w:num="1"/>
          <w:docGrid w:type="lines" w:linePitch="312" w:charSpace="0"/>
        </w:sectPr>
      </w:pPr>
      <w:r>
        <w:rPr>
          <w:rFonts w:hint="eastAsia" w:ascii="方正小标宋简体" w:hAnsi="方正小标宋简体" w:eastAsia="方正小标宋简体" w:cs="方正小标宋简体"/>
          <w:sz w:val="44"/>
          <w:szCs w:val="44"/>
          <w:highlight w:val="none"/>
          <w:lang w:val="en-US" w:eastAsia="zh-CN"/>
        </w:rPr>
        <w:t>2024年部门预算编制说明</w:t>
      </w:r>
    </w:p>
    <w:sdt>
      <w:sdtPr>
        <w:rPr>
          <w:rFonts w:ascii="宋体" w:hAnsi="宋体" w:eastAsia="宋体" w:cs="Times New Roman"/>
          <w:color w:val="auto"/>
          <w:kern w:val="2"/>
          <w:sz w:val="21"/>
          <w:szCs w:val="24"/>
          <w:lang w:val="en-US" w:eastAsia="zh-CN" w:bidi="ar-SA"/>
        </w:rPr>
        <w:id w:val="147453653"/>
        <w15:color w:val="DBDBDB"/>
        <w:docPartObj>
          <w:docPartGallery w:val="Table of Contents"/>
          <w:docPartUnique/>
        </w:docPartObj>
      </w:sdtPr>
      <w:sdtEndPr>
        <w:rPr>
          <w:rFonts w:hint="eastAsia" w:ascii="Calibri" w:hAnsi="Calibri" w:eastAsia="宋体" w:cs="Times New Roman"/>
          <w:b/>
          <w:color w:val="auto"/>
          <w:kern w:val="2"/>
          <w:sz w:val="32"/>
          <w:szCs w:val="24"/>
          <w:lang w:val="en-US" w:eastAsia="zh-CN" w:bidi="ar-SA"/>
        </w:rPr>
      </w:sdtEndPr>
      <w:sdtContent>
        <w:p>
          <w:pPr>
            <w:pageBreakBefore w:val="0"/>
            <w:kinsoku/>
            <w:wordWrap/>
            <w:overflowPunct/>
            <w:topLinePunct w:val="0"/>
            <w:autoSpaceDE/>
            <w:autoSpaceDN/>
            <w:bidi w:val="0"/>
            <w:adjustRightInd/>
            <w:snapToGrid/>
            <w:spacing w:before="0" w:beforeLines="0" w:after="0" w:afterLines="0" w:line="336" w:lineRule="auto"/>
            <w:ind w:left="0" w:leftChars="0" w:right="0" w:rightChars="0" w:firstLine="0" w:firstLineChars="0"/>
            <w:jc w:val="center"/>
            <w:textAlignment w:val="auto"/>
          </w:pPr>
          <w:r>
            <w:rPr>
              <w:rFonts w:ascii="宋体" w:hAnsi="宋体" w:eastAsia="宋体"/>
              <w:sz w:val="21"/>
            </w:rPr>
            <w:t>目录</w:t>
          </w:r>
        </w:p>
        <w:p>
          <w:pPr>
            <w:pStyle w:val="18"/>
            <w:pageBreakBefore w:val="0"/>
            <w:tabs>
              <w:tab w:val="right" w:leader="dot" w:pos="8845"/>
            </w:tabs>
            <w:kinsoku/>
            <w:wordWrap/>
            <w:overflowPunct/>
            <w:topLinePunct w:val="0"/>
            <w:autoSpaceDE/>
            <w:autoSpaceDN/>
            <w:bidi w:val="0"/>
            <w:adjustRightInd/>
            <w:snapToGrid/>
            <w:spacing w:line="336" w:lineRule="auto"/>
            <w:textAlignment w:val="auto"/>
            <w:rPr>
              <w:b/>
            </w:rPr>
          </w:pPr>
          <w:r>
            <w:rPr>
              <w:rFonts w:hint="eastAsia"/>
              <w:lang w:val="en-US" w:eastAsia="zh-CN"/>
            </w:rPr>
            <w:fldChar w:fldCharType="begin"/>
          </w:r>
          <w:r>
            <w:rPr>
              <w:rFonts w:hint="eastAsia"/>
              <w:lang w:val="en-US" w:eastAsia="zh-CN"/>
            </w:rPr>
            <w:instrText xml:space="preserve">TOC \o "1-2" \h \u </w:instrText>
          </w:r>
          <w:r>
            <w:rPr>
              <w:rFonts w:hint="eastAsia"/>
              <w:lang w:val="en-US" w:eastAsia="zh-CN"/>
            </w:rPr>
            <w:fldChar w:fldCharType="separate"/>
          </w:r>
          <w:r>
            <w:rPr>
              <w:rFonts w:hint="eastAsia"/>
              <w:b/>
              <w:lang w:val="en-US" w:eastAsia="zh-CN"/>
            </w:rPr>
            <w:fldChar w:fldCharType="begin"/>
          </w:r>
          <w:r>
            <w:rPr>
              <w:rFonts w:hint="eastAsia"/>
              <w:b/>
              <w:lang w:val="en-US" w:eastAsia="zh-CN"/>
            </w:rPr>
            <w:instrText xml:space="preserve"> HYPERLINK \l _Toc26465 </w:instrText>
          </w:r>
          <w:r>
            <w:rPr>
              <w:rFonts w:hint="eastAsia"/>
              <w:b/>
              <w:lang w:val="en-US" w:eastAsia="zh-CN"/>
            </w:rPr>
            <w:fldChar w:fldCharType="separate"/>
          </w:r>
          <w:r>
            <w:rPr>
              <w:rFonts w:hint="eastAsia" w:ascii="黑体" w:hAnsi="黑体" w:eastAsia="黑体" w:cs="黑体"/>
              <w:b/>
              <w:szCs w:val="32"/>
              <w:highlight w:val="none"/>
              <w:lang w:val="en-US" w:eastAsia="zh-CN"/>
            </w:rPr>
            <w:t>一、基本职能及主要工作</w:t>
          </w:r>
          <w:r>
            <w:rPr>
              <w:b/>
            </w:rPr>
            <w:tab/>
          </w:r>
          <w:r>
            <w:rPr>
              <w:b/>
            </w:rPr>
            <w:fldChar w:fldCharType="begin"/>
          </w:r>
          <w:r>
            <w:rPr>
              <w:b/>
            </w:rPr>
            <w:instrText xml:space="preserve"> PAGEREF _Toc26465 \h </w:instrText>
          </w:r>
          <w:r>
            <w:rPr>
              <w:b/>
            </w:rPr>
            <w:fldChar w:fldCharType="separate"/>
          </w:r>
          <w:r>
            <w:rPr>
              <w:b/>
            </w:rPr>
            <w:t>1</w:t>
          </w:r>
          <w:r>
            <w:rPr>
              <w:b/>
            </w:rPr>
            <w:fldChar w:fldCharType="end"/>
          </w:r>
          <w:r>
            <w:rPr>
              <w:rFonts w:hint="eastAsia"/>
              <w:b/>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336" w:lineRule="auto"/>
            <w:textAlignment w:val="auto"/>
          </w:pPr>
          <w:r>
            <w:rPr>
              <w:rFonts w:hint="eastAsia"/>
              <w:lang w:val="en-US" w:eastAsia="zh-CN"/>
            </w:rPr>
            <w:fldChar w:fldCharType="begin"/>
          </w:r>
          <w:r>
            <w:rPr>
              <w:rFonts w:hint="eastAsia"/>
              <w:lang w:val="en-US" w:eastAsia="zh-CN"/>
            </w:rPr>
            <w:instrText xml:space="preserve"> HYPERLINK \l _Toc29986 </w:instrText>
          </w:r>
          <w:r>
            <w:rPr>
              <w:rFonts w:hint="eastAsia"/>
              <w:lang w:val="en-US" w:eastAsia="zh-CN"/>
            </w:rPr>
            <w:fldChar w:fldCharType="separate"/>
          </w:r>
          <w:r>
            <w:rPr>
              <w:rFonts w:hint="eastAsia" w:ascii="楷体_GB2312" w:hAnsi="Times New Roman" w:eastAsia="楷体_GB2312" w:cs="Times New Roman"/>
              <w:bCs/>
              <w:kern w:val="0"/>
              <w:szCs w:val="32"/>
              <w:highlight w:val="none"/>
            </w:rPr>
            <w:t>（一）广元市卫生健康委员会职能简介</w:t>
          </w:r>
          <w:r>
            <w:tab/>
          </w:r>
          <w:r>
            <w:fldChar w:fldCharType="begin"/>
          </w:r>
          <w:r>
            <w:instrText xml:space="preserve"> PAGEREF _Toc29986 \h </w:instrText>
          </w:r>
          <w:r>
            <w:fldChar w:fldCharType="separate"/>
          </w:r>
          <w:r>
            <w:t>1</w:t>
          </w:r>
          <w:r>
            <w:fldChar w:fldCharType="end"/>
          </w:r>
          <w:r>
            <w:rPr>
              <w:rFonts w:hint="eastAsia"/>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336" w:lineRule="auto"/>
            <w:textAlignment w:val="auto"/>
          </w:pPr>
          <w:r>
            <w:rPr>
              <w:rFonts w:hint="eastAsia"/>
              <w:lang w:val="en-US" w:eastAsia="zh-CN"/>
            </w:rPr>
            <w:fldChar w:fldCharType="begin"/>
          </w:r>
          <w:r>
            <w:rPr>
              <w:rFonts w:hint="eastAsia"/>
              <w:lang w:val="en-US" w:eastAsia="zh-CN"/>
            </w:rPr>
            <w:instrText xml:space="preserve"> HYPERLINK \l _Toc32533 </w:instrText>
          </w:r>
          <w:r>
            <w:rPr>
              <w:rFonts w:hint="eastAsia"/>
              <w:lang w:val="en-US" w:eastAsia="zh-CN"/>
            </w:rPr>
            <w:fldChar w:fldCharType="separate"/>
          </w:r>
          <w:r>
            <w:rPr>
              <w:rFonts w:hint="eastAsia" w:ascii="楷体_GB2312" w:hAnsi="Times New Roman" w:eastAsia="楷体_GB2312" w:cs="Times New Roman"/>
              <w:bCs/>
              <w:kern w:val="0"/>
              <w:szCs w:val="32"/>
              <w:highlight w:val="none"/>
            </w:rPr>
            <w:t>（二）广元市卫生健康委员会</w:t>
          </w:r>
          <w:r>
            <w:rPr>
              <w:rFonts w:hint="eastAsia" w:ascii="楷体_GB2312" w:hAnsi="Times New Roman" w:eastAsia="楷体_GB2312" w:cs="Times New Roman"/>
              <w:bCs/>
              <w:kern w:val="0"/>
              <w:szCs w:val="32"/>
              <w:highlight w:val="none"/>
              <w:lang w:val="en-US"/>
            </w:rPr>
            <w:t>2024</w:t>
          </w:r>
          <w:r>
            <w:rPr>
              <w:rFonts w:hint="eastAsia" w:ascii="楷体_GB2312" w:hAnsi="Times New Roman" w:eastAsia="楷体_GB2312" w:cs="Times New Roman"/>
              <w:bCs/>
              <w:kern w:val="0"/>
              <w:szCs w:val="32"/>
              <w:highlight w:val="none"/>
            </w:rPr>
            <w:t>年重点工作</w:t>
          </w:r>
          <w:r>
            <w:tab/>
          </w:r>
          <w:r>
            <w:fldChar w:fldCharType="begin"/>
          </w:r>
          <w:r>
            <w:instrText xml:space="preserve"> PAGEREF _Toc32533 \h </w:instrText>
          </w:r>
          <w:r>
            <w:fldChar w:fldCharType="separate"/>
          </w:r>
          <w:r>
            <w:t>4</w:t>
          </w:r>
          <w:r>
            <w:fldChar w:fldCharType="end"/>
          </w:r>
          <w:r>
            <w:rPr>
              <w:rFonts w:hint="eastAsia"/>
              <w:lang w:val="en-US" w:eastAsia="zh-CN"/>
            </w:rPr>
            <w:fldChar w:fldCharType="end"/>
          </w:r>
        </w:p>
        <w:p>
          <w:pPr>
            <w:pStyle w:val="18"/>
            <w:pageBreakBefore w:val="0"/>
            <w:tabs>
              <w:tab w:val="right" w:leader="dot" w:pos="8845"/>
            </w:tabs>
            <w:kinsoku/>
            <w:wordWrap/>
            <w:overflowPunct/>
            <w:topLinePunct w:val="0"/>
            <w:autoSpaceDE/>
            <w:autoSpaceDN/>
            <w:bidi w:val="0"/>
            <w:adjustRightInd/>
            <w:snapToGrid/>
            <w:spacing w:line="336" w:lineRule="auto"/>
            <w:textAlignment w:val="auto"/>
            <w:rPr>
              <w:b/>
            </w:rPr>
          </w:pPr>
          <w:r>
            <w:rPr>
              <w:rFonts w:hint="eastAsia"/>
              <w:b/>
              <w:lang w:val="en-US" w:eastAsia="zh-CN"/>
            </w:rPr>
            <w:fldChar w:fldCharType="begin"/>
          </w:r>
          <w:r>
            <w:rPr>
              <w:rFonts w:hint="eastAsia"/>
              <w:b/>
              <w:lang w:val="en-US" w:eastAsia="zh-CN"/>
            </w:rPr>
            <w:instrText xml:space="preserve"> HYPERLINK \l _Toc11461 </w:instrText>
          </w:r>
          <w:r>
            <w:rPr>
              <w:rFonts w:hint="eastAsia"/>
              <w:b/>
              <w:lang w:val="en-US" w:eastAsia="zh-CN"/>
            </w:rPr>
            <w:fldChar w:fldCharType="separate"/>
          </w:r>
          <w:r>
            <w:rPr>
              <w:rFonts w:hint="eastAsia" w:ascii="黑体" w:hAnsi="黑体" w:eastAsia="黑体" w:cs="黑体"/>
              <w:b/>
              <w:szCs w:val="32"/>
              <w:highlight w:val="none"/>
              <w:lang w:val="en-US" w:eastAsia="zh-CN"/>
            </w:rPr>
            <w:t>二、部门预算单位构成</w:t>
          </w:r>
          <w:r>
            <w:rPr>
              <w:b/>
            </w:rPr>
            <w:tab/>
          </w:r>
          <w:r>
            <w:rPr>
              <w:b/>
            </w:rPr>
            <w:fldChar w:fldCharType="begin"/>
          </w:r>
          <w:r>
            <w:rPr>
              <w:b/>
            </w:rPr>
            <w:instrText xml:space="preserve"> PAGEREF _Toc11461 \h </w:instrText>
          </w:r>
          <w:r>
            <w:rPr>
              <w:b/>
            </w:rPr>
            <w:fldChar w:fldCharType="separate"/>
          </w:r>
          <w:r>
            <w:rPr>
              <w:b/>
            </w:rPr>
            <w:t>6</w:t>
          </w:r>
          <w:r>
            <w:rPr>
              <w:b/>
            </w:rPr>
            <w:fldChar w:fldCharType="end"/>
          </w:r>
          <w:r>
            <w:rPr>
              <w:rFonts w:hint="eastAsia"/>
              <w:b/>
              <w:lang w:val="en-US" w:eastAsia="zh-CN"/>
            </w:rPr>
            <w:fldChar w:fldCharType="end"/>
          </w:r>
        </w:p>
        <w:p>
          <w:pPr>
            <w:pStyle w:val="18"/>
            <w:pageBreakBefore w:val="0"/>
            <w:tabs>
              <w:tab w:val="right" w:leader="dot" w:pos="8845"/>
            </w:tabs>
            <w:kinsoku/>
            <w:wordWrap/>
            <w:overflowPunct/>
            <w:topLinePunct w:val="0"/>
            <w:autoSpaceDE/>
            <w:autoSpaceDN/>
            <w:bidi w:val="0"/>
            <w:adjustRightInd/>
            <w:snapToGrid/>
            <w:spacing w:line="336" w:lineRule="auto"/>
            <w:textAlignment w:val="auto"/>
            <w:rPr>
              <w:b/>
            </w:rPr>
          </w:pPr>
          <w:r>
            <w:rPr>
              <w:rFonts w:hint="eastAsia"/>
              <w:b/>
              <w:lang w:val="en-US" w:eastAsia="zh-CN"/>
            </w:rPr>
            <w:fldChar w:fldCharType="begin"/>
          </w:r>
          <w:r>
            <w:rPr>
              <w:rFonts w:hint="eastAsia"/>
              <w:b/>
              <w:lang w:val="en-US" w:eastAsia="zh-CN"/>
            </w:rPr>
            <w:instrText xml:space="preserve"> HYPERLINK \l _Toc20874 </w:instrText>
          </w:r>
          <w:r>
            <w:rPr>
              <w:rFonts w:hint="eastAsia"/>
              <w:b/>
              <w:lang w:val="en-US" w:eastAsia="zh-CN"/>
            </w:rPr>
            <w:fldChar w:fldCharType="separate"/>
          </w:r>
          <w:r>
            <w:rPr>
              <w:rFonts w:hint="eastAsia" w:ascii="黑体" w:hAnsi="黑体" w:eastAsia="黑体" w:cs="黑体"/>
              <w:b/>
              <w:szCs w:val="32"/>
              <w:highlight w:val="none"/>
              <w:lang w:val="en-US" w:eastAsia="zh-CN"/>
            </w:rPr>
            <w:t>三、收支预算情况说明</w:t>
          </w:r>
          <w:r>
            <w:rPr>
              <w:b/>
            </w:rPr>
            <w:tab/>
          </w:r>
          <w:r>
            <w:rPr>
              <w:b/>
            </w:rPr>
            <w:fldChar w:fldCharType="begin"/>
          </w:r>
          <w:r>
            <w:rPr>
              <w:b/>
            </w:rPr>
            <w:instrText xml:space="preserve"> PAGEREF _Toc20874 \h </w:instrText>
          </w:r>
          <w:r>
            <w:rPr>
              <w:b/>
            </w:rPr>
            <w:fldChar w:fldCharType="separate"/>
          </w:r>
          <w:r>
            <w:rPr>
              <w:b/>
            </w:rPr>
            <w:t>7</w:t>
          </w:r>
          <w:r>
            <w:rPr>
              <w:b/>
            </w:rPr>
            <w:fldChar w:fldCharType="end"/>
          </w:r>
          <w:r>
            <w:rPr>
              <w:rFonts w:hint="eastAsia"/>
              <w:b/>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336" w:lineRule="auto"/>
            <w:textAlignment w:val="auto"/>
          </w:pPr>
          <w:r>
            <w:rPr>
              <w:rFonts w:hint="eastAsia"/>
              <w:lang w:val="en-US" w:eastAsia="zh-CN"/>
            </w:rPr>
            <w:fldChar w:fldCharType="begin"/>
          </w:r>
          <w:r>
            <w:rPr>
              <w:rFonts w:hint="eastAsia"/>
              <w:lang w:val="en-US" w:eastAsia="zh-CN"/>
            </w:rPr>
            <w:instrText xml:space="preserve"> HYPERLINK \l _Toc26735 </w:instrText>
          </w:r>
          <w:r>
            <w:rPr>
              <w:rFonts w:hint="eastAsia"/>
              <w:lang w:val="en-US" w:eastAsia="zh-CN"/>
            </w:rPr>
            <w:fldChar w:fldCharType="separate"/>
          </w:r>
          <w:r>
            <w:rPr>
              <w:rFonts w:hint="eastAsia" w:ascii="楷体_GB2312" w:hAnsi="Times New Roman" w:eastAsia="楷体_GB2312" w:cs="Times New Roman"/>
              <w:bCs/>
              <w:kern w:val="0"/>
              <w:szCs w:val="32"/>
              <w:highlight w:val="none"/>
              <w:lang w:val="en-US" w:eastAsia="zh-CN"/>
            </w:rPr>
            <w:t>（一）收入预算情况</w:t>
          </w:r>
          <w:r>
            <w:tab/>
          </w:r>
          <w:r>
            <w:fldChar w:fldCharType="begin"/>
          </w:r>
          <w:r>
            <w:instrText xml:space="preserve"> PAGEREF _Toc26735 \h </w:instrText>
          </w:r>
          <w:r>
            <w:fldChar w:fldCharType="separate"/>
          </w:r>
          <w:r>
            <w:t>7</w:t>
          </w:r>
          <w:r>
            <w:fldChar w:fldCharType="end"/>
          </w:r>
          <w:r>
            <w:rPr>
              <w:rFonts w:hint="eastAsia"/>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336" w:lineRule="auto"/>
            <w:textAlignment w:val="auto"/>
          </w:pPr>
          <w:r>
            <w:rPr>
              <w:rFonts w:hint="eastAsia"/>
              <w:lang w:val="en-US" w:eastAsia="zh-CN"/>
            </w:rPr>
            <w:fldChar w:fldCharType="begin"/>
          </w:r>
          <w:r>
            <w:rPr>
              <w:rFonts w:hint="eastAsia"/>
              <w:lang w:val="en-US" w:eastAsia="zh-CN"/>
            </w:rPr>
            <w:instrText xml:space="preserve"> HYPERLINK \l _Toc10258 </w:instrText>
          </w:r>
          <w:r>
            <w:rPr>
              <w:rFonts w:hint="eastAsia"/>
              <w:lang w:val="en-US" w:eastAsia="zh-CN"/>
            </w:rPr>
            <w:fldChar w:fldCharType="separate"/>
          </w:r>
          <w:r>
            <w:rPr>
              <w:rFonts w:hint="eastAsia" w:ascii="楷体_GB2312" w:hAnsi="Times New Roman" w:eastAsia="楷体_GB2312" w:cs="Times New Roman"/>
              <w:bCs/>
              <w:kern w:val="0"/>
              <w:szCs w:val="32"/>
              <w:highlight w:val="none"/>
              <w:lang w:val="en-US" w:eastAsia="zh-CN"/>
            </w:rPr>
            <w:t>（二）支出预算情况</w:t>
          </w:r>
          <w:r>
            <w:tab/>
          </w:r>
          <w:r>
            <w:fldChar w:fldCharType="begin"/>
          </w:r>
          <w:r>
            <w:instrText xml:space="preserve"> PAGEREF _Toc10258 \h </w:instrText>
          </w:r>
          <w:r>
            <w:fldChar w:fldCharType="separate"/>
          </w:r>
          <w:r>
            <w:t>7</w:t>
          </w:r>
          <w:r>
            <w:fldChar w:fldCharType="end"/>
          </w:r>
          <w:r>
            <w:rPr>
              <w:rFonts w:hint="eastAsia"/>
              <w:lang w:val="en-US" w:eastAsia="zh-CN"/>
            </w:rPr>
            <w:fldChar w:fldCharType="end"/>
          </w:r>
        </w:p>
        <w:p>
          <w:pPr>
            <w:pStyle w:val="18"/>
            <w:pageBreakBefore w:val="0"/>
            <w:tabs>
              <w:tab w:val="right" w:leader="dot" w:pos="8845"/>
            </w:tabs>
            <w:kinsoku/>
            <w:wordWrap/>
            <w:overflowPunct/>
            <w:topLinePunct w:val="0"/>
            <w:autoSpaceDE/>
            <w:autoSpaceDN/>
            <w:bidi w:val="0"/>
            <w:adjustRightInd/>
            <w:snapToGrid/>
            <w:spacing w:line="336" w:lineRule="auto"/>
            <w:textAlignment w:val="auto"/>
            <w:rPr>
              <w:b/>
            </w:rPr>
          </w:pPr>
          <w:r>
            <w:rPr>
              <w:rFonts w:hint="eastAsia"/>
              <w:b/>
              <w:lang w:val="en-US" w:eastAsia="zh-CN"/>
            </w:rPr>
            <w:fldChar w:fldCharType="begin"/>
          </w:r>
          <w:r>
            <w:rPr>
              <w:rFonts w:hint="eastAsia"/>
              <w:b/>
              <w:lang w:val="en-US" w:eastAsia="zh-CN"/>
            </w:rPr>
            <w:instrText xml:space="preserve"> HYPERLINK \l _Toc24672 </w:instrText>
          </w:r>
          <w:r>
            <w:rPr>
              <w:rFonts w:hint="eastAsia"/>
              <w:b/>
              <w:lang w:val="en-US" w:eastAsia="zh-CN"/>
            </w:rPr>
            <w:fldChar w:fldCharType="separate"/>
          </w:r>
          <w:r>
            <w:rPr>
              <w:rFonts w:hint="eastAsia" w:ascii="黑体" w:hAnsi="黑体" w:eastAsia="黑体" w:cs="黑体"/>
              <w:b/>
              <w:szCs w:val="32"/>
              <w:highlight w:val="none"/>
              <w:lang w:val="en-US" w:eastAsia="zh-CN"/>
            </w:rPr>
            <w:t>四、财政拨款收支预算情况说明</w:t>
          </w:r>
          <w:r>
            <w:rPr>
              <w:b/>
            </w:rPr>
            <w:tab/>
          </w:r>
          <w:r>
            <w:rPr>
              <w:b/>
            </w:rPr>
            <w:fldChar w:fldCharType="begin"/>
          </w:r>
          <w:r>
            <w:rPr>
              <w:b/>
            </w:rPr>
            <w:instrText xml:space="preserve"> PAGEREF _Toc24672 \h </w:instrText>
          </w:r>
          <w:r>
            <w:rPr>
              <w:b/>
            </w:rPr>
            <w:fldChar w:fldCharType="separate"/>
          </w:r>
          <w:r>
            <w:rPr>
              <w:b/>
            </w:rPr>
            <w:t>8</w:t>
          </w:r>
          <w:r>
            <w:rPr>
              <w:b/>
            </w:rPr>
            <w:fldChar w:fldCharType="end"/>
          </w:r>
          <w:r>
            <w:rPr>
              <w:rFonts w:hint="eastAsia"/>
              <w:b/>
              <w:lang w:val="en-US" w:eastAsia="zh-CN"/>
            </w:rPr>
            <w:fldChar w:fldCharType="end"/>
          </w:r>
        </w:p>
        <w:p>
          <w:pPr>
            <w:pStyle w:val="18"/>
            <w:pageBreakBefore w:val="0"/>
            <w:tabs>
              <w:tab w:val="right" w:leader="dot" w:pos="8845"/>
            </w:tabs>
            <w:kinsoku/>
            <w:wordWrap/>
            <w:overflowPunct/>
            <w:topLinePunct w:val="0"/>
            <w:autoSpaceDE/>
            <w:autoSpaceDN/>
            <w:bidi w:val="0"/>
            <w:adjustRightInd/>
            <w:snapToGrid/>
            <w:spacing w:line="336" w:lineRule="auto"/>
            <w:textAlignment w:val="auto"/>
            <w:rPr>
              <w:b/>
            </w:rPr>
          </w:pPr>
          <w:r>
            <w:rPr>
              <w:rFonts w:hint="eastAsia"/>
              <w:b/>
              <w:lang w:val="en-US" w:eastAsia="zh-CN"/>
            </w:rPr>
            <w:fldChar w:fldCharType="begin"/>
          </w:r>
          <w:r>
            <w:rPr>
              <w:rFonts w:hint="eastAsia"/>
              <w:b/>
              <w:lang w:val="en-US" w:eastAsia="zh-CN"/>
            </w:rPr>
            <w:instrText xml:space="preserve"> HYPERLINK \l _Toc1348 </w:instrText>
          </w:r>
          <w:r>
            <w:rPr>
              <w:rFonts w:hint="eastAsia"/>
              <w:b/>
              <w:lang w:val="en-US" w:eastAsia="zh-CN"/>
            </w:rPr>
            <w:fldChar w:fldCharType="separate"/>
          </w:r>
          <w:r>
            <w:rPr>
              <w:rFonts w:hint="eastAsia" w:ascii="黑体" w:hAnsi="黑体" w:eastAsia="黑体" w:cs="黑体"/>
              <w:b/>
              <w:szCs w:val="32"/>
              <w:highlight w:val="none"/>
              <w:lang w:val="en-US" w:eastAsia="zh-CN"/>
            </w:rPr>
            <w:t>五、一般公共预算当年拨款情况说明</w:t>
          </w:r>
          <w:r>
            <w:rPr>
              <w:b/>
            </w:rPr>
            <w:tab/>
          </w:r>
          <w:r>
            <w:rPr>
              <w:b/>
            </w:rPr>
            <w:fldChar w:fldCharType="begin"/>
          </w:r>
          <w:r>
            <w:rPr>
              <w:b/>
            </w:rPr>
            <w:instrText xml:space="preserve"> PAGEREF _Toc1348 \h </w:instrText>
          </w:r>
          <w:r>
            <w:rPr>
              <w:b/>
            </w:rPr>
            <w:fldChar w:fldCharType="separate"/>
          </w:r>
          <w:r>
            <w:rPr>
              <w:b/>
            </w:rPr>
            <w:t>8</w:t>
          </w:r>
          <w:r>
            <w:rPr>
              <w:b/>
            </w:rPr>
            <w:fldChar w:fldCharType="end"/>
          </w:r>
          <w:r>
            <w:rPr>
              <w:rFonts w:hint="eastAsia"/>
              <w:b/>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336" w:lineRule="auto"/>
            <w:textAlignment w:val="auto"/>
          </w:pPr>
          <w:r>
            <w:rPr>
              <w:rFonts w:hint="eastAsia"/>
              <w:lang w:val="en-US" w:eastAsia="zh-CN"/>
            </w:rPr>
            <w:fldChar w:fldCharType="begin"/>
          </w:r>
          <w:r>
            <w:rPr>
              <w:rFonts w:hint="eastAsia"/>
              <w:lang w:val="en-US" w:eastAsia="zh-CN"/>
            </w:rPr>
            <w:instrText xml:space="preserve"> HYPERLINK \l _Toc21215 </w:instrText>
          </w:r>
          <w:r>
            <w:rPr>
              <w:rFonts w:hint="eastAsia"/>
              <w:lang w:val="en-US" w:eastAsia="zh-CN"/>
            </w:rPr>
            <w:fldChar w:fldCharType="separate"/>
          </w:r>
          <w:r>
            <w:rPr>
              <w:rFonts w:hint="eastAsia" w:ascii="楷体_GB2312" w:hAnsi="Times New Roman" w:eastAsia="楷体_GB2312" w:cs="Times New Roman"/>
              <w:bCs/>
              <w:kern w:val="0"/>
              <w:szCs w:val="32"/>
              <w:highlight w:val="none"/>
              <w:lang w:val="en-US" w:eastAsia="zh-CN"/>
            </w:rPr>
            <w:t>（一）一般公共预算当年拨款规模变化情况</w:t>
          </w:r>
          <w:r>
            <w:tab/>
          </w:r>
          <w:r>
            <w:fldChar w:fldCharType="begin"/>
          </w:r>
          <w:r>
            <w:instrText xml:space="preserve"> PAGEREF _Toc21215 \h </w:instrText>
          </w:r>
          <w:r>
            <w:fldChar w:fldCharType="separate"/>
          </w:r>
          <w:r>
            <w:t>8</w:t>
          </w:r>
          <w:r>
            <w:fldChar w:fldCharType="end"/>
          </w:r>
          <w:r>
            <w:rPr>
              <w:rFonts w:hint="eastAsia"/>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336" w:lineRule="auto"/>
            <w:textAlignment w:val="auto"/>
          </w:pPr>
          <w:r>
            <w:rPr>
              <w:rFonts w:hint="eastAsia"/>
              <w:lang w:val="en-US" w:eastAsia="zh-CN"/>
            </w:rPr>
            <w:fldChar w:fldCharType="begin"/>
          </w:r>
          <w:r>
            <w:rPr>
              <w:rFonts w:hint="eastAsia"/>
              <w:lang w:val="en-US" w:eastAsia="zh-CN"/>
            </w:rPr>
            <w:instrText xml:space="preserve"> HYPERLINK \l _Toc1065 </w:instrText>
          </w:r>
          <w:r>
            <w:rPr>
              <w:rFonts w:hint="eastAsia"/>
              <w:lang w:val="en-US" w:eastAsia="zh-CN"/>
            </w:rPr>
            <w:fldChar w:fldCharType="separate"/>
          </w:r>
          <w:r>
            <w:rPr>
              <w:rFonts w:hint="eastAsia" w:ascii="楷体_GB2312" w:hAnsi="Times New Roman" w:eastAsia="楷体_GB2312" w:cs="Times New Roman"/>
              <w:bCs/>
              <w:kern w:val="0"/>
              <w:szCs w:val="32"/>
              <w:highlight w:val="none"/>
              <w:lang w:val="en-US" w:eastAsia="zh-CN"/>
            </w:rPr>
            <w:t>（二）一般公共预算当年拨款结构情况</w:t>
          </w:r>
          <w:r>
            <w:tab/>
          </w:r>
          <w:r>
            <w:fldChar w:fldCharType="begin"/>
          </w:r>
          <w:r>
            <w:instrText xml:space="preserve"> PAGEREF _Toc1065 \h </w:instrText>
          </w:r>
          <w:r>
            <w:fldChar w:fldCharType="separate"/>
          </w:r>
          <w:r>
            <w:t>8</w:t>
          </w:r>
          <w:r>
            <w:fldChar w:fldCharType="end"/>
          </w:r>
          <w:r>
            <w:rPr>
              <w:rFonts w:hint="eastAsia"/>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336" w:lineRule="auto"/>
            <w:textAlignment w:val="auto"/>
          </w:pPr>
          <w:r>
            <w:rPr>
              <w:rFonts w:hint="eastAsia"/>
              <w:lang w:val="en-US" w:eastAsia="zh-CN"/>
            </w:rPr>
            <w:fldChar w:fldCharType="begin"/>
          </w:r>
          <w:r>
            <w:rPr>
              <w:rFonts w:hint="eastAsia"/>
              <w:lang w:val="en-US" w:eastAsia="zh-CN"/>
            </w:rPr>
            <w:instrText xml:space="preserve"> HYPERLINK \l _Toc29993 </w:instrText>
          </w:r>
          <w:r>
            <w:rPr>
              <w:rFonts w:hint="eastAsia"/>
              <w:lang w:val="en-US" w:eastAsia="zh-CN"/>
            </w:rPr>
            <w:fldChar w:fldCharType="separate"/>
          </w:r>
          <w:r>
            <w:rPr>
              <w:rFonts w:hint="eastAsia" w:ascii="楷体_GB2312" w:hAnsi="Times New Roman" w:eastAsia="楷体_GB2312" w:cs="Times New Roman"/>
              <w:bCs/>
              <w:kern w:val="0"/>
              <w:szCs w:val="32"/>
              <w:highlight w:val="none"/>
              <w:lang w:val="en-US" w:eastAsia="zh-CN"/>
            </w:rPr>
            <w:t>（三）一般公共预算当年拨款具体使用情况</w:t>
          </w:r>
          <w:r>
            <w:tab/>
          </w:r>
          <w:r>
            <w:fldChar w:fldCharType="begin"/>
          </w:r>
          <w:r>
            <w:instrText xml:space="preserve"> PAGEREF _Toc29993 \h </w:instrText>
          </w:r>
          <w:r>
            <w:fldChar w:fldCharType="separate"/>
          </w:r>
          <w:r>
            <w:t>8</w:t>
          </w:r>
          <w:r>
            <w:fldChar w:fldCharType="end"/>
          </w:r>
          <w:r>
            <w:rPr>
              <w:rFonts w:hint="eastAsia"/>
              <w:lang w:val="en-US" w:eastAsia="zh-CN"/>
            </w:rPr>
            <w:fldChar w:fldCharType="end"/>
          </w:r>
        </w:p>
        <w:p>
          <w:pPr>
            <w:pStyle w:val="18"/>
            <w:pageBreakBefore w:val="0"/>
            <w:tabs>
              <w:tab w:val="right" w:leader="dot" w:pos="8845"/>
            </w:tabs>
            <w:kinsoku/>
            <w:wordWrap/>
            <w:overflowPunct/>
            <w:topLinePunct w:val="0"/>
            <w:autoSpaceDE/>
            <w:autoSpaceDN/>
            <w:bidi w:val="0"/>
            <w:adjustRightInd/>
            <w:snapToGrid/>
            <w:spacing w:line="336" w:lineRule="auto"/>
            <w:textAlignment w:val="auto"/>
            <w:rPr>
              <w:b/>
            </w:rPr>
          </w:pPr>
          <w:r>
            <w:rPr>
              <w:rFonts w:hint="eastAsia"/>
              <w:b/>
              <w:lang w:val="en-US" w:eastAsia="zh-CN"/>
            </w:rPr>
            <w:fldChar w:fldCharType="begin"/>
          </w:r>
          <w:r>
            <w:rPr>
              <w:rFonts w:hint="eastAsia"/>
              <w:b/>
              <w:lang w:val="en-US" w:eastAsia="zh-CN"/>
            </w:rPr>
            <w:instrText xml:space="preserve"> HYPERLINK \l _Toc23039 </w:instrText>
          </w:r>
          <w:r>
            <w:rPr>
              <w:rFonts w:hint="eastAsia"/>
              <w:b/>
              <w:lang w:val="en-US" w:eastAsia="zh-CN"/>
            </w:rPr>
            <w:fldChar w:fldCharType="separate"/>
          </w:r>
          <w:r>
            <w:rPr>
              <w:rFonts w:hint="eastAsia" w:ascii="黑体" w:hAnsi="黑体" w:eastAsia="黑体" w:cs="黑体"/>
              <w:b/>
              <w:szCs w:val="32"/>
              <w:highlight w:val="none"/>
              <w:lang w:val="en-US" w:eastAsia="zh-CN"/>
            </w:rPr>
            <w:t>六、一般公共预算基本支出情况说明</w:t>
          </w:r>
          <w:r>
            <w:rPr>
              <w:b/>
            </w:rPr>
            <w:tab/>
          </w:r>
          <w:r>
            <w:rPr>
              <w:b/>
            </w:rPr>
            <w:fldChar w:fldCharType="begin"/>
          </w:r>
          <w:r>
            <w:rPr>
              <w:b/>
            </w:rPr>
            <w:instrText xml:space="preserve"> PAGEREF _Toc23039 \h </w:instrText>
          </w:r>
          <w:r>
            <w:rPr>
              <w:b/>
            </w:rPr>
            <w:fldChar w:fldCharType="separate"/>
          </w:r>
          <w:r>
            <w:rPr>
              <w:b/>
            </w:rPr>
            <w:t>12</w:t>
          </w:r>
          <w:r>
            <w:rPr>
              <w:b/>
            </w:rPr>
            <w:fldChar w:fldCharType="end"/>
          </w:r>
          <w:r>
            <w:rPr>
              <w:rFonts w:hint="eastAsia"/>
              <w:b/>
              <w:lang w:val="en-US" w:eastAsia="zh-CN"/>
            </w:rPr>
            <w:fldChar w:fldCharType="end"/>
          </w:r>
        </w:p>
        <w:p>
          <w:pPr>
            <w:pStyle w:val="18"/>
            <w:pageBreakBefore w:val="0"/>
            <w:tabs>
              <w:tab w:val="right" w:leader="dot" w:pos="8845"/>
            </w:tabs>
            <w:kinsoku/>
            <w:wordWrap/>
            <w:overflowPunct/>
            <w:topLinePunct w:val="0"/>
            <w:autoSpaceDE/>
            <w:autoSpaceDN/>
            <w:bidi w:val="0"/>
            <w:adjustRightInd/>
            <w:snapToGrid/>
            <w:spacing w:line="336" w:lineRule="auto"/>
            <w:textAlignment w:val="auto"/>
            <w:rPr>
              <w:b/>
            </w:rPr>
          </w:pPr>
          <w:r>
            <w:rPr>
              <w:rFonts w:hint="eastAsia"/>
              <w:b/>
              <w:lang w:val="en-US" w:eastAsia="zh-CN"/>
            </w:rPr>
            <w:fldChar w:fldCharType="begin"/>
          </w:r>
          <w:r>
            <w:rPr>
              <w:rFonts w:hint="eastAsia"/>
              <w:b/>
              <w:lang w:val="en-US" w:eastAsia="zh-CN"/>
            </w:rPr>
            <w:instrText xml:space="preserve"> HYPERLINK \l _Toc28850 </w:instrText>
          </w:r>
          <w:r>
            <w:rPr>
              <w:rFonts w:hint="eastAsia"/>
              <w:b/>
              <w:lang w:val="en-US" w:eastAsia="zh-CN"/>
            </w:rPr>
            <w:fldChar w:fldCharType="separate"/>
          </w:r>
          <w:r>
            <w:rPr>
              <w:rFonts w:hint="eastAsia" w:ascii="黑体" w:hAnsi="黑体" w:eastAsia="黑体" w:cs="黑体"/>
              <w:b/>
              <w:szCs w:val="32"/>
              <w:highlight w:val="none"/>
              <w:lang w:val="en-US" w:eastAsia="zh-CN"/>
            </w:rPr>
            <w:t>七、“三公”经费财政拨款预算安排情况说明</w:t>
          </w:r>
          <w:r>
            <w:rPr>
              <w:b/>
            </w:rPr>
            <w:tab/>
          </w:r>
          <w:r>
            <w:rPr>
              <w:b/>
            </w:rPr>
            <w:fldChar w:fldCharType="begin"/>
          </w:r>
          <w:r>
            <w:rPr>
              <w:b/>
            </w:rPr>
            <w:instrText xml:space="preserve"> PAGEREF _Toc28850 \h </w:instrText>
          </w:r>
          <w:r>
            <w:rPr>
              <w:b/>
            </w:rPr>
            <w:fldChar w:fldCharType="separate"/>
          </w:r>
          <w:r>
            <w:rPr>
              <w:b/>
            </w:rPr>
            <w:t>12</w:t>
          </w:r>
          <w:r>
            <w:rPr>
              <w:b/>
            </w:rPr>
            <w:fldChar w:fldCharType="end"/>
          </w:r>
          <w:r>
            <w:rPr>
              <w:rFonts w:hint="eastAsia"/>
              <w:b/>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336" w:lineRule="auto"/>
            <w:textAlignment w:val="auto"/>
          </w:pPr>
          <w:r>
            <w:rPr>
              <w:rFonts w:hint="eastAsia"/>
              <w:lang w:val="en-US" w:eastAsia="zh-CN"/>
            </w:rPr>
            <w:fldChar w:fldCharType="begin"/>
          </w:r>
          <w:r>
            <w:rPr>
              <w:rFonts w:hint="eastAsia"/>
              <w:lang w:val="en-US" w:eastAsia="zh-CN"/>
            </w:rPr>
            <w:instrText xml:space="preserve"> HYPERLINK \l _Toc22246 </w:instrText>
          </w:r>
          <w:r>
            <w:rPr>
              <w:rFonts w:hint="eastAsia"/>
              <w:lang w:val="en-US" w:eastAsia="zh-CN"/>
            </w:rPr>
            <w:fldChar w:fldCharType="separate"/>
          </w:r>
          <w:r>
            <w:rPr>
              <w:rFonts w:hint="eastAsia" w:ascii="楷体_GB2312" w:hAnsi="楷体_GB2312" w:eastAsia="楷体_GB2312" w:cs="楷体_GB2312"/>
              <w:szCs w:val="32"/>
              <w:highlight w:val="none"/>
              <w:lang w:val="en-US" w:eastAsia="zh-CN"/>
            </w:rPr>
            <w:t>（一）公务接待费</w:t>
          </w:r>
          <w:r>
            <w:tab/>
          </w:r>
          <w:r>
            <w:fldChar w:fldCharType="begin"/>
          </w:r>
          <w:r>
            <w:instrText xml:space="preserve"> PAGEREF _Toc22246 \h </w:instrText>
          </w:r>
          <w:r>
            <w:fldChar w:fldCharType="separate"/>
          </w:r>
          <w:r>
            <w:t>13</w:t>
          </w:r>
          <w:r>
            <w:fldChar w:fldCharType="end"/>
          </w:r>
          <w:r>
            <w:rPr>
              <w:rFonts w:hint="eastAsia"/>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336" w:lineRule="auto"/>
            <w:textAlignment w:val="auto"/>
          </w:pPr>
          <w:r>
            <w:rPr>
              <w:rFonts w:hint="eastAsia"/>
              <w:lang w:val="en-US" w:eastAsia="zh-CN"/>
            </w:rPr>
            <w:fldChar w:fldCharType="begin"/>
          </w:r>
          <w:r>
            <w:rPr>
              <w:rFonts w:hint="eastAsia"/>
              <w:lang w:val="en-US" w:eastAsia="zh-CN"/>
            </w:rPr>
            <w:instrText xml:space="preserve"> HYPERLINK \l _Toc30607 </w:instrText>
          </w:r>
          <w:r>
            <w:rPr>
              <w:rFonts w:hint="eastAsia"/>
              <w:lang w:val="en-US" w:eastAsia="zh-CN"/>
            </w:rPr>
            <w:fldChar w:fldCharType="separate"/>
          </w:r>
          <w:r>
            <w:rPr>
              <w:rFonts w:hint="eastAsia" w:ascii="楷体_GB2312" w:hAnsi="楷体_GB2312" w:eastAsia="楷体_GB2312" w:cs="楷体_GB2312"/>
              <w:szCs w:val="32"/>
              <w:lang w:val="en-US" w:eastAsia="zh-CN"/>
            </w:rPr>
            <w:t xml:space="preserve">（二） </w:t>
          </w:r>
          <w:r>
            <w:rPr>
              <w:rFonts w:hint="eastAsia" w:ascii="楷体_GB2312" w:hAnsi="楷体_GB2312" w:eastAsia="楷体_GB2312" w:cs="楷体_GB2312"/>
              <w:szCs w:val="32"/>
              <w:highlight w:val="none"/>
              <w:lang w:val="en-US" w:eastAsia="zh-CN"/>
            </w:rPr>
            <w:t>公务用车购置及运行维护费</w:t>
          </w:r>
          <w:r>
            <w:tab/>
          </w:r>
          <w:r>
            <w:fldChar w:fldCharType="begin"/>
          </w:r>
          <w:r>
            <w:instrText xml:space="preserve"> PAGEREF _Toc30607 \h </w:instrText>
          </w:r>
          <w:r>
            <w:fldChar w:fldCharType="separate"/>
          </w:r>
          <w:r>
            <w:t>13</w:t>
          </w:r>
          <w:r>
            <w:fldChar w:fldCharType="end"/>
          </w:r>
          <w:r>
            <w:rPr>
              <w:rFonts w:hint="eastAsia"/>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336" w:lineRule="auto"/>
            <w:textAlignment w:val="auto"/>
          </w:pPr>
          <w:r>
            <w:rPr>
              <w:rFonts w:hint="eastAsia"/>
              <w:lang w:val="en-US" w:eastAsia="zh-CN"/>
            </w:rPr>
            <w:fldChar w:fldCharType="begin"/>
          </w:r>
          <w:r>
            <w:rPr>
              <w:rFonts w:hint="eastAsia"/>
              <w:lang w:val="en-US" w:eastAsia="zh-CN"/>
            </w:rPr>
            <w:instrText xml:space="preserve"> HYPERLINK \l _Toc25912 </w:instrText>
          </w:r>
          <w:r>
            <w:rPr>
              <w:rFonts w:hint="eastAsia"/>
              <w:lang w:val="en-US" w:eastAsia="zh-CN"/>
            </w:rPr>
            <w:fldChar w:fldCharType="separate"/>
          </w:r>
          <w:r>
            <w:rPr>
              <w:rFonts w:hint="eastAsia" w:ascii="仿宋_GB2312" w:hAnsi="仿宋_GB2312" w:eastAsia="仿宋_GB2312" w:cs="仿宋_GB2312"/>
              <w:szCs w:val="32"/>
              <w:highlight w:val="none"/>
              <w:lang w:val="en-US" w:eastAsia="zh-CN"/>
            </w:rPr>
            <w:t>（</w:t>
          </w:r>
          <w:r>
            <w:rPr>
              <w:rFonts w:hint="eastAsia" w:ascii="楷体_GB2312" w:hAnsi="楷体_GB2312" w:eastAsia="楷体_GB2312" w:cs="楷体_GB2312"/>
              <w:szCs w:val="32"/>
              <w:highlight w:val="none"/>
              <w:lang w:val="en-US" w:eastAsia="zh-CN"/>
            </w:rPr>
            <w:t>三）因公出国（境）经费</w:t>
          </w:r>
          <w:r>
            <w:tab/>
          </w:r>
          <w:r>
            <w:fldChar w:fldCharType="begin"/>
          </w:r>
          <w:r>
            <w:instrText xml:space="preserve"> PAGEREF _Toc25912 \h </w:instrText>
          </w:r>
          <w:r>
            <w:fldChar w:fldCharType="separate"/>
          </w:r>
          <w:r>
            <w:t>13</w:t>
          </w:r>
          <w:r>
            <w:fldChar w:fldCharType="end"/>
          </w:r>
          <w:r>
            <w:rPr>
              <w:rFonts w:hint="eastAsia"/>
              <w:lang w:val="en-US" w:eastAsia="zh-CN"/>
            </w:rPr>
            <w:fldChar w:fldCharType="end"/>
          </w:r>
        </w:p>
        <w:p>
          <w:pPr>
            <w:pStyle w:val="18"/>
            <w:pageBreakBefore w:val="0"/>
            <w:tabs>
              <w:tab w:val="right" w:leader="dot" w:pos="8845"/>
            </w:tabs>
            <w:kinsoku/>
            <w:wordWrap/>
            <w:overflowPunct/>
            <w:topLinePunct w:val="0"/>
            <w:autoSpaceDE/>
            <w:autoSpaceDN/>
            <w:bidi w:val="0"/>
            <w:adjustRightInd/>
            <w:snapToGrid/>
            <w:spacing w:line="336" w:lineRule="auto"/>
            <w:textAlignment w:val="auto"/>
            <w:rPr>
              <w:b/>
            </w:rPr>
          </w:pPr>
          <w:r>
            <w:rPr>
              <w:rFonts w:hint="eastAsia"/>
              <w:b/>
              <w:lang w:val="en-US" w:eastAsia="zh-CN"/>
            </w:rPr>
            <w:fldChar w:fldCharType="begin"/>
          </w:r>
          <w:r>
            <w:rPr>
              <w:rFonts w:hint="eastAsia"/>
              <w:b/>
              <w:lang w:val="en-US" w:eastAsia="zh-CN"/>
            </w:rPr>
            <w:instrText xml:space="preserve"> HYPERLINK \l _Toc4350 </w:instrText>
          </w:r>
          <w:r>
            <w:rPr>
              <w:rFonts w:hint="eastAsia"/>
              <w:b/>
              <w:lang w:val="en-US" w:eastAsia="zh-CN"/>
            </w:rPr>
            <w:fldChar w:fldCharType="separate"/>
          </w:r>
          <w:r>
            <w:rPr>
              <w:rFonts w:hint="eastAsia" w:ascii="黑体" w:hAnsi="黑体" w:eastAsia="黑体" w:cs="黑体"/>
              <w:b/>
              <w:szCs w:val="32"/>
              <w:highlight w:val="none"/>
              <w:lang w:val="en-US" w:eastAsia="zh-CN"/>
            </w:rPr>
            <w:t>八、政府性基金预算支出情况说明</w:t>
          </w:r>
          <w:r>
            <w:rPr>
              <w:b/>
            </w:rPr>
            <w:tab/>
          </w:r>
          <w:r>
            <w:rPr>
              <w:b/>
            </w:rPr>
            <w:fldChar w:fldCharType="begin"/>
          </w:r>
          <w:r>
            <w:rPr>
              <w:b/>
            </w:rPr>
            <w:instrText xml:space="preserve"> PAGEREF _Toc4350 \h </w:instrText>
          </w:r>
          <w:r>
            <w:rPr>
              <w:b/>
            </w:rPr>
            <w:fldChar w:fldCharType="separate"/>
          </w:r>
          <w:r>
            <w:rPr>
              <w:b/>
            </w:rPr>
            <w:t>13</w:t>
          </w:r>
          <w:r>
            <w:rPr>
              <w:b/>
            </w:rPr>
            <w:fldChar w:fldCharType="end"/>
          </w:r>
          <w:r>
            <w:rPr>
              <w:rFonts w:hint="eastAsia"/>
              <w:b/>
              <w:lang w:val="en-US" w:eastAsia="zh-CN"/>
            </w:rPr>
            <w:fldChar w:fldCharType="end"/>
          </w:r>
        </w:p>
        <w:p>
          <w:pPr>
            <w:pStyle w:val="18"/>
            <w:pageBreakBefore w:val="0"/>
            <w:tabs>
              <w:tab w:val="right" w:leader="dot" w:pos="8845"/>
            </w:tabs>
            <w:kinsoku/>
            <w:wordWrap/>
            <w:overflowPunct/>
            <w:topLinePunct w:val="0"/>
            <w:autoSpaceDE/>
            <w:autoSpaceDN/>
            <w:bidi w:val="0"/>
            <w:adjustRightInd/>
            <w:snapToGrid/>
            <w:spacing w:line="336" w:lineRule="auto"/>
            <w:textAlignment w:val="auto"/>
            <w:rPr>
              <w:b/>
            </w:rPr>
          </w:pPr>
          <w:r>
            <w:rPr>
              <w:rFonts w:hint="eastAsia"/>
              <w:b/>
              <w:lang w:val="en-US" w:eastAsia="zh-CN"/>
            </w:rPr>
            <w:fldChar w:fldCharType="begin"/>
          </w:r>
          <w:r>
            <w:rPr>
              <w:rFonts w:hint="eastAsia"/>
              <w:b/>
              <w:lang w:val="en-US" w:eastAsia="zh-CN"/>
            </w:rPr>
            <w:instrText xml:space="preserve"> HYPERLINK \l _Toc17499 </w:instrText>
          </w:r>
          <w:r>
            <w:rPr>
              <w:rFonts w:hint="eastAsia"/>
              <w:b/>
              <w:lang w:val="en-US" w:eastAsia="zh-CN"/>
            </w:rPr>
            <w:fldChar w:fldCharType="separate"/>
          </w:r>
          <w:r>
            <w:rPr>
              <w:rFonts w:hint="eastAsia" w:ascii="黑体" w:hAnsi="黑体" w:eastAsia="黑体" w:cs="黑体"/>
              <w:b/>
              <w:szCs w:val="32"/>
              <w:highlight w:val="none"/>
              <w:lang w:val="en-US" w:eastAsia="zh-CN"/>
            </w:rPr>
            <w:t>九、国有资本经营预算支出情况说明</w:t>
          </w:r>
          <w:r>
            <w:rPr>
              <w:b/>
            </w:rPr>
            <w:tab/>
          </w:r>
          <w:r>
            <w:rPr>
              <w:b/>
            </w:rPr>
            <w:fldChar w:fldCharType="begin"/>
          </w:r>
          <w:r>
            <w:rPr>
              <w:b/>
            </w:rPr>
            <w:instrText xml:space="preserve"> PAGEREF _Toc17499 \h </w:instrText>
          </w:r>
          <w:r>
            <w:rPr>
              <w:b/>
            </w:rPr>
            <w:fldChar w:fldCharType="separate"/>
          </w:r>
          <w:r>
            <w:rPr>
              <w:b/>
            </w:rPr>
            <w:t>14</w:t>
          </w:r>
          <w:r>
            <w:rPr>
              <w:b/>
            </w:rPr>
            <w:fldChar w:fldCharType="end"/>
          </w:r>
          <w:r>
            <w:rPr>
              <w:rFonts w:hint="eastAsia"/>
              <w:b/>
              <w:lang w:val="en-US" w:eastAsia="zh-CN"/>
            </w:rPr>
            <w:fldChar w:fldCharType="end"/>
          </w:r>
        </w:p>
        <w:p>
          <w:pPr>
            <w:pStyle w:val="18"/>
            <w:pageBreakBefore w:val="0"/>
            <w:tabs>
              <w:tab w:val="right" w:leader="dot" w:pos="8845"/>
            </w:tabs>
            <w:kinsoku/>
            <w:wordWrap/>
            <w:overflowPunct/>
            <w:topLinePunct w:val="0"/>
            <w:autoSpaceDE/>
            <w:autoSpaceDN/>
            <w:bidi w:val="0"/>
            <w:adjustRightInd/>
            <w:snapToGrid/>
            <w:spacing w:line="336" w:lineRule="auto"/>
            <w:textAlignment w:val="auto"/>
            <w:rPr>
              <w:b/>
            </w:rPr>
          </w:pPr>
          <w:r>
            <w:rPr>
              <w:rFonts w:hint="eastAsia"/>
              <w:b/>
              <w:lang w:val="en-US" w:eastAsia="zh-CN"/>
            </w:rPr>
            <w:fldChar w:fldCharType="begin"/>
          </w:r>
          <w:r>
            <w:rPr>
              <w:rFonts w:hint="eastAsia"/>
              <w:b/>
              <w:lang w:val="en-US" w:eastAsia="zh-CN"/>
            </w:rPr>
            <w:instrText xml:space="preserve"> HYPERLINK \l _Toc1897 </w:instrText>
          </w:r>
          <w:r>
            <w:rPr>
              <w:rFonts w:hint="eastAsia"/>
              <w:b/>
              <w:lang w:val="en-US" w:eastAsia="zh-CN"/>
            </w:rPr>
            <w:fldChar w:fldCharType="separate"/>
          </w:r>
          <w:r>
            <w:rPr>
              <w:rFonts w:hint="eastAsia" w:ascii="黑体" w:hAnsi="黑体" w:eastAsia="黑体" w:cs="黑体"/>
              <w:b/>
              <w:szCs w:val="32"/>
              <w:highlight w:val="none"/>
              <w:lang w:val="en-US" w:eastAsia="zh-CN"/>
            </w:rPr>
            <w:t>十、其他重要事项的情况说明</w:t>
          </w:r>
          <w:r>
            <w:rPr>
              <w:b/>
            </w:rPr>
            <w:tab/>
          </w:r>
          <w:r>
            <w:rPr>
              <w:b/>
            </w:rPr>
            <w:fldChar w:fldCharType="begin"/>
          </w:r>
          <w:r>
            <w:rPr>
              <w:b/>
            </w:rPr>
            <w:instrText xml:space="preserve"> PAGEREF _Toc1897 \h </w:instrText>
          </w:r>
          <w:r>
            <w:rPr>
              <w:b/>
            </w:rPr>
            <w:fldChar w:fldCharType="separate"/>
          </w:r>
          <w:r>
            <w:rPr>
              <w:b/>
            </w:rPr>
            <w:t>14</w:t>
          </w:r>
          <w:r>
            <w:rPr>
              <w:b/>
            </w:rPr>
            <w:fldChar w:fldCharType="end"/>
          </w:r>
          <w:r>
            <w:rPr>
              <w:rFonts w:hint="eastAsia"/>
              <w:b/>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336" w:lineRule="auto"/>
            <w:textAlignment w:val="auto"/>
          </w:pPr>
          <w:r>
            <w:rPr>
              <w:rFonts w:hint="eastAsia"/>
              <w:lang w:val="en-US" w:eastAsia="zh-CN"/>
            </w:rPr>
            <w:fldChar w:fldCharType="begin"/>
          </w:r>
          <w:r>
            <w:rPr>
              <w:rFonts w:hint="eastAsia"/>
              <w:lang w:val="en-US" w:eastAsia="zh-CN"/>
            </w:rPr>
            <w:instrText xml:space="preserve"> HYPERLINK \l _Toc25410 </w:instrText>
          </w:r>
          <w:r>
            <w:rPr>
              <w:rFonts w:hint="eastAsia"/>
              <w:lang w:val="en-US" w:eastAsia="zh-CN"/>
            </w:rPr>
            <w:fldChar w:fldCharType="separate"/>
          </w:r>
          <w:r>
            <w:rPr>
              <w:rFonts w:hint="eastAsia" w:ascii="楷体_GB2312" w:hAnsi="楷体_GB2312" w:eastAsia="楷体_GB2312" w:cs="楷体_GB2312"/>
              <w:szCs w:val="32"/>
              <w:highlight w:val="none"/>
              <w:lang w:val="en-US" w:eastAsia="zh-CN"/>
            </w:rPr>
            <w:t>（一）机关运行经费</w:t>
          </w:r>
          <w:r>
            <w:tab/>
          </w:r>
          <w:r>
            <w:fldChar w:fldCharType="begin"/>
          </w:r>
          <w:r>
            <w:instrText xml:space="preserve"> PAGEREF _Toc25410 \h </w:instrText>
          </w:r>
          <w:r>
            <w:fldChar w:fldCharType="separate"/>
          </w:r>
          <w:r>
            <w:t>14</w:t>
          </w:r>
          <w:r>
            <w:fldChar w:fldCharType="end"/>
          </w:r>
          <w:r>
            <w:rPr>
              <w:rFonts w:hint="eastAsia"/>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336" w:lineRule="auto"/>
            <w:textAlignment w:val="auto"/>
          </w:pPr>
          <w:r>
            <w:rPr>
              <w:rFonts w:hint="eastAsia"/>
              <w:lang w:val="en-US" w:eastAsia="zh-CN"/>
            </w:rPr>
            <w:fldChar w:fldCharType="begin"/>
          </w:r>
          <w:r>
            <w:rPr>
              <w:rFonts w:hint="eastAsia"/>
              <w:lang w:val="en-US" w:eastAsia="zh-CN"/>
            </w:rPr>
            <w:instrText xml:space="preserve"> HYPERLINK \l _Toc27484 </w:instrText>
          </w:r>
          <w:r>
            <w:rPr>
              <w:rFonts w:hint="eastAsia"/>
              <w:lang w:val="en-US" w:eastAsia="zh-CN"/>
            </w:rPr>
            <w:fldChar w:fldCharType="separate"/>
          </w:r>
          <w:r>
            <w:rPr>
              <w:rFonts w:hint="eastAsia" w:ascii="楷体_GB2312" w:hAnsi="楷体_GB2312" w:eastAsia="楷体_GB2312" w:cs="楷体_GB2312"/>
              <w:szCs w:val="32"/>
              <w:highlight w:val="none"/>
              <w:lang w:val="en-US" w:eastAsia="zh-CN"/>
            </w:rPr>
            <w:t>（二）政府采购情况</w:t>
          </w:r>
          <w:r>
            <w:tab/>
          </w:r>
          <w:r>
            <w:fldChar w:fldCharType="begin"/>
          </w:r>
          <w:r>
            <w:instrText xml:space="preserve"> PAGEREF _Toc27484 \h </w:instrText>
          </w:r>
          <w:r>
            <w:fldChar w:fldCharType="separate"/>
          </w:r>
          <w:r>
            <w:t>14</w:t>
          </w:r>
          <w:r>
            <w:fldChar w:fldCharType="end"/>
          </w:r>
          <w:r>
            <w:rPr>
              <w:rFonts w:hint="eastAsia"/>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336" w:lineRule="auto"/>
            <w:textAlignment w:val="auto"/>
          </w:pPr>
          <w:r>
            <w:rPr>
              <w:rFonts w:hint="eastAsia"/>
              <w:lang w:val="en-US" w:eastAsia="zh-CN"/>
            </w:rPr>
            <w:fldChar w:fldCharType="begin"/>
          </w:r>
          <w:r>
            <w:rPr>
              <w:rFonts w:hint="eastAsia"/>
              <w:lang w:val="en-US" w:eastAsia="zh-CN"/>
            </w:rPr>
            <w:instrText xml:space="preserve"> HYPERLINK \l _Toc8202 </w:instrText>
          </w:r>
          <w:r>
            <w:rPr>
              <w:rFonts w:hint="eastAsia"/>
              <w:lang w:val="en-US" w:eastAsia="zh-CN"/>
            </w:rPr>
            <w:fldChar w:fldCharType="separate"/>
          </w:r>
          <w:r>
            <w:rPr>
              <w:rFonts w:hint="eastAsia" w:ascii="楷体_GB2312" w:hAnsi="楷体_GB2312" w:eastAsia="楷体_GB2312" w:cs="楷体_GB2312"/>
              <w:szCs w:val="32"/>
              <w:highlight w:val="none"/>
              <w:lang w:val="en-US" w:eastAsia="zh-CN"/>
            </w:rPr>
            <w:t>（三）国有资产占有使用情况</w:t>
          </w:r>
          <w:r>
            <w:tab/>
          </w:r>
          <w:r>
            <w:fldChar w:fldCharType="begin"/>
          </w:r>
          <w:r>
            <w:instrText xml:space="preserve"> PAGEREF _Toc8202 \h </w:instrText>
          </w:r>
          <w:r>
            <w:fldChar w:fldCharType="separate"/>
          </w:r>
          <w:r>
            <w:t>14</w:t>
          </w:r>
          <w:r>
            <w:fldChar w:fldCharType="end"/>
          </w:r>
          <w:r>
            <w:rPr>
              <w:rFonts w:hint="eastAsia"/>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336" w:lineRule="auto"/>
            <w:textAlignment w:val="auto"/>
          </w:pPr>
          <w:r>
            <w:rPr>
              <w:rFonts w:hint="eastAsia"/>
              <w:lang w:val="en-US" w:eastAsia="zh-CN"/>
            </w:rPr>
            <w:fldChar w:fldCharType="begin"/>
          </w:r>
          <w:r>
            <w:rPr>
              <w:rFonts w:hint="eastAsia"/>
              <w:lang w:val="en-US" w:eastAsia="zh-CN"/>
            </w:rPr>
            <w:instrText xml:space="preserve"> HYPERLINK \l _Toc31554 </w:instrText>
          </w:r>
          <w:r>
            <w:rPr>
              <w:rFonts w:hint="eastAsia"/>
              <w:lang w:val="en-US" w:eastAsia="zh-CN"/>
            </w:rPr>
            <w:fldChar w:fldCharType="separate"/>
          </w:r>
          <w:r>
            <w:rPr>
              <w:rFonts w:hint="eastAsia" w:ascii="楷体_GB2312" w:hAnsi="楷体_GB2312" w:eastAsia="楷体_GB2312" w:cs="楷体_GB2312"/>
              <w:szCs w:val="32"/>
              <w:highlight w:val="none"/>
              <w:lang w:val="en-US" w:eastAsia="zh-CN"/>
            </w:rPr>
            <w:t>（四）绩效目标设置情况</w:t>
          </w:r>
          <w:r>
            <w:tab/>
          </w:r>
          <w:r>
            <w:fldChar w:fldCharType="begin"/>
          </w:r>
          <w:r>
            <w:instrText xml:space="preserve"> PAGEREF _Toc31554 \h </w:instrText>
          </w:r>
          <w:r>
            <w:fldChar w:fldCharType="separate"/>
          </w:r>
          <w:r>
            <w:t>15</w:t>
          </w:r>
          <w:r>
            <w:fldChar w:fldCharType="end"/>
          </w:r>
          <w:r>
            <w:rPr>
              <w:rFonts w:hint="eastAsia"/>
              <w:lang w:val="en-US" w:eastAsia="zh-CN"/>
            </w:rPr>
            <w:fldChar w:fldCharType="end"/>
          </w:r>
        </w:p>
        <w:p>
          <w:pPr>
            <w:pStyle w:val="18"/>
            <w:pageBreakBefore w:val="0"/>
            <w:tabs>
              <w:tab w:val="right" w:leader="dot" w:pos="8845"/>
            </w:tabs>
            <w:kinsoku/>
            <w:wordWrap/>
            <w:overflowPunct/>
            <w:topLinePunct w:val="0"/>
            <w:autoSpaceDE/>
            <w:autoSpaceDN/>
            <w:bidi w:val="0"/>
            <w:adjustRightInd/>
            <w:snapToGrid/>
            <w:spacing w:line="336" w:lineRule="auto"/>
            <w:textAlignment w:val="auto"/>
            <w:rPr>
              <w:b/>
            </w:rPr>
          </w:pPr>
          <w:r>
            <w:rPr>
              <w:rFonts w:hint="eastAsia"/>
              <w:b/>
              <w:lang w:val="en-US" w:eastAsia="zh-CN"/>
            </w:rPr>
            <w:fldChar w:fldCharType="begin"/>
          </w:r>
          <w:r>
            <w:rPr>
              <w:rFonts w:hint="eastAsia"/>
              <w:b/>
              <w:lang w:val="en-US" w:eastAsia="zh-CN"/>
            </w:rPr>
            <w:instrText xml:space="preserve"> HYPERLINK \l _Toc7495 </w:instrText>
          </w:r>
          <w:r>
            <w:rPr>
              <w:rFonts w:hint="eastAsia"/>
              <w:b/>
              <w:lang w:val="en-US" w:eastAsia="zh-CN"/>
            </w:rPr>
            <w:fldChar w:fldCharType="separate"/>
          </w:r>
          <w:r>
            <w:rPr>
              <w:rFonts w:hint="eastAsia" w:ascii="黑体" w:hAnsi="黑体" w:eastAsia="黑体" w:cs="黑体"/>
              <w:b/>
              <w:szCs w:val="32"/>
              <w:highlight w:val="none"/>
              <w:lang w:val="en-US" w:eastAsia="zh-CN"/>
            </w:rPr>
            <w:t>十一、名词解释</w:t>
          </w:r>
          <w:r>
            <w:rPr>
              <w:b/>
            </w:rPr>
            <w:tab/>
          </w:r>
          <w:r>
            <w:rPr>
              <w:b/>
            </w:rPr>
            <w:fldChar w:fldCharType="begin"/>
          </w:r>
          <w:r>
            <w:rPr>
              <w:b/>
            </w:rPr>
            <w:instrText xml:space="preserve"> PAGEREF _Toc7495 \h </w:instrText>
          </w:r>
          <w:r>
            <w:rPr>
              <w:b/>
            </w:rPr>
            <w:fldChar w:fldCharType="separate"/>
          </w:r>
          <w:r>
            <w:rPr>
              <w:b/>
            </w:rPr>
            <w:t>15</w:t>
          </w:r>
          <w:r>
            <w:rPr>
              <w:b/>
            </w:rPr>
            <w:fldChar w:fldCharType="end"/>
          </w:r>
          <w:r>
            <w:rPr>
              <w:rFonts w:hint="eastAsia"/>
              <w:b/>
              <w:lang w:val="en-US" w:eastAsia="zh-CN"/>
            </w:rPr>
            <w:fldChar w:fldCharType="end"/>
          </w:r>
        </w:p>
        <w:p>
          <w:pPr>
            <w:pStyle w:val="2"/>
            <w:pageBreakBefore w:val="0"/>
            <w:kinsoku/>
            <w:wordWrap/>
            <w:overflowPunct/>
            <w:topLinePunct w:val="0"/>
            <w:autoSpaceDE/>
            <w:autoSpaceDN/>
            <w:bidi w:val="0"/>
            <w:adjustRightInd/>
            <w:snapToGrid/>
            <w:spacing w:line="336" w:lineRule="auto"/>
            <w:textAlignment w:val="auto"/>
            <w:outlineLvl w:val="9"/>
            <w:rPr>
              <w:rFonts w:hint="eastAsia"/>
              <w:lang w:val="en-US" w:eastAsia="zh-CN"/>
            </w:rPr>
            <w:sectPr>
              <w:pgSz w:w="11906" w:h="16838"/>
              <w:pgMar w:top="2098" w:right="1474" w:bottom="1984" w:left="1587" w:header="720" w:footer="1559" w:gutter="0"/>
              <w:pgNumType w:fmt="decimal" w:start="1"/>
              <w:cols w:space="720" w:num="1"/>
              <w:docGrid w:type="lines" w:linePitch="312" w:charSpace="0"/>
            </w:sectPr>
          </w:pPr>
          <w:r>
            <w:rPr>
              <w:rFonts w:hint="eastAsia"/>
              <w:b/>
              <w:lang w:val="en-US" w:eastAsia="zh-CN"/>
            </w:rPr>
            <w:fldChar w:fldCharType="end"/>
          </w:r>
        </w:p>
      </w:sdtContent>
    </w:sdt>
    <w:p>
      <w:pPr>
        <w:rPr>
          <w:rFonts w:hint="eastAsia"/>
          <w:lang w:val="en-US" w:eastAsia="zh-CN"/>
        </w:rPr>
      </w:pPr>
    </w:p>
    <w:p>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Autospacing="0" w:after="0" w:afterAutospacing="0" w:line="240" w:lineRule="auto"/>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2" w:name="_Toc26465"/>
      <w:bookmarkStart w:id="3" w:name="_Toc17388"/>
      <w:r>
        <w:rPr>
          <w:rFonts w:hint="eastAsia" w:ascii="黑体" w:hAnsi="黑体" w:eastAsia="黑体" w:cs="黑体"/>
          <w:sz w:val="32"/>
          <w:szCs w:val="32"/>
          <w:highlight w:val="none"/>
          <w:lang w:val="en-US" w:eastAsia="zh-CN"/>
        </w:rPr>
        <w:t>一、基本职能及主要工作</w:t>
      </w:r>
      <w:bookmarkEnd w:id="2"/>
      <w:bookmarkEnd w:id="3"/>
    </w:p>
    <w:p>
      <w:pPr>
        <w:pStyle w:val="4"/>
        <w:pageBreakBefore w:val="0"/>
        <w:widowControl w:val="0"/>
        <w:shd w:val="clear"/>
        <w:suppressAutoHyphens/>
        <w:kinsoku/>
        <w:wordWrap/>
        <w:overflowPunct/>
        <w:topLinePunct w:val="0"/>
        <w:autoSpaceDE/>
        <w:autoSpaceDN/>
        <w:bidi w:val="0"/>
        <w:adjustRightInd w:val="0"/>
        <w:snapToGrid w:val="0"/>
        <w:spacing w:before="30" w:beforeLines="0" w:after="0" w:line="520" w:lineRule="exact"/>
        <w:ind w:firstLine="665" w:firstLineChars="208"/>
        <w:textAlignment w:val="auto"/>
        <w:outlineLvl w:val="1"/>
        <w:rPr>
          <w:rFonts w:hint="eastAsia" w:ascii="楷体_GB2312" w:hAnsi="Times New Roman" w:eastAsia="楷体_GB2312" w:cs="Times New Roman"/>
          <w:bCs/>
          <w:color w:val="000000"/>
          <w:kern w:val="0"/>
          <w:sz w:val="32"/>
          <w:szCs w:val="32"/>
          <w:highlight w:val="none"/>
        </w:rPr>
      </w:pPr>
      <w:bookmarkStart w:id="4" w:name="_Toc29986"/>
      <w:bookmarkStart w:id="5" w:name="_Toc16986"/>
      <w:r>
        <w:rPr>
          <w:rFonts w:hint="eastAsia" w:ascii="楷体_GB2312" w:hAnsi="Times New Roman" w:eastAsia="楷体_GB2312" w:cs="Times New Roman"/>
          <w:bCs/>
          <w:color w:val="000000"/>
          <w:kern w:val="0"/>
          <w:sz w:val="32"/>
          <w:szCs w:val="32"/>
          <w:highlight w:val="none"/>
        </w:rPr>
        <w:t>（一）广元市卫生健康委员会职能简介</w:t>
      </w:r>
      <w:bookmarkEnd w:id="4"/>
      <w:bookmarkEnd w:id="5"/>
    </w:p>
    <w:p>
      <w:pPr>
        <w:shd w:val="clear"/>
        <w:ind w:firstLine="640" w:firstLineChars="200"/>
        <w:rPr>
          <w:rFonts w:ascii="仿宋_GB2312" w:eastAsia="仿宋_GB2312"/>
          <w:sz w:val="32"/>
          <w:szCs w:val="32"/>
          <w:highlight w:val="none"/>
        </w:rPr>
      </w:pPr>
      <w:r>
        <w:rPr>
          <w:rFonts w:hint="eastAsia" w:ascii="仿宋_GB2312" w:eastAsia="仿宋_GB2312"/>
          <w:sz w:val="32"/>
          <w:szCs w:val="32"/>
          <w:highlight w:val="none"/>
        </w:rPr>
        <w:t>1</w:t>
      </w:r>
      <w:r>
        <w:rPr>
          <w:rFonts w:hint="default" w:ascii="仿宋_GB2312" w:eastAsia="仿宋_GB2312"/>
          <w:sz w:val="32"/>
          <w:szCs w:val="32"/>
          <w:highlight w:val="none"/>
        </w:rPr>
        <w:t>.</w:t>
      </w:r>
      <w:r>
        <w:rPr>
          <w:rFonts w:hint="eastAsia" w:ascii="仿宋_GB2312" w:eastAsia="仿宋_GB2312"/>
          <w:sz w:val="32"/>
          <w:szCs w:val="32"/>
          <w:highlight w:val="none"/>
        </w:rPr>
        <w:t xml:space="preserve">组织拟订全市卫生健康政策。负责起草卫生健康事业发展规章草案、政策措施、规划，组织实施卫生健康政策标准与技术规范。统筹规划全市卫生健康资源配置。制定并组织实施推进卫生健康基本公共服务均等化、普惠化、便捷化和公共资源向基层延伸等政策措施。 </w:t>
      </w:r>
    </w:p>
    <w:p>
      <w:pPr>
        <w:shd w:val="clear"/>
        <w:rPr>
          <w:rFonts w:ascii="仿宋_GB2312" w:eastAsia="仿宋_GB2312"/>
          <w:sz w:val="32"/>
          <w:szCs w:val="32"/>
          <w:highlight w:val="none"/>
        </w:rPr>
      </w:pPr>
      <w:r>
        <w:rPr>
          <w:rFonts w:hint="eastAsia" w:ascii="仿宋_GB2312" w:eastAsia="仿宋_GB2312"/>
          <w:sz w:val="32"/>
          <w:szCs w:val="32"/>
          <w:highlight w:val="none"/>
        </w:rPr>
        <w:t xml:space="preserve">    2</w:t>
      </w:r>
      <w:r>
        <w:rPr>
          <w:rFonts w:hint="default" w:ascii="仿宋_GB2312" w:eastAsia="仿宋_GB2312"/>
          <w:sz w:val="32"/>
          <w:szCs w:val="32"/>
          <w:highlight w:val="none"/>
        </w:rPr>
        <w:t>.</w:t>
      </w:r>
      <w:r>
        <w:rPr>
          <w:rFonts w:hint="eastAsia" w:ascii="仿宋_GB2312" w:eastAsia="仿宋_GB2312"/>
          <w:sz w:val="32"/>
          <w:szCs w:val="32"/>
          <w:highlight w:val="none"/>
        </w:rPr>
        <w:t xml:space="preserve">牵头推进全市深化医药卫生体制改革。研究提出深化改革重大政策、措施的建议。牵头组织全市分级诊疗、现代医院管理、全民医保、药品供应保障、综合监管5项基本医疗卫生制度建设。制定并组织实施推动卫生健康公共服务提供主体多元化、方式多样化的政策措施。 </w:t>
      </w:r>
    </w:p>
    <w:p>
      <w:pPr>
        <w:shd w:val="clear"/>
        <w:rPr>
          <w:rFonts w:ascii="仿宋_GB2312" w:eastAsia="仿宋_GB2312"/>
          <w:sz w:val="32"/>
          <w:szCs w:val="32"/>
          <w:highlight w:val="none"/>
        </w:rPr>
      </w:pPr>
      <w:r>
        <w:rPr>
          <w:rFonts w:hint="eastAsia" w:ascii="仿宋_GB2312" w:eastAsia="仿宋_GB2312"/>
          <w:sz w:val="32"/>
          <w:szCs w:val="32"/>
          <w:highlight w:val="none"/>
        </w:rPr>
        <w:t xml:space="preserve">    3</w:t>
      </w:r>
      <w:r>
        <w:rPr>
          <w:rFonts w:hint="default" w:ascii="仿宋_GB2312" w:eastAsia="仿宋_GB2312"/>
          <w:sz w:val="32"/>
          <w:szCs w:val="32"/>
          <w:highlight w:val="none"/>
        </w:rPr>
        <w:t>.</w:t>
      </w:r>
      <w:r>
        <w:rPr>
          <w:rFonts w:hint="eastAsia" w:ascii="仿宋_GB2312" w:eastAsia="仿宋_GB2312"/>
          <w:sz w:val="32"/>
          <w:szCs w:val="32"/>
          <w:highlight w:val="none"/>
        </w:rPr>
        <w:t xml:space="preserve">制定并组织落实全市疾病预防控制规划、免疫规划以及严重危害人民健康的艾滋病等重大传染病、寄生虫病、地方病等公共卫生问题的干预措施。负责全市卫生应急工作，组织和指导全市突发公共卫生事件预防控制和各类突发公共事件的医疗卫生救援。发布法定报告传染病疫情信息、突发公共卫生事件应急处置信息。依照国家检疫传染病和监测传染病目录，参与开展检疫监测工作。 </w:t>
      </w:r>
    </w:p>
    <w:p>
      <w:pPr>
        <w:shd w:val="clear"/>
        <w:rPr>
          <w:rFonts w:ascii="仿宋_GB2312" w:eastAsia="仿宋_GB2312"/>
          <w:sz w:val="32"/>
          <w:szCs w:val="32"/>
          <w:highlight w:val="none"/>
        </w:rPr>
      </w:pPr>
      <w:r>
        <w:rPr>
          <w:rFonts w:hint="eastAsia" w:ascii="仿宋_GB2312" w:eastAsia="仿宋_GB2312"/>
          <w:sz w:val="32"/>
          <w:szCs w:val="32"/>
          <w:highlight w:val="none"/>
        </w:rPr>
        <w:t xml:space="preserve">    4</w:t>
      </w:r>
      <w:r>
        <w:rPr>
          <w:rFonts w:hint="default" w:ascii="仿宋_GB2312" w:eastAsia="仿宋_GB2312"/>
          <w:sz w:val="32"/>
          <w:szCs w:val="32"/>
          <w:highlight w:val="none"/>
        </w:rPr>
        <w:t>.</w:t>
      </w:r>
      <w:r>
        <w:rPr>
          <w:rFonts w:hint="eastAsia" w:ascii="仿宋_GB2312" w:eastAsia="仿宋_GB2312"/>
          <w:sz w:val="32"/>
          <w:szCs w:val="32"/>
          <w:highlight w:val="none"/>
        </w:rPr>
        <w:t xml:space="preserve">贯彻落实国家应对人口老龄化政策措施。负责推进老年健康服务体系建设和医养结合工作。承担市老龄工作委员会日常工作。 </w:t>
      </w:r>
    </w:p>
    <w:p>
      <w:pPr>
        <w:shd w:val="clear"/>
        <w:rPr>
          <w:rFonts w:ascii="仿宋_GB2312" w:eastAsia="仿宋_GB2312"/>
          <w:sz w:val="32"/>
          <w:szCs w:val="32"/>
          <w:highlight w:val="none"/>
        </w:rPr>
      </w:pPr>
      <w:r>
        <w:rPr>
          <w:rFonts w:hint="eastAsia" w:ascii="仿宋_GB2312" w:eastAsia="仿宋_GB2312"/>
          <w:sz w:val="32"/>
          <w:szCs w:val="32"/>
          <w:highlight w:val="none"/>
        </w:rPr>
        <w:t xml:space="preserve">    5</w:t>
      </w:r>
      <w:r>
        <w:rPr>
          <w:rFonts w:hint="default" w:ascii="仿宋_GB2312" w:eastAsia="仿宋_GB2312"/>
          <w:sz w:val="32"/>
          <w:szCs w:val="32"/>
          <w:highlight w:val="none"/>
        </w:rPr>
        <w:t>.</w:t>
      </w:r>
      <w:r>
        <w:rPr>
          <w:rFonts w:hint="eastAsia" w:ascii="仿宋_GB2312" w:eastAsia="仿宋_GB2312"/>
          <w:sz w:val="32"/>
          <w:szCs w:val="32"/>
          <w:highlight w:val="none"/>
        </w:rPr>
        <w:t xml:space="preserve">贯彻落实国家药物政策和国家基本药物制度。开展药械使用监测、临床综合评价和短缺药品预警，组织执行国家药典和国家基本药物目录、省药品增补目录和基本药物使用的政策措施。组织实施食品安全风险监测。开展食品安全企业标准备案。 </w:t>
      </w:r>
    </w:p>
    <w:p>
      <w:pPr>
        <w:shd w:val="clear"/>
        <w:rPr>
          <w:rFonts w:ascii="仿宋_GB2312" w:eastAsia="仿宋_GB2312"/>
          <w:sz w:val="32"/>
          <w:szCs w:val="32"/>
          <w:highlight w:val="none"/>
        </w:rPr>
      </w:pPr>
      <w:r>
        <w:rPr>
          <w:rFonts w:hint="eastAsia" w:ascii="仿宋_GB2312" w:eastAsia="仿宋_GB2312"/>
          <w:sz w:val="32"/>
          <w:szCs w:val="32"/>
          <w:highlight w:val="none"/>
        </w:rPr>
        <w:t xml:space="preserve">    6</w:t>
      </w:r>
      <w:r>
        <w:rPr>
          <w:rFonts w:hint="default" w:ascii="仿宋_GB2312" w:eastAsia="仿宋_GB2312"/>
          <w:sz w:val="32"/>
          <w:szCs w:val="32"/>
          <w:highlight w:val="none"/>
        </w:rPr>
        <w:t>.</w:t>
      </w:r>
      <w:r>
        <w:rPr>
          <w:rFonts w:hint="eastAsia" w:ascii="仿宋_GB2312" w:eastAsia="仿宋_GB2312"/>
          <w:sz w:val="32"/>
          <w:szCs w:val="32"/>
          <w:highlight w:val="none"/>
        </w:rPr>
        <w:t xml:space="preserve">负责职责范围内的职业卫生、放射卫生、环境卫生、学校卫生、公共场所卫生、饮用水卫生等公共卫生的监督管理。负责传染病防治监督，健全卫生健康综合监管体系，规范卫生健康行政执法行为，监督检查有关法律法规和政策措施的落实，组织查处重大违法行为。 </w:t>
      </w:r>
    </w:p>
    <w:p>
      <w:pPr>
        <w:shd w:val="clear"/>
        <w:rPr>
          <w:rFonts w:ascii="仿宋_GB2312" w:eastAsia="仿宋_GB2312"/>
          <w:sz w:val="32"/>
          <w:szCs w:val="32"/>
          <w:highlight w:val="none"/>
        </w:rPr>
      </w:pPr>
      <w:r>
        <w:rPr>
          <w:rFonts w:hint="eastAsia" w:ascii="仿宋_GB2312" w:eastAsia="仿宋_GB2312"/>
          <w:sz w:val="32"/>
          <w:szCs w:val="32"/>
          <w:highlight w:val="none"/>
        </w:rPr>
        <w:t xml:space="preserve">    7</w:t>
      </w:r>
      <w:r>
        <w:rPr>
          <w:rFonts w:hint="default" w:ascii="仿宋_GB2312" w:eastAsia="仿宋_GB2312"/>
          <w:sz w:val="32"/>
          <w:szCs w:val="32"/>
          <w:highlight w:val="none"/>
        </w:rPr>
        <w:t>.</w:t>
      </w:r>
      <w:r>
        <w:rPr>
          <w:rFonts w:hint="eastAsia" w:ascii="仿宋_GB2312" w:eastAsia="仿宋_GB2312"/>
          <w:sz w:val="32"/>
          <w:szCs w:val="32"/>
          <w:highlight w:val="none"/>
        </w:rPr>
        <w:t xml:space="preserve">制定全市医疗机构、医疗服务行业管理办法并监督实施，建立医疗服务评价和监督管理体系。会同有关部门实施卫生健康专业技术人员资格标准。制定并组织实施医疗服务规范、标准和卫生健康专业技术人员执业规则、服务规范。负责医疗机构、人员和行为的日常监管。 </w:t>
      </w:r>
    </w:p>
    <w:p>
      <w:pPr>
        <w:shd w:val="clear"/>
        <w:rPr>
          <w:rFonts w:ascii="仿宋_GB2312" w:eastAsia="仿宋_GB2312"/>
          <w:sz w:val="32"/>
          <w:szCs w:val="32"/>
          <w:highlight w:val="none"/>
        </w:rPr>
      </w:pPr>
      <w:r>
        <w:rPr>
          <w:rFonts w:hint="eastAsia" w:ascii="仿宋_GB2312" w:eastAsia="仿宋_GB2312"/>
          <w:sz w:val="32"/>
          <w:szCs w:val="32"/>
          <w:highlight w:val="none"/>
        </w:rPr>
        <w:t xml:space="preserve">    8</w:t>
      </w:r>
      <w:r>
        <w:rPr>
          <w:rFonts w:hint="default" w:ascii="仿宋_GB2312" w:eastAsia="仿宋_GB2312"/>
          <w:sz w:val="32"/>
          <w:szCs w:val="32"/>
          <w:highlight w:val="none"/>
        </w:rPr>
        <w:t>.</w:t>
      </w:r>
      <w:r>
        <w:rPr>
          <w:rFonts w:hint="eastAsia" w:ascii="仿宋_GB2312" w:eastAsia="仿宋_GB2312"/>
          <w:sz w:val="32"/>
          <w:szCs w:val="32"/>
          <w:highlight w:val="none"/>
        </w:rPr>
        <w:t xml:space="preserve">负责全市计划生育管理和服务工作。开展人口监测预警，研究提出人口与家庭发展相关政策建议，依法实施计划生育政策。 </w:t>
      </w:r>
    </w:p>
    <w:p>
      <w:pPr>
        <w:shd w:val="clear"/>
        <w:rPr>
          <w:rFonts w:ascii="仿宋_GB2312" w:eastAsia="仿宋_GB2312"/>
          <w:sz w:val="32"/>
          <w:szCs w:val="32"/>
          <w:highlight w:val="none"/>
        </w:rPr>
      </w:pPr>
      <w:r>
        <w:rPr>
          <w:rFonts w:hint="eastAsia" w:ascii="仿宋_GB2312" w:eastAsia="仿宋_GB2312"/>
          <w:sz w:val="32"/>
          <w:szCs w:val="32"/>
          <w:highlight w:val="none"/>
        </w:rPr>
        <w:t xml:space="preserve">    9</w:t>
      </w:r>
      <w:r>
        <w:rPr>
          <w:rFonts w:hint="default" w:ascii="仿宋_GB2312" w:eastAsia="仿宋_GB2312"/>
          <w:sz w:val="32"/>
          <w:szCs w:val="32"/>
          <w:highlight w:val="none"/>
        </w:rPr>
        <w:t>.</w:t>
      </w:r>
      <w:r>
        <w:rPr>
          <w:rFonts w:hint="eastAsia" w:ascii="仿宋_GB2312" w:eastAsia="仿宋_GB2312"/>
          <w:sz w:val="32"/>
          <w:szCs w:val="32"/>
          <w:highlight w:val="none"/>
        </w:rPr>
        <w:t xml:space="preserve">指导县（区）卫生健康工作。指导基层医疗卫生、妇幼健康服务体系和基层卫生队伍建设。推进卫生健康科技创新发展。 </w:t>
      </w:r>
    </w:p>
    <w:p>
      <w:pPr>
        <w:shd w:val="clear"/>
        <w:rPr>
          <w:rFonts w:ascii="仿宋_GB2312" w:eastAsia="仿宋_GB2312"/>
          <w:sz w:val="32"/>
          <w:szCs w:val="32"/>
          <w:highlight w:val="none"/>
        </w:rPr>
      </w:pPr>
      <w:r>
        <w:rPr>
          <w:rFonts w:hint="eastAsia" w:ascii="仿宋_GB2312" w:eastAsia="仿宋_GB2312"/>
          <w:sz w:val="32"/>
          <w:szCs w:val="32"/>
          <w:highlight w:val="none"/>
        </w:rPr>
        <w:t xml:space="preserve">    10</w:t>
      </w:r>
      <w:r>
        <w:rPr>
          <w:rFonts w:hint="default" w:ascii="仿宋_GB2312" w:eastAsia="仿宋_GB2312"/>
          <w:sz w:val="32"/>
          <w:szCs w:val="32"/>
          <w:highlight w:val="none"/>
        </w:rPr>
        <w:t>.</w:t>
      </w:r>
      <w:r>
        <w:rPr>
          <w:rFonts w:hint="eastAsia" w:ascii="仿宋_GB2312" w:eastAsia="仿宋_GB2312"/>
          <w:sz w:val="32"/>
          <w:szCs w:val="32"/>
          <w:highlight w:val="none"/>
        </w:rPr>
        <w:t xml:space="preserve">贯彻执行国家、省促进中医药（含中西医结合和民族医药）事业发展的法律法规，拟订全市中医药中长期发展规划并组织实施，促进中药资源的保护、开发和合理利用，拟订全市中药产业发展规划、产业政策和中药的扶持政策并组织实施，监督指导全市中医药工作。 </w:t>
      </w:r>
    </w:p>
    <w:p>
      <w:pPr>
        <w:shd w:val="clear"/>
        <w:rPr>
          <w:rFonts w:ascii="仿宋_GB2312" w:eastAsia="仿宋_GB2312"/>
          <w:sz w:val="32"/>
          <w:szCs w:val="32"/>
          <w:highlight w:val="none"/>
        </w:rPr>
      </w:pPr>
      <w:r>
        <w:rPr>
          <w:rFonts w:hint="eastAsia" w:ascii="仿宋_GB2312" w:eastAsia="仿宋_GB2312"/>
          <w:sz w:val="32"/>
          <w:szCs w:val="32"/>
          <w:highlight w:val="none"/>
        </w:rPr>
        <w:t xml:space="preserve">    11</w:t>
      </w:r>
      <w:r>
        <w:rPr>
          <w:rFonts w:hint="default" w:ascii="仿宋_GB2312" w:eastAsia="仿宋_GB2312"/>
          <w:sz w:val="32"/>
          <w:szCs w:val="32"/>
          <w:highlight w:val="none"/>
        </w:rPr>
        <w:t>.</w:t>
      </w:r>
      <w:r>
        <w:rPr>
          <w:rFonts w:hint="eastAsia" w:ascii="仿宋_GB2312" w:eastAsia="仿宋_GB2312"/>
          <w:sz w:val="32"/>
          <w:szCs w:val="32"/>
          <w:highlight w:val="none"/>
        </w:rPr>
        <w:t xml:space="preserve">负责市确定的保健对象的医疗保健工作。负责市本级离休干部医疗管理工作。负责重要会议与重大活动的医疗卫生保障工作。 </w:t>
      </w:r>
    </w:p>
    <w:p>
      <w:pPr>
        <w:shd w:val="clear"/>
        <w:rPr>
          <w:rFonts w:ascii="仿宋_GB2312" w:eastAsia="仿宋_GB2312"/>
          <w:sz w:val="32"/>
          <w:szCs w:val="32"/>
          <w:highlight w:val="none"/>
        </w:rPr>
      </w:pPr>
      <w:r>
        <w:rPr>
          <w:rFonts w:hint="eastAsia" w:ascii="仿宋_GB2312" w:eastAsia="仿宋_GB2312"/>
          <w:sz w:val="32"/>
          <w:szCs w:val="32"/>
          <w:highlight w:val="none"/>
        </w:rPr>
        <w:t xml:space="preserve">    12</w:t>
      </w:r>
      <w:r>
        <w:rPr>
          <w:rFonts w:hint="default" w:ascii="仿宋_GB2312" w:eastAsia="仿宋_GB2312"/>
          <w:sz w:val="32"/>
          <w:szCs w:val="32"/>
          <w:highlight w:val="none"/>
        </w:rPr>
        <w:t>.</w:t>
      </w:r>
      <w:r>
        <w:rPr>
          <w:rFonts w:hint="eastAsia" w:ascii="仿宋_GB2312" w:eastAsia="仿宋_GB2312"/>
          <w:sz w:val="32"/>
          <w:szCs w:val="32"/>
          <w:highlight w:val="none"/>
        </w:rPr>
        <w:t xml:space="preserve">指导市计划生育协会的业务工作。 </w:t>
      </w:r>
    </w:p>
    <w:p>
      <w:pPr>
        <w:shd w:val="clear"/>
        <w:rPr>
          <w:rFonts w:ascii="仿宋_GB2312" w:eastAsia="仿宋_GB2312"/>
          <w:sz w:val="32"/>
          <w:szCs w:val="32"/>
          <w:highlight w:val="none"/>
        </w:rPr>
      </w:pPr>
      <w:r>
        <w:rPr>
          <w:rFonts w:hint="eastAsia" w:ascii="仿宋_GB2312" w:eastAsia="仿宋_GB2312"/>
          <w:sz w:val="32"/>
          <w:szCs w:val="32"/>
          <w:highlight w:val="none"/>
        </w:rPr>
        <w:t xml:space="preserve">    13</w:t>
      </w:r>
      <w:r>
        <w:rPr>
          <w:rFonts w:hint="default" w:ascii="仿宋_GB2312" w:eastAsia="仿宋_GB2312"/>
          <w:sz w:val="32"/>
          <w:szCs w:val="32"/>
          <w:highlight w:val="none"/>
        </w:rPr>
        <w:t>.</w:t>
      </w:r>
      <w:r>
        <w:rPr>
          <w:rFonts w:hint="eastAsia" w:ascii="仿宋_GB2312" w:eastAsia="仿宋_GB2312"/>
          <w:sz w:val="32"/>
          <w:szCs w:val="32"/>
          <w:highlight w:val="none"/>
        </w:rPr>
        <w:t xml:space="preserve">依法依规履行卫生健康行业安全生产监管职责。负责职责范围内的生态环境保护、审批服务便民化等工作。 </w:t>
      </w:r>
    </w:p>
    <w:p>
      <w:pPr>
        <w:shd w:val="clear"/>
        <w:rPr>
          <w:rFonts w:ascii="仿宋_GB2312" w:eastAsia="仿宋_GB2312"/>
          <w:sz w:val="32"/>
          <w:szCs w:val="32"/>
          <w:highlight w:val="none"/>
        </w:rPr>
      </w:pPr>
      <w:r>
        <w:rPr>
          <w:rFonts w:hint="eastAsia" w:ascii="仿宋_GB2312" w:eastAsia="仿宋_GB2312"/>
          <w:sz w:val="32"/>
          <w:szCs w:val="32"/>
          <w:highlight w:val="none"/>
        </w:rPr>
        <w:t xml:space="preserve">    14</w:t>
      </w:r>
      <w:r>
        <w:rPr>
          <w:rFonts w:hint="default" w:ascii="仿宋_GB2312" w:eastAsia="仿宋_GB2312"/>
          <w:sz w:val="32"/>
          <w:szCs w:val="32"/>
          <w:highlight w:val="none"/>
        </w:rPr>
        <w:t>.</w:t>
      </w:r>
      <w:r>
        <w:rPr>
          <w:rFonts w:hint="eastAsia" w:ascii="仿宋_GB2312" w:eastAsia="仿宋_GB2312"/>
          <w:sz w:val="32"/>
          <w:szCs w:val="32"/>
          <w:highlight w:val="none"/>
        </w:rPr>
        <w:t xml:space="preserve">完成市委、市政府交办的其他任务。 </w:t>
      </w:r>
    </w:p>
    <w:p>
      <w:pPr>
        <w:shd w:val="clear"/>
        <w:rPr>
          <w:rFonts w:ascii="仿宋_GB2312" w:eastAsia="仿宋_GB2312"/>
          <w:sz w:val="32"/>
          <w:szCs w:val="32"/>
          <w:highlight w:val="none"/>
        </w:rPr>
      </w:pPr>
      <w:r>
        <w:rPr>
          <w:rFonts w:hint="eastAsia" w:ascii="仿宋_GB2312" w:eastAsia="仿宋_GB2312"/>
          <w:sz w:val="32"/>
          <w:szCs w:val="32"/>
          <w:highlight w:val="none"/>
        </w:rPr>
        <w:t xml:space="preserve">    15</w:t>
      </w:r>
      <w:r>
        <w:rPr>
          <w:rFonts w:hint="default" w:ascii="仿宋_GB2312" w:eastAsia="仿宋_GB2312"/>
          <w:sz w:val="32"/>
          <w:szCs w:val="32"/>
          <w:highlight w:val="none"/>
        </w:rPr>
        <w:t>.</w:t>
      </w:r>
      <w:r>
        <w:rPr>
          <w:rFonts w:hint="eastAsia" w:ascii="仿宋_GB2312" w:eastAsia="仿宋_GB2312"/>
          <w:sz w:val="32"/>
          <w:szCs w:val="32"/>
          <w:highlight w:val="none"/>
        </w:rPr>
        <w:t xml:space="preserve">职能转变。牢固树立大卫生、大健康理念，推动实施健康中国、健康四川和健康广元战略，助推中国生态康养旅游名市建设，以改革创新为动力，以促健康、转模式、强基层、重保障为着力点，把以治病为中心转变到以人民健康为中心，为人民群众提供全方位全周期卫生健康服务。一是更加注重预防为主和健康促进，提高健康意识，加强预防控制重大疾病工作，积极应对人口老龄化，健全卫生健康服务体系。二是更加注重卫生健康服务公平性和可及性，推动工作重心下移和资源下沉，推进卫生健康公共资源向基层延伸、向农村覆盖、向边远地区和生活困难群众倾斜。三是更加注重提高服务质量和水平，推动建设高质量健康服务基地和中医药强市。四是更加注重深化医药卫生体制改革的科学性和持续性，加快分级诊疗制度建设，加强医疗、医保、医药的联动改革，加大公立医院改革力度。 </w:t>
      </w:r>
    </w:p>
    <w:p>
      <w:pPr>
        <w:pStyle w:val="4"/>
        <w:pageBreakBefore w:val="0"/>
        <w:widowControl w:val="0"/>
        <w:shd w:val="clear"/>
        <w:suppressAutoHyphens/>
        <w:kinsoku/>
        <w:wordWrap/>
        <w:overflowPunct/>
        <w:topLinePunct w:val="0"/>
        <w:autoSpaceDE/>
        <w:autoSpaceDN/>
        <w:bidi w:val="0"/>
        <w:adjustRightInd w:val="0"/>
        <w:snapToGrid w:val="0"/>
        <w:spacing w:before="30" w:beforeLines="0" w:after="0" w:line="520" w:lineRule="exact"/>
        <w:ind w:firstLine="665" w:firstLineChars="208"/>
        <w:textAlignment w:val="auto"/>
        <w:outlineLvl w:val="1"/>
        <w:rPr>
          <w:rFonts w:hint="eastAsia" w:ascii="楷体_GB2312" w:hAnsi="Times New Roman" w:eastAsia="楷体_GB2312" w:cs="Times New Roman"/>
          <w:bCs/>
          <w:color w:val="000000"/>
          <w:kern w:val="0"/>
          <w:sz w:val="32"/>
          <w:szCs w:val="32"/>
          <w:highlight w:val="none"/>
        </w:rPr>
      </w:pPr>
      <w:bookmarkStart w:id="6" w:name="_Toc32533"/>
      <w:bookmarkStart w:id="7" w:name="_Toc26268"/>
      <w:r>
        <w:rPr>
          <w:rFonts w:hint="eastAsia" w:ascii="楷体_GB2312" w:hAnsi="Times New Roman" w:eastAsia="楷体_GB2312" w:cs="Times New Roman"/>
          <w:bCs/>
          <w:color w:val="000000"/>
          <w:kern w:val="0"/>
          <w:sz w:val="32"/>
          <w:szCs w:val="32"/>
          <w:highlight w:val="none"/>
        </w:rPr>
        <w:t>（二）广元市卫生健康委员会</w:t>
      </w:r>
      <w:r>
        <w:rPr>
          <w:rFonts w:hint="eastAsia" w:ascii="楷体_GB2312" w:hAnsi="Times New Roman" w:eastAsia="楷体_GB2312" w:cs="Times New Roman"/>
          <w:bCs/>
          <w:color w:val="000000"/>
          <w:kern w:val="0"/>
          <w:sz w:val="32"/>
          <w:szCs w:val="32"/>
          <w:highlight w:val="none"/>
          <w:lang w:val="en-US"/>
        </w:rPr>
        <w:t>2024</w:t>
      </w:r>
      <w:r>
        <w:rPr>
          <w:rFonts w:hint="eastAsia" w:ascii="楷体_GB2312" w:hAnsi="Times New Roman" w:eastAsia="楷体_GB2312" w:cs="Times New Roman"/>
          <w:bCs/>
          <w:color w:val="000000"/>
          <w:kern w:val="0"/>
          <w:sz w:val="32"/>
          <w:szCs w:val="32"/>
          <w:highlight w:val="none"/>
        </w:rPr>
        <w:t>年重点工作</w:t>
      </w:r>
      <w:bookmarkEnd w:id="6"/>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left="0" w:leftChars="0" w:firstLine="732" w:firstLineChars="229"/>
        <w:textAlignment w:val="auto"/>
        <w:rPr>
          <w:rFonts w:hint="default"/>
          <w:highlight w:val="none"/>
          <w:lang w:eastAsia="zh-CN"/>
        </w:rPr>
      </w:pPr>
      <w:r>
        <w:rPr>
          <w:rFonts w:hint="eastAsia" w:ascii="楷体_GB2312" w:hAnsi="楷体_GB2312" w:eastAsia="楷体_GB2312" w:cs="楷体_GB2312"/>
          <w:b w:val="0"/>
          <w:bCs w:val="0"/>
          <w:sz w:val="32"/>
          <w:szCs w:val="32"/>
          <w:highlight w:val="none"/>
          <w:lang w:val="en-US" w:eastAsia="zh-CN"/>
        </w:rPr>
        <w:t>1.</w:t>
      </w:r>
      <w:r>
        <w:rPr>
          <w:rFonts w:hint="default" w:ascii="楷体_GB2312" w:hAnsi="楷体_GB2312" w:eastAsia="楷体_GB2312" w:cs="楷体_GB2312"/>
          <w:b w:val="0"/>
          <w:bCs w:val="0"/>
          <w:sz w:val="32"/>
          <w:szCs w:val="32"/>
          <w:highlight w:val="none"/>
          <w:lang w:eastAsia="zh-CN"/>
        </w:rPr>
        <w:t>推动优质资源扩容下沉。</w:t>
      </w:r>
      <w:r>
        <w:rPr>
          <w:rFonts w:hint="default" w:ascii="仿宋_GB2312" w:hAnsi="仿宋_GB2312" w:eastAsia="仿宋_GB2312" w:cs="仿宋_GB2312"/>
          <w:snapToGrid w:val="0"/>
          <w:color w:val="000000"/>
          <w:kern w:val="0"/>
          <w:sz w:val="32"/>
          <w:szCs w:val="32"/>
          <w:highlight w:val="none"/>
          <w:lang w:eastAsia="zh-CN" w:bidi="ar"/>
        </w:rPr>
        <w:t>抢</w:t>
      </w:r>
      <w:r>
        <w:rPr>
          <w:rFonts w:hint="eastAsia" w:ascii="仿宋_GB2312" w:hAnsi="仿宋_GB2312" w:eastAsia="仿宋_GB2312" w:cs="仿宋_GB2312"/>
          <w:snapToGrid w:val="0"/>
          <w:color w:val="000000"/>
          <w:kern w:val="0"/>
          <w:sz w:val="32"/>
          <w:szCs w:val="32"/>
          <w:highlight w:val="none"/>
          <w:lang w:eastAsia="zh-CN" w:bidi="ar"/>
        </w:rPr>
        <w:t>抓</w:t>
      </w:r>
      <w:r>
        <w:rPr>
          <w:rFonts w:hint="default" w:ascii="仿宋_GB2312" w:hAnsi="仿宋_GB2312" w:eastAsia="仿宋_GB2312" w:cs="仿宋_GB2312"/>
          <w:snapToGrid w:val="0"/>
          <w:color w:val="000000"/>
          <w:kern w:val="0"/>
          <w:sz w:val="32"/>
          <w:szCs w:val="32"/>
          <w:highlight w:val="none"/>
          <w:lang w:eastAsia="zh-CN" w:bidi="ar"/>
        </w:rPr>
        <w:t>国家区域医疗中心建设机遇，加强与输出医院沟通对接</w:t>
      </w:r>
      <w:r>
        <w:rPr>
          <w:rFonts w:hint="eastAsia" w:ascii="仿宋_GB2312" w:hAnsi="仿宋_GB2312" w:eastAsia="仿宋_GB2312" w:cs="仿宋_GB2312"/>
          <w:snapToGrid w:val="0"/>
          <w:color w:val="000000"/>
          <w:kern w:val="0"/>
          <w:sz w:val="32"/>
          <w:szCs w:val="32"/>
          <w:highlight w:val="none"/>
          <w:lang w:eastAsia="zh-CN" w:bidi="ar"/>
        </w:rPr>
        <w:t>，</w:t>
      </w:r>
      <w:r>
        <w:rPr>
          <w:rFonts w:hint="default" w:ascii="仿宋_GB2312" w:hAnsi="仿宋_GB2312" w:eastAsia="仿宋_GB2312" w:cs="仿宋_GB2312"/>
          <w:snapToGrid w:val="0"/>
          <w:color w:val="000000"/>
          <w:kern w:val="0"/>
          <w:sz w:val="32"/>
          <w:szCs w:val="32"/>
          <w:highlight w:val="none"/>
          <w:lang w:eastAsia="zh-CN" w:bidi="ar"/>
        </w:rPr>
        <w:t>全力争取</w:t>
      </w:r>
      <w:r>
        <w:rPr>
          <w:rFonts w:hint="default" w:ascii="仿宋_GB2312" w:eastAsia="仿宋_GB2312" w:cs="仿宋_GB2312"/>
          <w:snapToGrid w:val="0"/>
          <w:color w:val="000000"/>
          <w:kern w:val="0"/>
          <w:sz w:val="32"/>
          <w:szCs w:val="32"/>
          <w:highlight w:val="none"/>
          <w:lang w:eastAsia="zh-CN" w:bidi="ar"/>
        </w:rPr>
        <w:t>国家区域医疗中心落户广元。积极争创省区域医疗中心，推动建设省癌症、心血管病、精神区域医疗中心。加快推动重点项目建设，有序推进</w:t>
      </w:r>
      <w:r>
        <w:rPr>
          <w:rFonts w:hint="eastAsia" w:ascii="仿宋_GB2312" w:hAnsi="仿宋_GB2312" w:eastAsia="仿宋_GB2312" w:cs="仿宋_GB2312"/>
          <w:color w:val="auto"/>
          <w:sz w:val="32"/>
          <w:szCs w:val="32"/>
          <w:highlight w:val="none"/>
          <w:shd w:val="clear" w:color="auto" w:fill="auto"/>
          <w:lang w:val="en-US" w:eastAsia="zh-CN"/>
        </w:rPr>
        <w:t>市中医医院门诊住院综合楼</w:t>
      </w:r>
      <w:r>
        <w:rPr>
          <w:rFonts w:hint="default"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市精神卫生中心综合康复楼</w:t>
      </w:r>
      <w:r>
        <w:rPr>
          <w:rFonts w:hint="default" w:ascii="仿宋_GB2312" w:hAnsi="仿宋_GB2312" w:eastAsia="仿宋_GB2312" w:cs="仿宋_GB2312"/>
          <w:color w:val="auto"/>
          <w:sz w:val="32"/>
          <w:szCs w:val="32"/>
          <w:highlight w:val="none"/>
          <w:shd w:val="clear" w:color="auto" w:fill="auto"/>
          <w:lang w:eastAsia="zh-CN"/>
        </w:rPr>
        <w:t>、市第一人民医院三江新区医院、市第三人民医院传染病院区改扩建项目、广元万缘医院购置项目，支持高水平医院合理规划建设多院区、多中心。实施好临床专科能力建设计划，持续推进6个省级临床专科建设。积极推进健康四川示范县建设，支持符合条件的县</w:t>
      </w:r>
      <w:r>
        <w:rPr>
          <w:rFonts w:hint="eastAsia" w:ascii="仿宋_GB2312" w:hAnsi="仿宋_GB2312" w:eastAsia="仿宋_GB2312" w:cs="仿宋_GB2312"/>
          <w:color w:val="auto"/>
          <w:sz w:val="32"/>
          <w:szCs w:val="32"/>
          <w:highlight w:val="none"/>
          <w:shd w:val="clear" w:color="auto" w:fill="auto"/>
          <w:lang w:eastAsia="zh-CN"/>
        </w:rPr>
        <w:t>（</w:t>
      </w:r>
      <w:r>
        <w:rPr>
          <w:rFonts w:hint="default" w:ascii="仿宋_GB2312" w:hAnsi="仿宋_GB2312" w:eastAsia="仿宋_GB2312" w:cs="仿宋_GB2312"/>
          <w:color w:val="auto"/>
          <w:sz w:val="32"/>
          <w:szCs w:val="32"/>
          <w:highlight w:val="none"/>
          <w:shd w:val="clear" w:color="auto" w:fill="auto"/>
          <w:lang w:eastAsia="zh-CN"/>
        </w:rPr>
        <w:t>区)申报创建健康四川示范县。</w:t>
      </w:r>
    </w:p>
    <w:p>
      <w:pPr>
        <w:keepNext w:val="0"/>
        <w:keepLines w:val="0"/>
        <w:pageBreakBefore w:val="0"/>
        <w:widowControl w:val="0"/>
        <w:shd w:val="clear"/>
        <w:kinsoku/>
        <w:wordWrap/>
        <w:overflowPunct/>
        <w:topLinePunct w:val="0"/>
        <w:autoSpaceDE/>
        <w:autoSpaceDN/>
        <w:bidi w:val="0"/>
        <w:adjustRightInd/>
        <w:snapToGrid/>
        <w:spacing w:line="576" w:lineRule="exact"/>
        <w:ind w:left="0" w:leftChars="0" w:firstLine="732" w:firstLineChars="229"/>
        <w:textAlignment w:val="auto"/>
        <w:rPr>
          <w:rFonts w:hint="eastAsia" w:ascii="仿宋_GB2312" w:hAnsi="仿宋_GB2312" w:eastAsia="仿宋_GB2312" w:cs="仿宋_GB2312"/>
          <w:bCs/>
          <w:snapToGrid w:val="0"/>
          <w:color w:val="000000"/>
          <w:sz w:val="32"/>
          <w:szCs w:val="32"/>
          <w:highlight w:val="none"/>
          <w:lang w:eastAsia="zh-CN" w:bidi="ar-SA"/>
        </w:rPr>
      </w:pPr>
      <w:r>
        <w:rPr>
          <w:rFonts w:hint="eastAsia" w:ascii="楷体_GB2312" w:hAnsi="楷体_GB2312" w:eastAsia="楷体_GB2312" w:cs="楷体_GB2312"/>
          <w:b w:val="0"/>
          <w:bCs w:val="0"/>
          <w:sz w:val="32"/>
          <w:szCs w:val="32"/>
          <w:highlight w:val="none"/>
          <w:lang w:val="en-US" w:eastAsia="zh-CN"/>
        </w:rPr>
        <w:t>2.</w:t>
      </w:r>
      <w:r>
        <w:rPr>
          <w:rFonts w:hint="default" w:ascii="楷体_GB2312" w:hAnsi="楷体_GB2312" w:eastAsia="楷体_GB2312" w:cs="楷体_GB2312"/>
          <w:b w:val="0"/>
          <w:bCs w:val="0"/>
          <w:sz w:val="32"/>
          <w:szCs w:val="32"/>
          <w:highlight w:val="none"/>
          <w:lang w:eastAsia="zh-CN"/>
        </w:rPr>
        <w:t>深化医药卫生体制改革。</w:t>
      </w:r>
      <w:r>
        <w:rPr>
          <w:rFonts w:hint="default" w:ascii="仿宋_GB2312" w:eastAsia="仿宋_GB2312" w:cs="仿宋_GB2312"/>
          <w:snapToGrid w:val="0"/>
          <w:color w:val="000000"/>
          <w:kern w:val="0"/>
          <w:sz w:val="32"/>
          <w:szCs w:val="32"/>
          <w:highlight w:val="none"/>
          <w:lang w:eastAsia="zh-CN" w:bidi="ar"/>
        </w:rPr>
        <w:t>推动公立医院高质量发展。支持医疗机构开展公立医院高质量发展省级试点，建设高水平医院。扎实开展紧密型城市医疗集团试点，</w:t>
      </w:r>
      <w:r>
        <w:rPr>
          <w:rFonts w:hint="eastAsia" w:ascii="仿宋_GB2312" w:hAnsi="仿宋_GB2312" w:eastAsia="仿宋_GB2312" w:cs="仿宋_GB2312"/>
          <w:bCs/>
          <w:snapToGrid w:val="0"/>
          <w:color w:val="000000"/>
          <w:sz w:val="32"/>
          <w:szCs w:val="32"/>
          <w:highlight w:val="none"/>
          <w:lang w:eastAsia="zh-CN" w:bidi="ar-SA"/>
        </w:rPr>
        <w:t>6个县区全面启动紧密型县域医共体建设，</w:t>
      </w:r>
      <w:r>
        <w:rPr>
          <w:rFonts w:hint="default" w:ascii="仿宋_GB2312" w:hAnsi="仿宋_GB2312" w:eastAsia="仿宋_GB2312" w:cs="仿宋_GB2312"/>
          <w:bCs/>
          <w:snapToGrid w:val="0"/>
          <w:color w:val="000000"/>
          <w:sz w:val="32"/>
          <w:szCs w:val="32"/>
          <w:highlight w:val="none"/>
          <w:lang w:eastAsia="zh-CN" w:bidi="ar-SA"/>
        </w:rPr>
        <w:t>鼓励县区先行先试，</w:t>
      </w:r>
      <w:r>
        <w:rPr>
          <w:rFonts w:hint="eastAsia" w:ascii="仿宋_GB2312" w:hAnsi="仿宋_GB2312" w:eastAsia="仿宋_GB2312" w:cs="仿宋_GB2312"/>
          <w:bCs/>
          <w:snapToGrid w:val="0"/>
          <w:color w:val="000000"/>
          <w:sz w:val="32"/>
          <w:szCs w:val="32"/>
          <w:highlight w:val="none"/>
          <w:lang w:eastAsia="zh-CN" w:bidi="ar-SA"/>
        </w:rPr>
        <w:t>逐步实现行政、人事、财务、业务</w:t>
      </w:r>
      <w:r>
        <w:rPr>
          <w:rFonts w:hint="default" w:ascii="仿宋_GB2312" w:hAnsi="仿宋_GB2312" w:eastAsia="仿宋_GB2312" w:cs="仿宋_GB2312"/>
          <w:bCs/>
          <w:snapToGrid w:val="0"/>
          <w:color w:val="000000"/>
          <w:sz w:val="32"/>
          <w:szCs w:val="32"/>
          <w:highlight w:val="none"/>
          <w:lang w:eastAsia="zh-CN" w:bidi="ar-SA"/>
        </w:rPr>
        <w:t>等</w:t>
      </w:r>
      <w:r>
        <w:rPr>
          <w:rFonts w:hint="eastAsia" w:ascii="仿宋_GB2312" w:hAnsi="仿宋_GB2312" w:eastAsia="仿宋_GB2312" w:cs="仿宋_GB2312"/>
          <w:bCs/>
          <w:snapToGrid w:val="0"/>
          <w:color w:val="000000"/>
          <w:sz w:val="32"/>
          <w:szCs w:val="32"/>
          <w:highlight w:val="none"/>
          <w:lang w:eastAsia="zh-CN" w:bidi="ar-SA"/>
        </w:rPr>
        <w:t>“八统一”</w:t>
      </w:r>
      <w:r>
        <w:rPr>
          <w:rFonts w:hint="default" w:ascii="仿宋_GB2312" w:hAnsi="仿宋_GB2312" w:eastAsia="仿宋_GB2312" w:cs="仿宋_GB2312"/>
          <w:bCs/>
          <w:snapToGrid w:val="0"/>
          <w:color w:val="000000"/>
          <w:sz w:val="32"/>
          <w:szCs w:val="32"/>
          <w:highlight w:val="none"/>
          <w:lang w:eastAsia="zh-CN" w:bidi="ar-SA"/>
        </w:rPr>
        <w:t>模式，</w:t>
      </w:r>
      <w:r>
        <w:rPr>
          <w:rFonts w:hint="eastAsia" w:ascii="仿宋_GB2312" w:hAnsi="仿宋_GB2312" w:eastAsia="仿宋_GB2312" w:cs="仿宋_GB2312"/>
          <w:bCs/>
          <w:snapToGrid w:val="0"/>
          <w:color w:val="000000"/>
          <w:sz w:val="32"/>
          <w:szCs w:val="32"/>
          <w:highlight w:val="none"/>
          <w:lang w:eastAsia="zh-CN" w:bidi="ar-SA"/>
        </w:rPr>
        <w:t>促进市域优质医疗资源扩容和县域均衡布局。深化公立医院薪酬制度改革，合理确定内部薪酬结构</w:t>
      </w:r>
      <w:r>
        <w:rPr>
          <w:rFonts w:hint="default" w:ascii="仿宋_GB2312" w:hAnsi="仿宋_GB2312" w:eastAsia="仿宋_GB2312" w:cs="仿宋_GB2312"/>
          <w:bCs/>
          <w:snapToGrid w:val="0"/>
          <w:color w:val="000000"/>
          <w:sz w:val="32"/>
          <w:szCs w:val="32"/>
          <w:highlight w:val="none"/>
          <w:lang w:eastAsia="zh-CN" w:bidi="ar-SA"/>
        </w:rPr>
        <w:t>。</w:t>
      </w:r>
      <w:r>
        <w:rPr>
          <w:rFonts w:hint="eastAsia" w:ascii="仿宋_GB2312" w:hAnsi="仿宋_GB2312" w:eastAsia="仿宋_GB2312" w:cs="仿宋_GB2312"/>
          <w:bCs/>
          <w:snapToGrid w:val="0"/>
          <w:color w:val="000000"/>
          <w:sz w:val="32"/>
          <w:szCs w:val="32"/>
          <w:highlight w:val="none"/>
          <w:lang w:eastAsia="zh-CN" w:bidi="ar-SA"/>
        </w:rPr>
        <w:t>结合国家</w:t>
      </w:r>
      <w:r>
        <w:rPr>
          <w:rFonts w:hint="default" w:ascii="仿宋_GB2312" w:hAnsi="仿宋_GB2312" w:eastAsia="仿宋_GB2312" w:cs="仿宋_GB2312"/>
          <w:bCs/>
          <w:snapToGrid w:val="0"/>
          <w:color w:val="000000"/>
          <w:sz w:val="32"/>
          <w:szCs w:val="32"/>
          <w:highlight w:val="none"/>
          <w:lang w:eastAsia="zh-CN" w:bidi="ar-SA"/>
        </w:rPr>
        <w:t>、省</w:t>
      </w:r>
      <w:r>
        <w:rPr>
          <w:rFonts w:hint="eastAsia" w:ascii="仿宋_GB2312" w:hAnsi="仿宋_GB2312" w:eastAsia="仿宋_GB2312" w:cs="仿宋_GB2312"/>
          <w:bCs/>
          <w:snapToGrid w:val="0"/>
          <w:color w:val="000000"/>
          <w:sz w:val="32"/>
          <w:szCs w:val="32"/>
          <w:highlight w:val="none"/>
          <w:lang w:eastAsia="zh-CN" w:bidi="ar-SA"/>
        </w:rPr>
        <w:t>公立医院绩效考核，开展公立医院高质量发展监测评估和绩效考核，建立定期调度机制。</w:t>
      </w:r>
    </w:p>
    <w:p>
      <w:pPr>
        <w:keepNext w:val="0"/>
        <w:keepLines w:val="0"/>
        <w:pageBreakBefore w:val="0"/>
        <w:widowControl w:val="0"/>
        <w:shd w:val="clear"/>
        <w:kinsoku/>
        <w:wordWrap/>
        <w:overflowPunct/>
        <w:topLinePunct w:val="0"/>
        <w:autoSpaceDE/>
        <w:autoSpaceDN/>
        <w:bidi w:val="0"/>
        <w:adjustRightInd/>
        <w:snapToGrid/>
        <w:spacing w:line="576" w:lineRule="exact"/>
        <w:ind w:left="0" w:leftChars="0" w:firstLine="732" w:firstLineChars="229"/>
        <w:textAlignment w:val="auto"/>
        <w:rPr>
          <w:rFonts w:hint="default" w:ascii="Times New Roman" w:hAnsi="Times New Roman" w:eastAsia="仿宋_GB2312" w:cs="Times New Roman"/>
          <w:b w:val="0"/>
          <w:bCs w:val="0"/>
          <w:color w:val="auto"/>
          <w:kern w:val="2"/>
          <w:sz w:val="32"/>
          <w:szCs w:val="32"/>
          <w:highlight w:val="none"/>
          <w:lang w:eastAsia="zh-CN" w:bidi="ar"/>
        </w:rPr>
      </w:pPr>
      <w:r>
        <w:rPr>
          <w:rFonts w:hint="eastAsia" w:ascii="楷体_GB2312" w:hAnsi="楷体_GB2312" w:eastAsia="楷体_GB2312" w:cs="楷体_GB2312"/>
          <w:b w:val="0"/>
          <w:bCs w:val="0"/>
          <w:sz w:val="32"/>
          <w:szCs w:val="32"/>
          <w:highlight w:val="none"/>
          <w:lang w:val="en-US" w:eastAsia="zh-CN"/>
        </w:rPr>
        <w:t>3.</w:t>
      </w:r>
      <w:r>
        <w:rPr>
          <w:rFonts w:hint="default" w:ascii="楷体_GB2312" w:hAnsi="楷体_GB2312" w:eastAsia="楷体_GB2312" w:cs="楷体_GB2312"/>
          <w:b w:val="0"/>
          <w:bCs w:val="0"/>
          <w:sz w:val="32"/>
          <w:szCs w:val="32"/>
          <w:highlight w:val="none"/>
          <w:lang w:eastAsia="zh-CN"/>
        </w:rPr>
        <w:t>推进公共卫生体系建设。</w:t>
      </w:r>
      <w:r>
        <w:rPr>
          <w:rFonts w:hint="default" w:ascii="仿宋_GB2312" w:hAnsi="仿宋_GB2312" w:eastAsia="仿宋_GB2312" w:cs="仿宋_GB2312"/>
          <w:bCs/>
          <w:snapToGrid w:val="0"/>
          <w:color w:val="000000"/>
          <w:sz w:val="32"/>
          <w:szCs w:val="32"/>
          <w:highlight w:val="none"/>
          <w:lang w:eastAsia="zh-CN" w:bidi="ar-SA"/>
        </w:rPr>
        <w:t>推动实施市第三人民医院传染病院区改扩建项目建设，提升传染病救治能力。优化完善疾病预防控制机构职能设置，加强疾病预防控制机构能力建设，支持县区疾控机构等级建设。</w:t>
      </w:r>
      <w:r>
        <w:rPr>
          <w:rFonts w:hint="eastAsia" w:ascii="Times New Roman" w:hAnsi="Times New Roman" w:eastAsia="仿宋_GB2312" w:cs="Times New Roman"/>
          <w:b w:val="0"/>
          <w:bCs w:val="0"/>
          <w:color w:val="auto"/>
          <w:kern w:val="2"/>
          <w:sz w:val="32"/>
          <w:szCs w:val="32"/>
          <w:highlight w:val="none"/>
          <w:lang w:val="en-US" w:eastAsia="zh-CN" w:bidi="ar"/>
        </w:rPr>
        <w:t>全面完成遏制结核病四年行动、遏制艾滋病传播三年行动工作。实施消除丙型肝炎公共卫生危害行动。高质量推进健康广元建设，深入实施健康广元行动</w:t>
      </w:r>
      <w:r>
        <w:rPr>
          <w:rFonts w:hint="default" w:ascii="Times New Roman" w:hAnsi="Times New Roman" w:eastAsia="仿宋_GB2312" w:cs="Times New Roman"/>
          <w:b w:val="0"/>
          <w:bCs w:val="0"/>
          <w:color w:val="auto"/>
          <w:kern w:val="2"/>
          <w:sz w:val="32"/>
          <w:szCs w:val="32"/>
          <w:highlight w:val="none"/>
          <w:lang w:eastAsia="zh-CN" w:bidi="ar"/>
        </w:rPr>
        <w:t>。</w:t>
      </w:r>
    </w:p>
    <w:p>
      <w:pPr>
        <w:keepNext w:val="0"/>
        <w:keepLines w:val="0"/>
        <w:pageBreakBefore w:val="0"/>
        <w:widowControl w:val="0"/>
        <w:shd w:val="clear"/>
        <w:kinsoku/>
        <w:wordWrap/>
        <w:overflowPunct/>
        <w:topLinePunct w:val="0"/>
        <w:autoSpaceDE/>
        <w:autoSpaceDN/>
        <w:bidi w:val="0"/>
        <w:adjustRightInd/>
        <w:snapToGrid/>
        <w:spacing w:line="576" w:lineRule="exact"/>
        <w:ind w:left="0" w:leftChars="0" w:firstLine="732" w:firstLineChars="229"/>
        <w:textAlignment w:val="auto"/>
        <w:rPr>
          <w:rFonts w:hint="default" w:ascii="仿宋_GB2312" w:eastAsia="仿宋_GB2312" w:cs="仿宋_GB2312"/>
          <w:snapToGrid w:val="0"/>
          <w:color w:val="000000"/>
          <w:kern w:val="0"/>
          <w:sz w:val="32"/>
          <w:szCs w:val="32"/>
          <w:highlight w:val="none"/>
          <w:lang w:eastAsia="zh-CN" w:bidi="ar"/>
        </w:rPr>
      </w:pPr>
      <w:r>
        <w:rPr>
          <w:rFonts w:hint="eastAsia" w:ascii="楷体_GB2312" w:hAnsi="楷体_GB2312" w:eastAsia="楷体_GB2312" w:cs="楷体_GB2312"/>
          <w:b w:val="0"/>
          <w:bCs w:val="0"/>
          <w:sz w:val="32"/>
          <w:szCs w:val="32"/>
          <w:highlight w:val="none"/>
          <w:lang w:val="en-US" w:eastAsia="zh-CN"/>
        </w:rPr>
        <w:t>4.</w:t>
      </w:r>
      <w:r>
        <w:rPr>
          <w:rFonts w:hint="default" w:ascii="楷体_GB2312" w:hAnsi="楷体_GB2312" w:eastAsia="楷体_GB2312" w:cs="楷体_GB2312"/>
          <w:b w:val="0"/>
          <w:bCs w:val="0"/>
          <w:sz w:val="32"/>
          <w:szCs w:val="32"/>
          <w:highlight w:val="none"/>
          <w:lang w:eastAsia="zh-CN"/>
        </w:rPr>
        <w:t>提升人口发展服务水平</w:t>
      </w:r>
      <w:r>
        <w:rPr>
          <w:rFonts w:hint="default" w:ascii="Times New Roman" w:hAnsi="Times New Roman" w:eastAsia="仿宋_GB2312" w:cs="Times New Roman"/>
          <w:b w:val="0"/>
          <w:bCs w:val="0"/>
          <w:color w:val="auto"/>
          <w:kern w:val="2"/>
          <w:sz w:val="32"/>
          <w:szCs w:val="32"/>
          <w:highlight w:val="none"/>
          <w:lang w:eastAsia="zh-CN" w:bidi="ar"/>
        </w:rPr>
        <w:t>。细化出台优化生育政策促进人口长期均衡发展工作措施，持续开展人口监测调查。加快普惠托育服务机构建设，加快市托育综合服务中心及附属幼儿园建设项目建设，力争新增2000个托位，大力争创全国婴幼儿照护服务示范城市，</w:t>
      </w:r>
      <w:r>
        <w:rPr>
          <w:rFonts w:hint="default" w:ascii="仿宋_GB2312" w:eastAsia="仿宋_GB2312" w:cs="仿宋_GB2312"/>
          <w:snapToGrid w:val="0"/>
          <w:color w:val="000000"/>
          <w:kern w:val="0"/>
          <w:sz w:val="32"/>
          <w:szCs w:val="32"/>
          <w:highlight w:val="none"/>
          <w:lang w:eastAsia="zh-CN" w:bidi="ar"/>
        </w:rPr>
        <w:t>积极申报中央财政支持普惠托育服务发展示范项目。健全老年健康支撑体系，鼓励部分医疗机构转型为康复医院、护理院，推动二级以上综合医院设立老年医学科，实施妇幼保健机构能力提升项目，推动新生儿遗传代谢病筛查市级分中心建设。实施“母婴安全”和“健康儿童”行动提升计划，做好农村适龄妇女“两癌”筛查。</w:t>
      </w:r>
    </w:p>
    <w:p>
      <w:pPr>
        <w:keepNext w:val="0"/>
        <w:keepLines w:val="0"/>
        <w:pageBreakBefore w:val="0"/>
        <w:widowControl w:val="0"/>
        <w:shd w:val="clear"/>
        <w:kinsoku/>
        <w:wordWrap/>
        <w:overflowPunct/>
        <w:topLinePunct w:val="0"/>
        <w:autoSpaceDE/>
        <w:autoSpaceDN/>
        <w:bidi w:val="0"/>
        <w:adjustRightInd/>
        <w:snapToGrid/>
        <w:spacing w:line="576" w:lineRule="exact"/>
        <w:ind w:left="0" w:leftChars="0" w:firstLine="732" w:firstLineChars="229"/>
        <w:textAlignment w:val="auto"/>
        <w:rPr>
          <w:rFonts w:hint="eastAsia" w:ascii="仿宋_GB2312" w:eastAsia="仿宋_GB2312" w:cs="仿宋_GB2312"/>
          <w:snapToGrid w:val="0"/>
          <w:color w:val="000000"/>
          <w:kern w:val="0"/>
          <w:sz w:val="32"/>
          <w:szCs w:val="32"/>
          <w:highlight w:val="none"/>
          <w:lang w:val="en-US" w:eastAsia="zh-CN" w:bidi="ar"/>
        </w:rPr>
      </w:pPr>
      <w:r>
        <w:rPr>
          <w:rFonts w:hint="eastAsia" w:ascii="楷体_GB2312" w:hAnsi="楷体_GB2312" w:eastAsia="楷体_GB2312" w:cs="楷体_GB2312"/>
          <w:b w:val="0"/>
          <w:bCs w:val="0"/>
          <w:sz w:val="32"/>
          <w:szCs w:val="32"/>
          <w:highlight w:val="none"/>
          <w:lang w:val="en-US" w:eastAsia="zh-CN"/>
        </w:rPr>
        <w:t>5.</w:t>
      </w:r>
      <w:r>
        <w:rPr>
          <w:rFonts w:hint="default" w:ascii="楷体_GB2312" w:hAnsi="楷体_GB2312" w:eastAsia="楷体_GB2312" w:cs="楷体_GB2312"/>
          <w:b w:val="0"/>
          <w:bCs w:val="0"/>
          <w:sz w:val="32"/>
          <w:szCs w:val="32"/>
          <w:highlight w:val="none"/>
          <w:lang w:val="en-US" w:eastAsia="zh-CN"/>
        </w:rPr>
        <w:t>促进中医药传承创新发展。</w:t>
      </w:r>
      <w:r>
        <w:rPr>
          <w:rFonts w:hint="eastAsia" w:ascii="仿宋_GB2312" w:eastAsia="仿宋_GB2312" w:cs="仿宋_GB2312"/>
          <w:snapToGrid w:val="0"/>
          <w:color w:val="000000"/>
          <w:kern w:val="0"/>
          <w:sz w:val="32"/>
          <w:szCs w:val="32"/>
          <w:highlight w:val="none"/>
          <w:lang w:val="en-US" w:eastAsia="zh-CN" w:bidi="ar"/>
        </w:rPr>
        <w:t>扎实推进市中医医院省级区域中医医疗中心建设</w:t>
      </w:r>
      <w:r>
        <w:rPr>
          <w:rFonts w:hint="default" w:ascii="仿宋_GB2312" w:eastAsia="仿宋_GB2312" w:cs="仿宋_GB2312"/>
          <w:snapToGrid w:val="0"/>
          <w:color w:val="000000"/>
          <w:kern w:val="0"/>
          <w:sz w:val="32"/>
          <w:szCs w:val="32"/>
          <w:highlight w:val="none"/>
          <w:lang w:val="en-US" w:eastAsia="zh-CN" w:bidi="ar"/>
        </w:rPr>
        <w:t>。</w:t>
      </w:r>
      <w:r>
        <w:rPr>
          <w:rFonts w:hint="eastAsia" w:ascii="仿宋_GB2312" w:eastAsia="仿宋_GB2312" w:cs="仿宋_GB2312"/>
          <w:snapToGrid w:val="0"/>
          <w:color w:val="000000"/>
          <w:kern w:val="0"/>
          <w:sz w:val="32"/>
          <w:szCs w:val="32"/>
          <w:highlight w:val="none"/>
          <w:lang w:val="en-US" w:eastAsia="zh-CN" w:bidi="ar"/>
        </w:rPr>
        <w:t>加强等级医院建设，推动旺苍县、利州区中医医院创建三乙中医医院。实施中医强基层“百千万”行动，标准化建设20个中医馆。推动创建全国基层中医药工作示范县。推动中医药产业升级</w:t>
      </w:r>
      <w:r>
        <w:rPr>
          <w:rFonts w:hint="eastAsia" w:ascii="仿宋_GB2312" w:eastAsia="仿宋_GB2312" w:cs="仿宋_GB2312"/>
          <w:snapToGrid w:val="0"/>
          <w:color w:val="000000"/>
          <w:kern w:val="0"/>
          <w:sz w:val="32"/>
          <w:szCs w:val="32"/>
          <w:highlight w:val="none"/>
          <w:lang w:val="zh-CN" w:eastAsia="zh-CN" w:bidi="ar"/>
        </w:rPr>
        <w:t>，建设2～3个川产道地药材种子种苗繁育基地和规范化种植（养殖）基地，打造</w:t>
      </w:r>
      <w:r>
        <w:rPr>
          <w:rFonts w:hint="eastAsia" w:ascii="仿宋_GB2312" w:eastAsia="仿宋_GB2312" w:cs="仿宋_GB2312"/>
          <w:snapToGrid w:val="0"/>
          <w:color w:val="000000"/>
          <w:kern w:val="0"/>
          <w:sz w:val="32"/>
          <w:szCs w:val="32"/>
          <w:highlight w:val="none"/>
          <w:lang w:val="en-US" w:eastAsia="zh-CN" w:bidi="ar"/>
        </w:rPr>
        <w:t>1-2</w:t>
      </w:r>
      <w:r>
        <w:rPr>
          <w:rFonts w:hint="eastAsia" w:ascii="仿宋_GB2312" w:eastAsia="仿宋_GB2312" w:cs="仿宋_GB2312"/>
          <w:snapToGrid w:val="0"/>
          <w:color w:val="000000"/>
          <w:kern w:val="0"/>
          <w:sz w:val="32"/>
          <w:szCs w:val="32"/>
          <w:highlight w:val="none"/>
          <w:lang w:val="zh-CN" w:eastAsia="zh-CN" w:bidi="ar"/>
        </w:rPr>
        <w:t>个大宗药材标准化生产基地。加强中医药与旅游融合发展，打造</w:t>
      </w:r>
      <w:r>
        <w:rPr>
          <w:rFonts w:hint="eastAsia" w:ascii="仿宋_GB2312" w:eastAsia="仿宋_GB2312" w:cs="仿宋_GB2312"/>
          <w:snapToGrid w:val="0"/>
          <w:color w:val="000000"/>
          <w:kern w:val="0"/>
          <w:sz w:val="32"/>
          <w:szCs w:val="32"/>
          <w:highlight w:val="none"/>
          <w:lang w:val="en-US" w:eastAsia="zh-CN" w:bidi="ar"/>
        </w:rPr>
        <w:t>2</w:t>
      </w:r>
      <w:r>
        <w:rPr>
          <w:rFonts w:hint="eastAsia" w:ascii="仿宋_GB2312" w:eastAsia="仿宋_GB2312" w:cs="仿宋_GB2312"/>
          <w:snapToGrid w:val="0"/>
          <w:color w:val="000000"/>
          <w:kern w:val="0"/>
          <w:sz w:val="32"/>
          <w:szCs w:val="32"/>
          <w:highlight w:val="none"/>
          <w:lang w:val="zh-CN" w:eastAsia="zh-CN" w:bidi="ar"/>
        </w:rPr>
        <w:t>-</w:t>
      </w:r>
      <w:r>
        <w:rPr>
          <w:rFonts w:hint="eastAsia" w:ascii="仿宋_GB2312" w:eastAsia="仿宋_GB2312" w:cs="仿宋_GB2312"/>
          <w:snapToGrid w:val="0"/>
          <w:color w:val="000000"/>
          <w:kern w:val="0"/>
          <w:sz w:val="32"/>
          <w:szCs w:val="32"/>
          <w:highlight w:val="none"/>
          <w:lang w:val="en-US" w:eastAsia="zh-CN" w:bidi="ar"/>
        </w:rPr>
        <w:t>3</w:t>
      </w:r>
      <w:r>
        <w:rPr>
          <w:rFonts w:hint="eastAsia" w:ascii="仿宋_GB2312" w:eastAsia="仿宋_GB2312" w:cs="仿宋_GB2312"/>
          <w:snapToGrid w:val="0"/>
          <w:color w:val="000000"/>
          <w:kern w:val="0"/>
          <w:sz w:val="32"/>
          <w:szCs w:val="32"/>
          <w:highlight w:val="none"/>
          <w:lang w:val="zh-CN" w:eastAsia="zh-CN" w:bidi="ar"/>
        </w:rPr>
        <w:t>条中医药特色精品旅游线路，建设1-2个中医药健康旅游示范基地。实施中医治未病健康促进专项行动，二级以上县级中医医院设立治未病中心</w:t>
      </w:r>
      <w:r>
        <w:rPr>
          <w:rFonts w:hint="default" w:ascii="仿宋_GB2312" w:eastAsia="仿宋_GB2312" w:cs="仿宋_GB2312"/>
          <w:snapToGrid w:val="0"/>
          <w:color w:val="000000"/>
          <w:kern w:val="0"/>
          <w:sz w:val="32"/>
          <w:szCs w:val="32"/>
          <w:highlight w:val="none"/>
          <w:lang w:val="en-US" w:eastAsia="zh-CN" w:bidi="ar"/>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8" w:name="_Toc11461"/>
      <w:bookmarkStart w:id="9" w:name="_Toc8547"/>
      <w:r>
        <w:rPr>
          <w:rFonts w:hint="eastAsia" w:ascii="黑体" w:hAnsi="黑体" w:eastAsia="黑体" w:cs="黑体"/>
          <w:sz w:val="32"/>
          <w:szCs w:val="32"/>
          <w:highlight w:val="none"/>
          <w:lang w:val="en-US" w:eastAsia="zh-CN"/>
        </w:rPr>
        <w:t>二、部门预算单位构成</w:t>
      </w:r>
      <w:bookmarkEnd w:id="8"/>
      <w:bookmarkEnd w:id="9"/>
    </w:p>
    <w:p>
      <w:pPr>
        <w:shd w:val="clear"/>
        <w:ind w:firstLine="640"/>
        <w:rPr>
          <w:rFonts w:hint="eastAsia" w:ascii="仿宋_GB2312" w:eastAsia="仿宋_GB2312"/>
          <w:sz w:val="32"/>
          <w:szCs w:val="32"/>
          <w:highlight w:val="none"/>
          <w:lang w:val="en-US" w:eastAsia="zh-CN"/>
        </w:rPr>
      </w:pPr>
      <w:r>
        <w:rPr>
          <w:rFonts w:hint="eastAsia" w:ascii="仿宋_GB2312" w:eastAsia="仿宋_GB2312"/>
          <w:sz w:val="32"/>
          <w:szCs w:val="32"/>
          <w:highlight w:val="none"/>
        </w:rPr>
        <w:t>广元市卫生健康委员会</w:t>
      </w:r>
      <w:r>
        <w:rPr>
          <w:rFonts w:hint="eastAsia" w:ascii="仿宋_GB2312" w:eastAsia="仿宋_GB2312"/>
          <w:sz w:val="32"/>
          <w:szCs w:val="32"/>
          <w:highlight w:val="none"/>
          <w:lang w:eastAsia="zh-CN"/>
        </w:rPr>
        <w:t>下属二级预算单位</w:t>
      </w:r>
      <w:r>
        <w:rPr>
          <w:rFonts w:hint="eastAsia" w:ascii="仿宋_GB2312" w:eastAsia="仿宋_GB2312"/>
          <w:sz w:val="32"/>
          <w:szCs w:val="32"/>
          <w:highlight w:val="none"/>
          <w:lang w:val="en-US" w:eastAsia="zh-CN"/>
        </w:rPr>
        <w:t>13个，其中行政单位1个、参照公务员法管理的事业单位2个、其他事业单位10个。</w:t>
      </w:r>
    </w:p>
    <w:p>
      <w:pPr>
        <w:shd w:val="clear"/>
        <w:ind w:firstLine="640"/>
        <w:rPr>
          <w:rFonts w:ascii="仿宋_GB2312" w:eastAsia="仿宋_GB2312"/>
          <w:sz w:val="32"/>
          <w:szCs w:val="32"/>
          <w:highlight w:val="none"/>
        </w:rPr>
      </w:pPr>
      <w:r>
        <w:rPr>
          <w:rFonts w:hint="eastAsia" w:ascii="仿宋_GB2312" w:eastAsia="仿宋_GB2312"/>
          <w:sz w:val="32"/>
          <w:szCs w:val="32"/>
          <w:highlight w:val="none"/>
        </w:rPr>
        <w:t>纳入广元市卫生健康委员会</w:t>
      </w:r>
      <w:r>
        <w:rPr>
          <w:rFonts w:hint="eastAsia" w:ascii="仿宋_GB2312" w:eastAsia="仿宋_GB2312"/>
          <w:sz w:val="32"/>
          <w:szCs w:val="32"/>
          <w:highlight w:val="none"/>
          <w:lang w:eastAsia="zh-CN"/>
        </w:rPr>
        <w:t>202</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年部门预算编制范围的二级预算单位包括：</w:t>
      </w:r>
    </w:p>
    <w:p>
      <w:pPr>
        <w:shd w:val="clear"/>
        <w:rPr>
          <w:rFonts w:hint="eastAsia" w:ascii="仿宋_GB2312" w:eastAsia="仿宋_GB2312"/>
          <w:sz w:val="32"/>
          <w:szCs w:val="32"/>
          <w:highlight w:val="none"/>
          <w:lang w:eastAsia="zh-CN"/>
        </w:rPr>
      </w:pPr>
      <w:r>
        <w:rPr>
          <w:rFonts w:hint="eastAsia" w:ascii="仿宋_GB2312" w:eastAsia="仿宋_GB2312"/>
          <w:sz w:val="32"/>
          <w:szCs w:val="32"/>
          <w:highlight w:val="none"/>
        </w:rPr>
        <w:t xml:space="preserve">    1.广元市卫生健康委员会</w:t>
      </w:r>
      <w:r>
        <w:rPr>
          <w:rFonts w:hint="eastAsia" w:ascii="仿宋_GB2312" w:eastAsia="仿宋_GB2312"/>
          <w:sz w:val="32"/>
          <w:szCs w:val="32"/>
          <w:highlight w:val="none"/>
          <w:lang w:eastAsia="zh-CN"/>
        </w:rPr>
        <w:t>机关（含信息中心）</w:t>
      </w:r>
    </w:p>
    <w:p>
      <w:pPr>
        <w:shd w:val="clear"/>
        <w:rPr>
          <w:rFonts w:hint="eastAsia" w:ascii="仿宋_GB2312" w:eastAsia="仿宋_GB2312"/>
          <w:sz w:val="32"/>
          <w:szCs w:val="32"/>
          <w:highlight w:val="none"/>
          <w:lang w:eastAsia="zh-CN"/>
        </w:rPr>
      </w:pPr>
      <w:r>
        <w:rPr>
          <w:rFonts w:hint="eastAsia" w:ascii="仿宋_GB2312" w:eastAsia="仿宋_GB2312"/>
          <w:sz w:val="32"/>
          <w:szCs w:val="32"/>
          <w:highlight w:val="none"/>
        </w:rPr>
        <w:t xml:space="preserve">    2.市妇幼保健</w:t>
      </w:r>
      <w:r>
        <w:rPr>
          <w:rFonts w:hint="eastAsia" w:ascii="仿宋_GB2312" w:eastAsia="仿宋_GB2312"/>
          <w:sz w:val="32"/>
          <w:szCs w:val="32"/>
          <w:highlight w:val="none"/>
          <w:lang w:eastAsia="zh-CN"/>
        </w:rPr>
        <w:t>院</w:t>
      </w:r>
    </w:p>
    <w:p>
      <w:pPr>
        <w:shd w:val="clear"/>
        <w:rPr>
          <w:rFonts w:ascii="仿宋_GB2312" w:eastAsia="仿宋_GB2312"/>
          <w:sz w:val="32"/>
          <w:szCs w:val="32"/>
          <w:highlight w:val="none"/>
        </w:rPr>
      </w:pPr>
      <w:r>
        <w:rPr>
          <w:rFonts w:hint="eastAsia" w:ascii="仿宋_GB2312" w:eastAsia="仿宋_GB2312"/>
          <w:sz w:val="32"/>
          <w:szCs w:val="32"/>
          <w:highlight w:val="none"/>
        </w:rPr>
        <w:t xml:space="preserve">    3.市疾病预防控制中心</w:t>
      </w:r>
    </w:p>
    <w:p>
      <w:pPr>
        <w:shd w:val="clear"/>
        <w:rPr>
          <w:rFonts w:ascii="仿宋_GB2312" w:eastAsia="仿宋_GB2312"/>
          <w:sz w:val="32"/>
          <w:szCs w:val="32"/>
          <w:highlight w:val="none"/>
        </w:rPr>
      </w:pPr>
      <w:r>
        <w:rPr>
          <w:rFonts w:hint="eastAsia" w:ascii="仿宋_GB2312" w:eastAsia="仿宋_GB2312"/>
          <w:sz w:val="32"/>
          <w:szCs w:val="32"/>
          <w:highlight w:val="none"/>
        </w:rPr>
        <w:t xml:space="preserve">    4.市中心医院</w:t>
      </w:r>
    </w:p>
    <w:p>
      <w:pPr>
        <w:shd w:val="clear"/>
        <w:ind w:firstLine="320" w:firstLineChars="100"/>
        <w:rPr>
          <w:rFonts w:ascii="仿宋_GB2312" w:eastAsia="仿宋_GB2312"/>
          <w:sz w:val="32"/>
          <w:szCs w:val="32"/>
          <w:highlight w:val="none"/>
        </w:rPr>
      </w:pPr>
      <w:r>
        <w:rPr>
          <w:rFonts w:hint="eastAsia" w:ascii="仿宋_GB2312" w:eastAsia="仿宋_GB2312"/>
          <w:sz w:val="32"/>
          <w:szCs w:val="32"/>
          <w:highlight w:val="none"/>
        </w:rPr>
        <w:t xml:space="preserve">  5.市中医医院</w:t>
      </w:r>
    </w:p>
    <w:p>
      <w:pPr>
        <w:shd w:val="clear"/>
        <w:rPr>
          <w:rFonts w:ascii="仿宋_GB2312" w:eastAsia="仿宋_GB2312"/>
          <w:sz w:val="32"/>
          <w:szCs w:val="32"/>
          <w:highlight w:val="none"/>
        </w:rPr>
      </w:pPr>
      <w:r>
        <w:rPr>
          <w:rFonts w:hint="eastAsia" w:ascii="仿宋_GB2312" w:eastAsia="仿宋_GB2312"/>
          <w:sz w:val="32"/>
          <w:szCs w:val="32"/>
          <w:highlight w:val="none"/>
        </w:rPr>
        <w:t xml:space="preserve">    6.市第一人民医院</w:t>
      </w:r>
    </w:p>
    <w:p>
      <w:pPr>
        <w:shd w:val="clear"/>
        <w:rPr>
          <w:rFonts w:ascii="仿宋_GB2312" w:eastAsia="仿宋_GB2312"/>
          <w:sz w:val="32"/>
          <w:szCs w:val="32"/>
          <w:highlight w:val="none"/>
        </w:rPr>
      </w:pPr>
      <w:r>
        <w:rPr>
          <w:rFonts w:hint="eastAsia" w:ascii="仿宋_GB2312" w:eastAsia="仿宋_GB2312"/>
          <w:sz w:val="32"/>
          <w:szCs w:val="32"/>
          <w:highlight w:val="none"/>
        </w:rPr>
        <w:t xml:space="preserve">    7.市中心血站</w:t>
      </w:r>
    </w:p>
    <w:p>
      <w:pPr>
        <w:shd w:val="clear"/>
        <w:rPr>
          <w:rFonts w:hint="eastAsia" w:ascii="仿宋_GB2312" w:eastAsia="仿宋_GB2312"/>
          <w:sz w:val="32"/>
          <w:szCs w:val="32"/>
          <w:highlight w:val="none"/>
          <w:lang w:eastAsia="zh-CN"/>
        </w:rPr>
      </w:pPr>
      <w:r>
        <w:rPr>
          <w:rFonts w:hint="eastAsia" w:ascii="仿宋_GB2312" w:eastAsia="仿宋_GB2312"/>
          <w:sz w:val="32"/>
          <w:szCs w:val="32"/>
          <w:highlight w:val="none"/>
        </w:rPr>
        <w:t xml:space="preserve">    </w:t>
      </w:r>
      <w:r>
        <w:rPr>
          <w:rFonts w:hint="eastAsia" w:ascii="仿宋_GB2312" w:eastAsia="仿宋_GB2312"/>
          <w:sz w:val="32"/>
          <w:szCs w:val="32"/>
          <w:highlight w:val="none"/>
          <w:lang w:val="en-US" w:eastAsia="zh-CN"/>
        </w:rPr>
        <w:t>8</w:t>
      </w:r>
      <w:r>
        <w:rPr>
          <w:rFonts w:hint="eastAsia" w:ascii="仿宋_GB2312" w:eastAsia="仿宋_GB2312"/>
          <w:sz w:val="32"/>
          <w:szCs w:val="32"/>
          <w:highlight w:val="none"/>
        </w:rPr>
        <w:t>.市</w:t>
      </w:r>
      <w:r>
        <w:rPr>
          <w:rFonts w:hint="eastAsia" w:ascii="仿宋_GB2312" w:eastAsia="仿宋_GB2312"/>
          <w:sz w:val="32"/>
          <w:szCs w:val="32"/>
          <w:highlight w:val="none"/>
          <w:lang w:eastAsia="zh-CN"/>
        </w:rPr>
        <w:t>精神卫生中心</w:t>
      </w:r>
    </w:p>
    <w:p>
      <w:pPr>
        <w:shd w:val="clear"/>
        <w:rPr>
          <w:rFonts w:ascii="仿宋_GB2312" w:eastAsia="仿宋_GB2312"/>
          <w:sz w:val="32"/>
          <w:szCs w:val="32"/>
          <w:highlight w:val="none"/>
        </w:rPr>
      </w:pPr>
      <w:r>
        <w:rPr>
          <w:rFonts w:hint="eastAsia" w:ascii="仿宋_GB2312" w:eastAsia="仿宋_GB2312"/>
          <w:sz w:val="32"/>
          <w:szCs w:val="32"/>
          <w:highlight w:val="none"/>
        </w:rPr>
        <w:t xml:space="preserve">    </w:t>
      </w:r>
      <w:r>
        <w:rPr>
          <w:rFonts w:hint="eastAsia" w:ascii="仿宋_GB2312" w:eastAsia="仿宋_GB2312"/>
          <w:sz w:val="32"/>
          <w:szCs w:val="32"/>
          <w:highlight w:val="none"/>
          <w:lang w:val="en-US" w:eastAsia="zh-CN"/>
        </w:rPr>
        <w:t>9</w:t>
      </w:r>
      <w:r>
        <w:rPr>
          <w:rFonts w:hint="eastAsia" w:ascii="仿宋_GB2312" w:eastAsia="仿宋_GB2312"/>
          <w:sz w:val="32"/>
          <w:szCs w:val="32"/>
          <w:highlight w:val="none"/>
        </w:rPr>
        <w:t>.市紧急救援中心</w:t>
      </w:r>
    </w:p>
    <w:p>
      <w:pPr>
        <w:shd w:val="clear"/>
        <w:rPr>
          <w:rFonts w:ascii="仿宋_GB2312" w:eastAsia="仿宋_GB2312"/>
          <w:sz w:val="32"/>
          <w:szCs w:val="32"/>
          <w:highlight w:val="none"/>
        </w:rPr>
      </w:pPr>
      <w:r>
        <w:rPr>
          <w:rFonts w:hint="eastAsia" w:ascii="仿宋_GB2312" w:eastAsia="仿宋_GB2312"/>
          <w:sz w:val="32"/>
          <w:szCs w:val="32"/>
          <w:highlight w:val="none"/>
        </w:rPr>
        <w:t xml:space="preserve">    1</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.市计划生育协会</w:t>
      </w:r>
    </w:p>
    <w:p>
      <w:pPr>
        <w:shd w:val="clear"/>
        <w:rPr>
          <w:rFonts w:ascii="仿宋_GB2312" w:eastAsia="仿宋_GB2312"/>
          <w:sz w:val="32"/>
          <w:szCs w:val="32"/>
          <w:highlight w:val="none"/>
        </w:rPr>
      </w:pPr>
      <w:r>
        <w:rPr>
          <w:rFonts w:hint="eastAsia" w:ascii="仿宋_GB2312" w:eastAsia="仿宋_GB2312"/>
          <w:sz w:val="32"/>
          <w:szCs w:val="32"/>
          <w:highlight w:val="none"/>
        </w:rPr>
        <w:t xml:space="preserve">    1</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.市计划生育药品器械管理站</w:t>
      </w:r>
    </w:p>
    <w:p>
      <w:pPr>
        <w:shd w:val="clear"/>
        <w:rPr>
          <w:rFonts w:ascii="仿宋_GB2312" w:eastAsia="仿宋_GB2312"/>
          <w:sz w:val="32"/>
          <w:szCs w:val="32"/>
          <w:highlight w:val="none"/>
        </w:rPr>
      </w:pPr>
      <w:r>
        <w:rPr>
          <w:rFonts w:hint="eastAsia" w:ascii="仿宋_GB2312" w:eastAsia="仿宋_GB2312"/>
          <w:sz w:val="32"/>
          <w:szCs w:val="32"/>
          <w:highlight w:val="none"/>
        </w:rPr>
        <w:t xml:space="preserve">    1</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.市医学技术服务管理中心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eastAsia="仿宋_GB2312"/>
          <w:sz w:val="32"/>
          <w:szCs w:val="32"/>
          <w:highlight w:val="none"/>
        </w:rPr>
        <w:t>1</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市老龄工作委员会办公室</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10" w:name="_Toc10200"/>
      <w:bookmarkStart w:id="11" w:name="_Toc20874"/>
      <w:r>
        <w:rPr>
          <w:rFonts w:hint="eastAsia" w:ascii="黑体" w:hAnsi="黑体" w:eastAsia="黑体" w:cs="黑体"/>
          <w:sz w:val="32"/>
          <w:szCs w:val="32"/>
          <w:highlight w:val="none"/>
          <w:lang w:val="en-US" w:eastAsia="zh-CN"/>
        </w:rPr>
        <w:t>三、收支预算情况说明</w:t>
      </w:r>
      <w:bookmarkEnd w:id="10"/>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按照综合预算的原则，广元市卫生健康委员会所有收入和支出均纳入部门预算管理。收入包括：一般公共预算拨款收入、事业收入、其他收入；支出包括：社会保障和就业支出、卫生健康支出、住房保障支出。广元市卫生健康委员会2024年收支预算总数382302.74万元，比2023年收支预算总数</w:t>
      </w:r>
      <w:r>
        <w:rPr>
          <w:rFonts w:hint="eastAsia" w:ascii="仿宋_GB2312" w:eastAsia="仿宋_GB2312"/>
          <w:sz w:val="32"/>
          <w:szCs w:val="32"/>
          <w:highlight w:val="none"/>
          <w:lang w:val="en-US" w:eastAsia="zh-CN"/>
        </w:rPr>
        <w:t>353391.31</w:t>
      </w:r>
      <w:r>
        <w:rPr>
          <w:rFonts w:hint="eastAsia" w:ascii="仿宋_GB2312" w:eastAsia="仿宋_GB2312"/>
          <w:sz w:val="32"/>
          <w:szCs w:val="32"/>
          <w:highlight w:val="none"/>
        </w:rPr>
        <w:t>万元</w:t>
      </w:r>
      <w:r>
        <w:rPr>
          <w:rFonts w:hint="eastAsia" w:ascii="仿宋_GB2312" w:hAnsi="仿宋_GB2312" w:eastAsia="仿宋_GB2312" w:cs="仿宋_GB2312"/>
          <w:sz w:val="32"/>
          <w:szCs w:val="32"/>
          <w:highlight w:val="none"/>
          <w:lang w:val="en-US" w:eastAsia="zh-CN"/>
        </w:rPr>
        <w:t>增加28911.43万元，主要原因一是疫情结束，公立医院医疗收入有所增长，事业收入有所增加；二是市保健院取消纳入财政非税管理，减少一般公共预算资金安排，增加事业收入。</w:t>
      </w:r>
    </w:p>
    <w:p>
      <w:pPr>
        <w:pStyle w:val="4"/>
        <w:pageBreakBefore w:val="0"/>
        <w:widowControl w:val="0"/>
        <w:shd w:val="clear"/>
        <w:suppressAutoHyphens/>
        <w:kinsoku/>
        <w:wordWrap/>
        <w:overflowPunct/>
        <w:topLinePunct w:val="0"/>
        <w:autoSpaceDE/>
        <w:autoSpaceDN/>
        <w:bidi w:val="0"/>
        <w:adjustRightInd w:val="0"/>
        <w:snapToGrid w:val="0"/>
        <w:spacing w:before="30" w:beforeLines="0" w:after="0" w:line="520" w:lineRule="exact"/>
        <w:ind w:firstLine="665" w:firstLineChars="208"/>
        <w:textAlignment w:val="auto"/>
        <w:outlineLvl w:val="1"/>
        <w:rPr>
          <w:rFonts w:hint="eastAsia" w:ascii="楷体_GB2312" w:hAnsi="Times New Roman" w:eastAsia="楷体_GB2312" w:cs="Times New Roman"/>
          <w:bCs/>
          <w:color w:val="000000"/>
          <w:kern w:val="0"/>
          <w:sz w:val="32"/>
          <w:szCs w:val="32"/>
          <w:highlight w:val="none"/>
          <w:lang w:val="en-US" w:eastAsia="zh-CN"/>
        </w:rPr>
      </w:pPr>
      <w:bookmarkStart w:id="12" w:name="_Toc10186"/>
      <w:bookmarkStart w:id="13" w:name="_Toc26735"/>
      <w:r>
        <w:rPr>
          <w:rFonts w:hint="eastAsia" w:ascii="楷体_GB2312" w:hAnsi="Times New Roman" w:eastAsia="楷体_GB2312" w:cs="Times New Roman"/>
          <w:bCs/>
          <w:color w:val="000000"/>
          <w:kern w:val="0"/>
          <w:sz w:val="32"/>
          <w:szCs w:val="32"/>
          <w:highlight w:val="none"/>
          <w:lang w:val="en-US" w:eastAsia="zh-CN"/>
        </w:rPr>
        <w:t>（一）收入预算情况</w:t>
      </w:r>
      <w:bookmarkEnd w:id="12"/>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广元市卫生健康委员会2024年收入预算382302.74万元，其中：一般公共预算拨款收入14201.84万元，占3.72%；事业收入347625.28万元，占90.93%；其他收入20475.62万元，占5.35%。</w:t>
      </w:r>
    </w:p>
    <w:p>
      <w:pPr>
        <w:pStyle w:val="4"/>
        <w:pageBreakBefore w:val="0"/>
        <w:widowControl w:val="0"/>
        <w:shd w:val="clear"/>
        <w:suppressAutoHyphens/>
        <w:kinsoku/>
        <w:wordWrap/>
        <w:overflowPunct/>
        <w:topLinePunct w:val="0"/>
        <w:autoSpaceDE/>
        <w:autoSpaceDN/>
        <w:bidi w:val="0"/>
        <w:adjustRightInd w:val="0"/>
        <w:snapToGrid w:val="0"/>
        <w:spacing w:before="30" w:beforeLines="0" w:after="0" w:line="520" w:lineRule="exact"/>
        <w:ind w:firstLine="665" w:firstLineChars="208"/>
        <w:textAlignment w:val="auto"/>
        <w:outlineLvl w:val="1"/>
        <w:rPr>
          <w:rFonts w:hint="eastAsia" w:ascii="楷体_GB2312" w:hAnsi="Times New Roman" w:eastAsia="楷体_GB2312" w:cs="Times New Roman"/>
          <w:bCs/>
          <w:color w:val="000000"/>
          <w:kern w:val="0"/>
          <w:sz w:val="32"/>
          <w:szCs w:val="32"/>
          <w:highlight w:val="none"/>
          <w:lang w:val="en-US" w:eastAsia="zh-CN"/>
        </w:rPr>
      </w:pPr>
      <w:bookmarkStart w:id="14" w:name="_Toc10258"/>
      <w:bookmarkStart w:id="15" w:name="_Toc1777"/>
      <w:r>
        <w:rPr>
          <w:rFonts w:hint="eastAsia" w:ascii="楷体_GB2312" w:hAnsi="Times New Roman" w:eastAsia="楷体_GB2312" w:cs="Times New Roman"/>
          <w:bCs/>
          <w:color w:val="000000"/>
          <w:kern w:val="0"/>
          <w:sz w:val="32"/>
          <w:szCs w:val="32"/>
          <w:highlight w:val="none"/>
          <w:lang w:val="en-US" w:eastAsia="zh-CN"/>
        </w:rPr>
        <w:t>（二）支出预算情况</w:t>
      </w:r>
      <w:bookmarkEnd w:id="14"/>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广元市卫生健康委员会2024年支出预算382302.74万元，其中：基本支出153915.66万元，占40.26%；项目支出228387.08万元，占59.74%</w:t>
      </w:r>
      <w:r>
        <w:rPr>
          <w:rFonts w:hint="eastAsia" w:ascii="仿宋_GB2312" w:hAnsi="仿宋_GB2312" w:eastAsia="仿宋_GB2312" w:cs="仿宋_GB2312"/>
          <w:b w:val="0"/>
          <w:bCs w:val="0"/>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16" w:name="_Toc24672"/>
      <w:bookmarkStart w:id="17" w:name="_Toc16826"/>
      <w:r>
        <w:rPr>
          <w:rFonts w:hint="eastAsia" w:ascii="黑体" w:hAnsi="黑体" w:eastAsia="黑体" w:cs="黑体"/>
          <w:sz w:val="32"/>
          <w:szCs w:val="32"/>
          <w:highlight w:val="none"/>
          <w:lang w:val="en-US" w:eastAsia="zh-CN"/>
        </w:rPr>
        <w:t>四、财政拨款收支预算情况说明</w:t>
      </w:r>
      <w:bookmarkEnd w:id="16"/>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广元市卫生健康委员会2024年财政拨款收支预算总数14201.84万元，比2023年财政拨款收支预算总数</w:t>
      </w:r>
      <w:r>
        <w:rPr>
          <w:rFonts w:hint="eastAsia" w:ascii="仿宋_GB2312" w:eastAsia="仿宋_GB2312"/>
          <w:sz w:val="32"/>
          <w:szCs w:val="32"/>
          <w:highlight w:val="none"/>
          <w:lang w:val="en-US" w:eastAsia="zh-CN"/>
        </w:rPr>
        <w:t>21754.28</w:t>
      </w: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万元</w:t>
      </w:r>
      <w:r>
        <w:rPr>
          <w:rFonts w:hint="eastAsia" w:ascii="仿宋_GB2312" w:hAnsi="仿宋_GB2312" w:eastAsia="仿宋_GB2312" w:cs="仿宋_GB2312"/>
          <w:sz w:val="32"/>
          <w:szCs w:val="32"/>
          <w:highlight w:val="none"/>
          <w:lang w:val="en-US" w:eastAsia="zh-CN"/>
        </w:rPr>
        <w:t>减少7552.44万元，主要原因是市保健院取消纳入财政非税管理，减少一般公共预算资金安排。</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收入包括：本年一般公共预算拨款收入14201.84万元；支出包括：社会保障和就业支出697.53万元、卫生健康支出12934.25万元、住房保障支出570.06万元。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18" w:name="_Toc1348"/>
      <w:bookmarkStart w:id="19" w:name="_Toc26903"/>
      <w:r>
        <w:rPr>
          <w:rFonts w:hint="eastAsia" w:ascii="黑体" w:hAnsi="黑体" w:eastAsia="黑体" w:cs="黑体"/>
          <w:sz w:val="32"/>
          <w:szCs w:val="32"/>
          <w:highlight w:val="none"/>
          <w:lang w:val="en-US" w:eastAsia="zh-CN"/>
        </w:rPr>
        <w:t>五、一般公共预算当年拨款情况说明</w:t>
      </w:r>
      <w:bookmarkEnd w:id="18"/>
      <w:bookmarkEnd w:id="19"/>
    </w:p>
    <w:p>
      <w:pPr>
        <w:pStyle w:val="4"/>
        <w:pageBreakBefore w:val="0"/>
        <w:widowControl w:val="0"/>
        <w:shd w:val="clear"/>
        <w:suppressAutoHyphens/>
        <w:kinsoku/>
        <w:wordWrap/>
        <w:overflowPunct/>
        <w:topLinePunct w:val="0"/>
        <w:autoSpaceDE/>
        <w:autoSpaceDN/>
        <w:bidi w:val="0"/>
        <w:adjustRightInd w:val="0"/>
        <w:snapToGrid w:val="0"/>
        <w:spacing w:before="30" w:beforeLines="0" w:after="0" w:line="520" w:lineRule="exact"/>
        <w:ind w:firstLine="665" w:firstLineChars="208"/>
        <w:textAlignment w:val="auto"/>
        <w:outlineLvl w:val="1"/>
        <w:rPr>
          <w:rFonts w:hint="eastAsia" w:ascii="楷体_GB2312" w:hAnsi="Times New Roman" w:eastAsia="楷体_GB2312" w:cs="Times New Roman"/>
          <w:bCs/>
          <w:color w:val="000000"/>
          <w:kern w:val="0"/>
          <w:sz w:val="32"/>
          <w:szCs w:val="32"/>
          <w:highlight w:val="none"/>
          <w:lang w:val="en-US" w:eastAsia="zh-CN"/>
        </w:rPr>
      </w:pPr>
      <w:bookmarkStart w:id="20" w:name="_Toc2695"/>
      <w:bookmarkStart w:id="21" w:name="_Toc21215"/>
      <w:r>
        <w:rPr>
          <w:rFonts w:hint="eastAsia" w:ascii="楷体_GB2312" w:hAnsi="Times New Roman" w:eastAsia="楷体_GB2312" w:cs="Times New Roman"/>
          <w:bCs/>
          <w:color w:val="000000"/>
          <w:kern w:val="0"/>
          <w:sz w:val="32"/>
          <w:szCs w:val="32"/>
          <w:highlight w:val="none"/>
          <w:lang w:val="en-US" w:eastAsia="zh-CN"/>
        </w:rPr>
        <w:t>（一）一般公共预算当年拨款规模变化情况</w:t>
      </w:r>
      <w:bookmarkEnd w:id="20"/>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广元市卫生健康委员会2024年一般公共预算当年拨款14201.84万元，比2023年预算数</w:t>
      </w:r>
      <w:r>
        <w:rPr>
          <w:rFonts w:hint="eastAsia" w:ascii="仿宋_GB2312" w:eastAsia="仿宋_GB2312"/>
          <w:sz w:val="32"/>
          <w:szCs w:val="32"/>
          <w:highlight w:val="none"/>
          <w:lang w:val="en-US" w:eastAsia="zh-CN"/>
        </w:rPr>
        <w:t>21754.28万元</w:t>
      </w:r>
      <w:r>
        <w:rPr>
          <w:rFonts w:hint="eastAsia" w:ascii="仿宋_GB2312" w:hAnsi="仿宋_GB2312" w:eastAsia="仿宋_GB2312" w:cs="仿宋_GB2312"/>
          <w:sz w:val="32"/>
          <w:szCs w:val="32"/>
          <w:highlight w:val="none"/>
          <w:lang w:val="en-US" w:eastAsia="zh-CN"/>
        </w:rPr>
        <w:t>减少7552.44万元，主要原因是市保健院取消纳入财政非税管理，减少一般公共预算资金安排。</w:t>
      </w:r>
    </w:p>
    <w:p>
      <w:pPr>
        <w:pStyle w:val="4"/>
        <w:pageBreakBefore w:val="0"/>
        <w:widowControl w:val="0"/>
        <w:shd w:val="clear"/>
        <w:suppressAutoHyphens/>
        <w:kinsoku/>
        <w:wordWrap/>
        <w:overflowPunct/>
        <w:topLinePunct w:val="0"/>
        <w:autoSpaceDE/>
        <w:autoSpaceDN/>
        <w:bidi w:val="0"/>
        <w:adjustRightInd w:val="0"/>
        <w:snapToGrid w:val="0"/>
        <w:spacing w:before="30" w:beforeLines="0" w:after="0" w:line="520" w:lineRule="exact"/>
        <w:ind w:firstLine="665" w:firstLineChars="208"/>
        <w:textAlignment w:val="auto"/>
        <w:outlineLvl w:val="1"/>
        <w:rPr>
          <w:rFonts w:hint="eastAsia" w:ascii="楷体_GB2312" w:hAnsi="Times New Roman" w:eastAsia="楷体_GB2312" w:cs="Times New Roman"/>
          <w:bCs/>
          <w:color w:val="000000"/>
          <w:kern w:val="0"/>
          <w:sz w:val="32"/>
          <w:szCs w:val="32"/>
          <w:highlight w:val="none"/>
          <w:lang w:val="en-US" w:eastAsia="zh-CN"/>
        </w:rPr>
      </w:pPr>
      <w:bookmarkStart w:id="22" w:name="_Toc17294"/>
      <w:bookmarkStart w:id="23" w:name="_Toc1065"/>
      <w:r>
        <w:rPr>
          <w:rFonts w:hint="eastAsia" w:ascii="楷体_GB2312" w:hAnsi="Times New Roman" w:eastAsia="楷体_GB2312" w:cs="Times New Roman"/>
          <w:bCs/>
          <w:color w:val="000000"/>
          <w:kern w:val="0"/>
          <w:sz w:val="32"/>
          <w:szCs w:val="32"/>
          <w:highlight w:val="none"/>
          <w:lang w:val="en-US" w:eastAsia="zh-CN"/>
        </w:rPr>
        <w:t>（二）一般公共预算当年拨款结构情况</w:t>
      </w:r>
      <w:bookmarkEnd w:id="22"/>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社会保障和就业支出697.53万元，占4.91%；卫生健康支出12934.25万元，占91.08%；住房保障支出570.06万元，占4.01%。</w:t>
      </w:r>
    </w:p>
    <w:p>
      <w:pPr>
        <w:pStyle w:val="4"/>
        <w:pageBreakBefore w:val="0"/>
        <w:widowControl w:val="0"/>
        <w:shd w:val="clear"/>
        <w:suppressAutoHyphens/>
        <w:kinsoku/>
        <w:wordWrap/>
        <w:overflowPunct/>
        <w:topLinePunct w:val="0"/>
        <w:autoSpaceDE/>
        <w:autoSpaceDN/>
        <w:bidi w:val="0"/>
        <w:adjustRightInd w:val="0"/>
        <w:snapToGrid w:val="0"/>
        <w:spacing w:before="30" w:beforeLines="0" w:after="0" w:line="520" w:lineRule="exact"/>
        <w:ind w:firstLine="665" w:firstLineChars="208"/>
        <w:textAlignment w:val="auto"/>
        <w:outlineLvl w:val="1"/>
        <w:rPr>
          <w:rFonts w:hint="eastAsia" w:ascii="楷体_GB2312" w:hAnsi="Times New Roman" w:eastAsia="楷体_GB2312" w:cs="Times New Roman"/>
          <w:bCs/>
          <w:color w:val="000000"/>
          <w:kern w:val="0"/>
          <w:sz w:val="32"/>
          <w:szCs w:val="32"/>
          <w:highlight w:val="none"/>
          <w:lang w:val="en-US" w:eastAsia="zh-CN"/>
        </w:rPr>
      </w:pPr>
      <w:bookmarkStart w:id="24" w:name="_Toc21666"/>
      <w:bookmarkStart w:id="25" w:name="_Toc29993"/>
      <w:r>
        <w:rPr>
          <w:rFonts w:hint="eastAsia" w:ascii="楷体_GB2312" w:hAnsi="Times New Roman" w:eastAsia="楷体_GB2312" w:cs="Times New Roman"/>
          <w:bCs/>
          <w:color w:val="000000"/>
          <w:kern w:val="0"/>
          <w:sz w:val="32"/>
          <w:szCs w:val="32"/>
          <w:highlight w:val="none"/>
          <w:lang w:val="en-US" w:eastAsia="zh-CN"/>
        </w:rPr>
        <w:t>（三）一般公共预算当年拨款具体使用情况</w:t>
      </w:r>
      <w:bookmarkEnd w:id="24"/>
      <w:bookmarkEnd w:id="2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1.社会保障和就业支出（类）行政事业单位养老支出（款）机关事业单位基本养老保险缴费支出（项）2024年预算数为689.98万元，主要用于：</w:t>
      </w:r>
      <w:r>
        <w:rPr>
          <w:rFonts w:hint="eastAsia" w:ascii="仿宋_GB2312" w:eastAsia="仿宋_GB2312" w:cstheme="minorBidi"/>
          <w:kern w:val="2"/>
          <w:sz w:val="32"/>
          <w:szCs w:val="32"/>
          <w:highlight w:val="none"/>
          <w:lang w:val="en-US" w:eastAsia="zh-CN" w:bidi="ar-SA"/>
        </w:rPr>
        <w:t>主要用于</w:t>
      </w:r>
      <w:r>
        <w:rPr>
          <w:rFonts w:hint="default" w:ascii="仿宋_GB2312" w:eastAsia="仿宋_GB2312" w:hAnsiTheme="minorHAnsi" w:cstheme="minorBidi"/>
          <w:kern w:val="2"/>
          <w:sz w:val="32"/>
          <w:szCs w:val="32"/>
          <w:highlight w:val="none"/>
          <w:lang w:val="en-US" w:eastAsia="zh-CN" w:bidi="ar-SA"/>
        </w:rPr>
        <w:t>机关事业单位实施养老保险制度由单位缴纳的基本养老保险费支出</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2.社会保障和就业支出（类）其他社会保障和就业支出（款）其他社会保障和就业支出（项）2024年预算数为7.55万元，主要用于：其他用于社会保障和就业方面的支出。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w:t>
      </w:r>
      <w:r>
        <w:rPr>
          <w:rFonts w:hint="default" w:ascii="仿宋_GB2312" w:hAnsi="仿宋_GB2312" w:eastAsia="仿宋_GB2312" w:cs="仿宋_GB2312"/>
          <w:sz w:val="32"/>
          <w:szCs w:val="32"/>
          <w:highlight w:val="none"/>
          <w:lang w:val="en-US" w:eastAsia="zh-CN"/>
        </w:rPr>
        <w:t>.卫生健康支出（类）卫生健康管理事务（款）行政运行（项）</w:t>
      </w:r>
      <w:r>
        <w:rPr>
          <w:rFonts w:hint="eastAsia" w:ascii="仿宋_GB2312" w:hAnsi="仿宋_GB2312" w:eastAsia="仿宋_GB2312" w:cs="仿宋_GB2312"/>
          <w:sz w:val="32"/>
          <w:szCs w:val="32"/>
          <w:highlight w:val="none"/>
          <w:lang w:val="en-US" w:eastAsia="zh-CN"/>
        </w:rPr>
        <w:t>2024年预算数为1212.2万元，主要用于</w:t>
      </w:r>
      <w:r>
        <w:rPr>
          <w:rFonts w:hint="default" w:ascii="仿宋_GB2312" w:hAnsi="仿宋_GB2312" w:eastAsia="仿宋_GB2312" w:cs="仿宋_GB2312"/>
          <w:sz w:val="32"/>
          <w:szCs w:val="32"/>
          <w:highlight w:val="none"/>
          <w:lang w:val="en-US" w:eastAsia="zh-CN"/>
        </w:rPr>
        <w:t>行政单位（包括实行公务员管理的事业单位）的基本支出。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仿宋_GB2312" w:eastAsia="仿宋_GB2312" w:cstheme="minorBidi"/>
          <w:kern w:val="2"/>
          <w:sz w:val="32"/>
          <w:szCs w:val="32"/>
          <w:highlight w:val="none"/>
          <w:lang w:val="en-US" w:eastAsia="zh-CN" w:bidi="ar-SA"/>
        </w:rPr>
        <w:t>4</w:t>
      </w:r>
      <w:r>
        <w:rPr>
          <w:rFonts w:hint="default" w:ascii="仿宋_GB2312" w:eastAsia="仿宋_GB2312" w:hAnsiTheme="minorHAnsi" w:cstheme="minorBidi"/>
          <w:kern w:val="2"/>
          <w:sz w:val="32"/>
          <w:szCs w:val="32"/>
          <w:highlight w:val="none"/>
          <w:lang w:val="en-US" w:eastAsia="zh-CN" w:bidi="ar-SA"/>
        </w:rPr>
        <w:t>.卫生健康支出（类）卫生健康管理事务（款）</w:t>
      </w:r>
      <w:r>
        <w:rPr>
          <w:rFonts w:hint="eastAsia" w:ascii="仿宋_GB2312" w:eastAsia="仿宋_GB2312" w:hAnsiTheme="minorHAnsi" w:cstheme="minorBidi"/>
          <w:kern w:val="2"/>
          <w:sz w:val="32"/>
          <w:szCs w:val="32"/>
          <w:highlight w:val="none"/>
          <w:lang w:val="en-US" w:eastAsia="zh-CN" w:bidi="ar-SA"/>
        </w:rPr>
        <w:t>一般行政管理事务</w:t>
      </w:r>
      <w:r>
        <w:rPr>
          <w:rFonts w:hint="default" w:ascii="仿宋_GB2312" w:eastAsia="仿宋_GB2312" w:hAnsiTheme="minorHAnsi" w:cstheme="minorBidi"/>
          <w:kern w:val="2"/>
          <w:sz w:val="32"/>
          <w:szCs w:val="32"/>
          <w:highlight w:val="none"/>
          <w:lang w:val="en-US" w:eastAsia="zh-CN" w:bidi="ar-SA"/>
        </w:rPr>
        <w:t>（项）</w:t>
      </w:r>
      <w:r>
        <w:rPr>
          <w:rFonts w:hint="eastAsia" w:ascii="仿宋_GB2312" w:eastAsia="仿宋_GB2312" w:cstheme="minorBidi"/>
          <w:kern w:val="2"/>
          <w:sz w:val="32"/>
          <w:szCs w:val="32"/>
          <w:highlight w:val="none"/>
          <w:lang w:val="en-US" w:eastAsia="zh-CN" w:bidi="ar-SA"/>
        </w:rPr>
        <w:t>2024年预算数为313.44万元，主要用于</w:t>
      </w:r>
      <w:r>
        <w:rPr>
          <w:rFonts w:hint="default" w:ascii="仿宋_GB2312" w:hAnsi="仿宋_GB2312" w:eastAsia="仿宋_GB2312" w:cs="仿宋_GB2312"/>
          <w:sz w:val="32"/>
          <w:szCs w:val="32"/>
          <w:highlight w:val="none"/>
          <w:lang w:val="en-US" w:eastAsia="zh-CN"/>
        </w:rPr>
        <w:t>行政单位（包括实行公务员管理的事业单位）</w:t>
      </w:r>
      <w:r>
        <w:rPr>
          <w:rFonts w:hint="eastAsia" w:ascii="仿宋_GB2312" w:hAnsi="仿宋_GB2312" w:eastAsia="仿宋_GB2312" w:cs="仿宋_GB2312"/>
          <w:sz w:val="32"/>
          <w:szCs w:val="32"/>
          <w:highlight w:val="none"/>
          <w:lang w:val="en-US" w:eastAsia="zh-CN"/>
        </w:rPr>
        <w:t>未单独设置项级科目的其他项目支出</w:t>
      </w:r>
      <w:r>
        <w:rPr>
          <w:rFonts w:hint="default" w:ascii="仿宋_GB2312" w:eastAsia="仿宋_GB2312" w:hAnsiTheme="minorHAnsi" w:cstheme="minorBidi"/>
          <w:kern w:val="2"/>
          <w:sz w:val="32"/>
          <w:szCs w:val="32"/>
          <w:highlight w:val="none"/>
          <w:lang w:val="en-US" w:eastAsia="zh-CN" w:bidi="ar-SA"/>
        </w:rPr>
        <w:t>。</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仿宋_GB2312" w:eastAsia="仿宋_GB2312" w:cstheme="minorBidi"/>
          <w:kern w:val="2"/>
          <w:sz w:val="32"/>
          <w:szCs w:val="32"/>
          <w:highlight w:val="none"/>
          <w:lang w:val="en-US" w:eastAsia="zh-CN" w:bidi="ar-SA"/>
        </w:rPr>
        <w:t>5</w:t>
      </w:r>
      <w:r>
        <w:rPr>
          <w:rFonts w:hint="default" w:ascii="仿宋_GB2312" w:eastAsia="仿宋_GB2312" w:hAnsiTheme="minorHAnsi" w:cstheme="minorBidi"/>
          <w:kern w:val="2"/>
          <w:sz w:val="32"/>
          <w:szCs w:val="32"/>
          <w:highlight w:val="none"/>
          <w:lang w:val="en-US" w:eastAsia="zh-CN" w:bidi="ar-SA"/>
        </w:rPr>
        <w:t>.卫生健康支出（类）卫生健康管理事务（款）其他卫生健康管理事务支出（项）</w:t>
      </w:r>
      <w:r>
        <w:rPr>
          <w:rFonts w:hint="eastAsia" w:ascii="仿宋_GB2312" w:eastAsia="仿宋_GB2312" w:cstheme="minorBidi"/>
          <w:kern w:val="2"/>
          <w:sz w:val="32"/>
          <w:szCs w:val="32"/>
          <w:highlight w:val="none"/>
          <w:lang w:val="en-US" w:eastAsia="zh-CN" w:bidi="ar-SA"/>
        </w:rPr>
        <w:t>2024年预算数为176.33万元，主要用于其他</w:t>
      </w:r>
      <w:r>
        <w:rPr>
          <w:rFonts w:hint="default" w:ascii="仿宋_GB2312" w:eastAsia="仿宋_GB2312" w:hAnsiTheme="minorHAnsi" w:cstheme="minorBidi"/>
          <w:kern w:val="2"/>
          <w:sz w:val="32"/>
          <w:szCs w:val="32"/>
          <w:highlight w:val="none"/>
          <w:lang w:val="en-US" w:eastAsia="zh-CN" w:bidi="ar-SA"/>
        </w:rPr>
        <w:t>卫生健康管理事务方面的支出。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仿宋_GB2312" w:eastAsia="仿宋_GB2312" w:cstheme="minorBidi"/>
          <w:kern w:val="2"/>
          <w:sz w:val="32"/>
          <w:szCs w:val="32"/>
          <w:highlight w:val="none"/>
          <w:lang w:val="en-US" w:eastAsia="zh-CN" w:bidi="ar-SA"/>
        </w:rPr>
        <w:t>6</w:t>
      </w:r>
      <w:r>
        <w:rPr>
          <w:rFonts w:hint="default" w:ascii="仿宋_GB2312" w:eastAsia="仿宋_GB2312" w:hAnsiTheme="minorHAnsi" w:cstheme="minorBidi"/>
          <w:kern w:val="2"/>
          <w:sz w:val="32"/>
          <w:szCs w:val="32"/>
          <w:highlight w:val="none"/>
          <w:lang w:val="en-US" w:eastAsia="zh-CN" w:bidi="ar-SA"/>
        </w:rPr>
        <w:t>.卫生健康支出（类）公立医院（款）综合医院（项）</w:t>
      </w:r>
      <w:r>
        <w:rPr>
          <w:rFonts w:hint="eastAsia" w:ascii="仿宋_GB2312" w:eastAsia="仿宋_GB2312" w:cstheme="minorBidi"/>
          <w:kern w:val="2"/>
          <w:sz w:val="32"/>
          <w:szCs w:val="32"/>
          <w:highlight w:val="none"/>
          <w:lang w:val="en-US" w:eastAsia="zh-CN" w:bidi="ar-SA"/>
        </w:rPr>
        <w:t>2024年预算数为1252.44万元，主要用于</w:t>
      </w:r>
      <w:r>
        <w:rPr>
          <w:rFonts w:hint="default" w:ascii="仿宋_GB2312" w:eastAsia="仿宋_GB2312" w:hAnsiTheme="minorHAnsi" w:cstheme="minorBidi"/>
          <w:kern w:val="2"/>
          <w:sz w:val="32"/>
          <w:szCs w:val="32"/>
          <w:highlight w:val="none"/>
          <w:lang w:val="en-US" w:eastAsia="zh-CN" w:bidi="ar-SA"/>
        </w:rPr>
        <w:t>卫生健康、中医部门所属的城市综合性医院、独立门诊、教学医院、疗养院和县医院的支出。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仿宋_GB2312" w:eastAsia="仿宋_GB2312" w:cstheme="minorBidi"/>
          <w:kern w:val="2"/>
          <w:sz w:val="32"/>
          <w:szCs w:val="32"/>
          <w:highlight w:val="none"/>
          <w:lang w:val="en-US" w:eastAsia="zh-CN" w:bidi="ar-SA"/>
        </w:rPr>
        <w:t>7</w:t>
      </w:r>
      <w:r>
        <w:rPr>
          <w:rFonts w:hint="default" w:ascii="仿宋_GB2312" w:eastAsia="仿宋_GB2312" w:hAnsiTheme="minorHAnsi" w:cstheme="minorBidi"/>
          <w:kern w:val="2"/>
          <w:sz w:val="32"/>
          <w:szCs w:val="32"/>
          <w:highlight w:val="none"/>
          <w:lang w:val="en-US" w:eastAsia="zh-CN" w:bidi="ar-SA"/>
        </w:rPr>
        <w:t>.卫生健康支出（类）公立医院（款）中医（民族）医院（项）</w:t>
      </w:r>
      <w:r>
        <w:rPr>
          <w:rFonts w:hint="eastAsia" w:ascii="仿宋_GB2312" w:eastAsia="仿宋_GB2312" w:cstheme="minorBidi"/>
          <w:kern w:val="2"/>
          <w:sz w:val="32"/>
          <w:szCs w:val="32"/>
          <w:highlight w:val="none"/>
          <w:lang w:val="en-US" w:eastAsia="zh-CN" w:bidi="ar-SA"/>
        </w:rPr>
        <w:t>2024年预算数为303.64万元，主要用于</w:t>
      </w:r>
      <w:r>
        <w:rPr>
          <w:rFonts w:hint="default" w:ascii="仿宋_GB2312" w:eastAsia="仿宋_GB2312" w:hAnsiTheme="minorHAnsi" w:cstheme="minorBidi"/>
          <w:kern w:val="2"/>
          <w:sz w:val="32"/>
          <w:szCs w:val="32"/>
          <w:highlight w:val="none"/>
          <w:lang w:val="en-US" w:eastAsia="zh-CN" w:bidi="ar-SA"/>
        </w:rPr>
        <w:t>卫生健康、中医部门所属的中医院、中西医结合医院、民族医院的支出。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仿宋_GB2312" w:eastAsia="仿宋_GB2312" w:cstheme="minorBidi"/>
          <w:kern w:val="2"/>
          <w:sz w:val="32"/>
          <w:szCs w:val="32"/>
          <w:highlight w:val="none"/>
          <w:lang w:val="en-US" w:eastAsia="zh-CN" w:bidi="ar-SA"/>
        </w:rPr>
        <w:t>8</w:t>
      </w:r>
      <w:r>
        <w:rPr>
          <w:rFonts w:hint="default" w:ascii="仿宋_GB2312" w:eastAsia="仿宋_GB2312" w:hAnsiTheme="minorHAnsi" w:cstheme="minorBidi"/>
          <w:kern w:val="2"/>
          <w:sz w:val="32"/>
          <w:szCs w:val="32"/>
          <w:highlight w:val="none"/>
          <w:lang w:val="en-US" w:eastAsia="zh-CN" w:bidi="ar-SA"/>
        </w:rPr>
        <w:t>.卫生健康支出（类）公立医院（款）精神病医院（项）</w:t>
      </w:r>
      <w:r>
        <w:rPr>
          <w:rFonts w:hint="eastAsia" w:ascii="仿宋_GB2312" w:eastAsia="仿宋_GB2312" w:cstheme="minorBidi"/>
          <w:kern w:val="2"/>
          <w:sz w:val="32"/>
          <w:szCs w:val="32"/>
          <w:highlight w:val="none"/>
          <w:lang w:val="en-US" w:eastAsia="zh-CN" w:bidi="ar-SA"/>
        </w:rPr>
        <w:t>2024年预算数为3209.68万元，主要用于</w:t>
      </w:r>
      <w:r>
        <w:rPr>
          <w:rFonts w:hint="default" w:ascii="仿宋_GB2312" w:eastAsia="仿宋_GB2312" w:hAnsiTheme="minorHAnsi" w:cstheme="minorBidi"/>
          <w:kern w:val="2"/>
          <w:sz w:val="32"/>
          <w:szCs w:val="32"/>
          <w:highlight w:val="none"/>
          <w:lang w:val="en-US" w:eastAsia="zh-CN" w:bidi="ar-SA"/>
        </w:rPr>
        <w:t>专门收治精神病人医院的支出。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仿宋_GB2312" w:eastAsia="仿宋_GB2312" w:cstheme="minorBidi"/>
          <w:kern w:val="2"/>
          <w:sz w:val="32"/>
          <w:szCs w:val="32"/>
          <w:highlight w:val="none"/>
          <w:lang w:val="en-US" w:eastAsia="zh-CN" w:bidi="ar-SA"/>
        </w:rPr>
        <w:t>9</w:t>
      </w:r>
      <w:r>
        <w:rPr>
          <w:rFonts w:hint="default" w:ascii="仿宋_GB2312" w:eastAsia="仿宋_GB2312" w:hAnsiTheme="minorHAnsi" w:cstheme="minorBidi"/>
          <w:kern w:val="2"/>
          <w:sz w:val="32"/>
          <w:szCs w:val="32"/>
          <w:highlight w:val="none"/>
          <w:lang w:val="en-US" w:eastAsia="zh-CN" w:bidi="ar-SA"/>
        </w:rPr>
        <w:t>.卫生健康支出（类）公共卫生（款）疾病预防控制机构（项）</w:t>
      </w:r>
      <w:r>
        <w:rPr>
          <w:rFonts w:hint="eastAsia" w:ascii="仿宋_GB2312" w:eastAsia="仿宋_GB2312" w:cstheme="minorBidi"/>
          <w:kern w:val="2"/>
          <w:sz w:val="32"/>
          <w:szCs w:val="32"/>
          <w:highlight w:val="none"/>
          <w:lang w:val="en-US" w:eastAsia="zh-CN" w:bidi="ar-SA"/>
        </w:rPr>
        <w:t>2024年预算数为2067.44万元，主要用于</w:t>
      </w:r>
      <w:r>
        <w:rPr>
          <w:rFonts w:hint="default" w:ascii="仿宋_GB2312" w:eastAsia="仿宋_GB2312" w:hAnsiTheme="minorHAnsi" w:cstheme="minorBidi"/>
          <w:kern w:val="2"/>
          <w:sz w:val="32"/>
          <w:szCs w:val="32"/>
          <w:highlight w:val="none"/>
          <w:lang w:val="en-US" w:eastAsia="zh-CN" w:bidi="ar-SA"/>
        </w:rPr>
        <w:t>卫生健康部门所属疾病预防控制机构的支出。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仿宋_GB2312" w:eastAsia="仿宋_GB2312" w:cstheme="minorBidi"/>
          <w:kern w:val="2"/>
          <w:sz w:val="32"/>
          <w:szCs w:val="32"/>
          <w:highlight w:val="none"/>
          <w:lang w:val="en-US" w:eastAsia="zh-CN" w:bidi="ar-SA"/>
        </w:rPr>
        <w:t>10</w:t>
      </w:r>
      <w:r>
        <w:rPr>
          <w:rFonts w:hint="default" w:ascii="仿宋_GB2312" w:eastAsia="仿宋_GB2312" w:hAnsiTheme="minorHAnsi" w:cstheme="minorBidi"/>
          <w:kern w:val="2"/>
          <w:sz w:val="32"/>
          <w:szCs w:val="32"/>
          <w:highlight w:val="none"/>
          <w:lang w:val="en-US" w:eastAsia="zh-CN" w:bidi="ar-SA"/>
        </w:rPr>
        <w:t>.卫生健康支出（类）公共卫生（款）妇幼保健机构（项）</w:t>
      </w:r>
      <w:r>
        <w:rPr>
          <w:rFonts w:hint="eastAsia" w:ascii="仿宋_GB2312" w:eastAsia="仿宋_GB2312" w:cstheme="minorBidi"/>
          <w:kern w:val="2"/>
          <w:sz w:val="32"/>
          <w:szCs w:val="32"/>
          <w:highlight w:val="none"/>
          <w:lang w:val="en-US" w:eastAsia="zh-CN" w:bidi="ar-SA"/>
        </w:rPr>
        <w:t>2024年预算数为1165.33万元，主要用于</w:t>
      </w:r>
      <w:r>
        <w:rPr>
          <w:rFonts w:hint="default" w:ascii="仿宋_GB2312" w:eastAsia="仿宋_GB2312" w:hAnsiTheme="minorHAnsi" w:cstheme="minorBidi"/>
          <w:kern w:val="2"/>
          <w:sz w:val="32"/>
          <w:szCs w:val="32"/>
          <w:highlight w:val="none"/>
          <w:lang w:val="en-US" w:eastAsia="zh-CN" w:bidi="ar-SA"/>
        </w:rPr>
        <w:t>卫生健康部门所属妇幼保健机构的支出。</w:t>
      </w:r>
    </w:p>
    <w:p>
      <w:pPr>
        <w:keepNext w:val="0"/>
        <w:keepLines w:val="0"/>
        <w:widowControl/>
        <w:suppressLineNumbers w:val="0"/>
        <w:shd w:val="clear"/>
        <w:spacing w:before="75" w:beforeAutospacing="0" w:after="75" w:afterAutospacing="0"/>
        <w:ind w:left="0" w:right="0" w:firstLine="640"/>
        <w:jc w:val="left"/>
        <w:rPr>
          <w:rFonts w:hint="default"/>
          <w:highlight w:val="none"/>
          <w:lang w:val="en-US" w:eastAsia="zh-CN"/>
        </w:rPr>
      </w:pPr>
      <w:r>
        <w:rPr>
          <w:rFonts w:hint="eastAsia" w:ascii="仿宋_GB2312" w:eastAsia="仿宋_GB2312" w:cstheme="minorBidi"/>
          <w:kern w:val="2"/>
          <w:sz w:val="32"/>
          <w:szCs w:val="32"/>
          <w:highlight w:val="none"/>
          <w:lang w:val="en-US" w:eastAsia="zh-CN" w:bidi="ar-SA"/>
        </w:rPr>
        <w:t>11</w:t>
      </w:r>
      <w:r>
        <w:rPr>
          <w:rFonts w:hint="default" w:ascii="仿宋_GB2312" w:eastAsia="仿宋_GB2312" w:hAnsiTheme="minorHAnsi" w:cstheme="minorBidi"/>
          <w:kern w:val="2"/>
          <w:sz w:val="32"/>
          <w:szCs w:val="32"/>
          <w:highlight w:val="none"/>
          <w:lang w:val="en-US" w:eastAsia="zh-CN" w:bidi="ar-SA"/>
        </w:rPr>
        <w:t>.卫生健康支出（类）公共卫生（款）</w:t>
      </w:r>
      <w:r>
        <w:rPr>
          <w:rFonts w:hint="eastAsia" w:ascii="仿宋_GB2312" w:eastAsia="仿宋_GB2312" w:cstheme="minorBidi"/>
          <w:kern w:val="2"/>
          <w:sz w:val="32"/>
          <w:szCs w:val="32"/>
          <w:highlight w:val="none"/>
          <w:lang w:val="en-US" w:eastAsia="zh-CN" w:bidi="ar-SA"/>
        </w:rPr>
        <w:t>应急救治机构</w:t>
      </w:r>
      <w:r>
        <w:rPr>
          <w:rFonts w:hint="default" w:ascii="仿宋_GB2312" w:eastAsia="仿宋_GB2312" w:hAnsiTheme="minorHAnsi" w:cstheme="minorBidi"/>
          <w:kern w:val="2"/>
          <w:sz w:val="32"/>
          <w:szCs w:val="32"/>
          <w:highlight w:val="none"/>
          <w:lang w:val="en-US" w:eastAsia="zh-CN" w:bidi="ar-SA"/>
        </w:rPr>
        <w:t>（项）</w:t>
      </w:r>
      <w:r>
        <w:rPr>
          <w:rFonts w:hint="eastAsia" w:ascii="仿宋_GB2312" w:eastAsia="仿宋_GB2312" w:cstheme="minorBidi"/>
          <w:kern w:val="2"/>
          <w:sz w:val="32"/>
          <w:szCs w:val="32"/>
          <w:highlight w:val="none"/>
          <w:lang w:val="en-US" w:eastAsia="zh-CN" w:bidi="ar-SA"/>
        </w:rPr>
        <w:t>2024年预算数为228.56万元，主要用于卫生健康、疾病预防控制部门所属应急救治机构的支出</w:t>
      </w:r>
      <w:r>
        <w:rPr>
          <w:rFonts w:hint="default" w:ascii="仿宋_GB2312" w:eastAsia="仿宋_GB2312" w:hAnsiTheme="minorHAnsi" w:cstheme="minorBidi"/>
          <w:kern w:val="2"/>
          <w:sz w:val="32"/>
          <w:szCs w:val="32"/>
          <w:highlight w:val="none"/>
          <w:lang w:val="en-US" w:eastAsia="zh-CN" w:bidi="ar-SA"/>
        </w:rPr>
        <w:t>。</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仿宋_GB2312" w:eastAsia="仿宋_GB2312" w:cstheme="minorBidi"/>
          <w:kern w:val="2"/>
          <w:sz w:val="32"/>
          <w:szCs w:val="32"/>
          <w:highlight w:val="none"/>
          <w:lang w:val="en-US" w:eastAsia="zh-CN" w:bidi="ar-SA"/>
        </w:rPr>
        <w:t>12</w:t>
      </w:r>
      <w:r>
        <w:rPr>
          <w:rFonts w:hint="default" w:ascii="仿宋_GB2312" w:eastAsia="仿宋_GB2312" w:hAnsiTheme="minorHAnsi" w:cstheme="minorBidi"/>
          <w:kern w:val="2"/>
          <w:sz w:val="32"/>
          <w:szCs w:val="32"/>
          <w:highlight w:val="none"/>
          <w:lang w:val="en-US" w:eastAsia="zh-CN" w:bidi="ar-SA"/>
        </w:rPr>
        <w:t>.卫生健康支出（类）公共卫生（款）采供血机构（项）</w:t>
      </w:r>
      <w:r>
        <w:rPr>
          <w:rFonts w:hint="eastAsia" w:ascii="仿宋_GB2312" w:eastAsia="仿宋_GB2312" w:cstheme="minorBidi"/>
          <w:kern w:val="2"/>
          <w:sz w:val="32"/>
          <w:szCs w:val="32"/>
          <w:highlight w:val="none"/>
          <w:lang w:val="en-US" w:eastAsia="zh-CN" w:bidi="ar-SA"/>
        </w:rPr>
        <w:t>2024年预算数为2288.28万元，主要用于</w:t>
      </w:r>
      <w:r>
        <w:rPr>
          <w:rFonts w:hint="default" w:ascii="仿宋_GB2312" w:eastAsia="仿宋_GB2312" w:hAnsiTheme="minorHAnsi" w:cstheme="minorBidi"/>
          <w:kern w:val="2"/>
          <w:sz w:val="32"/>
          <w:szCs w:val="32"/>
          <w:highlight w:val="none"/>
          <w:lang w:val="en-US" w:eastAsia="zh-CN" w:bidi="ar-SA"/>
        </w:rPr>
        <w:t>卫生健康部门所属采供血机构的支出。</w:t>
      </w:r>
    </w:p>
    <w:p>
      <w:pPr>
        <w:keepNext w:val="0"/>
        <w:keepLines w:val="0"/>
        <w:widowControl/>
        <w:suppressLineNumbers w:val="0"/>
        <w:shd w:val="clear"/>
        <w:spacing w:before="75" w:beforeAutospacing="0" w:after="75" w:afterAutospacing="0"/>
        <w:ind w:left="0" w:right="0" w:firstLine="640"/>
        <w:jc w:val="left"/>
        <w:rPr>
          <w:rFonts w:hint="default"/>
          <w:highlight w:val="none"/>
          <w:lang w:val="en-US" w:eastAsia="zh-CN"/>
        </w:rPr>
      </w:pPr>
      <w:r>
        <w:rPr>
          <w:rFonts w:hint="eastAsia" w:ascii="仿宋_GB2312" w:eastAsia="仿宋_GB2312" w:cstheme="minorBidi"/>
          <w:kern w:val="2"/>
          <w:sz w:val="32"/>
          <w:szCs w:val="32"/>
          <w:highlight w:val="none"/>
          <w:lang w:val="en-US" w:eastAsia="zh-CN" w:bidi="ar-SA"/>
        </w:rPr>
        <w:t>13</w:t>
      </w:r>
      <w:r>
        <w:rPr>
          <w:rFonts w:hint="default" w:ascii="仿宋_GB2312" w:eastAsia="仿宋_GB2312" w:hAnsiTheme="minorHAnsi" w:cstheme="minorBidi"/>
          <w:kern w:val="2"/>
          <w:sz w:val="32"/>
          <w:szCs w:val="32"/>
          <w:highlight w:val="none"/>
          <w:lang w:val="en-US" w:eastAsia="zh-CN" w:bidi="ar-SA"/>
        </w:rPr>
        <w:t>.卫生健康支出（类）公共卫生（款）</w:t>
      </w:r>
      <w:r>
        <w:rPr>
          <w:rFonts w:hint="eastAsia" w:ascii="仿宋_GB2312" w:eastAsia="仿宋_GB2312" w:cstheme="minorBidi"/>
          <w:kern w:val="2"/>
          <w:sz w:val="32"/>
          <w:szCs w:val="32"/>
          <w:highlight w:val="none"/>
          <w:lang w:val="en-US" w:eastAsia="zh-CN" w:bidi="ar-SA"/>
        </w:rPr>
        <w:t>重大公共卫生服务</w:t>
      </w:r>
      <w:r>
        <w:rPr>
          <w:rFonts w:hint="default" w:ascii="仿宋_GB2312" w:eastAsia="仿宋_GB2312" w:hAnsiTheme="minorHAnsi" w:cstheme="minorBidi"/>
          <w:kern w:val="2"/>
          <w:sz w:val="32"/>
          <w:szCs w:val="32"/>
          <w:highlight w:val="none"/>
          <w:lang w:val="en-US" w:eastAsia="zh-CN" w:bidi="ar-SA"/>
        </w:rPr>
        <w:t>（项）</w:t>
      </w:r>
      <w:r>
        <w:rPr>
          <w:rFonts w:hint="eastAsia" w:ascii="仿宋_GB2312" w:eastAsia="仿宋_GB2312" w:cstheme="minorBidi"/>
          <w:kern w:val="2"/>
          <w:sz w:val="32"/>
          <w:szCs w:val="32"/>
          <w:highlight w:val="none"/>
          <w:lang w:val="en-US" w:eastAsia="zh-CN" w:bidi="ar-SA"/>
        </w:rPr>
        <w:t>2024年预算数为42万元，主要用于重大疾病、重大传染病预防控制等重大公共卫生服务项目</w:t>
      </w:r>
      <w:r>
        <w:rPr>
          <w:rFonts w:hint="default" w:ascii="仿宋_GB2312" w:eastAsia="仿宋_GB2312" w:hAnsiTheme="minorHAnsi" w:cstheme="minorBidi"/>
          <w:kern w:val="2"/>
          <w:sz w:val="32"/>
          <w:szCs w:val="32"/>
          <w:highlight w:val="none"/>
          <w:lang w:val="en-US" w:eastAsia="zh-CN" w:bidi="ar-SA"/>
        </w:rPr>
        <w:t>的支出。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仿宋_GB2312" w:eastAsia="仿宋_GB2312" w:cstheme="minorBidi"/>
          <w:kern w:val="2"/>
          <w:sz w:val="32"/>
          <w:szCs w:val="32"/>
          <w:highlight w:val="none"/>
          <w:lang w:val="en-US" w:eastAsia="zh-CN" w:bidi="ar-SA"/>
        </w:rPr>
        <w:t>14</w:t>
      </w:r>
      <w:r>
        <w:rPr>
          <w:rFonts w:hint="default" w:ascii="仿宋_GB2312" w:eastAsia="仿宋_GB2312" w:hAnsiTheme="minorHAnsi" w:cstheme="minorBidi"/>
          <w:kern w:val="2"/>
          <w:sz w:val="32"/>
          <w:szCs w:val="32"/>
          <w:highlight w:val="none"/>
          <w:lang w:val="en-US" w:eastAsia="zh-CN" w:bidi="ar-SA"/>
        </w:rPr>
        <w:t>.卫生健康支出（类）公共卫生（款）</w:t>
      </w:r>
      <w:r>
        <w:rPr>
          <w:rFonts w:hint="eastAsia" w:ascii="仿宋_GB2312" w:eastAsia="仿宋_GB2312" w:cstheme="minorBidi"/>
          <w:kern w:val="2"/>
          <w:sz w:val="32"/>
          <w:szCs w:val="32"/>
          <w:highlight w:val="none"/>
          <w:lang w:val="en-US" w:eastAsia="zh-CN" w:bidi="ar-SA"/>
        </w:rPr>
        <w:t>其他公共卫生支出</w:t>
      </w:r>
      <w:r>
        <w:rPr>
          <w:rFonts w:hint="default" w:ascii="仿宋_GB2312" w:eastAsia="仿宋_GB2312" w:hAnsiTheme="minorHAnsi" w:cstheme="minorBidi"/>
          <w:kern w:val="2"/>
          <w:sz w:val="32"/>
          <w:szCs w:val="32"/>
          <w:highlight w:val="none"/>
          <w:lang w:val="en-US" w:eastAsia="zh-CN" w:bidi="ar-SA"/>
        </w:rPr>
        <w:t>（项）</w:t>
      </w:r>
      <w:r>
        <w:rPr>
          <w:rFonts w:hint="eastAsia" w:ascii="仿宋_GB2312" w:eastAsia="仿宋_GB2312" w:cstheme="minorBidi"/>
          <w:kern w:val="2"/>
          <w:sz w:val="32"/>
          <w:szCs w:val="32"/>
          <w:highlight w:val="none"/>
          <w:lang w:val="en-US" w:eastAsia="zh-CN" w:bidi="ar-SA"/>
        </w:rPr>
        <w:t>2024年预算数为66.91万元，主要用于其他</w:t>
      </w:r>
      <w:r>
        <w:rPr>
          <w:rFonts w:hint="default" w:ascii="仿宋_GB2312" w:eastAsia="仿宋_GB2312" w:hAnsiTheme="minorHAnsi" w:cstheme="minorBidi"/>
          <w:kern w:val="2"/>
          <w:sz w:val="32"/>
          <w:szCs w:val="32"/>
          <w:highlight w:val="none"/>
          <w:lang w:val="en-US" w:eastAsia="zh-CN" w:bidi="ar-SA"/>
        </w:rPr>
        <w:t>公共卫生</w:t>
      </w:r>
      <w:r>
        <w:rPr>
          <w:rFonts w:hint="eastAsia" w:ascii="仿宋_GB2312" w:eastAsia="仿宋_GB2312" w:cstheme="minorBidi"/>
          <w:kern w:val="2"/>
          <w:sz w:val="32"/>
          <w:szCs w:val="32"/>
          <w:highlight w:val="none"/>
          <w:lang w:val="en-US" w:eastAsia="zh-CN" w:bidi="ar-SA"/>
        </w:rPr>
        <w:t>方面</w:t>
      </w:r>
      <w:r>
        <w:rPr>
          <w:rFonts w:hint="default" w:ascii="仿宋_GB2312" w:eastAsia="仿宋_GB2312" w:hAnsiTheme="minorHAnsi" w:cstheme="minorBidi"/>
          <w:kern w:val="2"/>
          <w:sz w:val="32"/>
          <w:szCs w:val="32"/>
          <w:highlight w:val="none"/>
          <w:lang w:val="en-US" w:eastAsia="zh-CN" w:bidi="ar-SA"/>
        </w:rPr>
        <w:t>的支出。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cstheme="minorBidi"/>
          <w:kern w:val="2"/>
          <w:sz w:val="32"/>
          <w:szCs w:val="32"/>
          <w:highlight w:val="none"/>
          <w:lang w:val="en-US" w:eastAsia="zh-CN" w:bidi="ar-SA"/>
        </w:rPr>
      </w:pPr>
      <w:r>
        <w:rPr>
          <w:rFonts w:hint="eastAsia" w:ascii="仿宋_GB2312" w:eastAsia="仿宋_GB2312" w:cstheme="minorBidi"/>
          <w:kern w:val="2"/>
          <w:sz w:val="32"/>
          <w:szCs w:val="32"/>
          <w:highlight w:val="none"/>
          <w:lang w:val="en-US" w:eastAsia="zh-CN" w:bidi="ar-SA"/>
        </w:rPr>
        <w:t>15</w:t>
      </w:r>
      <w:r>
        <w:rPr>
          <w:rFonts w:hint="default" w:ascii="仿宋_GB2312" w:eastAsia="仿宋_GB2312" w:cstheme="minorBidi"/>
          <w:kern w:val="2"/>
          <w:sz w:val="32"/>
          <w:szCs w:val="32"/>
          <w:highlight w:val="none"/>
          <w:lang w:val="en-US" w:eastAsia="zh-CN" w:bidi="ar-SA"/>
        </w:rPr>
        <w:t>.卫生健康支出（类）计划生育事务（款）</w:t>
      </w:r>
      <w:r>
        <w:rPr>
          <w:rFonts w:hint="eastAsia" w:ascii="仿宋_GB2312" w:eastAsia="仿宋_GB2312" w:cstheme="minorBidi"/>
          <w:kern w:val="2"/>
          <w:sz w:val="32"/>
          <w:szCs w:val="32"/>
          <w:highlight w:val="none"/>
          <w:lang w:val="en-US" w:eastAsia="zh-CN" w:bidi="ar-SA"/>
        </w:rPr>
        <w:t>计划生育机构</w:t>
      </w:r>
      <w:r>
        <w:rPr>
          <w:rFonts w:hint="default" w:ascii="仿宋_GB2312" w:eastAsia="仿宋_GB2312" w:cstheme="minorBidi"/>
          <w:kern w:val="2"/>
          <w:sz w:val="32"/>
          <w:szCs w:val="32"/>
          <w:highlight w:val="none"/>
          <w:lang w:val="en-US" w:eastAsia="zh-CN" w:bidi="ar-SA"/>
        </w:rPr>
        <w:t>（项）</w:t>
      </w:r>
      <w:r>
        <w:rPr>
          <w:rFonts w:hint="eastAsia" w:ascii="仿宋_GB2312" w:eastAsia="仿宋_GB2312" w:cstheme="minorBidi"/>
          <w:kern w:val="2"/>
          <w:sz w:val="32"/>
          <w:szCs w:val="32"/>
          <w:highlight w:val="none"/>
          <w:lang w:val="en-US" w:eastAsia="zh-CN" w:bidi="ar-SA"/>
        </w:rPr>
        <w:t>2024年预算数为0.26万元，主要用于卫生健康部门所属计划生育机构</w:t>
      </w:r>
      <w:r>
        <w:rPr>
          <w:rFonts w:hint="default" w:ascii="仿宋_GB2312" w:eastAsia="仿宋_GB2312" w:cstheme="minorBidi"/>
          <w:kern w:val="2"/>
          <w:sz w:val="32"/>
          <w:szCs w:val="32"/>
          <w:highlight w:val="none"/>
          <w:lang w:val="en-US" w:eastAsia="zh-CN" w:bidi="ar-SA"/>
        </w:rPr>
        <w:t>的支出。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仿宋_GB2312" w:eastAsia="仿宋_GB2312" w:cstheme="minorBidi"/>
          <w:kern w:val="2"/>
          <w:sz w:val="32"/>
          <w:szCs w:val="32"/>
          <w:highlight w:val="none"/>
          <w:lang w:val="en-US" w:eastAsia="zh-CN" w:bidi="ar-SA"/>
        </w:rPr>
        <w:t>16</w:t>
      </w:r>
      <w:r>
        <w:rPr>
          <w:rFonts w:hint="default" w:ascii="仿宋_GB2312" w:eastAsia="仿宋_GB2312" w:hAnsiTheme="minorHAnsi" w:cstheme="minorBidi"/>
          <w:kern w:val="2"/>
          <w:sz w:val="32"/>
          <w:szCs w:val="32"/>
          <w:highlight w:val="none"/>
          <w:lang w:val="en-US" w:eastAsia="zh-CN" w:bidi="ar-SA"/>
        </w:rPr>
        <w:t>.卫生健康支出（类）计划生育事务（款）其他计划生育事务支出（项）</w:t>
      </w:r>
      <w:r>
        <w:rPr>
          <w:rFonts w:hint="eastAsia" w:ascii="仿宋_GB2312" w:eastAsia="仿宋_GB2312" w:cstheme="minorBidi"/>
          <w:kern w:val="2"/>
          <w:sz w:val="32"/>
          <w:szCs w:val="32"/>
          <w:highlight w:val="none"/>
          <w:lang w:val="en-US" w:eastAsia="zh-CN" w:bidi="ar-SA"/>
        </w:rPr>
        <w:t>2024年预算数为141.65万元，主要用于</w:t>
      </w:r>
      <w:r>
        <w:rPr>
          <w:rFonts w:hint="default" w:ascii="仿宋_GB2312" w:eastAsia="仿宋_GB2312" w:hAnsiTheme="minorHAnsi" w:cstheme="minorBidi"/>
          <w:kern w:val="2"/>
          <w:sz w:val="32"/>
          <w:szCs w:val="32"/>
          <w:highlight w:val="none"/>
          <w:lang w:val="en-US" w:eastAsia="zh-CN" w:bidi="ar-SA"/>
        </w:rPr>
        <w:t>计划生育</w:t>
      </w:r>
      <w:r>
        <w:rPr>
          <w:rFonts w:hint="eastAsia" w:ascii="仿宋_GB2312" w:eastAsia="仿宋_GB2312" w:hAnsiTheme="minorHAnsi" w:cstheme="minorBidi"/>
          <w:kern w:val="2"/>
          <w:sz w:val="32"/>
          <w:szCs w:val="32"/>
          <w:highlight w:val="none"/>
          <w:lang w:val="en-US" w:eastAsia="zh-CN" w:bidi="ar-SA"/>
        </w:rPr>
        <w:t>服务</w:t>
      </w:r>
      <w:r>
        <w:rPr>
          <w:rFonts w:hint="default" w:ascii="仿宋_GB2312" w:eastAsia="仿宋_GB2312" w:hAnsiTheme="minorHAnsi" w:cstheme="minorBidi"/>
          <w:kern w:val="2"/>
          <w:sz w:val="32"/>
          <w:szCs w:val="32"/>
          <w:highlight w:val="none"/>
          <w:lang w:val="en-US" w:eastAsia="zh-CN" w:bidi="ar-SA"/>
        </w:rPr>
        <w:t>的支出。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668"/>
        <w:jc w:val="both"/>
        <w:rPr>
          <w:rFonts w:hint="eastAsia" w:ascii="仿宋_GB2312" w:eastAsia="仿宋_GB2312" w:hAnsiTheme="minorHAnsi" w:cstheme="minorBidi"/>
          <w:kern w:val="2"/>
          <w:sz w:val="32"/>
          <w:szCs w:val="32"/>
          <w:highlight w:val="none"/>
          <w:lang w:val="en-US" w:eastAsia="zh-CN" w:bidi="ar-SA"/>
        </w:rPr>
      </w:pPr>
      <w:r>
        <w:rPr>
          <w:rFonts w:hint="eastAsia" w:ascii="仿宋_GB2312" w:eastAsia="仿宋_GB2312" w:cstheme="minorBidi"/>
          <w:kern w:val="2"/>
          <w:sz w:val="32"/>
          <w:szCs w:val="32"/>
          <w:highlight w:val="none"/>
          <w:lang w:val="en-US" w:eastAsia="zh-CN" w:bidi="ar-SA"/>
        </w:rPr>
        <w:t>17</w:t>
      </w:r>
      <w:r>
        <w:rPr>
          <w:rFonts w:hint="default" w:ascii="仿宋_GB2312" w:eastAsia="仿宋_GB2312" w:hAnsiTheme="minorHAnsi" w:cstheme="minorBidi"/>
          <w:kern w:val="2"/>
          <w:sz w:val="32"/>
          <w:szCs w:val="32"/>
          <w:highlight w:val="none"/>
          <w:lang w:val="en-US" w:eastAsia="zh-CN" w:bidi="ar-SA"/>
        </w:rPr>
        <w:t>.卫生健康支出（类）行政事业单位医疗（款）行政单位医疗（项）</w:t>
      </w:r>
      <w:r>
        <w:rPr>
          <w:rFonts w:hint="eastAsia" w:ascii="仿宋_GB2312" w:eastAsia="仿宋_GB2312" w:hAnsiTheme="minorHAnsi" w:cstheme="minorBidi"/>
          <w:kern w:val="2"/>
          <w:sz w:val="32"/>
          <w:szCs w:val="32"/>
          <w:highlight w:val="none"/>
          <w:lang w:val="en-US" w:eastAsia="zh-CN" w:bidi="ar-SA"/>
        </w:rPr>
        <w:t>2024年预算数为50.34万元，主要用于机关及参公管理事业单位按规定由单位缴纳的基本医疗保险支出。</w:t>
      </w:r>
    </w:p>
    <w:p>
      <w:pPr>
        <w:keepNext w:val="0"/>
        <w:keepLines w:val="0"/>
        <w:widowControl/>
        <w:suppressLineNumbers w:val="0"/>
        <w:shd w:val="clear"/>
        <w:spacing w:before="75" w:beforeAutospacing="0" w:after="75" w:afterAutospacing="0"/>
        <w:ind w:left="0" w:right="0" w:firstLine="640"/>
        <w:jc w:val="left"/>
        <w:rPr>
          <w:rFonts w:hint="eastAsia" w:ascii="仿宋_GB2312" w:eastAsia="仿宋_GB2312" w:cstheme="minorBidi"/>
          <w:kern w:val="2"/>
          <w:sz w:val="32"/>
          <w:szCs w:val="32"/>
          <w:highlight w:val="none"/>
          <w:lang w:val="en-US" w:eastAsia="zh-CN" w:bidi="ar-SA"/>
        </w:rPr>
      </w:pPr>
      <w:r>
        <w:rPr>
          <w:rFonts w:hint="eastAsia" w:ascii="仿宋_GB2312" w:eastAsia="仿宋_GB2312" w:cstheme="minorBidi"/>
          <w:kern w:val="2"/>
          <w:sz w:val="32"/>
          <w:szCs w:val="32"/>
          <w:highlight w:val="none"/>
          <w:lang w:val="en-US" w:eastAsia="zh-CN" w:bidi="ar-SA"/>
        </w:rPr>
        <w:t>18</w:t>
      </w:r>
      <w:r>
        <w:rPr>
          <w:rFonts w:hint="default" w:ascii="仿宋_GB2312" w:eastAsia="仿宋_GB2312" w:hAnsiTheme="minorHAnsi" w:cstheme="minorBidi"/>
          <w:kern w:val="2"/>
          <w:sz w:val="32"/>
          <w:szCs w:val="32"/>
          <w:highlight w:val="none"/>
          <w:lang w:val="en-US" w:eastAsia="zh-CN" w:bidi="ar-SA"/>
        </w:rPr>
        <w:t>.卫生健康支出（类）行政事业单位医疗（款）事业</w:t>
      </w:r>
      <w:r>
        <w:rPr>
          <w:rFonts w:hint="default" w:ascii="仿宋_GB2312" w:eastAsia="仿宋_GB2312" w:cstheme="minorBidi"/>
          <w:kern w:val="2"/>
          <w:sz w:val="32"/>
          <w:szCs w:val="32"/>
          <w:highlight w:val="none"/>
          <w:lang w:val="en-US" w:eastAsia="zh-CN" w:bidi="ar-SA"/>
        </w:rPr>
        <w:t>单位医疗（项）</w:t>
      </w:r>
      <w:r>
        <w:rPr>
          <w:rFonts w:hint="eastAsia" w:ascii="仿宋_GB2312" w:eastAsia="仿宋_GB2312" w:cstheme="minorBidi"/>
          <w:kern w:val="2"/>
          <w:sz w:val="32"/>
          <w:szCs w:val="32"/>
          <w:highlight w:val="none"/>
          <w:lang w:val="en-US" w:eastAsia="zh-CN" w:bidi="ar-SA"/>
        </w:rPr>
        <w:t>2024年预算数为212.74万元，主要用于部门下属事业单位按规定由单位缴纳的基本医疗保险支出。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仿宋_GB2312" w:eastAsia="仿宋_GB2312" w:cstheme="minorBidi"/>
          <w:kern w:val="2"/>
          <w:sz w:val="32"/>
          <w:szCs w:val="32"/>
          <w:highlight w:val="none"/>
          <w:lang w:val="en-US" w:eastAsia="zh-CN" w:bidi="ar-SA"/>
        </w:rPr>
        <w:t>19</w:t>
      </w:r>
      <w:r>
        <w:rPr>
          <w:rFonts w:hint="default" w:ascii="仿宋_GB2312" w:eastAsia="仿宋_GB2312" w:hAnsiTheme="minorHAnsi" w:cstheme="minorBidi"/>
          <w:kern w:val="2"/>
          <w:sz w:val="32"/>
          <w:szCs w:val="32"/>
          <w:highlight w:val="none"/>
          <w:lang w:val="en-US" w:eastAsia="zh-CN" w:bidi="ar-SA"/>
        </w:rPr>
        <w:t>.卫生健康支出（类）老龄卫生健康事务（款）老龄卫生健康事务（项）</w:t>
      </w:r>
      <w:r>
        <w:rPr>
          <w:rFonts w:hint="eastAsia" w:ascii="仿宋_GB2312" w:eastAsia="仿宋_GB2312" w:cstheme="minorBidi"/>
          <w:kern w:val="2"/>
          <w:sz w:val="32"/>
          <w:szCs w:val="32"/>
          <w:highlight w:val="none"/>
          <w:lang w:val="en-US" w:eastAsia="zh-CN" w:bidi="ar-SA"/>
        </w:rPr>
        <w:t>2024年预算数为104.05万元，主要用于</w:t>
      </w:r>
      <w:r>
        <w:rPr>
          <w:rFonts w:hint="default" w:ascii="仿宋_GB2312" w:eastAsia="仿宋_GB2312" w:hAnsiTheme="minorHAnsi" w:cstheme="minorBidi"/>
          <w:kern w:val="2"/>
          <w:sz w:val="32"/>
          <w:szCs w:val="32"/>
          <w:highlight w:val="none"/>
          <w:lang w:val="en-US" w:eastAsia="zh-CN" w:bidi="ar-SA"/>
        </w:rPr>
        <w:t>老龄卫生健康事务方面的支出。</w:t>
      </w:r>
    </w:p>
    <w:p>
      <w:pPr>
        <w:keepNext w:val="0"/>
        <w:keepLines w:val="0"/>
        <w:widowControl/>
        <w:suppressLineNumbers w:val="0"/>
        <w:shd w:val="clear"/>
        <w:spacing w:before="75" w:beforeAutospacing="0" w:after="75" w:afterAutospacing="0"/>
        <w:ind w:left="0" w:right="0" w:firstLine="640"/>
        <w:jc w:val="left"/>
        <w:rPr>
          <w:rFonts w:hint="eastAsia"/>
          <w:highlight w:val="none"/>
          <w:lang w:val="en-US" w:eastAsia="zh-CN"/>
        </w:rPr>
      </w:pPr>
      <w:r>
        <w:rPr>
          <w:rFonts w:hint="eastAsia" w:ascii="仿宋_GB2312" w:eastAsia="仿宋_GB2312" w:cstheme="minorBidi"/>
          <w:kern w:val="2"/>
          <w:sz w:val="32"/>
          <w:szCs w:val="32"/>
          <w:highlight w:val="none"/>
          <w:lang w:val="en-US" w:eastAsia="zh-CN" w:bidi="ar-SA"/>
        </w:rPr>
        <w:t>20</w:t>
      </w:r>
      <w:r>
        <w:rPr>
          <w:rFonts w:hint="default" w:ascii="仿宋_GB2312" w:eastAsia="仿宋_GB2312" w:hAnsiTheme="minorHAnsi" w:cstheme="minorBidi"/>
          <w:kern w:val="2"/>
          <w:sz w:val="32"/>
          <w:szCs w:val="32"/>
          <w:highlight w:val="none"/>
          <w:lang w:val="en-US" w:eastAsia="zh-CN" w:bidi="ar-SA"/>
        </w:rPr>
        <w:t>.卫生健康支出（类）</w:t>
      </w:r>
      <w:r>
        <w:rPr>
          <w:rFonts w:hint="eastAsia" w:ascii="仿宋_GB2312" w:eastAsia="仿宋_GB2312" w:hAnsiTheme="minorHAnsi" w:cstheme="minorBidi"/>
          <w:kern w:val="2"/>
          <w:sz w:val="32"/>
          <w:szCs w:val="32"/>
          <w:highlight w:val="none"/>
          <w:lang w:val="en-US" w:eastAsia="zh-CN" w:bidi="ar-SA"/>
        </w:rPr>
        <w:t>其他中医药事务支出</w:t>
      </w:r>
      <w:r>
        <w:rPr>
          <w:rFonts w:hint="default" w:ascii="仿宋_GB2312" w:eastAsia="仿宋_GB2312" w:hAnsiTheme="minorHAnsi" w:cstheme="minorBidi"/>
          <w:kern w:val="2"/>
          <w:sz w:val="32"/>
          <w:szCs w:val="32"/>
          <w:highlight w:val="none"/>
          <w:lang w:val="en-US" w:eastAsia="zh-CN" w:bidi="ar-SA"/>
        </w:rPr>
        <w:t>（款）</w:t>
      </w:r>
      <w:r>
        <w:rPr>
          <w:rFonts w:hint="eastAsia" w:ascii="仿宋_GB2312" w:eastAsia="仿宋_GB2312" w:hAnsiTheme="minorHAnsi" w:cstheme="minorBidi"/>
          <w:kern w:val="2"/>
          <w:sz w:val="32"/>
          <w:szCs w:val="32"/>
          <w:highlight w:val="none"/>
          <w:lang w:val="en-US" w:eastAsia="zh-CN" w:bidi="ar-SA"/>
        </w:rPr>
        <w:t>其他中医药事务支出</w:t>
      </w:r>
      <w:r>
        <w:rPr>
          <w:rFonts w:hint="default" w:ascii="仿宋_GB2312" w:eastAsia="仿宋_GB2312" w:hAnsiTheme="minorHAnsi" w:cstheme="minorBidi"/>
          <w:kern w:val="2"/>
          <w:sz w:val="32"/>
          <w:szCs w:val="32"/>
          <w:highlight w:val="none"/>
          <w:lang w:val="en-US" w:eastAsia="zh-CN" w:bidi="ar-SA"/>
        </w:rPr>
        <w:t>（项）</w:t>
      </w:r>
      <w:r>
        <w:rPr>
          <w:rFonts w:hint="eastAsia" w:ascii="仿宋_GB2312" w:eastAsia="仿宋_GB2312" w:cstheme="minorBidi"/>
          <w:kern w:val="2"/>
          <w:sz w:val="32"/>
          <w:szCs w:val="32"/>
          <w:highlight w:val="none"/>
          <w:lang w:val="en-US" w:eastAsia="zh-CN" w:bidi="ar-SA"/>
        </w:rPr>
        <w:t>2024年预算数为98.97万元，主要用于</w:t>
      </w:r>
      <w:r>
        <w:rPr>
          <w:rFonts w:hint="eastAsia" w:ascii="仿宋_GB2312" w:eastAsia="仿宋_GB2312" w:hAnsiTheme="minorHAnsi" w:cstheme="minorBidi"/>
          <w:kern w:val="2"/>
          <w:sz w:val="32"/>
          <w:szCs w:val="32"/>
          <w:highlight w:val="none"/>
          <w:lang w:val="en-US" w:eastAsia="zh-CN" w:bidi="ar-SA"/>
        </w:rPr>
        <w:t>其他中医药事务</w:t>
      </w:r>
      <w:r>
        <w:rPr>
          <w:rFonts w:hint="default" w:ascii="仿宋_GB2312" w:eastAsia="仿宋_GB2312" w:hAnsiTheme="minorHAnsi" w:cstheme="minorBidi"/>
          <w:kern w:val="2"/>
          <w:sz w:val="32"/>
          <w:szCs w:val="32"/>
          <w:highlight w:val="none"/>
          <w:lang w:val="en-US" w:eastAsia="zh-CN" w:bidi="ar-SA"/>
        </w:rPr>
        <w:t>方面的支出。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21.住房保障（类）住房改革支出（款）住房公积金（项）2024年预算数为570.06万元，主要用于：部门按规定为职工缴纳的住房公积金支出。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26" w:name="_Toc28760"/>
      <w:bookmarkStart w:id="27" w:name="_Toc23039"/>
      <w:r>
        <w:rPr>
          <w:rFonts w:hint="eastAsia" w:ascii="黑体" w:hAnsi="黑体" w:eastAsia="黑体" w:cs="黑体"/>
          <w:sz w:val="32"/>
          <w:szCs w:val="32"/>
          <w:highlight w:val="none"/>
          <w:lang w:val="en-US" w:eastAsia="zh-CN"/>
        </w:rPr>
        <w:t>六、一般公共预算基本支出情况说明</w:t>
      </w:r>
      <w:bookmarkEnd w:id="26"/>
      <w:bookmarkEnd w:id="2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eastAsia="仿宋_GB2312"/>
          <w:sz w:val="32"/>
          <w:szCs w:val="32"/>
          <w:highlight w:val="none"/>
          <w:lang w:eastAsia="zh-CN"/>
        </w:rPr>
        <w:t>广元</w:t>
      </w:r>
      <w:r>
        <w:rPr>
          <w:rFonts w:hint="eastAsia" w:ascii="仿宋_GB2312" w:eastAsia="仿宋_GB2312"/>
          <w:sz w:val="32"/>
          <w:szCs w:val="32"/>
          <w:highlight w:val="none"/>
        </w:rPr>
        <w:t>市卫生健康委员会</w:t>
      </w:r>
      <w:r>
        <w:rPr>
          <w:rFonts w:hint="eastAsia" w:ascii="仿宋_GB2312" w:hAnsi="仿宋_GB2312" w:eastAsia="仿宋_GB2312" w:cs="仿宋_GB2312"/>
          <w:sz w:val="32"/>
          <w:szCs w:val="32"/>
          <w:highlight w:val="none"/>
          <w:lang w:val="en-US" w:eastAsia="zh-CN"/>
        </w:rPr>
        <w:t>2024年一般公共预算基本支出11708.78万元，其中：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人员经费10913.65万元，主要包括：基本工资、津贴补贴、奖金、绩效工资、机关事业单位基本养老保险缴费、职工基本医疗保险缴费、其他社会保障缴费、住房公积金、生活补助等支出。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highlight w:val="none"/>
          <w:lang w:val="en-US" w:eastAsia="zh-CN"/>
        </w:rPr>
        <w:t>公用经费795.13万元，主要包括：办公费、印刷费、咨询费、水费、电费、邮电费、物业管理费、差旅费、维修（护）费、租赁费、会议费、培训费、公务接待费、专用材料费、劳务费、工会经费、福利费、公务用车运行维护费、其他交通费用、其他商品和服务支出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28" w:name="_Toc26129"/>
      <w:bookmarkStart w:id="29" w:name="_Toc28850"/>
      <w:r>
        <w:rPr>
          <w:rFonts w:hint="eastAsia" w:ascii="黑体" w:hAnsi="黑体" w:eastAsia="黑体" w:cs="黑体"/>
          <w:sz w:val="32"/>
          <w:szCs w:val="32"/>
          <w:highlight w:val="none"/>
          <w:lang w:val="en-US" w:eastAsia="zh-CN"/>
        </w:rPr>
        <w:t>七、“三公”经费财政拨款预算安排情况说明</w:t>
      </w:r>
      <w:bookmarkEnd w:id="28"/>
      <w:bookmarkEnd w:id="2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eastAsia="仿宋_GB2312"/>
          <w:sz w:val="32"/>
          <w:szCs w:val="32"/>
          <w:highlight w:val="none"/>
          <w:lang w:eastAsia="zh-CN"/>
        </w:rPr>
        <w:t>广元</w:t>
      </w:r>
      <w:r>
        <w:rPr>
          <w:rFonts w:hint="eastAsia" w:ascii="仿宋_GB2312" w:eastAsia="仿宋_GB2312"/>
          <w:sz w:val="32"/>
          <w:szCs w:val="32"/>
          <w:highlight w:val="none"/>
        </w:rPr>
        <w:t>市卫生健康委员会</w:t>
      </w:r>
      <w:r>
        <w:rPr>
          <w:rFonts w:hint="eastAsia" w:ascii="仿宋_GB2312" w:hAnsi="仿宋_GB2312" w:eastAsia="仿宋_GB2312" w:cs="仿宋_GB2312"/>
          <w:sz w:val="32"/>
          <w:szCs w:val="32"/>
          <w:highlight w:val="none"/>
          <w:lang w:val="en-US" w:eastAsia="zh-CN"/>
        </w:rPr>
        <w:t>2024年“三公”经费财政拨款预算数50.9万元，其中：公务接待费22.47万元，公务用车购置及运行维护费28.43万元，因公出国（境）经费0万元。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30" w:name="_Toc22246"/>
      <w:r>
        <w:rPr>
          <w:rFonts w:hint="eastAsia" w:ascii="楷体_GB2312" w:hAnsi="楷体_GB2312" w:eastAsia="楷体_GB2312" w:cs="楷体_GB2312"/>
          <w:sz w:val="32"/>
          <w:szCs w:val="32"/>
          <w:highlight w:val="none"/>
          <w:lang w:val="en-US" w:eastAsia="zh-CN"/>
        </w:rPr>
        <w:t>（一）公务接待费</w:t>
      </w:r>
      <w:bookmarkEnd w:id="3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公务接待费与2023年预算22.57万元相比下降0.1万元，主要原因是</w:t>
      </w:r>
      <w:r>
        <w:rPr>
          <w:rFonts w:hint="eastAsia" w:ascii="仿宋_GB2312" w:eastAsia="仿宋_GB2312"/>
          <w:sz w:val="32"/>
          <w:szCs w:val="32"/>
          <w:highlight w:val="none"/>
          <w:lang w:eastAsia="zh-CN"/>
        </w:rPr>
        <w:t>落实过紧日子要求，压减公务接待费支出</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31" w:name="_Toc30607"/>
      <w:r>
        <w:rPr>
          <w:rFonts w:hint="eastAsia" w:ascii="楷体_GB2312" w:hAnsi="楷体_GB2312" w:eastAsia="楷体_GB2312" w:cs="楷体_GB2312"/>
          <w:sz w:val="32"/>
          <w:szCs w:val="32"/>
          <w:highlight w:val="none"/>
          <w:lang w:val="en-US" w:eastAsia="zh-CN"/>
        </w:rPr>
        <w:t>公务用车购置及运行维护费</w:t>
      </w:r>
      <w:bookmarkEnd w:id="31"/>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sz w:val="32"/>
          <w:szCs w:val="32"/>
          <w:highlight w:val="none"/>
          <w:lang w:val="en-US" w:eastAsia="zh-CN"/>
        </w:rPr>
        <w:t>公务用车购置及运行维护费与2023年预算37.13万元相比下降8.7万元，主要原因是</w:t>
      </w:r>
      <w:r>
        <w:rPr>
          <w:rFonts w:hint="eastAsia" w:ascii="仿宋_GB2312" w:eastAsia="仿宋_GB2312"/>
          <w:sz w:val="32"/>
          <w:szCs w:val="32"/>
          <w:highlight w:val="none"/>
        </w:rPr>
        <w:t>进一步贯彻落实党中央国务院关于党政机关改进作风、厉行节约的指示精神</w:t>
      </w:r>
      <w:r>
        <w:rPr>
          <w:rFonts w:hint="eastAsia" w:ascii="仿宋_GB2312" w:eastAsia="仿宋_GB2312"/>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highlight w:val="none"/>
          <w:lang w:val="en-US" w:eastAsia="zh-CN"/>
        </w:rPr>
        <w:t>单位现有公务用车10辆，其中：轿车3辆，越野车5辆，其他车型2辆。</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2024年未安排公务用车购置费。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2024年安排公务用车运行维护费28.43万元，用于10辆公务用车燃油、过路（桥）、维修、保险等方面支出，主要保障单位公务</w:t>
      </w:r>
      <w:r>
        <w:rPr>
          <w:rFonts w:hint="default" w:ascii="仿宋_GB2312" w:hAnsi="仿宋_GB2312" w:eastAsia="仿宋_GB2312" w:cs="仿宋_GB2312"/>
          <w:sz w:val="32"/>
          <w:szCs w:val="32"/>
          <w:highlight w:val="none"/>
          <w:lang w:val="en-US" w:eastAsia="zh-CN"/>
        </w:rPr>
        <w:t>活动顺畅进行</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w:t>
      </w:r>
      <w:bookmarkStart w:id="32" w:name="_Toc25912"/>
      <w:r>
        <w:rPr>
          <w:rFonts w:hint="eastAsia" w:ascii="仿宋_GB2312" w:hAnsi="仿宋_GB2312" w:eastAsia="仿宋_GB2312" w:cs="仿宋_GB2312"/>
          <w:sz w:val="32"/>
          <w:szCs w:val="32"/>
          <w:highlight w:val="none"/>
          <w:lang w:val="en-US" w:eastAsia="zh-CN"/>
        </w:rPr>
        <w:t>（</w:t>
      </w:r>
      <w:r>
        <w:rPr>
          <w:rFonts w:hint="eastAsia" w:ascii="楷体_GB2312" w:hAnsi="楷体_GB2312" w:eastAsia="楷体_GB2312" w:cs="楷体_GB2312"/>
          <w:sz w:val="32"/>
          <w:szCs w:val="32"/>
          <w:highlight w:val="none"/>
          <w:lang w:val="en-US" w:eastAsia="zh-CN"/>
        </w:rPr>
        <w:t>三）因公出国（境）经费</w:t>
      </w:r>
      <w:bookmarkEnd w:id="3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highlight w:val="none"/>
          <w:lang w:val="en-US" w:eastAsia="zh-CN"/>
        </w:rPr>
        <w:t>因公出国（境）经费与2023年预算相比持平，未安排预算资金。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33" w:name="_Toc4350"/>
      <w:bookmarkStart w:id="34" w:name="_Toc18758"/>
      <w:r>
        <w:rPr>
          <w:rFonts w:hint="eastAsia" w:ascii="黑体" w:hAnsi="黑体" w:eastAsia="黑体" w:cs="黑体"/>
          <w:sz w:val="32"/>
          <w:szCs w:val="32"/>
          <w:highlight w:val="none"/>
          <w:lang w:val="en-US" w:eastAsia="zh-CN"/>
        </w:rPr>
        <w:t>八、政府性基金预算支出情况说明</w:t>
      </w:r>
      <w:bookmarkEnd w:id="33"/>
      <w:bookmarkEnd w:id="3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eastAsia="仿宋_GB2312"/>
          <w:sz w:val="32"/>
          <w:szCs w:val="32"/>
          <w:highlight w:val="none"/>
          <w:lang w:eastAsia="zh-CN"/>
        </w:rPr>
        <w:t>广元</w:t>
      </w:r>
      <w:r>
        <w:rPr>
          <w:rFonts w:hint="eastAsia" w:ascii="仿宋_GB2312" w:eastAsia="仿宋_GB2312"/>
          <w:sz w:val="32"/>
          <w:szCs w:val="32"/>
          <w:highlight w:val="none"/>
        </w:rPr>
        <w:t>市卫生健康委员会</w:t>
      </w:r>
      <w:r>
        <w:rPr>
          <w:rFonts w:hint="eastAsia" w:ascii="仿宋_GB2312" w:hAnsi="仿宋_GB2312" w:eastAsia="仿宋_GB2312" w:cs="仿宋_GB2312"/>
          <w:sz w:val="32"/>
          <w:szCs w:val="32"/>
          <w:highlight w:val="none"/>
          <w:lang w:val="en-US" w:eastAsia="zh-CN"/>
        </w:rPr>
        <w:t>2024年无政府性基金预算拨款安排的支出。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35" w:name="_Toc13753"/>
      <w:bookmarkStart w:id="36" w:name="_Toc17499"/>
      <w:r>
        <w:rPr>
          <w:rFonts w:hint="eastAsia" w:ascii="黑体" w:hAnsi="黑体" w:eastAsia="黑体" w:cs="黑体"/>
          <w:sz w:val="32"/>
          <w:szCs w:val="32"/>
          <w:highlight w:val="none"/>
          <w:lang w:val="en-US" w:eastAsia="zh-CN"/>
        </w:rPr>
        <w:t>九、国有资本经营预算支出情况说明</w:t>
      </w:r>
      <w:bookmarkEnd w:id="35"/>
      <w:bookmarkEnd w:id="3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eastAsia="仿宋_GB2312"/>
          <w:sz w:val="32"/>
          <w:szCs w:val="32"/>
          <w:highlight w:val="none"/>
          <w:lang w:eastAsia="zh-CN"/>
        </w:rPr>
        <w:t>广元</w:t>
      </w:r>
      <w:r>
        <w:rPr>
          <w:rFonts w:hint="eastAsia" w:ascii="仿宋_GB2312" w:eastAsia="仿宋_GB2312"/>
          <w:sz w:val="32"/>
          <w:szCs w:val="32"/>
          <w:highlight w:val="none"/>
        </w:rPr>
        <w:t>市卫生健康委员会</w:t>
      </w:r>
      <w:r>
        <w:rPr>
          <w:rFonts w:hint="eastAsia" w:ascii="仿宋_GB2312" w:hAnsi="仿宋_GB2312" w:eastAsia="仿宋_GB2312" w:cs="仿宋_GB2312"/>
          <w:sz w:val="32"/>
          <w:szCs w:val="32"/>
          <w:highlight w:val="none"/>
          <w:lang w:val="en-US" w:eastAsia="zh-CN"/>
        </w:rPr>
        <w:t>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37" w:name="_Toc1897"/>
      <w:bookmarkStart w:id="38" w:name="_Toc17560"/>
      <w:r>
        <w:rPr>
          <w:rFonts w:hint="eastAsia" w:ascii="黑体" w:hAnsi="黑体" w:eastAsia="黑体" w:cs="黑体"/>
          <w:sz w:val="32"/>
          <w:szCs w:val="32"/>
          <w:highlight w:val="none"/>
          <w:lang w:val="en-US" w:eastAsia="zh-CN"/>
        </w:rPr>
        <w:t>十、其他重要事项的情况说明</w:t>
      </w:r>
      <w:bookmarkEnd w:id="37"/>
      <w:bookmarkEnd w:id="3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39" w:name="_Toc25410"/>
      <w:r>
        <w:rPr>
          <w:rFonts w:hint="eastAsia" w:ascii="楷体_GB2312" w:hAnsi="楷体_GB2312" w:eastAsia="楷体_GB2312" w:cs="楷体_GB2312"/>
          <w:sz w:val="32"/>
          <w:szCs w:val="32"/>
          <w:highlight w:val="none"/>
          <w:lang w:val="en-US" w:eastAsia="zh-CN"/>
        </w:rPr>
        <w:t>（一）机关运行经费</w:t>
      </w:r>
      <w:bookmarkEnd w:id="3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w:t>
      </w:r>
      <w:r>
        <w:rPr>
          <w:rFonts w:hint="eastAsia" w:ascii="仿宋_GB2312" w:eastAsia="仿宋_GB2312"/>
          <w:sz w:val="32"/>
          <w:szCs w:val="32"/>
          <w:highlight w:val="none"/>
          <w:lang w:eastAsia="zh-CN"/>
        </w:rPr>
        <w:t>广元</w:t>
      </w:r>
      <w:r>
        <w:rPr>
          <w:rFonts w:hint="eastAsia" w:ascii="仿宋_GB2312" w:eastAsia="仿宋_GB2312"/>
          <w:sz w:val="32"/>
          <w:szCs w:val="32"/>
          <w:highlight w:val="none"/>
        </w:rPr>
        <w:t>市卫生健康委员会</w:t>
      </w:r>
      <w:r>
        <w:rPr>
          <w:rFonts w:hint="eastAsia" w:ascii="仿宋_GB2312" w:hAnsi="仿宋_GB2312" w:eastAsia="仿宋_GB2312" w:cs="仿宋_GB2312"/>
          <w:sz w:val="32"/>
          <w:szCs w:val="32"/>
          <w:highlight w:val="none"/>
          <w:lang w:val="en-US" w:eastAsia="zh-CN"/>
        </w:rPr>
        <w:t>下属局机关1家行政单位和2家参公管理事业单位的机关运行经费财政拨款预算为252.84万元，比2023年预算258.67万元减少5.83万元，下降2.25%。主要原因是人员退休减少。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40" w:name="_Toc27484"/>
      <w:r>
        <w:rPr>
          <w:rFonts w:hint="eastAsia" w:ascii="楷体_GB2312" w:hAnsi="楷体_GB2312" w:eastAsia="楷体_GB2312" w:cs="楷体_GB2312"/>
          <w:sz w:val="32"/>
          <w:szCs w:val="32"/>
          <w:highlight w:val="none"/>
          <w:lang w:val="en-US" w:eastAsia="zh-CN"/>
        </w:rPr>
        <w:t>（二）政府采购情况</w:t>
      </w:r>
      <w:bookmarkEnd w:id="4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2024年，</w:t>
      </w:r>
      <w:r>
        <w:rPr>
          <w:rFonts w:hint="eastAsia" w:ascii="仿宋_GB2312" w:eastAsia="仿宋_GB2312"/>
          <w:sz w:val="32"/>
          <w:szCs w:val="32"/>
          <w:highlight w:val="none"/>
          <w:lang w:eastAsia="zh-CN"/>
        </w:rPr>
        <w:t>广元</w:t>
      </w:r>
      <w:r>
        <w:rPr>
          <w:rFonts w:hint="eastAsia" w:ascii="仿宋_GB2312" w:eastAsia="仿宋_GB2312"/>
          <w:sz w:val="32"/>
          <w:szCs w:val="32"/>
          <w:highlight w:val="none"/>
        </w:rPr>
        <w:t>市卫生健康委员会</w:t>
      </w:r>
      <w:r>
        <w:rPr>
          <w:rFonts w:hint="eastAsia" w:ascii="仿宋_GB2312" w:hAnsi="仿宋_GB2312" w:eastAsia="仿宋_GB2312" w:cs="仿宋_GB2312"/>
          <w:sz w:val="32"/>
          <w:szCs w:val="32"/>
          <w:highlight w:val="none"/>
          <w:lang w:val="en-US" w:eastAsia="zh-CN"/>
        </w:rPr>
        <w:t>安排政府采购预算54541.32万元，其中：政府采购货物预算41837.62万元、政府采购工程预算677万元、政府采购服务预算12026.7万元。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41" w:name="_Toc8202"/>
      <w:r>
        <w:rPr>
          <w:rFonts w:hint="eastAsia" w:ascii="楷体_GB2312" w:hAnsi="楷体_GB2312" w:eastAsia="楷体_GB2312" w:cs="楷体_GB2312"/>
          <w:sz w:val="32"/>
          <w:szCs w:val="32"/>
          <w:highlight w:val="none"/>
          <w:lang w:val="en-US" w:eastAsia="zh-CN"/>
        </w:rPr>
        <w:t>（三）国有资产占有使用情况</w:t>
      </w:r>
      <w:bookmarkEnd w:id="4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截至2023年底，</w:t>
      </w:r>
      <w:r>
        <w:rPr>
          <w:rFonts w:hint="eastAsia" w:ascii="仿宋_GB2312" w:eastAsia="仿宋_GB2312"/>
          <w:sz w:val="32"/>
          <w:szCs w:val="32"/>
          <w:highlight w:val="none"/>
          <w:lang w:eastAsia="zh-CN"/>
        </w:rPr>
        <w:t>广元</w:t>
      </w:r>
      <w:r>
        <w:rPr>
          <w:rFonts w:hint="eastAsia" w:ascii="仿宋_GB2312" w:eastAsia="仿宋_GB2312"/>
          <w:sz w:val="32"/>
          <w:szCs w:val="32"/>
          <w:highlight w:val="none"/>
        </w:rPr>
        <w:t>市卫生健康委员会</w:t>
      </w:r>
      <w:r>
        <w:rPr>
          <w:rFonts w:hint="eastAsia" w:ascii="仿宋_GB2312" w:hAnsi="仿宋_GB2312" w:eastAsia="仿宋_GB2312" w:cs="仿宋_GB2312"/>
          <w:sz w:val="32"/>
          <w:szCs w:val="32"/>
          <w:highlight w:val="none"/>
          <w:lang w:val="en-US" w:eastAsia="zh-CN"/>
        </w:rPr>
        <w:t>共有车辆96辆，其中，定向保障用车95辆、执法执勤用车1辆。单位价值200万元以上大型设备137台（套）。</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2024年部门预算安排车辆购置经费380万元。其中，财政拨款预算安排0万元，非财政拨款安排380万元。拟购置定向保障用车8辆。安排大型设备购置经费21990.59万元。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rPr>
      </w:pPr>
      <w:bookmarkStart w:id="42" w:name="_Toc31554"/>
      <w:r>
        <w:rPr>
          <w:rFonts w:hint="eastAsia" w:ascii="楷体_GB2312" w:hAnsi="楷体_GB2312" w:eastAsia="楷体_GB2312" w:cs="楷体_GB2312"/>
          <w:sz w:val="32"/>
          <w:szCs w:val="32"/>
          <w:highlight w:val="none"/>
          <w:lang w:val="en-US" w:eastAsia="zh-CN"/>
        </w:rPr>
        <w:t>（四）绩效目标设置情况</w:t>
      </w:r>
      <w:bookmarkEnd w:id="4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w:t>
      </w:r>
      <w:r>
        <w:rPr>
          <w:rFonts w:hint="eastAsia" w:ascii="仿宋_GB2312" w:eastAsia="仿宋_GB2312"/>
          <w:sz w:val="32"/>
          <w:szCs w:val="32"/>
          <w:highlight w:val="none"/>
          <w:lang w:eastAsia="zh-CN"/>
        </w:rPr>
        <w:t>广元</w:t>
      </w:r>
      <w:r>
        <w:rPr>
          <w:rFonts w:hint="eastAsia" w:ascii="仿宋_GB2312" w:eastAsia="仿宋_GB2312"/>
          <w:sz w:val="32"/>
          <w:szCs w:val="32"/>
          <w:highlight w:val="none"/>
        </w:rPr>
        <w:t>市卫生健康委员会</w:t>
      </w:r>
      <w:r>
        <w:rPr>
          <w:rFonts w:hint="eastAsia" w:ascii="仿宋_GB2312" w:hAnsi="仿宋_GB2312" w:eastAsia="仿宋_GB2312" w:cs="仿宋_GB2312"/>
          <w:sz w:val="32"/>
          <w:szCs w:val="32"/>
          <w:highlight w:val="none"/>
          <w:lang w:val="en-US" w:eastAsia="zh-CN"/>
        </w:rPr>
        <w:t>开展绩效目标管理的项目189个，涉及预算382302.74万元。其中：人员类项目63个，涉及预算156942.54万元；运转类项目33个，涉及预算31569.49万元；特定目标类项目93个，涉及预算193790.71万元。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43" w:name="_Toc7495"/>
      <w:bookmarkStart w:id="44" w:name="_Toc6150"/>
      <w:r>
        <w:rPr>
          <w:rFonts w:hint="eastAsia" w:ascii="黑体" w:hAnsi="黑体" w:eastAsia="黑体" w:cs="黑体"/>
          <w:sz w:val="32"/>
          <w:szCs w:val="32"/>
          <w:highlight w:val="none"/>
          <w:lang w:val="en-US" w:eastAsia="zh-CN"/>
        </w:rPr>
        <w:t>十一、名词解释</w:t>
      </w:r>
      <w:bookmarkEnd w:id="43"/>
      <w:bookmarkEnd w:id="4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（一）财政拨款收入：</w:t>
      </w:r>
      <w:r>
        <w:rPr>
          <w:rFonts w:hint="eastAsia" w:ascii="仿宋_GB2312" w:hAnsi="仿宋_GB2312" w:eastAsia="仿宋_GB2312" w:cs="仿宋_GB2312"/>
          <w:sz w:val="32"/>
          <w:szCs w:val="32"/>
          <w:highlight w:val="none"/>
          <w:lang w:val="en-US" w:eastAsia="zh-CN"/>
        </w:rPr>
        <w:t>指市财政当年安排的财政预算收入。按现行管理制度，部门预算中反映的财政拨款包括一般公共预算拨款和政府性基金预算拨款。</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楷体_GB2312" w:hAnsi="楷体_GB2312" w:eastAsia="楷体_GB2312" w:cs="楷体_GB2312"/>
          <w:sz w:val="32"/>
          <w:szCs w:val="32"/>
          <w:highlight w:val="none"/>
          <w:lang w:val="en-US" w:eastAsia="zh-CN"/>
        </w:rPr>
        <w:t>（二）事业收入：</w:t>
      </w:r>
      <w:r>
        <w:rPr>
          <w:rFonts w:hint="eastAsia" w:ascii="仿宋_GB2312" w:hAnsi="仿宋_GB2312" w:eastAsia="仿宋_GB2312" w:cs="仿宋_GB2312"/>
          <w:sz w:val="32"/>
          <w:szCs w:val="32"/>
          <w:highlight w:val="none"/>
          <w:lang w:val="en-US" w:eastAsia="zh-CN"/>
        </w:rPr>
        <w:t>指事业单位开展专业业务活动及辅助活动所取得的收入。主要为医院收取的医疗收入。</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（三）其他收入：</w:t>
      </w:r>
      <w:r>
        <w:rPr>
          <w:rFonts w:hint="eastAsia" w:ascii="仿宋_GB2312" w:hAnsi="仿宋_GB2312" w:eastAsia="仿宋_GB2312" w:cs="仿宋_GB2312"/>
          <w:sz w:val="32"/>
          <w:szCs w:val="32"/>
          <w:highlight w:val="none"/>
          <w:lang w:val="en-US" w:eastAsia="zh-CN"/>
        </w:rPr>
        <w:t>指除上述“一般公共预算拨款收入” “事业收入”等以外的收入。如市中医医院收回投资款、借款、预估投资收益；市</w:t>
      </w:r>
      <w:r>
        <w:rPr>
          <w:rFonts w:hint="eastAsia" w:ascii="仿宋_GB2312" w:hAnsi="仿宋_GB2312" w:eastAsia="仿宋_GB2312" w:cs="仿宋_GB2312"/>
          <w:kern w:val="2"/>
          <w:sz w:val="32"/>
          <w:szCs w:val="32"/>
          <w:highlight w:val="none"/>
          <w:lang w:val="en-US" w:eastAsia="zh-CN" w:bidi="ar-SA"/>
        </w:rPr>
        <w:t>精卫中心地方专项债券资金；</w:t>
      </w:r>
      <w:r>
        <w:rPr>
          <w:rFonts w:hint="eastAsia" w:ascii="仿宋_GB2312" w:hAnsi="仿宋_GB2312" w:eastAsia="仿宋_GB2312" w:cs="仿宋_GB2312"/>
          <w:sz w:val="32"/>
          <w:szCs w:val="32"/>
          <w:highlight w:val="none"/>
          <w:lang w:val="en-US" w:eastAsia="zh-CN"/>
        </w:rPr>
        <w:t>市中心医院、市中医医院、市精卫中心银行存款利息收入等。</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（四）</w:t>
      </w:r>
      <w:r>
        <w:rPr>
          <w:rFonts w:hint="default" w:ascii="仿宋_GB2312" w:eastAsia="仿宋_GB2312" w:hAnsiTheme="minorHAnsi" w:cstheme="minorBidi"/>
          <w:kern w:val="2"/>
          <w:sz w:val="32"/>
          <w:szCs w:val="32"/>
          <w:highlight w:val="none"/>
          <w:lang w:val="en-US" w:eastAsia="zh-CN" w:bidi="ar-SA"/>
        </w:rPr>
        <w:t>社会保障和就业支出（类）行政事业单位养老支出（款）机关事业单位基本养老保险缴费支出（项）2080505：指反映机关事业单位实施养老保险制度由单位缴纳的基本养老保险费支出。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（五）</w:t>
      </w:r>
      <w:r>
        <w:rPr>
          <w:rFonts w:hint="default" w:ascii="仿宋_GB2312" w:eastAsia="仿宋_GB2312" w:hAnsiTheme="minorHAnsi" w:cstheme="minorBidi"/>
          <w:kern w:val="2"/>
          <w:sz w:val="32"/>
          <w:szCs w:val="32"/>
          <w:highlight w:val="none"/>
          <w:lang w:val="en-US" w:eastAsia="zh-CN" w:bidi="ar-SA"/>
        </w:rPr>
        <w:t>社会保障和就业支出（类）行政事业单位养老支出（款）机关事业单位基本</w:t>
      </w:r>
      <w:r>
        <w:rPr>
          <w:rFonts w:hint="eastAsia" w:ascii="仿宋_GB2312" w:eastAsia="仿宋_GB2312" w:hAnsiTheme="minorHAnsi" w:cstheme="minorBidi"/>
          <w:kern w:val="2"/>
          <w:sz w:val="32"/>
          <w:szCs w:val="32"/>
          <w:highlight w:val="none"/>
          <w:lang w:val="en-US" w:eastAsia="zh-CN" w:bidi="ar-SA"/>
        </w:rPr>
        <w:t>职业年金</w:t>
      </w:r>
      <w:r>
        <w:rPr>
          <w:rFonts w:hint="default" w:ascii="仿宋_GB2312" w:eastAsia="仿宋_GB2312" w:hAnsiTheme="minorHAnsi" w:cstheme="minorBidi"/>
          <w:kern w:val="2"/>
          <w:sz w:val="32"/>
          <w:szCs w:val="32"/>
          <w:highlight w:val="none"/>
          <w:lang w:val="en-US" w:eastAsia="zh-CN" w:bidi="ar-SA"/>
        </w:rPr>
        <w:t>缴费支出（项）208050</w:t>
      </w:r>
      <w:r>
        <w:rPr>
          <w:rFonts w:hint="eastAsia" w:ascii="仿宋_GB2312" w:eastAsia="仿宋_GB2312" w:hAnsiTheme="minorHAnsi" w:cstheme="minorBidi"/>
          <w:kern w:val="2"/>
          <w:sz w:val="32"/>
          <w:szCs w:val="32"/>
          <w:highlight w:val="none"/>
          <w:lang w:val="en-US" w:eastAsia="zh-CN" w:bidi="ar-SA"/>
        </w:rPr>
        <w:t>6</w:t>
      </w:r>
      <w:r>
        <w:rPr>
          <w:rFonts w:hint="default" w:ascii="仿宋_GB2312" w:eastAsia="仿宋_GB2312" w:hAnsiTheme="minorHAnsi" w:cstheme="minorBidi"/>
          <w:kern w:val="2"/>
          <w:sz w:val="32"/>
          <w:szCs w:val="32"/>
          <w:highlight w:val="none"/>
          <w:lang w:val="en-US" w:eastAsia="zh-CN" w:bidi="ar-SA"/>
        </w:rPr>
        <w:t>：指反映机关事业单位实施养老保险制度由单位</w:t>
      </w:r>
      <w:r>
        <w:rPr>
          <w:rFonts w:hint="eastAsia" w:ascii="仿宋_GB2312" w:eastAsia="仿宋_GB2312" w:hAnsiTheme="minorHAnsi" w:cstheme="minorBidi"/>
          <w:kern w:val="2"/>
          <w:sz w:val="32"/>
          <w:szCs w:val="32"/>
          <w:highlight w:val="none"/>
          <w:lang w:val="en-US" w:eastAsia="zh-CN" w:bidi="ar-SA"/>
        </w:rPr>
        <w:t>实际</w:t>
      </w:r>
      <w:r>
        <w:rPr>
          <w:rFonts w:hint="default" w:ascii="仿宋_GB2312" w:eastAsia="仿宋_GB2312" w:hAnsiTheme="minorHAnsi" w:cstheme="minorBidi"/>
          <w:kern w:val="2"/>
          <w:sz w:val="32"/>
          <w:szCs w:val="32"/>
          <w:highlight w:val="none"/>
          <w:lang w:val="en-US" w:eastAsia="zh-CN" w:bidi="ar-SA"/>
        </w:rPr>
        <w:t>缴纳的</w:t>
      </w:r>
      <w:r>
        <w:rPr>
          <w:rFonts w:hint="eastAsia" w:ascii="仿宋_GB2312" w:eastAsia="仿宋_GB2312" w:hAnsiTheme="minorHAnsi" w:cstheme="minorBidi"/>
          <w:kern w:val="2"/>
          <w:sz w:val="32"/>
          <w:szCs w:val="32"/>
          <w:highlight w:val="none"/>
          <w:lang w:val="en-US" w:eastAsia="zh-CN" w:bidi="ar-SA"/>
        </w:rPr>
        <w:t>职业年金</w:t>
      </w:r>
      <w:r>
        <w:rPr>
          <w:rFonts w:hint="default" w:ascii="仿宋_GB2312" w:eastAsia="仿宋_GB2312" w:hAnsiTheme="minorHAnsi" w:cstheme="minorBidi"/>
          <w:kern w:val="2"/>
          <w:sz w:val="32"/>
          <w:szCs w:val="32"/>
          <w:highlight w:val="none"/>
          <w:lang w:val="en-US" w:eastAsia="zh-CN" w:bidi="ar-SA"/>
        </w:rPr>
        <w:t>支出。</w:t>
      </w:r>
    </w:p>
    <w:p>
      <w:pPr>
        <w:keepNext w:val="0"/>
        <w:keepLines w:val="0"/>
        <w:widowControl/>
        <w:suppressLineNumbers w:val="0"/>
        <w:shd w:val="clear"/>
        <w:spacing w:before="75" w:beforeAutospacing="0" w:after="75" w:afterAutospacing="0"/>
        <w:ind w:left="0" w:right="0" w:firstLine="640"/>
        <w:jc w:val="left"/>
        <w:rPr>
          <w:rFonts w:hint="eastAsia" w:ascii="仿宋_GB2312" w:eastAsia="仿宋_GB2312"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（六）</w:t>
      </w:r>
      <w:r>
        <w:rPr>
          <w:rFonts w:hint="default" w:ascii="仿宋_GB2312" w:eastAsia="仿宋_GB2312" w:hAnsiTheme="minorHAnsi" w:cstheme="minorBidi"/>
          <w:kern w:val="2"/>
          <w:sz w:val="32"/>
          <w:szCs w:val="32"/>
          <w:highlight w:val="none"/>
          <w:lang w:val="en-US" w:eastAsia="zh-CN" w:bidi="ar-SA"/>
        </w:rPr>
        <w:t>社会保障和就业支出（类）</w:t>
      </w:r>
      <w:r>
        <w:rPr>
          <w:rFonts w:hint="eastAsia" w:ascii="仿宋_GB2312" w:eastAsia="仿宋_GB2312" w:hAnsiTheme="minorHAnsi" w:cstheme="minorBidi"/>
          <w:kern w:val="2"/>
          <w:sz w:val="32"/>
          <w:szCs w:val="32"/>
          <w:highlight w:val="none"/>
          <w:lang w:val="en-US" w:eastAsia="zh-CN" w:bidi="ar-SA"/>
        </w:rPr>
        <w:t>其他</w:t>
      </w:r>
      <w:r>
        <w:rPr>
          <w:rFonts w:hint="default" w:ascii="仿宋_GB2312" w:eastAsia="仿宋_GB2312" w:hAnsiTheme="minorHAnsi" w:cstheme="minorBidi"/>
          <w:kern w:val="2"/>
          <w:sz w:val="32"/>
          <w:szCs w:val="32"/>
          <w:highlight w:val="none"/>
          <w:lang w:val="en-US" w:eastAsia="zh-CN" w:bidi="ar-SA"/>
        </w:rPr>
        <w:t>社会保障和就业支出（款）</w:t>
      </w:r>
      <w:r>
        <w:rPr>
          <w:rFonts w:hint="eastAsia" w:ascii="仿宋_GB2312" w:eastAsia="仿宋_GB2312" w:hAnsiTheme="minorHAnsi" w:cstheme="minorBidi"/>
          <w:kern w:val="2"/>
          <w:sz w:val="32"/>
          <w:szCs w:val="32"/>
          <w:highlight w:val="none"/>
          <w:lang w:val="en-US" w:eastAsia="zh-CN" w:bidi="ar-SA"/>
        </w:rPr>
        <w:t>其他</w:t>
      </w:r>
      <w:r>
        <w:rPr>
          <w:rFonts w:hint="default" w:ascii="仿宋_GB2312" w:eastAsia="仿宋_GB2312" w:hAnsiTheme="minorHAnsi" w:cstheme="minorBidi"/>
          <w:kern w:val="2"/>
          <w:sz w:val="32"/>
          <w:szCs w:val="32"/>
          <w:highlight w:val="none"/>
          <w:lang w:val="en-US" w:eastAsia="zh-CN" w:bidi="ar-SA"/>
        </w:rPr>
        <w:t>社会保障和就业支出（项）208</w:t>
      </w:r>
      <w:r>
        <w:rPr>
          <w:rFonts w:hint="eastAsia" w:ascii="仿宋_GB2312" w:eastAsia="仿宋_GB2312" w:hAnsiTheme="minorHAnsi" w:cstheme="minorBidi"/>
          <w:kern w:val="2"/>
          <w:sz w:val="32"/>
          <w:szCs w:val="32"/>
          <w:highlight w:val="none"/>
          <w:lang w:val="en-US" w:eastAsia="zh-CN" w:bidi="ar-SA"/>
        </w:rPr>
        <w:t>9999</w:t>
      </w:r>
      <w:r>
        <w:rPr>
          <w:rFonts w:hint="default" w:ascii="仿宋_GB2312" w:eastAsia="仿宋_GB2312" w:hAnsiTheme="minorHAnsi" w:cstheme="minorBidi"/>
          <w:kern w:val="2"/>
          <w:sz w:val="32"/>
          <w:szCs w:val="32"/>
          <w:highlight w:val="none"/>
          <w:lang w:val="en-US" w:eastAsia="zh-CN" w:bidi="ar-SA"/>
        </w:rPr>
        <w:t>：指反映</w:t>
      </w:r>
      <w:r>
        <w:rPr>
          <w:rFonts w:hint="eastAsia" w:ascii="仿宋_GB2312" w:eastAsia="仿宋_GB2312" w:hAnsiTheme="minorHAnsi" w:cstheme="minorBidi"/>
          <w:kern w:val="2"/>
          <w:sz w:val="32"/>
          <w:szCs w:val="32"/>
          <w:highlight w:val="none"/>
          <w:lang w:val="en-US" w:eastAsia="zh-CN" w:bidi="ar-SA"/>
        </w:rPr>
        <w:t>除上述项目以外其他用于社会保障和就业方面的支出</w:t>
      </w:r>
      <w:r>
        <w:rPr>
          <w:rFonts w:hint="default" w:ascii="仿宋_GB2312" w:eastAsia="仿宋_GB2312" w:hAnsiTheme="minorHAnsi" w:cstheme="minorBidi"/>
          <w:kern w:val="2"/>
          <w:sz w:val="32"/>
          <w:szCs w:val="32"/>
          <w:highlight w:val="none"/>
          <w:lang w:val="en-US" w:eastAsia="zh-CN" w:bidi="ar-SA"/>
        </w:rPr>
        <w:t>。</w:t>
      </w:r>
    </w:p>
    <w:p>
      <w:pPr>
        <w:keepNext w:val="0"/>
        <w:keepLines w:val="0"/>
        <w:widowControl/>
        <w:numPr>
          <w:ilvl w:val="0"/>
          <w:numId w:val="0"/>
        </w:numPr>
        <w:suppressLineNumbers w:val="0"/>
        <w:shd w:val="clear"/>
        <w:spacing w:beforeAutospacing="0" w:afterAutospacing="0"/>
        <w:ind w:left="0" w:leftChars="0" w:right="0" w:rightChars="0" w:firstLine="640" w:firstLineChars="20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（七）</w:t>
      </w:r>
      <w:r>
        <w:rPr>
          <w:rFonts w:hint="default" w:ascii="仿宋_GB2312" w:eastAsia="仿宋_GB2312" w:hAnsiTheme="minorHAnsi" w:cstheme="minorBidi"/>
          <w:kern w:val="2"/>
          <w:sz w:val="32"/>
          <w:szCs w:val="32"/>
          <w:highlight w:val="none"/>
          <w:lang w:val="en-US" w:eastAsia="zh-CN" w:bidi="ar-SA"/>
        </w:rPr>
        <w:t>卫生健康支出（类）卫生健康管理事务（款）行政运行（项）2100101：指反映行政单位（包括实行公务员管理的事业单位）的基本支出。</w:t>
      </w:r>
    </w:p>
    <w:p>
      <w:pPr>
        <w:keepNext w:val="0"/>
        <w:keepLines w:val="0"/>
        <w:widowControl/>
        <w:numPr>
          <w:ilvl w:val="0"/>
          <w:numId w:val="0"/>
        </w:numPr>
        <w:suppressLineNumbers w:val="0"/>
        <w:shd w:val="clear"/>
        <w:spacing w:beforeAutospacing="0" w:afterAutospacing="0"/>
        <w:ind w:left="0" w:leftChars="0" w:right="0" w:rightChars="0" w:firstLine="640" w:firstLineChars="20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（八）</w:t>
      </w:r>
      <w:r>
        <w:rPr>
          <w:rFonts w:hint="default" w:ascii="仿宋_GB2312" w:eastAsia="仿宋_GB2312" w:hAnsiTheme="minorHAnsi" w:cstheme="minorBidi"/>
          <w:kern w:val="2"/>
          <w:sz w:val="32"/>
          <w:szCs w:val="32"/>
          <w:highlight w:val="none"/>
          <w:lang w:val="en-US" w:eastAsia="zh-CN" w:bidi="ar-SA"/>
        </w:rPr>
        <w:t>卫生健康支出（类）卫生健康管理事务（款）</w:t>
      </w:r>
      <w:r>
        <w:rPr>
          <w:rFonts w:hint="eastAsia" w:ascii="仿宋_GB2312" w:eastAsia="仿宋_GB2312" w:hAnsiTheme="minorHAnsi" w:cstheme="minorBidi"/>
          <w:kern w:val="2"/>
          <w:sz w:val="32"/>
          <w:szCs w:val="32"/>
          <w:highlight w:val="none"/>
          <w:lang w:val="en-US" w:eastAsia="zh-CN" w:bidi="ar-SA"/>
        </w:rPr>
        <w:t>一般行政管理事务</w:t>
      </w:r>
      <w:r>
        <w:rPr>
          <w:rFonts w:hint="default" w:ascii="仿宋_GB2312" w:eastAsia="仿宋_GB2312" w:hAnsiTheme="minorHAnsi" w:cstheme="minorBidi"/>
          <w:kern w:val="2"/>
          <w:sz w:val="32"/>
          <w:szCs w:val="32"/>
          <w:highlight w:val="none"/>
          <w:lang w:val="en-US" w:eastAsia="zh-CN" w:bidi="ar-SA"/>
        </w:rPr>
        <w:t>（项）210010</w:t>
      </w:r>
      <w:r>
        <w:rPr>
          <w:rFonts w:hint="eastAsia" w:ascii="仿宋_GB2312" w:eastAsia="仿宋_GB2312" w:hAnsiTheme="minorHAnsi" w:cstheme="minorBidi"/>
          <w:kern w:val="2"/>
          <w:sz w:val="32"/>
          <w:szCs w:val="32"/>
          <w:highlight w:val="none"/>
          <w:lang w:val="en-US" w:eastAsia="zh-CN" w:bidi="ar-SA"/>
        </w:rPr>
        <w:t>2</w:t>
      </w:r>
      <w:r>
        <w:rPr>
          <w:rFonts w:hint="default" w:ascii="仿宋_GB2312" w:eastAsia="仿宋_GB2312" w:hAnsiTheme="minorHAnsi" w:cstheme="minorBidi"/>
          <w:kern w:val="2"/>
          <w:sz w:val="32"/>
          <w:szCs w:val="32"/>
          <w:highlight w:val="none"/>
          <w:lang w:val="en-US" w:eastAsia="zh-CN" w:bidi="ar-SA"/>
        </w:rPr>
        <w:t>：指反映行政单位（包括实行公务员管理的事业单位）</w:t>
      </w:r>
      <w:r>
        <w:rPr>
          <w:rFonts w:hint="eastAsia" w:ascii="仿宋_GB2312" w:eastAsia="仿宋_GB2312" w:hAnsiTheme="minorHAnsi" w:cstheme="minorBidi"/>
          <w:kern w:val="2"/>
          <w:sz w:val="32"/>
          <w:szCs w:val="32"/>
          <w:highlight w:val="none"/>
          <w:lang w:val="en-US" w:eastAsia="zh-CN" w:bidi="ar-SA"/>
        </w:rPr>
        <w:t>未单独设置项级科目的其他项目</w:t>
      </w:r>
      <w:r>
        <w:rPr>
          <w:rFonts w:hint="default" w:ascii="仿宋_GB2312" w:eastAsia="仿宋_GB2312" w:hAnsiTheme="minorHAnsi" w:cstheme="minorBidi"/>
          <w:kern w:val="2"/>
          <w:sz w:val="32"/>
          <w:szCs w:val="32"/>
          <w:highlight w:val="none"/>
          <w:lang w:val="en-US" w:eastAsia="zh-CN" w:bidi="ar-SA"/>
        </w:rPr>
        <w:t>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（九）</w:t>
      </w:r>
      <w:r>
        <w:rPr>
          <w:rFonts w:hint="default" w:ascii="仿宋_GB2312" w:eastAsia="仿宋_GB2312" w:hAnsiTheme="minorHAnsi" w:cstheme="minorBidi"/>
          <w:kern w:val="2"/>
          <w:sz w:val="32"/>
          <w:szCs w:val="32"/>
          <w:highlight w:val="none"/>
          <w:lang w:val="en-US" w:eastAsia="zh-CN" w:bidi="ar-SA"/>
        </w:rPr>
        <w:t>卫生健康支出（类）卫生健康管理事务（款）其他卫生健康管理事务支出（项）2100199：指反映除上述项目以外其他用于卫生健康管理事务方面的支出。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（十）</w:t>
      </w:r>
      <w:r>
        <w:rPr>
          <w:rFonts w:hint="default" w:ascii="仿宋_GB2312" w:eastAsia="仿宋_GB2312" w:hAnsiTheme="minorHAnsi" w:cstheme="minorBidi"/>
          <w:kern w:val="2"/>
          <w:sz w:val="32"/>
          <w:szCs w:val="32"/>
          <w:highlight w:val="none"/>
          <w:lang w:val="en-US" w:eastAsia="zh-CN" w:bidi="ar-SA"/>
        </w:rPr>
        <w:t>卫生健康支出（类）公立医院（款）综合医院（项）2100201：指反映卫生健康、中医部门所属的城市综合性医院、独立门诊、教学医院、疗养院和县医院的支出。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（十一）</w:t>
      </w:r>
      <w:r>
        <w:rPr>
          <w:rFonts w:hint="default" w:ascii="仿宋_GB2312" w:eastAsia="仿宋_GB2312" w:hAnsiTheme="minorHAnsi" w:cstheme="minorBidi"/>
          <w:kern w:val="2"/>
          <w:sz w:val="32"/>
          <w:szCs w:val="32"/>
          <w:highlight w:val="none"/>
          <w:lang w:val="en-US" w:eastAsia="zh-CN" w:bidi="ar-SA"/>
        </w:rPr>
        <w:t>卫生健康支出（类）公立医院（款）中医（民族）医院（项）2100202：指反映卫生健康、中医部门所属的中医院、中西医结合医院、民族医院的支出。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（十二）</w:t>
      </w:r>
      <w:r>
        <w:rPr>
          <w:rFonts w:hint="default" w:ascii="仿宋_GB2312" w:eastAsia="仿宋_GB2312" w:hAnsiTheme="minorHAnsi" w:cstheme="minorBidi"/>
          <w:kern w:val="2"/>
          <w:sz w:val="32"/>
          <w:szCs w:val="32"/>
          <w:highlight w:val="none"/>
          <w:lang w:val="en-US" w:eastAsia="zh-CN" w:bidi="ar-SA"/>
        </w:rPr>
        <w:t>卫生健康支出（类）公立医院（款）精神病医院（项）2100205：指反映专门收治精神病人医院的支出。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（十三）</w:t>
      </w:r>
      <w:r>
        <w:rPr>
          <w:rFonts w:hint="default" w:ascii="仿宋_GB2312" w:eastAsia="仿宋_GB2312" w:hAnsiTheme="minorHAnsi" w:cstheme="minorBidi"/>
          <w:kern w:val="2"/>
          <w:sz w:val="32"/>
          <w:szCs w:val="32"/>
          <w:highlight w:val="none"/>
          <w:lang w:val="en-US" w:eastAsia="zh-CN" w:bidi="ar-SA"/>
        </w:rPr>
        <w:t>卫生健康支出（类）公共卫生（款）疾病预防控制机构（项）2100401：指反映卫生健康部门所属疾病预防控制机构的支出。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（十四）</w:t>
      </w:r>
      <w:r>
        <w:rPr>
          <w:rFonts w:hint="default" w:ascii="仿宋_GB2312" w:eastAsia="仿宋_GB2312" w:hAnsiTheme="minorHAnsi" w:cstheme="minorBidi"/>
          <w:kern w:val="2"/>
          <w:sz w:val="32"/>
          <w:szCs w:val="32"/>
          <w:highlight w:val="none"/>
          <w:lang w:val="en-US" w:eastAsia="zh-CN" w:bidi="ar-SA"/>
        </w:rPr>
        <w:t>卫生健康支出（类）公共卫生（款）妇幼保健机构（项）2100403：指反映卫生健康部门所属妇幼保健机构的支出。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（十五）</w:t>
      </w:r>
      <w:r>
        <w:rPr>
          <w:rFonts w:hint="default" w:ascii="仿宋_GB2312" w:eastAsia="仿宋_GB2312" w:hAnsiTheme="minorHAnsi" w:cstheme="minorBidi"/>
          <w:kern w:val="2"/>
          <w:sz w:val="32"/>
          <w:szCs w:val="32"/>
          <w:highlight w:val="none"/>
          <w:lang w:val="en-US" w:eastAsia="zh-CN" w:bidi="ar-SA"/>
        </w:rPr>
        <w:t>卫生健康支出（类）公共卫生（款）应急救治机构（项）2100405：指反映卫生健康部门所属应急救治机构的支出。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（十六）</w:t>
      </w:r>
      <w:r>
        <w:rPr>
          <w:rFonts w:hint="default" w:ascii="仿宋_GB2312" w:eastAsia="仿宋_GB2312" w:hAnsiTheme="minorHAnsi" w:cstheme="minorBidi"/>
          <w:kern w:val="2"/>
          <w:sz w:val="32"/>
          <w:szCs w:val="32"/>
          <w:highlight w:val="none"/>
          <w:lang w:val="en-US" w:eastAsia="zh-CN" w:bidi="ar-SA"/>
        </w:rPr>
        <w:t>卫生健康支出（类）公共卫生（款）采供血机构（项）2100406：指反映卫生健康部门所属采供血机构的支出。</w:t>
      </w:r>
    </w:p>
    <w:p>
      <w:pPr>
        <w:keepNext w:val="0"/>
        <w:keepLines w:val="0"/>
        <w:widowControl/>
        <w:suppressLineNumbers w:val="0"/>
        <w:shd w:val="clear"/>
        <w:spacing w:before="75" w:beforeAutospacing="0" w:after="75" w:afterAutospacing="0"/>
        <w:ind w:left="0" w:right="0" w:firstLine="640"/>
        <w:jc w:val="left"/>
        <w:rPr>
          <w:rFonts w:hint="default"/>
          <w:highlight w:val="none"/>
          <w:lang w:val="en-US" w:eastAsia="zh-CN"/>
        </w:rPr>
      </w:pPr>
      <w:r>
        <w:rPr>
          <w:rFonts w:hint="eastAsia" w:ascii="楷体_GB2312" w:hAnsi="楷体_GB2312" w:eastAsia="楷体_GB2312" w:cs="楷体_GB2312"/>
          <w:sz w:val="32"/>
          <w:szCs w:val="32"/>
          <w:highlight w:val="none"/>
          <w:lang w:val="en-US" w:eastAsia="zh-CN"/>
        </w:rPr>
        <w:t>（十七）</w:t>
      </w:r>
      <w:r>
        <w:rPr>
          <w:rFonts w:hint="default" w:ascii="仿宋_GB2312" w:eastAsia="仿宋_GB2312" w:hAnsiTheme="minorHAnsi" w:cstheme="minorBidi"/>
          <w:kern w:val="2"/>
          <w:sz w:val="32"/>
          <w:szCs w:val="32"/>
          <w:highlight w:val="none"/>
          <w:lang w:val="en-US" w:eastAsia="zh-CN" w:bidi="ar-SA"/>
        </w:rPr>
        <w:t>卫生健康支出（类）公共卫生（款）</w:t>
      </w:r>
      <w:r>
        <w:rPr>
          <w:rFonts w:hint="eastAsia" w:ascii="仿宋_GB2312" w:eastAsia="仿宋_GB2312" w:hAnsiTheme="minorHAnsi" w:cstheme="minorBidi"/>
          <w:kern w:val="2"/>
          <w:sz w:val="32"/>
          <w:szCs w:val="32"/>
          <w:highlight w:val="none"/>
          <w:lang w:val="en-US" w:eastAsia="zh-CN" w:bidi="ar-SA"/>
        </w:rPr>
        <w:t>重大公共卫生服务</w:t>
      </w:r>
      <w:r>
        <w:rPr>
          <w:rFonts w:hint="default" w:ascii="仿宋_GB2312" w:eastAsia="仿宋_GB2312" w:hAnsiTheme="minorHAnsi" w:cstheme="minorBidi"/>
          <w:kern w:val="2"/>
          <w:sz w:val="32"/>
          <w:szCs w:val="32"/>
          <w:highlight w:val="none"/>
          <w:lang w:val="en-US" w:eastAsia="zh-CN" w:bidi="ar-SA"/>
        </w:rPr>
        <w:t>（项）210040</w:t>
      </w:r>
      <w:r>
        <w:rPr>
          <w:rFonts w:hint="eastAsia" w:ascii="仿宋_GB2312" w:eastAsia="仿宋_GB2312" w:hAnsiTheme="minorHAnsi" w:cstheme="minorBidi"/>
          <w:kern w:val="2"/>
          <w:sz w:val="32"/>
          <w:szCs w:val="32"/>
          <w:highlight w:val="none"/>
          <w:lang w:val="en-US" w:eastAsia="zh-CN" w:bidi="ar-SA"/>
        </w:rPr>
        <w:t>9</w:t>
      </w:r>
      <w:r>
        <w:rPr>
          <w:rFonts w:hint="default" w:ascii="仿宋_GB2312" w:eastAsia="仿宋_GB2312" w:hAnsiTheme="minorHAnsi" w:cstheme="minorBidi"/>
          <w:kern w:val="2"/>
          <w:sz w:val="32"/>
          <w:szCs w:val="32"/>
          <w:highlight w:val="none"/>
          <w:lang w:val="en-US" w:eastAsia="zh-CN" w:bidi="ar-SA"/>
        </w:rPr>
        <w:t>：指反映</w:t>
      </w:r>
      <w:r>
        <w:rPr>
          <w:rFonts w:hint="eastAsia" w:ascii="仿宋_GB2312" w:eastAsia="仿宋_GB2312" w:hAnsiTheme="minorHAnsi" w:cstheme="minorBidi"/>
          <w:kern w:val="2"/>
          <w:sz w:val="32"/>
          <w:szCs w:val="32"/>
          <w:highlight w:val="none"/>
          <w:lang w:val="en-US" w:eastAsia="zh-CN" w:bidi="ar-SA"/>
        </w:rPr>
        <w:t>重大疾病、重大传染病预防控制等重大公共卫生服务项目</w:t>
      </w:r>
      <w:bookmarkStart w:id="45" w:name="_GoBack"/>
      <w:bookmarkEnd w:id="45"/>
      <w:r>
        <w:rPr>
          <w:rFonts w:hint="default" w:ascii="仿宋_GB2312" w:eastAsia="仿宋_GB2312" w:hAnsiTheme="minorHAnsi" w:cstheme="minorBidi"/>
          <w:kern w:val="2"/>
          <w:sz w:val="32"/>
          <w:szCs w:val="32"/>
          <w:highlight w:val="none"/>
          <w:lang w:val="en-US" w:eastAsia="zh-CN" w:bidi="ar-SA"/>
        </w:rPr>
        <w:t>的支出。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（十八）</w:t>
      </w:r>
      <w:r>
        <w:rPr>
          <w:rFonts w:hint="default" w:ascii="仿宋_GB2312" w:eastAsia="仿宋_GB2312" w:hAnsiTheme="minorHAnsi" w:cstheme="minorBidi"/>
          <w:kern w:val="2"/>
          <w:sz w:val="32"/>
          <w:szCs w:val="32"/>
          <w:highlight w:val="none"/>
          <w:lang w:val="en-US" w:eastAsia="zh-CN" w:bidi="ar-SA"/>
        </w:rPr>
        <w:t>卫生健康支出（类）公共卫生（款）</w:t>
      </w:r>
      <w:r>
        <w:rPr>
          <w:rFonts w:hint="eastAsia" w:ascii="仿宋_GB2312" w:eastAsia="仿宋_GB2312" w:hAnsiTheme="minorHAnsi" w:cstheme="minorBidi"/>
          <w:kern w:val="2"/>
          <w:sz w:val="32"/>
          <w:szCs w:val="32"/>
          <w:highlight w:val="none"/>
          <w:lang w:val="en-US" w:eastAsia="zh-CN" w:bidi="ar-SA"/>
        </w:rPr>
        <w:t>其他公共卫生支出</w:t>
      </w:r>
      <w:r>
        <w:rPr>
          <w:rFonts w:hint="default" w:ascii="仿宋_GB2312" w:eastAsia="仿宋_GB2312" w:hAnsiTheme="minorHAnsi" w:cstheme="minorBidi"/>
          <w:kern w:val="2"/>
          <w:sz w:val="32"/>
          <w:szCs w:val="32"/>
          <w:highlight w:val="none"/>
          <w:lang w:val="en-US" w:eastAsia="zh-CN" w:bidi="ar-SA"/>
        </w:rPr>
        <w:t>（项）2100499：指反映</w:t>
      </w:r>
      <w:r>
        <w:rPr>
          <w:rFonts w:hint="eastAsia" w:ascii="仿宋_GB2312" w:eastAsia="仿宋_GB2312" w:hAnsiTheme="minorHAnsi" w:cstheme="minorBidi"/>
          <w:kern w:val="2"/>
          <w:sz w:val="32"/>
          <w:szCs w:val="32"/>
          <w:highlight w:val="none"/>
          <w:lang w:val="en-US" w:eastAsia="zh-CN" w:bidi="ar-SA"/>
        </w:rPr>
        <w:t>除上述项目以外的其他用于公共卫生方面</w:t>
      </w:r>
      <w:r>
        <w:rPr>
          <w:rFonts w:hint="default" w:ascii="仿宋_GB2312" w:eastAsia="仿宋_GB2312" w:hAnsiTheme="minorHAnsi" w:cstheme="minorBidi"/>
          <w:kern w:val="2"/>
          <w:sz w:val="32"/>
          <w:szCs w:val="32"/>
          <w:highlight w:val="none"/>
          <w:lang w:val="en-US" w:eastAsia="zh-CN" w:bidi="ar-SA"/>
        </w:rPr>
        <w:t>的支出。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（十九）</w:t>
      </w:r>
      <w:r>
        <w:rPr>
          <w:rFonts w:hint="default" w:ascii="仿宋_GB2312" w:eastAsia="仿宋_GB2312" w:hAnsiTheme="minorHAnsi" w:cstheme="minorBidi"/>
          <w:kern w:val="2"/>
          <w:sz w:val="32"/>
          <w:szCs w:val="32"/>
          <w:highlight w:val="none"/>
          <w:lang w:val="en-US" w:eastAsia="zh-CN" w:bidi="ar-SA"/>
        </w:rPr>
        <w:t>卫生健康支出（类）中医药（款）中医（民族医）药专项（项）2100601：指反映中医（民族医）药方面的专项支出。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（二十）</w:t>
      </w:r>
      <w:r>
        <w:rPr>
          <w:rFonts w:hint="default" w:ascii="仿宋_GB2312" w:eastAsia="仿宋_GB2312" w:hAnsiTheme="minorHAnsi" w:cstheme="minorBidi"/>
          <w:kern w:val="2"/>
          <w:sz w:val="32"/>
          <w:szCs w:val="32"/>
          <w:highlight w:val="none"/>
          <w:lang w:val="en-US" w:eastAsia="zh-CN" w:bidi="ar-SA"/>
        </w:rPr>
        <w:t>卫生健康支出（类）</w:t>
      </w:r>
      <w:r>
        <w:rPr>
          <w:rFonts w:hint="eastAsia" w:ascii="仿宋_GB2312" w:eastAsia="仿宋_GB2312" w:hAnsiTheme="minorHAnsi" w:cstheme="minorBidi"/>
          <w:kern w:val="2"/>
          <w:sz w:val="32"/>
          <w:szCs w:val="32"/>
          <w:highlight w:val="none"/>
          <w:lang w:val="en-US" w:eastAsia="zh-CN" w:bidi="ar-SA"/>
        </w:rPr>
        <w:t>计划生育事务</w:t>
      </w:r>
      <w:r>
        <w:rPr>
          <w:rFonts w:hint="default" w:ascii="仿宋_GB2312" w:eastAsia="仿宋_GB2312" w:hAnsiTheme="minorHAnsi" w:cstheme="minorBidi"/>
          <w:kern w:val="2"/>
          <w:sz w:val="32"/>
          <w:szCs w:val="32"/>
          <w:highlight w:val="none"/>
          <w:lang w:val="en-US" w:eastAsia="zh-CN" w:bidi="ar-SA"/>
        </w:rPr>
        <w:t>（款）</w:t>
      </w:r>
      <w:r>
        <w:rPr>
          <w:rFonts w:hint="eastAsia" w:ascii="仿宋_GB2312" w:eastAsia="仿宋_GB2312" w:hAnsiTheme="minorHAnsi" w:cstheme="minorBidi"/>
          <w:kern w:val="2"/>
          <w:sz w:val="32"/>
          <w:szCs w:val="32"/>
          <w:highlight w:val="none"/>
          <w:lang w:val="en-US" w:eastAsia="zh-CN" w:bidi="ar-SA"/>
        </w:rPr>
        <w:t>计划生育机构</w:t>
      </w:r>
      <w:r>
        <w:rPr>
          <w:rFonts w:hint="default" w:ascii="仿宋_GB2312" w:eastAsia="仿宋_GB2312" w:hAnsiTheme="minorHAnsi" w:cstheme="minorBidi"/>
          <w:kern w:val="2"/>
          <w:sz w:val="32"/>
          <w:szCs w:val="32"/>
          <w:highlight w:val="none"/>
          <w:lang w:val="en-US" w:eastAsia="zh-CN" w:bidi="ar-SA"/>
        </w:rPr>
        <w:t>（项）210</w:t>
      </w:r>
      <w:r>
        <w:rPr>
          <w:rFonts w:hint="eastAsia" w:ascii="仿宋_GB2312" w:eastAsia="仿宋_GB2312" w:hAnsiTheme="minorHAnsi" w:cstheme="minorBidi"/>
          <w:kern w:val="2"/>
          <w:sz w:val="32"/>
          <w:szCs w:val="32"/>
          <w:highlight w:val="none"/>
          <w:lang w:val="en-US" w:eastAsia="zh-CN" w:bidi="ar-SA"/>
        </w:rPr>
        <w:t>0716</w:t>
      </w:r>
      <w:r>
        <w:rPr>
          <w:rFonts w:hint="default" w:ascii="仿宋_GB2312" w:eastAsia="仿宋_GB2312" w:hAnsiTheme="minorHAnsi" w:cstheme="minorBidi"/>
          <w:kern w:val="2"/>
          <w:sz w:val="32"/>
          <w:szCs w:val="32"/>
          <w:highlight w:val="none"/>
          <w:lang w:val="en-US" w:eastAsia="zh-CN" w:bidi="ar-SA"/>
        </w:rPr>
        <w:t>：指反映</w:t>
      </w:r>
      <w:r>
        <w:rPr>
          <w:rFonts w:hint="eastAsia" w:ascii="仿宋_GB2312" w:eastAsia="仿宋_GB2312" w:hAnsiTheme="minorHAnsi" w:cstheme="minorBidi"/>
          <w:kern w:val="2"/>
          <w:sz w:val="32"/>
          <w:szCs w:val="32"/>
          <w:highlight w:val="none"/>
          <w:lang w:val="en-US" w:eastAsia="zh-CN" w:bidi="ar-SA"/>
        </w:rPr>
        <w:t>卫生健康部门所属计划生育机构的</w:t>
      </w:r>
      <w:r>
        <w:rPr>
          <w:rFonts w:hint="default" w:ascii="仿宋_GB2312" w:eastAsia="仿宋_GB2312" w:hAnsiTheme="minorHAnsi" w:cstheme="minorBidi"/>
          <w:kern w:val="2"/>
          <w:sz w:val="32"/>
          <w:szCs w:val="32"/>
          <w:highlight w:val="none"/>
          <w:lang w:val="en-US" w:eastAsia="zh-CN" w:bidi="ar-SA"/>
        </w:rPr>
        <w:t>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（二十一）</w:t>
      </w:r>
      <w:r>
        <w:rPr>
          <w:rFonts w:hint="default" w:ascii="仿宋_GB2312" w:eastAsia="仿宋_GB2312" w:hAnsiTheme="minorHAnsi" w:cstheme="minorBidi"/>
          <w:kern w:val="2"/>
          <w:sz w:val="32"/>
          <w:szCs w:val="32"/>
          <w:highlight w:val="none"/>
          <w:lang w:val="en-US" w:eastAsia="zh-CN" w:bidi="ar-SA"/>
        </w:rPr>
        <w:t>卫生健康支出（类）计划生育事务（款）其他计划生育事务支出（项）2100799：指反映除上述项目以外其他用于计划生育管理事务方面的支出。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（二十二）</w:t>
      </w:r>
      <w:r>
        <w:rPr>
          <w:rFonts w:hint="default" w:ascii="仿宋_GB2312" w:eastAsia="仿宋_GB2312" w:hAnsiTheme="minorHAnsi" w:cstheme="minorBidi"/>
          <w:kern w:val="2"/>
          <w:sz w:val="32"/>
          <w:szCs w:val="32"/>
          <w:highlight w:val="none"/>
          <w:lang w:val="en-US" w:eastAsia="zh-CN" w:bidi="ar-SA"/>
        </w:rPr>
        <w:t>卫生健康支出（类）行政事业单位医疗（款）行政单位医疗（项）2101101：指反映财政部门安排的行政单位（包括实行公务员管理的事业单位）基本医疗保险缴费经费，未参加医疗保险的行政单位的公费医疗经费，按国家规定享受离休人员、红军老战士待遇人员的医疗经费。</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（二十三）</w:t>
      </w:r>
      <w:r>
        <w:rPr>
          <w:rFonts w:hint="default" w:ascii="仿宋_GB2312" w:eastAsia="仿宋_GB2312" w:hAnsiTheme="minorHAnsi" w:cstheme="minorBidi"/>
          <w:kern w:val="2"/>
          <w:sz w:val="32"/>
          <w:szCs w:val="32"/>
          <w:highlight w:val="none"/>
          <w:lang w:val="en-US" w:eastAsia="zh-CN" w:bidi="ar-SA"/>
        </w:rPr>
        <w:t>卫生健康支出（类）行政事业单位医疗（款）事业单位医疗（项）2101102：指反映财政部门安排的事业单位基本医疗保险缴费经费，未参加医疗保险的事业单位的公费医疗经费，按国家规定享受离休人员待遇的医疗经费。</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（二十四）</w:t>
      </w:r>
      <w:r>
        <w:rPr>
          <w:rFonts w:hint="default" w:ascii="仿宋_GB2312" w:eastAsia="仿宋_GB2312" w:hAnsiTheme="minorHAnsi" w:cstheme="minorBidi"/>
          <w:kern w:val="2"/>
          <w:sz w:val="32"/>
          <w:szCs w:val="32"/>
          <w:highlight w:val="none"/>
          <w:lang w:val="en-US" w:eastAsia="zh-CN" w:bidi="ar-SA"/>
        </w:rPr>
        <w:t>卫生健康支出（类）老龄卫生健康事务（款）老龄卫生健康事务（项）2101601：指反映老龄卫生健康事务方面的支出。</w:t>
      </w:r>
    </w:p>
    <w:p>
      <w:pPr>
        <w:keepNext w:val="0"/>
        <w:keepLines w:val="0"/>
        <w:widowControl/>
        <w:suppressLineNumbers w:val="0"/>
        <w:shd w:val="clear"/>
        <w:spacing w:before="75" w:beforeAutospacing="0" w:after="75" w:afterAutospacing="0"/>
        <w:ind w:left="0" w:right="0" w:firstLine="640"/>
        <w:jc w:val="left"/>
        <w:rPr>
          <w:rFonts w:hint="default"/>
          <w:highlight w:val="none"/>
          <w:lang w:val="en-US" w:eastAsia="zh-CN"/>
        </w:rPr>
      </w:pPr>
      <w:r>
        <w:rPr>
          <w:rFonts w:hint="eastAsia" w:ascii="楷体_GB2312" w:hAnsi="楷体_GB2312" w:eastAsia="楷体_GB2312" w:cs="楷体_GB2312"/>
          <w:sz w:val="32"/>
          <w:szCs w:val="32"/>
          <w:highlight w:val="none"/>
          <w:lang w:val="en-US" w:eastAsia="zh-CN"/>
        </w:rPr>
        <w:t>（二十五）</w:t>
      </w:r>
      <w:r>
        <w:rPr>
          <w:rFonts w:hint="default" w:ascii="仿宋_GB2312" w:eastAsia="仿宋_GB2312" w:hAnsiTheme="minorHAnsi" w:cstheme="minorBidi"/>
          <w:kern w:val="2"/>
          <w:sz w:val="32"/>
          <w:szCs w:val="32"/>
          <w:highlight w:val="none"/>
          <w:lang w:val="en-US" w:eastAsia="zh-CN" w:bidi="ar-SA"/>
        </w:rPr>
        <w:t>卫生健康支出（类） 其他中医药事务支出（款）其他中医药事务支出（项）2101</w:t>
      </w:r>
      <w:r>
        <w:rPr>
          <w:rFonts w:hint="eastAsia" w:ascii="仿宋_GB2312" w:eastAsia="仿宋_GB2312" w:hAnsiTheme="minorHAnsi" w:cstheme="minorBidi"/>
          <w:kern w:val="2"/>
          <w:sz w:val="32"/>
          <w:szCs w:val="32"/>
          <w:highlight w:val="none"/>
          <w:lang w:val="en-US" w:eastAsia="zh-CN" w:bidi="ar-SA"/>
        </w:rPr>
        <w:t>799</w:t>
      </w:r>
      <w:r>
        <w:rPr>
          <w:rFonts w:hint="default" w:ascii="仿宋_GB2312" w:eastAsia="仿宋_GB2312" w:hAnsiTheme="minorHAnsi" w:cstheme="minorBidi"/>
          <w:kern w:val="2"/>
          <w:sz w:val="32"/>
          <w:szCs w:val="32"/>
          <w:highlight w:val="none"/>
          <w:lang w:val="en-US" w:eastAsia="zh-CN" w:bidi="ar-SA"/>
        </w:rPr>
        <w:t>：指反映</w:t>
      </w:r>
      <w:r>
        <w:rPr>
          <w:rFonts w:hint="eastAsia" w:ascii="仿宋_GB2312" w:eastAsia="仿宋_GB2312" w:hAnsiTheme="minorHAnsi" w:cstheme="minorBidi"/>
          <w:kern w:val="2"/>
          <w:sz w:val="32"/>
          <w:szCs w:val="32"/>
          <w:highlight w:val="none"/>
          <w:lang w:val="en-US" w:eastAsia="zh-CN" w:bidi="ar-SA"/>
        </w:rPr>
        <w:t>除中医（民族医）药专项以外的其他中医药的支出</w:t>
      </w:r>
      <w:r>
        <w:rPr>
          <w:rFonts w:hint="default" w:ascii="仿宋_GB2312" w:eastAsia="仿宋_GB2312" w:hAnsiTheme="minorHAnsi" w:cstheme="minorBidi"/>
          <w:kern w:val="2"/>
          <w:sz w:val="32"/>
          <w:szCs w:val="32"/>
          <w:highlight w:val="none"/>
          <w:lang w:val="en-US" w:eastAsia="zh-CN" w:bidi="ar-SA"/>
        </w:rPr>
        <w:t>。</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（二十六）</w:t>
      </w:r>
      <w:r>
        <w:rPr>
          <w:rFonts w:hint="default" w:ascii="仿宋_GB2312" w:eastAsia="仿宋_GB2312" w:hAnsiTheme="minorHAnsi" w:cstheme="minorBidi"/>
          <w:kern w:val="2"/>
          <w:sz w:val="32"/>
          <w:szCs w:val="32"/>
          <w:highlight w:val="none"/>
          <w:lang w:val="en-US" w:eastAsia="zh-CN" w:bidi="ar-SA"/>
        </w:rPr>
        <w:t>住房保障支出（类）住房改革支出（款）住房公积金（项）2210201：指反映行政事业单位按人力资源和社会保障部、财政部规定的基本工资和津贴补贴以及规定比例为职工缴纳的住房公积金。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sz w:val="32"/>
          <w:szCs w:val="32"/>
          <w:highlight w:val="none"/>
          <w:lang w:val="en-US" w:eastAsia="zh-CN"/>
        </w:rPr>
        <w:t>（二十七）基本支出：</w:t>
      </w:r>
      <w:r>
        <w:rPr>
          <w:rFonts w:hint="eastAsia" w:ascii="仿宋_GB2312" w:hAnsi="仿宋_GB2312" w:eastAsia="仿宋_GB2312" w:cs="仿宋_GB2312"/>
          <w:sz w:val="32"/>
          <w:szCs w:val="32"/>
          <w:highlight w:val="none"/>
          <w:lang w:val="en-US" w:eastAsia="zh-CN"/>
        </w:rPr>
        <w:t>指为保证机构正常运转，完成日常工作任务而发生的人员支出和公用支出。</w:t>
      </w:r>
      <w:r>
        <w:rPr>
          <w:rFonts w:hint="eastAsia" w:ascii="仿宋_GB2312" w:hAnsi="仿宋_GB2312" w:eastAsia="仿宋_GB2312" w:cs="仿宋_GB2312"/>
          <w:sz w:val="32"/>
          <w:szCs w:val="32"/>
          <w:highlight w:val="none"/>
          <w:lang w:val="en-US" w:eastAsia="zh-CN"/>
        </w:rPr>
        <w:br w:type="textWrapping"/>
      </w:r>
      <w:r>
        <w:rPr>
          <w:rFonts w:hint="eastAsia" w:ascii="仿宋_GB2312" w:hAnsi="仿宋_GB2312" w:eastAsia="仿宋_GB2312" w:cs="仿宋_GB2312"/>
          <w:sz w:val="32"/>
          <w:szCs w:val="32"/>
          <w:highlight w:val="none"/>
          <w:lang w:val="en-US" w:eastAsia="zh-CN"/>
        </w:rPr>
        <w:t>　　</w:t>
      </w:r>
      <w:r>
        <w:rPr>
          <w:rFonts w:hint="eastAsia" w:ascii="楷体_GB2312" w:hAnsi="楷体_GB2312" w:eastAsia="楷体_GB2312" w:cs="楷体_GB2312"/>
          <w:sz w:val="32"/>
          <w:szCs w:val="32"/>
          <w:highlight w:val="none"/>
          <w:lang w:val="en-US" w:eastAsia="zh-CN"/>
        </w:rPr>
        <w:t>（二十八）项目支出：</w:t>
      </w:r>
      <w:r>
        <w:rPr>
          <w:rFonts w:hint="eastAsia" w:ascii="仿宋_GB2312" w:hAnsi="仿宋_GB2312" w:eastAsia="仿宋_GB2312" w:cs="仿宋_GB2312"/>
          <w:sz w:val="32"/>
          <w:szCs w:val="32"/>
          <w:highlight w:val="none"/>
          <w:lang w:val="en-US" w:eastAsia="zh-CN"/>
        </w:rPr>
        <w:t>指在基本支出之外为完成特定行政任务和事业发展目标所发生的支出。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（二十九）“三公”经费：</w:t>
      </w:r>
      <w:r>
        <w:rPr>
          <w:rFonts w:hint="eastAsia" w:ascii="仿宋_GB2312" w:hAnsi="仿宋_GB2312" w:eastAsia="仿宋_GB2312" w:cs="仿宋_GB2312"/>
          <w:sz w:val="32"/>
          <w:szCs w:val="32"/>
          <w:highlight w:val="none"/>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highlight w:val="none"/>
          <w:lang w:val="en-US" w:eastAsia="zh-CN"/>
        </w:rPr>
        <w:br w:type="textWrapping"/>
      </w:r>
      <w:r>
        <w:rPr>
          <w:rFonts w:hint="eastAsia" w:ascii="仿宋_GB2312" w:hAnsi="仿宋_GB2312" w:eastAsia="仿宋_GB2312" w:cs="仿宋_GB2312"/>
          <w:sz w:val="32"/>
          <w:szCs w:val="32"/>
          <w:highlight w:val="none"/>
          <w:lang w:val="en-US" w:eastAsia="zh-CN"/>
        </w:rPr>
        <w:t xml:space="preserve">    </w:t>
      </w:r>
      <w:r>
        <w:rPr>
          <w:rFonts w:hint="eastAsia" w:ascii="楷体_GB2312" w:hAnsi="楷体_GB2312" w:eastAsia="楷体_GB2312" w:cs="楷体_GB2312"/>
          <w:sz w:val="32"/>
          <w:szCs w:val="32"/>
          <w:highlight w:val="none"/>
          <w:lang w:val="en-US" w:eastAsia="zh-CN"/>
        </w:rPr>
        <w:t>（三十）机关运行经费：</w:t>
      </w:r>
      <w:r>
        <w:rPr>
          <w:rFonts w:hint="eastAsia" w:ascii="仿宋_GB2312" w:hAnsi="仿宋_GB2312" w:eastAsia="仿宋_GB2312" w:cs="仿宋_GB2312"/>
          <w:sz w:val="32"/>
          <w:szCs w:val="32"/>
          <w:highlight w:val="none"/>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sz w:val="32"/>
          <w:szCs w:val="32"/>
          <w:highlight w:val="none"/>
          <w:lang w:val="en-US" w:eastAsia="zh-CN"/>
        </w:rPr>
        <w:t>附件：部门预算公开表</w:t>
      </w:r>
    </w:p>
    <w:sectPr>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CzG+uQ3QEAAL4DAAAOAAAAAAAAAAEAIAAAADQBAABkcnMvZTJvRG9jLnhtbFBLBQYAAAAABgAG&#10;AFkBAACDBQ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07658AF"/>
    <w:rsid w:val="00885B23"/>
    <w:rsid w:val="009A5857"/>
    <w:rsid w:val="00D348C5"/>
    <w:rsid w:val="00E60A9C"/>
    <w:rsid w:val="012352D1"/>
    <w:rsid w:val="017B2F92"/>
    <w:rsid w:val="01D6466C"/>
    <w:rsid w:val="01FF0067"/>
    <w:rsid w:val="02111B48"/>
    <w:rsid w:val="024C0DD3"/>
    <w:rsid w:val="02641C78"/>
    <w:rsid w:val="026C6D7F"/>
    <w:rsid w:val="02FA438B"/>
    <w:rsid w:val="030671D3"/>
    <w:rsid w:val="034026E5"/>
    <w:rsid w:val="03634626"/>
    <w:rsid w:val="03662B7E"/>
    <w:rsid w:val="037203C5"/>
    <w:rsid w:val="03DB240E"/>
    <w:rsid w:val="040A684F"/>
    <w:rsid w:val="05017C52"/>
    <w:rsid w:val="052E47BF"/>
    <w:rsid w:val="05300538"/>
    <w:rsid w:val="05340028"/>
    <w:rsid w:val="0596483F"/>
    <w:rsid w:val="05BB6053"/>
    <w:rsid w:val="06606BFB"/>
    <w:rsid w:val="06913258"/>
    <w:rsid w:val="06915006"/>
    <w:rsid w:val="070D6D82"/>
    <w:rsid w:val="07EA2C20"/>
    <w:rsid w:val="080865D4"/>
    <w:rsid w:val="084A7B62"/>
    <w:rsid w:val="08BB280E"/>
    <w:rsid w:val="09811362"/>
    <w:rsid w:val="09992B4F"/>
    <w:rsid w:val="09E3201C"/>
    <w:rsid w:val="09FE29B2"/>
    <w:rsid w:val="0A110938"/>
    <w:rsid w:val="0A5B1BB3"/>
    <w:rsid w:val="0A8F5D00"/>
    <w:rsid w:val="0B5D195B"/>
    <w:rsid w:val="0B903ADE"/>
    <w:rsid w:val="0B915F6A"/>
    <w:rsid w:val="0C363F25"/>
    <w:rsid w:val="0CA737D5"/>
    <w:rsid w:val="0CA75583"/>
    <w:rsid w:val="0CE916F8"/>
    <w:rsid w:val="0CF802C2"/>
    <w:rsid w:val="0DCD2DC7"/>
    <w:rsid w:val="0EA35638"/>
    <w:rsid w:val="0EBD2E3C"/>
    <w:rsid w:val="0F096081"/>
    <w:rsid w:val="0F4C2412"/>
    <w:rsid w:val="0F945887"/>
    <w:rsid w:val="10C5422A"/>
    <w:rsid w:val="10D75D0B"/>
    <w:rsid w:val="114333A1"/>
    <w:rsid w:val="11535CDA"/>
    <w:rsid w:val="116E48C1"/>
    <w:rsid w:val="11934328"/>
    <w:rsid w:val="121D602C"/>
    <w:rsid w:val="123553DF"/>
    <w:rsid w:val="128A572B"/>
    <w:rsid w:val="12BB3B36"/>
    <w:rsid w:val="12F708E7"/>
    <w:rsid w:val="131B2E32"/>
    <w:rsid w:val="131B45D5"/>
    <w:rsid w:val="133B07D3"/>
    <w:rsid w:val="136F4921"/>
    <w:rsid w:val="137D0DEC"/>
    <w:rsid w:val="13BF1404"/>
    <w:rsid w:val="141554C8"/>
    <w:rsid w:val="145C30F7"/>
    <w:rsid w:val="15233B88"/>
    <w:rsid w:val="157709B0"/>
    <w:rsid w:val="15E11B06"/>
    <w:rsid w:val="16B5089D"/>
    <w:rsid w:val="16B74615"/>
    <w:rsid w:val="16DE6045"/>
    <w:rsid w:val="172779EC"/>
    <w:rsid w:val="172D0D7B"/>
    <w:rsid w:val="17577BA6"/>
    <w:rsid w:val="18221F62"/>
    <w:rsid w:val="18300945"/>
    <w:rsid w:val="186500A0"/>
    <w:rsid w:val="19033B41"/>
    <w:rsid w:val="196A3BC0"/>
    <w:rsid w:val="19B968F6"/>
    <w:rsid w:val="19C32330"/>
    <w:rsid w:val="19DD0836"/>
    <w:rsid w:val="1A693E78"/>
    <w:rsid w:val="1A6C1BBA"/>
    <w:rsid w:val="1AAB26E2"/>
    <w:rsid w:val="1B5F527B"/>
    <w:rsid w:val="1B636B19"/>
    <w:rsid w:val="1BE0016A"/>
    <w:rsid w:val="1C163B8C"/>
    <w:rsid w:val="1C3109C5"/>
    <w:rsid w:val="1C6F14EE"/>
    <w:rsid w:val="1C737230"/>
    <w:rsid w:val="1CC77DA9"/>
    <w:rsid w:val="1D4110DC"/>
    <w:rsid w:val="1D554B87"/>
    <w:rsid w:val="1D7019C1"/>
    <w:rsid w:val="1D9069B9"/>
    <w:rsid w:val="1D9F113A"/>
    <w:rsid w:val="1E786D7F"/>
    <w:rsid w:val="1E9F255E"/>
    <w:rsid w:val="1EB62A42"/>
    <w:rsid w:val="1EC10726"/>
    <w:rsid w:val="1EC65D3D"/>
    <w:rsid w:val="1EE2069D"/>
    <w:rsid w:val="1F5570C1"/>
    <w:rsid w:val="1F7BF06F"/>
    <w:rsid w:val="1F8359DC"/>
    <w:rsid w:val="1FEE4B73"/>
    <w:rsid w:val="200C0A75"/>
    <w:rsid w:val="208D28C0"/>
    <w:rsid w:val="20A83220"/>
    <w:rsid w:val="21B76AE0"/>
    <w:rsid w:val="21E309B4"/>
    <w:rsid w:val="22010E3A"/>
    <w:rsid w:val="220646A2"/>
    <w:rsid w:val="22995516"/>
    <w:rsid w:val="229B7A15"/>
    <w:rsid w:val="22C02AA3"/>
    <w:rsid w:val="231B5F2B"/>
    <w:rsid w:val="231E0254"/>
    <w:rsid w:val="23CE9849"/>
    <w:rsid w:val="23E32EED"/>
    <w:rsid w:val="24172B97"/>
    <w:rsid w:val="24900340"/>
    <w:rsid w:val="24A952A3"/>
    <w:rsid w:val="24B14D99"/>
    <w:rsid w:val="24C34ACD"/>
    <w:rsid w:val="24FD761E"/>
    <w:rsid w:val="25822292"/>
    <w:rsid w:val="25AE752B"/>
    <w:rsid w:val="25CE197B"/>
    <w:rsid w:val="267267AA"/>
    <w:rsid w:val="26964247"/>
    <w:rsid w:val="26F40F6D"/>
    <w:rsid w:val="278E13C2"/>
    <w:rsid w:val="27BD3A55"/>
    <w:rsid w:val="27E014F2"/>
    <w:rsid w:val="27FC632B"/>
    <w:rsid w:val="2A742AF1"/>
    <w:rsid w:val="2A874555"/>
    <w:rsid w:val="2AFA28CA"/>
    <w:rsid w:val="2B311469"/>
    <w:rsid w:val="2B944ACD"/>
    <w:rsid w:val="2B97636B"/>
    <w:rsid w:val="2BA271EA"/>
    <w:rsid w:val="2BA94A1C"/>
    <w:rsid w:val="2BAF1907"/>
    <w:rsid w:val="2BFB496E"/>
    <w:rsid w:val="2C0A4D8F"/>
    <w:rsid w:val="2C78619D"/>
    <w:rsid w:val="2C9805ED"/>
    <w:rsid w:val="2CB90C8F"/>
    <w:rsid w:val="2CEF46B1"/>
    <w:rsid w:val="2D7352E2"/>
    <w:rsid w:val="2DD438A6"/>
    <w:rsid w:val="2DD9710F"/>
    <w:rsid w:val="2DFB52D7"/>
    <w:rsid w:val="2ECD7E44"/>
    <w:rsid w:val="2F662C24"/>
    <w:rsid w:val="2FB614B6"/>
    <w:rsid w:val="2FFB7875"/>
    <w:rsid w:val="30202DD3"/>
    <w:rsid w:val="303643A5"/>
    <w:rsid w:val="304765B2"/>
    <w:rsid w:val="304B42F4"/>
    <w:rsid w:val="30BB2AFC"/>
    <w:rsid w:val="30E43E01"/>
    <w:rsid w:val="3105492A"/>
    <w:rsid w:val="31A16195"/>
    <w:rsid w:val="31C559E0"/>
    <w:rsid w:val="31E56082"/>
    <w:rsid w:val="32C959A4"/>
    <w:rsid w:val="3421387B"/>
    <w:rsid w:val="347B4A7C"/>
    <w:rsid w:val="34CE2DFE"/>
    <w:rsid w:val="34DA5C46"/>
    <w:rsid w:val="35134CB4"/>
    <w:rsid w:val="35571045"/>
    <w:rsid w:val="355F614C"/>
    <w:rsid w:val="35C16E06"/>
    <w:rsid w:val="35F406D0"/>
    <w:rsid w:val="361C228F"/>
    <w:rsid w:val="36E10357"/>
    <w:rsid w:val="37132C2C"/>
    <w:rsid w:val="372799D5"/>
    <w:rsid w:val="37893954"/>
    <w:rsid w:val="37C700E5"/>
    <w:rsid w:val="392F4087"/>
    <w:rsid w:val="39F304DD"/>
    <w:rsid w:val="39F74BA5"/>
    <w:rsid w:val="3A184B1B"/>
    <w:rsid w:val="3A1D306A"/>
    <w:rsid w:val="3A443B62"/>
    <w:rsid w:val="3AA80595"/>
    <w:rsid w:val="3ABE56C2"/>
    <w:rsid w:val="3ACE7FFB"/>
    <w:rsid w:val="3AEA64B7"/>
    <w:rsid w:val="3B2F65C0"/>
    <w:rsid w:val="3B84690C"/>
    <w:rsid w:val="3BE61375"/>
    <w:rsid w:val="3C1934F8"/>
    <w:rsid w:val="3C3F0A85"/>
    <w:rsid w:val="3C830972"/>
    <w:rsid w:val="3C862210"/>
    <w:rsid w:val="3D2757A1"/>
    <w:rsid w:val="3D475E43"/>
    <w:rsid w:val="3D567E34"/>
    <w:rsid w:val="3DA07301"/>
    <w:rsid w:val="3DCE20C0"/>
    <w:rsid w:val="3DFF227A"/>
    <w:rsid w:val="3E6622F9"/>
    <w:rsid w:val="3EBB0897"/>
    <w:rsid w:val="3EBE2135"/>
    <w:rsid w:val="3F051B12"/>
    <w:rsid w:val="3F3B5533"/>
    <w:rsid w:val="3F636838"/>
    <w:rsid w:val="3F780536"/>
    <w:rsid w:val="3FF37BBC"/>
    <w:rsid w:val="404B5937"/>
    <w:rsid w:val="41032081"/>
    <w:rsid w:val="41990C37"/>
    <w:rsid w:val="41E9396D"/>
    <w:rsid w:val="41F67E38"/>
    <w:rsid w:val="42246753"/>
    <w:rsid w:val="42B37AD7"/>
    <w:rsid w:val="42C83582"/>
    <w:rsid w:val="43747266"/>
    <w:rsid w:val="43AA2C88"/>
    <w:rsid w:val="4487121B"/>
    <w:rsid w:val="44AE49FA"/>
    <w:rsid w:val="44BC0EC5"/>
    <w:rsid w:val="44D04970"/>
    <w:rsid w:val="44D83825"/>
    <w:rsid w:val="45124F88"/>
    <w:rsid w:val="45187DF5"/>
    <w:rsid w:val="451C1963"/>
    <w:rsid w:val="452C5257"/>
    <w:rsid w:val="45CD7101"/>
    <w:rsid w:val="45DB35CC"/>
    <w:rsid w:val="45EA380F"/>
    <w:rsid w:val="45EC57D9"/>
    <w:rsid w:val="45F855C0"/>
    <w:rsid w:val="46601D24"/>
    <w:rsid w:val="466730B2"/>
    <w:rsid w:val="46FD7572"/>
    <w:rsid w:val="47017063"/>
    <w:rsid w:val="47394A4E"/>
    <w:rsid w:val="48084421"/>
    <w:rsid w:val="485E04E5"/>
    <w:rsid w:val="48821C05"/>
    <w:rsid w:val="488A12DA"/>
    <w:rsid w:val="48B16866"/>
    <w:rsid w:val="495A6EFE"/>
    <w:rsid w:val="499E503D"/>
    <w:rsid w:val="49BC54C3"/>
    <w:rsid w:val="4A113A61"/>
    <w:rsid w:val="4A1D4742"/>
    <w:rsid w:val="4B1D6435"/>
    <w:rsid w:val="4B2E23F0"/>
    <w:rsid w:val="4B7047B7"/>
    <w:rsid w:val="4C0F3EC6"/>
    <w:rsid w:val="4C6F4A6E"/>
    <w:rsid w:val="4CC4300C"/>
    <w:rsid w:val="4CC72AFC"/>
    <w:rsid w:val="4D267823"/>
    <w:rsid w:val="4DAB5F7A"/>
    <w:rsid w:val="4DF07E31"/>
    <w:rsid w:val="4E5C1022"/>
    <w:rsid w:val="4E6323B1"/>
    <w:rsid w:val="4E915170"/>
    <w:rsid w:val="4EBD0F58"/>
    <w:rsid w:val="4EE96D5A"/>
    <w:rsid w:val="50A849F3"/>
    <w:rsid w:val="50AA2519"/>
    <w:rsid w:val="5119144D"/>
    <w:rsid w:val="51424955"/>
    <w:rsid w:val="514F4E6E"/>
    <w:rsid w:val="5153495F"/>
    <w:rsid w:val="51BD44CE"/>
    <w:rsid w:val="52075749"/>
    <w:rsid w:val="521340EE"/>
    <w:rsid w:val="525766D1"/>
    <w:rsid w:val="52763068"/>
    <w:rsid w:val="52BA27BB"/>
    <w:rsid w:val="52EB1306"/>
    <w:rsid w:val="530879CB"/>
    <w:rsid w:val="537A21E1"/>
    <w:rsid w:val="53A5346C"/>
    <w:rsid w:val="53B40DF0"/>
    <w:rsid w:val="54244390"/>
    <w:rsid w:val="54336CC9"/>
    <w:rsid w:val="54370568"/>
    <w:rsid w:val="54662A63"/>
    <w:rsid w:val="54686973"/>
    <w:rsid w:val="549A0AF6"/>
    <w:rsid w:val="55322ADD"/>
    <w:rsid w:val="55630EE8"/>
    <w:rsid w:val="556F1F83"/>
    <w:rsid w:val="55913CA7"/>
    <w:rsid w:val="55DF6F34"/>
    <w:rsid w:val="57F33197"/>
    <w:rsid w:val="58064E12"/>
    <w:rsid w:val="58737694"/>
    <w:rsid w:val="58AD0DF8"/>
    <w:rsid w:val="58EB36CF"/>
    <w:rsid w:val="593E7CA2"/>
    <w:rsid w:val="59480B21"/>
    <w:rsid w:val="59922689"/>
    <w:rsid w:val="59F91E1B"/>
    <w:rsid w:val="5A184997"/>
    <w:rsid w:val="5AA63D51"/>
    <w:rsid w:val="5AB3646E"/>
    <w:rsid w:val="5AD563E4"/>
    <w:rsid w:val="5AD85ED5"/>
    <w:rsid w:val="5AD92379"/>
    <w:rsid w:val="5AEB20AC"/>
    <w:rsid w:val="5BC14BBB"/>
    <w:rsid w:val="5BFE5D5C"/>
    <w:rsid w:val="5BFEE015"/>
    <w:rsid w:val="5D0D311B"/>
    <w:rsid w:val="5DDC5CDC"/>
    <w:rsid w:val="5E8C14B0"/>
    <w:rsid w:val="5E8C7702"/>
    <w:rsid w:val="5EA34CBC"/>
    <w:rsid w:val="5EAE7678"/>
    <w:rsid w:val="5EFA28BD"/>
    <w:rsid w:val="5F4E2C09"/>
    <w:rsid w:val="5FBA0B42"/>
    <w:rsid w:val="5FE34FB9"/>
    <w:rsid w:val="5FFE1F39"/>
    <w:rsid w:val="602A5424"/>
    <w:rsid w:val="60716BAF"/>
    <w:rsid w:val="610B1BF6"/>
    <w:rsid w:val="61227797"/>
    <w:rsid w:val="61776447"/>
    <w:rsid w:val="617C1CB0"/>
    <w:rsid w:val="61E909C7"/>
    <w:rsid w:val="61EB0BE3"/>
    <w:rsid w:val="623F2739"/>
    <w:rsid w:val="624A76B8"/>
    <w:rsid w:val="62742987"/>
    <w:rsid w:val="62F51D1A"/>
    <w:rsid w:val="630A5099"/>
    <w:rsid w:val="63343EC4"/>
    <w:rsid w:val="633A3BD0"/>
    <w:rsid w:val="63D80CF3"/>
    <w:rsid w:val="63EDCF55"/>
    <w:rsid w:val="63FBFBCF"/>
    <w:rsid w:val="64175CC0"/>
    <w:rsid w:val="64195594"/>
    <w:rsid w:val="641F7E21"/>
    <w:rsid w:val="64744EC0"/>
    <w:rsid w:val="64947310"/>
    <w:rsid w:val="64E536C8"/>
    <w:rsid w:val="65F362B8"/>
    <w:rsid w:val="660E6C4E"/>
    <w:rsid w:val="66106E6A"/>
    <w:rsid w:val="666A657B"/>
    <w:rsid w:val="669360FD"/>
    <w:rsid w:val="672C7CD4"/>
    <w:rsid w:val="6736645D"/>
    <w:rsid w:val="6742516C"/>
    <w:rsid w:val="675F3C06"/>
    <w:rsid w:val="67D624EE"/>
    <w:rsid w:val="67E61C31"/>
    <w:rsid w:val="680227E3"/>
    <w:rsid w:val="685E5C6B"/>
    <w:rsid w:val="68647BCC"/>
    <w:rsid w:val="687436E1"/>
    <w:rsid w:val="68CD2DF1"/>
    <w:rsid w:val="68FF6A83"/>
    <w:rsid w:val="69653029"/>
    <w:rsid w:val="697E40EB"/>
    <w:rsid w:val="69825989"/>
    <w:rsid w:val="69E421A0"/>
    <w:rsid w:val="6AA54E38"/>
    <w:rsid w:val="6AC91025"/>
    <w:rsid w:val="6AC978EB"/>
    <w:rsid w:val="6ADE7537"/>
    <w:rsid w:val="6AE82164"/>
    <w:rsid w:val="6AEF6005"/>
    <w:rsid w:val="6AFC5C0F"/>
    <w:rsid w:val="6AFF300A"/>
    <w:rsid w:val="6B183069"/>
    <w:rsid w:val="6B19056F"/>
    <w:rsid w:val="6C3B62C3"/>
    <w:rsid w:val="6C9F2CF6"/>
    <w:rsid w:val="6CF272CA"/>
    <w:rsid w:val="6D415B5B"/>
    <w:rsid w:val="6D54763D"/>
    <w:rsid w:val="6E05302D"/>
    <w:rsid w:val="6E2A4841"/>
    <w:rsid w:val="6E3DB48E"/>
    <w:rsid w:val="6E55366C"/>
    <w:rsid w:val="6ECE6DEB"/>
    <w:rsid w:val="6EDC5B3C"/>
    <w:rsid w:val="6F4A6F49"/>
    <w:rsid w:val="6F683873"/>
    <w:rsid w:val="6F8E3CF1"/>
    <w:rsid w:val="6FBBC9CF"/>
    <w:rsid w:val="6FC129AE"/>
    <w:rsid w:val="6FDE58E3"/>
    <w:rsid w:val="701778DC"/>
    <w:rsid w:val="703674CE"/>
    <w:rsid w:val="707D6EAA"/>
    <w:rsid w:val="713C6D66"/>
    <w:rsid w:val="71922E29"/>
    <w:rsid w:val="719A3A8C"/>
    <w:rsid w:val="71CF584A"/>
    <w:rsid w:val="722577FA"/>
    <w:rsid w:val="723839D1"/>
    <w:rsid w:val="724573D2"/>
    <w:rsid w:val="725D6F93"/>
    <w:rsid w:val="72A72905"/>
    <w:rsid w:val="72BB015E"/>
    <w:rsid w:val="72BDE561"/>
    <w:rsid w:val="72D54D7C"/>
    <w:rsid w:val="7370719A"/>
    <w:rsid w:val="73DC038C"/>
    <w:rsid w:val="73E536E4"/>
    <w:rsid w:val="74575C64"/>
    <w:rsid w:val="74CA4688"/>
    <w:rsid w:val="74DC4AE7"/>
    <w:rsid w:val="74F33BDF"/>
    <w:rsid w:val="75114065"/>
    <w:rsid w:val="751D0C5C"/>
    <w:rsid w:val="76360227"/>
    <w:rsid w:val="7657019E"/>
    <w:rsid w:val="76593F16"/>
    <w:rsid w:val="76684159"/>
    <w:rsid w:val="76960CC6"/>
    <w:rsid w:val="76C577FD"/>
    <w:rsid w:val="770E4D00"/>
    <w:rsid w:val="77101B8D"/>
    <w:rsid w:val="77674410"/>
    <w:rsid w:val="77A25449"/>
    <w:rsid w:val="77DF669D"/>
    <w:rsid w:val="77E617D9"/>
    <w:rsid w:val="78462278"/>
    <w:rsid w:val="78746DE5"/>
    <w:rsid w:val="79420C91"/>
    <w:rsid w:val="79660E24"/>
    <w:rsid w:val="79687C77"/>
    <w:rsid w:val="798474FC"/>
    <w:rsid w:val="7997EA6C"/>
    <w:rsid w:val="7A37631C"/>
    <w:rsid w:val="7A57269A"/>
    <w:rsid w:val="7AEAE675"/>
    <w:rsid w:val="7B1228E5"/>
    <w:rsid w:val="7B5B0730"/>
    <w:rsid w:val="7BAFCE5D"/>
    <w:rsid w:val="7BCE2CB0"/>
    <w:rsid w:val="7C72188D"/>
    <w:rsid w:val="7C923CDE"/>
    <w:rsid w:val="7CBE4AD3"/>
    <w:rsid w:val="7CD95DB0"/>
    <w:rsid w:val="7D0746CC"/>
    <w:rsid w:val="7D46598C"/>
    <w:rsid w:val="7D752734"/>
    <w:rsid w:val="7D985324"/>
    <w:rsid w:val="7D9E48EF"/>
    <w:rsid w:val="7D9F8F0F"/>
    <w:rsid w:val="7DFB240B"/>
    <w:rsid w:val="7DFE05E7"/>
    <w:rsid w:val="7E064983"/>
    <w:rsid w:val="7E0935ED"/>
    <w:rsid w:val="7E9B637A"/>
    <w:rsid w:val="7EB42631"/>
    <w:rsid w:val="7F2257ED"/>
    <w:rsid w:val="7F480FCB"/>
    <w:rsid w:val="7F7973D7"/>
    <w:rsid w:val="7F9B734D"/>
    <w:rsid w:val="7FC71EF0"/>
    <w:rsid w:val="7FCF2AF7"/>
    <w:rsid w:val="7FE9455C"/>
    <w:rsid w:val="9FEF033D"/>
    <w:rsid w:val="A27FF1E5"/>
    <w:rsid w:val="AF3FEDDD"/>
    <w:rsid w:val="AFDEB5A7"/>
    <w:rsid w:val="AFEA7FBF"/>
    <w:rsid w:val="B83F4767"/>
    <w:rsid w:val="BF930F07"/>
    <w:rsid w:val="BFCE8436"/>
    <w:rsid w:val="C3F7EB7A"/>
    <w:rsid w:val="CFF5FEEC"/>
    <w:rsid w:val="D3DD9064"/>
    <w:rsid w:val="D6F76A0C"/>
    <w:rsid w:val="D7ECE8D2"/>
    <w:rsid w:val="DFDD4FB5"/>
    <w:rsid w:val="E7F748B5"/>
    <w:rsid w:val="EE5F3713"/>
    <w:rsid w:val="EFC9D62C"/>
    <w:rsid w:val="EFD3CA92"/>
    <w:rsid w:val="F6BE9755"/>
    <w:rsid w:val="F6FFA89B"/>
    <w:rsid w:val="F88D0DC7"/>
    <w:rsid w:val="FAE4EFE1"/>
    <w:rsid w:val="FB9B6F12"/>
    <w:rsid w:val="FBB66A4A"/>
    <w:rsid w:val="FDEE6989"/>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caption"/>
    <w:basedOn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uiPriority w:val="0"/>
  </w:style>
  <w:style w:type="paragraph" w:styleId="8">
    <w:name w:val="List"/>
    <w:basedOn w:val="4"/>
    <w:qFormat/>
    <w:uiPriority w:val="0"/>
  </w:style>
  <w:style w:type="paragraph" w:styleId="9">
    <w:name w:val="toc 2"/>
    <w:basedOn w:val="1"/>
    <w:next w:val="1"/>
    <w:uiPriority w:val="0"/>
    <w:pPr>
      <w:ind w:left="420" w:leftChars="200"/>
    </w:pPr>
  </w:style>
  <w:style w:type="paragraph" w:styleId="10">
    <w:name w:val="toc 9"/>
    <w:basedOn w:val="1"/>
    <w:next w:val="1"/>
    <w:qFormat/>
    <w:uiPriority w:val="0"/>
    <w:pPr>
      <w:ind w:left="3360"/>
    </w:pPr>
  </w:style>
  <w:style w:type="paragraph" w:styleId="11">
    <w:name w:val="Normal (Web)"/>
    <w:basedOn w:val="1"/>
    <w:qFormat/>
    <w:uiPriority w:val="0"/>
    <w:rPr>
      <w:sz w:val="24"/>
    </w:rPr>
  </w:style>
  <w:style w:type="character" w:styleId="14">
    <w:name w:val="Emphasis"/>
    <w:basedOn w:val="13"/>
    <w:qFormat/>
    <w:uiPriority w:val="0"/>
    <w:rPr>
      <w:i/>
    </w:rPr>
  </w:style>
  <w:style w:type="character" w:customStyle="1" w:styleId="15">
    <w:name w:val="默认段落字体1"/>
    <w:qFormat/>
    <w:uiPriority w:val="0"/>
  </w:style>
  <w:style w:type="paragraph" w:customStyle="1" w:styleId="16">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7">
    <w:name w:val="Index"/>
    <w:basedOn w:val="1"/>
    <w:qFormat/>
    <w:uiPriority w:val="0"/>
    <w:pPr>
      <w:widowControl w:val="0"/>
      <w:suppressLineNumbers/>
      <w:suppressAutoHyphens/>
    </w:p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15</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2018-11-30T09:47:00Z</dcterms:created>
  <dc:creator>admin</dc:creator>
  <cp:lastModifiedBy> </cp:lastModifiedBy>
  <cp:lastPrinted>2024-02-02T16:43:00Z</cp:lastPrinted>
  <dcterms:modified xsi:type="dcterms:W3CDTF">2024-02-18T09:12:24Z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