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default"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广元市供销合作社联合社</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4196661"/>
        <w15:color w:val="DBDBDB"/>
        <w:docPartObj>
          <w:docPartGallery w:val="Table of Contents"/>
          <w:docPartUnique/>
        </w:docPartObj>
      </w:sdtPr>
      <w:sdtEndPr>
        <w:rPr>
          <w:rFonts w:ascii="宋体" w:hAnsi="宋体" w:eastAsia="宋体" w:cs="Times New Roman"/>
          <w:color w:val="auto"/>
          <w:kern w:val="2"/>
          <w:sz w:val="21"/>
          <w:szCs w:val="24"/>
          <w:lang w:val="en-US" w:eastAsia="zh-CN" w:bidi="ar-SA"/>
        </w:rPr>
      </w:sdtEndPr>
      <w:sdtContent>
        <w:p>
          <w:pPr>
            <w:spacing w:before="0" w:beforeLines="0" w:after="0" w:afterLines="0" w:line="300" w:lineRule="auto"/>
            <w:ind w:left="0" w:leftChars="0" w:right="0" w:rightChars="0" w:firstLine="0" w:firstLineChars="0"/>
            <w:jc w:val="center"/>
          </w:pPr>
          <w:r>
            <w:rPr>
              <w:rFonts w:ascii="宋体" w:hAnsi="宋体" w:eastAsia="宋体"/>
              <w:sz w:val="21"/>
            </w:rPr>
            <w:t>目录</w:t>
          </w:r>
        </w:p>
        <w:p>
          <w:pPr>
            <w:pStyle w:val="7"/>
            <w:tabs>
              <w:tab w:val="right" w:leader="dot" w:pos="8845"/>
            </w:tabs>
            <w:spacing w:line="360" w:lineRule="auto"/>
          </w:pPr>
          <w:r>
            <w:fldChar w:fldCharType="begin"/>
          </w:r>
          <w:r>
            <w:instrText xml:space="preserve">TOC \o "1-2" \t "目录" \h \u </w:instrText>
          </w:r>
          <w:r>
            <w:fldChar w:fldCharType="separate"/>
          </w:r>
          <w:r>
            <w:fldChar w:fldCharType="begin"/>
          </w:r>
          <w:r>
            <w:instrText xml:space="preserve"> HYPERLINK \l _Toc532595993 </w:instrText>
          </w:r>
          <w:r>
            <w:fldChar w:fldCharType="separate"/>
          </w:r>
          <w:r>
            <w:rPr>
              <w:rFonts w:hint="eastAsia" w:ascii="黑体" w:hAnsi="黑体" w:eastAsia="黑体" w:cs="黑体"/>
              <w:szCs w:val="32"/>
              <w:lang w:val="en-US" w:eastAsia="zh-CN"/>
            </w:rPr>
            <w:t>一、基本职能及主要工作</w:t>
          </w:r>
          <w:r>
            <w:tab/>
          </w:r>
          <w:r>
            <w:fldChar w:fldCharType="begin"/>
          </w:r>
          <w:r>
            <w:instrText xml:space="preserve"> PAGEREF _Toc532595993 \h </w:instrText>
          </w:r>
          <w:r>
            <w:fldChar w:fldCharType="separate"/>
          </w:r>
          <w:r>
            <w:t>3</w:t>
          </w:r>
          <w:r>
            <w:fldChar w:fldCharType="end"/>
          </w:r>
          <w:r>
            <w:fldChar w:fldCharType="end"/>
          </w:r>
        </w:p>
        <w:p>
          <w:pPr>
            <w:pStyle w:val="9"/>
            <w:tabs>
              <w:tab w:val="right" w:leader="dot" w:pos="8845"/>
            </w:tabs>
            <w:spacing w:line="360" w:lineRule="auto"/>
          </w:pPr>
          <w:r>
            <w:fldChar w:fldCharType="begin"/>
          </w:r>
          <w:r>
            <w:instrText xml:space="preserve"> HYPERLINK \l _Toc574908169 </w:instrText>
          </w:r>
          <w: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广元市供销合作社联合社</w:t>
          </w:r>
          <w:r>
            <w:rPr>
              <w:rFonts w:hint="eastAsia" w:ascii="楷体_GB2312" w:hAnsi="楷体_GB2312" w:eastAsia="楷体_GB2312" w:cs="楷体_GB2312"/>
              <w:szCs w:val="32"/>
            </w:rPr>
            <w:t>职能简介</w:t>
          </w:r>
          <w:r>
            <w:tab/>
          </w:r>
          <w:r>
            <w:fldChar w:fldCharType="begin"/>
          </w:r>
          <w:r>
            <w:instrText xml:space="preserve"> PAGEREF _Toc574908169 \h </w:instrText>
          </w:r>
          <w:r>
            <w:fldChar w:fldCharType="separate"/>
          </w:r>
          <w:r>
            <w:t>3</w:t>
          </w:r>
          <w:r>
            <w:fldChar w:fldCharType="end"/>
          </w:r>
          <w:r>
            <w:fldChar w:fldCharType="end"/>
          </w:r>
        </w:p>
        <w:p>
          <w:pPr>
            <w:pStyle w:val="9"/>
            <w:tabs>
              <w:tab w:val="right" w:leader="dot" w:pos="8845"/>
            </w:tabs>
            <w:spacing w:line="360" w:lineRule="auto"/>
          </w:pPr>
          <w:r>
            <w:fldChar w:fldCharType="begin"/>
          </w:r>
          <w:r>
            <w:instrText xml:space="preserve"> HYPERLINK \l _Toc1560968488 </w:instrText>
          </w:r>
          <w:r>
            <w:fldChar w:fldCharType="separate"/>
          </w:r>
          <w:r>
            <w:rPr>
              <w:rFonts w:hint="eastAsia" w:ascii="楷体_GB2312" w:hAnsi="楷体_GB2312" w:eastAsia="楷体_GB2312" w:cs="楷体_GB2312"/>
              <w:szCs w:val="32"/>
            </w:rPr>
            <w:t>（二）</w:t>
          </w:r>
          <w:r>
            <w:rPr>
              <w:rFonts w:hint="eastAsia" w:ascii="楷体_GB2312" w:hAnsi="楷体_GB2312" w:eastAsia="楷体_GB2312" w:cs="楷体_GB2312"/>
              <w:szCs w:val="32"/>
              <w:lang w:val="en-US" w:eastAsia="zh-CN"/>
            </w:rPr>
            <w:t>广元市供销合作社联合社</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_Toc1560968488 \h </w:instrText>
          </w:r>
          <w:r>
            <w:fldChar w:fldCharType="separate"/>
          </w:r>
          <w:r>
            <w:t>4</w:t>
          </w:r>
          <w:r>
            <w:fldChar w:fldCharType="end"/>
          </w:r>
          <w:r>
            <w:fldChar w:fldCharType="end"/>
          </w:r>
        </w:p>
        <w:p>
          <w:pPr>
            <w:pStyle w:val="7"/>
            <w:tabs>
              <w:tab w:val="right" w:leader="dot" w:pos="8845"/>
            </w:tabs>
            <w:spacing w:line="360" w:lineRule="auto"/>
          </w:pPr>
          <w:r>
            <w:fldChar w:fldCharType="begin"/>
          </w:r>
          <w:r>
            <w:instrText xml:space="preserve"> HYPERLINK \l _Toc313667975 </w:instrText>
          </w:r>
          <w:r>
            <w:fldChar w:fldCharType="separate"/>
          </w:r>
          <w:r>
            <w:rPr>
              <w:rFonts w:hint="eastAsia" w:ascii="黑体" w:hAnsi="黑体" w:eastAsia="黑体" w:cs="黑体"/>
              <w:szCs w:val="32"/>
              <w:lang w:val="en-US" w:eastAsia="zh-CN"/>
            </w:rPr>
            <w:t>二、部门预算单位构成</w:t>
          </w:r>
          <w:r>
            <w:tab/>
          </w:r>
          <w:r>
            <w:fldChar w:fldCharType="begin"/>
          </w:r>
          <w:r>
            <w:instrText xml:space="preserve"> PAGEREF _Toc313667975 \h </w:instrText>
          </w:r>
          <w:r>
            <w:fldChar w:fldCharType="separate"/>
          </w:r>
          <w:r>
            <w:t>9</w:t>
          </w:r>
          <w:r>
            <w:fldChar w:fldCharType="end"/>
          </w:r>
          <w:r>
            <w:fldChar w:fldCharType="end"/>
          </w:r>
        </w:p>
        <w:p>
          <w:pPr>
            <w:pStyle w:val="7"/>
            <w:tabs>
              <w:tab w:val="right" w:leader="dot" w:pos="8845"/>
            </w:tabs>
            <w:spacing w:line="360" w:lineRule="auto"/>
          </w:pPr>
          <w:r>
            <w:fldChar w:fldCharType="begin"/>
          </w:r>
          <w:r>
            <w:instrText xml:space="preserve"> HYPERLINK \l _Toc622411180 </w:instrText>
          </w:r>
          <w:r>
            <w:fldChar w:fldCharType="separate"/>
          </w:r>
          <w:r>
            <w:rPr>
              <w:rFonts w:hint="eastAsia" w:ascii="黑体" w:hAnsi="黑体" w:eastAsia="黑体" w:cs="黑体"/>
              <w:szCs w:val="32"/>
              <w:lang w:val="en-US" w:eastAsia="zh-CN"/>
            </w:rPr>
            <w:t>三、收支预算情况说明</w:t>
          </w:r>
          <w:r>
            <w:tab/>
          </w:r>
          <w:r>
            <w:fldChar w:fldCharType="begin"/>
          </w:r>
          <w:r>
            <w:instrText xml:space="preserve"> PAGEREF _Toc622411180 \h </w:instrText>
          </w:r>
          <w:r>
            <w:fldChar w:fldCharType="separate"/>
          </w:r>
          <w:r>
            <w:t>9</w:t>
          </w:r>
          <w:r>
            <w:fldChar w:fldCharType="end"/>
          </w:r>
          <w:r>
            <w:fldChar w:fldCharType="end"/>
          </w:r>
        </w:p>
        <w:p>
          <w:pPr>
            <w:pStyle w:val="9"/>
            <w:tabs>
              <w:tab w:val="right" w:leader="dot" w:pos="8845"/>
            </w:tabs>
            <w:spacing w:line="360" w:lineRule="auto"/>
          </w:pPr>
          <w:r>
            <w:fldChar w:fldCharType="begin"/>
          </w:r>
          <w:r>
            <w:instrText xml:space="preserve"> HYPERLINK \l _Toc556760431 </w:instrText>
          </w:r>
          <w: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_Toc556760431 \h </w:instrText>
          </w:r>
          <w:r>
            <w:fldChar w:fldCharType="separate"/>
          </w:r>
          <w:r>
            <w:t>9</w:t>
          </w:r>
          <w:r>
            <w:fldChar w:fldCharType="end"/>
          </w:r>
          <w:r>
            <w:fldChar w:fldCharType="end"/>
          </w:r>
        </w:p>
        <w:p>
          <w:pPr>
            <w:pStyle w:val="9"/>
            <w:tabs>
              <w:tab w:val="right" w:leader="dot" w:pos="8845"/>
            </w:tabs>
            <w:spacing w:line="360" w:lineRule="auto"/>
          </w:pPr>
          <w:r>
            <w:fldChar w:fldCharType="begin"/>
          </w:r>
          <w:r>
            <w:instrText xml:space="preserve"> HYPERLINK \l _Toc704318863 </w:instrText>
          </w:r>
          <w: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_Toc704318863 \h </w:instrText>
          </w:r>
          <w:r>
            <w:fldChar w:fldCharType="separate"/>
          </w:r>
          <w:r>
            <w:t>9</w:t>
          </w:r>
          <w:r>
            <w:fldChar w:fldCharType="end"/>
          </w:r>
          <w:r>
            <w:fldChar w:fldCharType="end"/>
          </w:r>
        </w:p>
        <w:p>
          <w:pPr>
            <w:pStyle w:val="7"/>
            <w:tabs>
              <w:tab w:val="right" w:leader="dot" w:pos="8845"/>
            </w:tabs>
            <w:spacing w:line="360" w:lineRule="auto"/>
          </w:pPr>
          <w:r>
            <w:fldChar w:fldCharType="begin"/>
          </w:r>
          <w:r>
            <w:instrText xml:space="preserve"> HYPERLINK \l _Toc852962362 </w:instrText>
          </w:r>
          <w:r>
            <w:fldChar w:fldCharType="separate"/>
          </w:r>
          <w:r>
            <w:rPr>
              <w:rFonts w:hint="eastAsia" w:ascii="黑体" w:hAnsi="黑体" w:eastAsia="黑体" w:cs="黑体"/>
              <w:szCs w:val="32"/>
              <w:lang w:val="en-US" w:eastAsia="zh-CN"/>
            </w:rPr>
            <w:t>四、财政拨款收支预算情况说明</w:t>
          </w:r>
          <w:r>
            <w:tab/>
          </w:r>
          <w:r>
            <w:fldChar w:fldCharType="begin"/>
          </w:r>
          <w:r>
            <w:instrText xml:space="preserve"> PAGEREF _Toc852962362 \h </w:instrText>
          </w:r>
          <w:r>
            <w:fldChar w:fldCharType="separate"/>
          </w:r>
          <w:r>
            <w:t>9</w:t>
          </w:r>
          <w:r>
            <w:fldChar w:fldCharType="end"/>
          </w:r>
          <w:r>
            <w:fldChar w:fldCharType="end"/>
          </w:r>
        </w:p>
        <w:p>
          <w:pPr>
            <w:pStyle w:val="7"/>
            <w:tabs>
              <w:tab w:val="right" w:leader="dot" w:pos="8845"/>
            </w:tabs>
            <w:spacing w:line="360" w:lineRule="auto"/>
          </w:pPr>
          <w:r>
            <w:fldChar w:fldCharType="begin"/>
          </w:r>
          <w:r>
            <w:instrText xml:space="preserve"> HYPERLINK \l _Toc2138462091 </w:instrText>
          </w:r>
          <w:r>
            <w:fldChar w:fldCharType="separate"/>
          </w:r>
          <w:r>
            <w:rPr>
              <w:rFonts w:hint="eastAsia" w:ascii="黑体" w:hAnsi="黑体" w:eastAsia="黑体" w:cs="黑体"/>
              <w:szCs w:val="32"/>
              <w:lang w:val="en-US" w:eastAsia="zh-CN"/>
            </w:rPr>
            <w:t>五、一般公共预算当年拨款情况说明</w:t>
          </w:r>
          <w:r>
            <w:tab/>
          </w:r>
          <w:r>
            <w:fldChar w:fldCharType="begin"/>
          </w:r>
          <w:r>
            <w:instrText xml:space="preserve"> PAGEREF _Toc2138462091 \h </w:instrText>
          </w:r>
          <w:r>
            <w:fldChar w:fldCharType="separate"/>
          </w:r>
          <w:r>
            <w:t>10</w:t>
          </w:r>
          <w:r>
            <w:fldChar w:fldCharType="end"/>
          </w:r>
          <w:r>
            <w:fldChar w:fldCharType="end"/>
          </w:r>
        </w:p>
        <w:p>
          <w:pPr>
            <w:pStyle w:val="9"/>
            <w:tabs>
              <w:tab w:val="right" w:leader="dot" w:pos="8845"/>
            </w:tabs>
            <w:spacing w:line="360" w:lineRule="auto"/>
          </w:pPr>
          <w:r>
            <w:fldChar w:fldCharType="begin"/>
          </w:r>
          <w:r>
            <w:instrText xml:space="preserve"> HYPERLINK \l _Toc2104008559 </w:instrText>
          </w:r>
          <w: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_Toc2104008559 \h </w:instrText>
          </w:r>
          <w:r>
            <w:fldChar w:fldCharType="separate"/>
          </w:r>
          <w:r>
            <w:t>10</w:t>
          </w:r>
          <w:r>
            <w:fldChar w:fldCharType="end"/>
          </w:r>
          <w:r>
            <w:fldChar w:fldCharType="end"/>
          </w:r>
        </w:p>
        <w:p>
          <w:pPr>
            <w:pStyle w:val="9"/>
            <w:tabs>
              <w:tab w:val="right" w:leader="dot" w:pos="8845"/>
            </w:tabs>
            <w:spacing w:line="360" w:lineRule="auto"/>
          </w:pPr>
          <w:r>
            <w:fldChar w:fldCharType="begin"/>
          </w:r>
          <w:r>
            <w:instrText xml:space="preserve"> HYPERLINK \l _Toc988382285 </w:instrText>
          </w:r>
          <w: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_Toc988382285 \h </w:instrText>
          </w:r>
          <w:r>
            <w:fldChar w:fldCharType="separate"/>
          </w:r>
          <w:r>
            <w:t>10</w:t>
          </w:r>
          <w:r>
            <w:fldChar w:fldCharType="end"/>
          </w:r>
          <w:r>
            <w:fldChar w:fldCharType="end"/>
          </w:r>
        </w:p>
        <w:p>
          <w:pPr>
            <w:pStyle w:val="9"/>
            <w:tabs>
              <w:tab w:val="right" w:leader="dot" w:pos="8845"/>
            </w:tabs>
            <w:spacing w:line="360" w:lineRule="auto"/>
          </w:pPr>
          <w:r>
            <w:fldChar w:fldCharType="begin"/>
          </w:r>
          <w:r>
            <w:instrText xml:space="preserve"> HYPERLINK \l _Toc1801362407 </w:instrText>
          </w:r>
          <w: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_Toc1801362407 \h </w:instrText>
          </w:r>
          <w:r>
            <w:fldChar w:fldCharType="separate"/>
          </w:r>
          <w:r>
            <w:t>10</w:t>
          </w:r>
          <w:r>
            <w:fldChar w:fldCharType="end"/>
          </w:r>
          <w:r>
            <w:fldChar w:fldCharType="end"/>
          </w:r>
        </w:p>
        <w:p>
          <w:pPr>
            <w:pStyle w:val="7"/>
            <w:tabs>
              <w:tab w:val="right" w:leader="dot" w:pos="8845"/>
            </w:tabs>
            <w:spacing w:line="360" w:lineRule="auto"/>
          </w:pPr>
          <w:r>
            <w:fldChar w:fldCharType="begin"/>
          </w:r>
          <w:r>
            <w:instrText xml:space="preserve"> HYPERLINK \l _Toc32163505 </w:instrText>
          </w:r>
          <w:r>
            <w:fldChar w:fldCharType="separate"/>
          </w:r>
          <w:r>
            <w:rPr>
              <w:rFonts w:hint="eastAsia" w:ascii="黑体" w:hAnsi="黑体" w:eastAsia="黑体" w:cs="黑体"/>
              <w:szCs w:val="32"/>
              <w:lang w:val="en-US" w:eastAsia="zh-CN"/>
            </w:rPr>
            <w:t>六、一般公共预算基本支出情况说明</w:t>
          </w:r>
          <w:r>
            <w:tab/>
          </w:r>
          <w:r>
            <w:fldChar w:fldCharType="begin"/>
          </w:r>
          <w:r>
            <w:instrText xml:space="preserve"> PAGEREF _Toc32163505 \h </w:instrText>
          </w:r>
          <w:r>
            <w:fldChar w:fldCharType="separate"/>
          </w:r>
          <w:r>
            <w:t>11</w:t>
          </w:r>
          <w:r>
            <w:fldChar w:fldCharType="end"/>
          </w:r>
          <w:r>
            <w:fldChar w:fldCharType="end"/>
          </w:r>
        </w:p>
        <w:p>
          <w:pPr>
            <w:pStyle w:val="7"/>
            <w:tabs>
              <w:tab w:val="right" w:leader="dot" w:pos="8845"/>
            </w:tabs>
            <w:spacing w:line="360" w:lineRule="auto"/>
          </w:pPr>
          <w:r>
            <w:fldChar w:fldCharType="begin"/>
          </w:r>
          <w:r>
            <w:instrText xml:space="preserve"> HYPERLINK \l _Toc1492582759 </w:instrText>
          </w:r>
          <w:r>
            <w:fldChar w:fldCharType="separate"/>
          </w:r>
          <w:r>
            <w:rPr>
              <w:rFonts w:hint="eastAsia" w:ascii="黑体" w:hAnsi="黑体" w:eastAsia="黑体" w:cs="黑体"/>
              <w:szCs w:val="32"/>
              <w:lang w:val="en-US" w:eastAsia="zh-CN"/>
            </w:rPr>
            <w:t>七、“三公”经费财政拨款预算安排情况说明</w:t>
          </w:r>
          <w:r>
            <w:tab/>
          </w:r>
          <w:r>
            <w:fldChar w:fldCharType="begin"/>
          </w:r>
          <w:r>
            <w:instrText xml:space="preserve"> PAGEREF _Toc1492582759 \h </w:instrText>
          </w:r>
          <w:r>
            <w:fldChar w:fldCharType="separate"/>
          </w:r>
          <w:r>
            <w:t>12</w:t>
          </w:r>
          <w:r>
            <w:fldChar w:fldCharType="end"/>
          </w:r>
          <w:r>
            <w:fldChar w:fldCharType="end"/>
          </w:r>
        </w:p>
        <w:p>
          <w:pPr>
            <w:pStyle w:val="9"/>
            <w:tabs>
              <w:tab w:val="right" w:leader="dot" w:pos="8845"/>
            </w:tabs>
            <w:spacing w:line="360" w:lineRule="auto"/>
          </w:pPr>
          <w:r>
            <w:fldChar w:fldCharType="begin"/>
          </w:r>
          <w:r>
            <w:instrText xml:space="preserve"> HYPERLINK \l _Toc1731439826 </w:instrText>
          </w:r>
          <w: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_Toc1731439826 \h </w:instrText>
          </w:r>
          <w:r>
            <w:fldChar w:fldCharType="separate"/>
          </w:r>
          <w:r>
            <w:t>12</w:t>
          </w:r>
          <w:r>
            <w:fldChar w:fldCharType="end"/>
          </w:r>
          <w:r>
            <w:fldChar w:fldCharType="end"/>
          </w:r>
        </w:p>
        <w:p>
          <w:pPr>
            <w:pStyle w:val="9"/>
            <w:tabs>
              <w:tab w:val="right" w:leader="dot" w:pos="8845"/>
            </w:tabs>
            <w:spacing w:line="360" w:lineRule="auto"/>
          </w:pPr>
          <w:r>
            <w:fldChar w:fldCharType="begin"/>
          </w:r>
          <w:r>
            <w:instrText xml:space="preserve"> HYPERLINK \l _Toc1410653029 </w:instrText>
          </w:r>
          <w: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_Toc1410653029 \h </w:instrText>
          </w:r>
          <w:r>
            <w:fldChar w:fldCharType="separate"/>
          </w:r>
          <w:r>
            <w:t>12</w:t>
          </w:r>
          <w:r>
            <w:fldChar w:fldCharType="end"/>
          </w:r>
          <w:r>
            <w:fldChar w:fldCharType="end"/>
          </w:r>
        </w:p>
        <w:p>
          <w:pPr>
            <w:pStyle w:val="9"/>
            <w:tabs>
              <w:tab w:val="right" w:leader="dot" w:pos="8845"/>
            </w:tabs>
            <w:spacing w:line="360" w:lineRule="auto"/>
          </w:pPr>
          <w:r>
            <w:fldChar w:fldCharType="begin"/>
          </w:r>
          <w:r>
            <w:instrText xml:space="preserve"> HYPERLINK \l _Toc80532600 </w:instrText>
          </w:r>
          <w: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_Toc80532600 \h </w:instrText>
          </w:r>
          <w:r>
            <w:fldChar w:fldCharType="separate"/>
          </w:r>
          <w:r>
            <w:t>12</w:t>
          </w:r>
          <w:r>
            <w:fldChar w:fldCharType="end"/>
          </w:r>
          <w:r>
            <w:fldChar w:fldCharType="end"/>
          </w:r>
        </w:p>
        <w:p>
          <w:pPr>
            <w:pStyle w:val="7"/>
            <w:tabs>
              <w:tab w:val="right" w:leader="dot" w:pos="8845"/>
            </w:tabs>
            <w:spacing w:line="360" w:lineRule="auto"/>
          </w:pPr>
          <w:r>
            <w:fldChar w:fldCharType="begin"/>
          </w:r>
          <w:r>
            <w:instrText xml:space="preserve"> HYPERLINK \l _Toc1793414285 </w:instrText>
          </w:r>
          <w:r>
            <w:fldChar w:fldCharType="separate"/>
          </w:r>
          <w:r>
            <w:rPr>
              <w:rFonts w:hint="eastAsia" w:ascii="黑体" w:hAnsi="黑体" w:eastAsia="黑体" w:cs="黑体"/>
              <w:szCs w:val="32"/>
              <w:lang w:val="en-US" w:eastAsia="zh-CN"/>
            </w:rPr>
            <w:t>八、政府性基金预算支出情况说明</w:t>
          </w:r>
          <w:r>
            <w:tab/>
          </w:r>
          <w:r>
            <w:fldChar w:fldCharType="begin"/>
          </w:r>
          <w:r>
            <w:instrText xml:space="preserve"> PAGEREF _Toc1793414285 \h </w:instrText>
          </w:r>
          <w:r>
            <w:fldChar w:fldCharType="separate"/>
          </w:r>
          <w:r>
            <w:t>12</w:t>
          </w:r>
          <w:r>
            <w:fldChar w:fldCharType="end"/>
          </w:r>
          <w:r>
            <w:fldChar w:fldCharType="end"/>
          </w:r>
        </w:p>
        <w:p>
          <w:pPr>
            <w:pStyle w:val="7"/>
            <w:tabs>
              <w:tab w:val="right" w:leader="dot" w:pos="8845"/>
            </w:tabs>
            <w:spacing w:line="360" w:lineRule="auto"/>
          </w:pPr>
          <w:r>
            <w:fldChar w:fldCharType="begin"/>
          </w:r>
          <w:r>
            <w:instrText xml:space="preserve"> HYPERLINK \l _Toc1825435329 </w:instrText>
          </w:r>
          <w:r>
            <w:fldChar w:fldCharType="separate"/>
          </w:r>
          <w:r>
            <w:rPr>
              <w:rFonts w:hint="eastAsia" w:ascii="黑体" w:hAnsi="黑体" w:eastAsia="黑体" w:cs="黑体"/>
              <w:szCs w:val="32"/>
              <w:lang w:val="en-US" w:eastAsia="zh-CN"/>
            </w:rPr>
            <w:t>九、国有资本经营预算支出情况说明</w:t>
          </w:r>
          <w:r>
            <w:tab/>
          </w:r>
          <w:r>
            <w:fldChar w:fldCharType="begin"/>
          </w:r>
          <w:r>
            <w:instrText xml:space="preserve"> PAGEREF _Toc1825435329 \h </w:instrText>
          </w:r>
          <w:r>
            <w:fldChar w:fldCharType="separate"/>
          </w:r>
          <w:r>
            <w:t>13</w:t>
          </w:r>
          <w:r>
            <w:fldChar w:fldCharType="end"/>
          </w:r>
          <w:r>
            <w:fldChar w:fldCharType="end"/>
          </w:r>
        </w:p>
        <w:p>
          <w:pPr>
            <w:pStyle w:val="7"/>
            <w:tabs>
              <w:tab w:val="right" w:leader="dot" w:pos="8845"/>
            </w:tabs>
            <w:spacing w:line="360" w:lineRule="auto"/>
          </w:pPr>
          <w:r>
            <w:fldChar w:fldCharType="begin"/>
          </w:r>
          <w:r>
            <w:instrText xml:space="preserve"> HYPERLINK \l _Toc921316427 </w:instrText>
          </w:r>
          <w:r>
            <w:fldChar w:fldCharType="separate"/>
          </w:r>
          <w:r>
            <w:rPr>
              <w:rFonts w:hint="eastAsia" w:ascii="黑体" w:hAnsi="黑体" w:eastAsia="黑体" w:cs="黑体"/>
              <w:szCs w:val="32"/>
              <w:lang w:val="en-US" w:eastAsia="zh-CN"/>
            </w:rPr>
            <w:t>十、其他重要事项的情况说明</w:t>
          </w:r>
          <w:r>
            <w:tab/>
          </w:r>
          <w:r>
            <w:fldChar w:fldCharType="begin"/>
          </w:r>
          <w:r>
            <w:instrText xml:space="preserve"> PAGEREF _Toc921316427 \h </w:instrText>
          </w:r>
          <w:r>
            <w:fldChar w:fldCharType="separate"/>
          </w:r>
          <w:r>
            <w:t>13</w:t>
          </w:r>
          <w:r>
            <w:fldChar w:fldCharType="end"/>
          </w:r>
          <w:r>
            <w:fldChar w:fldCharType="end"/>
          </w:r>
        </w:p>
        <w:p>
          <w:pPr>
            <w:pStyle w:val="9"/>
            <w:tabs>
              <w:tab w:val="right" w:leader="dot" w:pos="8845"/>
            </w:tabs>
            <w:spacing w:line="360" w:lineRule="auto"/>
          </w:pPr>
          <w:r>
            <w:fldChar w:fldCharType="begin"/>
          </w:r>
          <w:r>
            <w:instrText xml:space="preserve"> HYPERLINK \l _Toc1986529798 </w:instrText>
          </w:r>
          <w: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_Toc1986529798 \h </w:instrText>
          </w:r>
          <w:r>
            <w:fldChar w:fldCharType="separate"/>
          </w:r>
          <w:r>
            <w:t>13</w:t>
          </w:r>
          <w:r>
            <w:fldChar w:fldCharType="end"/>
          </w:r>
          <w:r>
            <w:fldChar w:fldCharType="end"/>
          </w:r>
        </w:p>
        <w:p>
          <w:pPr>
            <w:pStyle w:val="9"/>
            <w:tabs>
              <w:tab w:val="right" w:leader="dot" w:pos="8845"/>
            </w:tabs>
            <w:spacing w:line="360" w:lineRule="auto"/>
          </w:pPr>
          <w:r>
            <w:fldChar w:fldCharType="begin"/>
          </w:r>
          <w:r>
            <w:instrText xml:space="preserve"> HYPERLINK \l _Toc1911254900 </w:instrText>
          </w:r>
          <w: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_Toc1911254900 \h </w:instrText>
          </w:r>
          <w:r>
            <w:fldChar w:fldCharType="separate"/>
          </w:r>
          <w:r>
            <w:t>13</w:t>
          </w:r>
          <w:r>
            <w:fldChar w:fldCharType="end"/>
          </w:r>
          <w:r>
            <w:fldChar w:fldCharType="end"/>
          </w:r>
        </w:p>
        <w:p>
          <w:pPr>
            <w:pStyle w:val="9"/>
            <w:tabs>
              <w:tab w:val="right" w:leader="dot" w:pos="8845"/>
            </w:tabs>
            <w:spacing w:line="360" w:lineRule="auto"/>
          </w:pPr>
          <w:r>
            <w:fldChar w:fldCharType="begin"/>
          </w:r>
          <w:r>
            <w:instrText xml:space="preserve"> HYPERLINK \l _Toc158702783 </w:instrText>
          </w:r>
          <w: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_Toc158702783 \h </w:instrText>
          </w:r>
          <w:r>
            <w:fldChar w:fldCharType="separate"/>
          </w:r>
          <w:r>
            <w:t>13</w:t>
          </w:r>
          <w:r>
            <w:fldChar w:fldCharType="end"/>
          </w:r>
          <w:r>
            <w:fldChar w:fldCharType="end"/>
          </w:r>
        </w:p>
        <w:p>
          <w:pPr>
            <w:pStyle w:val="9"/>
            <w:tabs>
              <w:tab w:val="right" w:leader="dot" w:pos="8845"/>
            </w:tabs>
            <w:spacing w:line="360" w:lineRule="auto"/>
          </w:pPr>
          <w:r>
            <w:fldChar w:fldCharType="begin"/>
          </w:r>
          <w:r>
            <w:instrText xml:space="preserve"> HYPERLINK \l _Toc235134507 </w:instrText>
          </w:r>
          <w: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_Toc235134507 \h </w:instrText>
          </w:r>
          <w:r>
            <w:fldChar w:fldCharType="separate"/>
          </w:r>
          <w:r>
            <w:t>13</w:t>
          </w:r>
          <w:r>
            <w:fldChar w:fldCharType="end"/>
          </w:r>
          <w:r>
            <w:fldChar w:fldCharType="end"/>
          </w:r>
        </w:p>
        <w:p>
          <w:pPr>
            <w:pStyle w:val="7"/>
            <w:tabs>
              <w:tab w:val="right" w:leader="dot" w:pos="8845"/>
            </w:tabs>
            <w:spacing w:line="360" w:lineRule="auto"/>
          </w:pPr>
          <w:r>
            <w:fldChar w:fldCharType="begin"/>
          </w:r>
          <w:r>
            <w:instrText xml:space="preserve"> HYPERLINK \l _Toc34955812 </w:instrText>
          </w:r>
          <w:r>
            <w:fldChar w:fldCharType="separate"/>
          </w:r>
          <w:r>
            <w:rPr>
              <w:rFonts w:hint="eastAsia" w:ascii="黑体" w:hAnsi="黑体" w:eastAsia="黑体" w:cs="黑体"/>
              <w:szCs w:val="32"/>
              <w:lang w:val="en-US" w:eastAsia="zh-CN"/>
            </w:rPr>
            <w:t>十一、名词解释</w:t>
          </w:r>
          <w:r>
            <w:tab/>
          </w:r>
          <w:r>
            <w:fldChar w:fldCharType="begin"/>
          </w:r>
          <w:r>
            <w:instrText xml:space="preserve"> PAGEREF _Toc34955812 \h </w:instrText>
          </w:r>
          <w:r>
            <w:fldChar w:fldCharType="separate"/>
          </w:r>
          <w:r>
            <w:t>13</w:t>
          </w:r>
          <w:r>
            <w:fldChar w:fldCharType="end"/>
          </w:r>
          <w:r>
            <w:fldChar w:fldCharType="end"/>
          </w:r>
          <w:r>
            <w:fldChar w:fldCharType="end"/>
          </w:r>
        </w:p>
      </w:sdtContent>
    </w:sdt>
    <w:p>
      <w:pPr>
        <w:spacing w:line="360" w:lineRule="auto"/>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0" w:name="_Toc1143275591"/>
      <w:bookmarkStart w:id="1" w:name="_Toc333509652"/>
      <w:bookmarkStart w:id="2" w:name="_Toc532595993"/>
      <w:r>
        <w:rPr>
          <w:rFonts w:hint="eastAsia" w:ascii="黑体" w:hAnsi="黑体" w:eastAsia="黑体" w:cs="黑体"/>
          <w:sz w:val="32"/>
          <w:szCs w:val="32"/>
          <w:lang w:val="en-US" w:eastAsia="zh-CN"/>
        </w:rPr>
        <w:t>一、基本职能及主要工作</w:t>
      </w:r>
      <w:bookmarkEnd w:id="0"/>
      <w:bookmarkEnd w:id="1"/>
      <w:bookmarkEnd w:id="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1121073332"/>
      <w:bookmarkStart w:id="4" w:name="_Toc390650888"/>
      <w:bookmarkStart w:id="5" w:name="_Toc574908169"/>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广元市供销合作社联合社</w:t>
      </w:r>
      <w:r>
        <w:rPr>
          <w:rFonts w:hint="eastAsia" w:ascii="楷体_GB2312" w:hAnsi="楷体_GB2312" w:eastAsia="楷体_GB2312" w:cs="楷体_GB2312"/>
          <w:sz w:val="32"/>
          <w:szCs w:val="32"/>
        </w:rPr>
        <w:t>职能简介</w:t>
      </w:r>
      <w:bookmarkEnd w:id="3"/>
      <w:bookmarkEnd w:id="4"/>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1.宣传贯彻落实中央、省、市有关农村经济工作和社会发展的方针、政策和决策部署。</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 w:hAnsi="仿宋" w:eastAsia="仿宋" w:cs="仿宋"/>
          <w:i w:val="0"/>
          <w:iCs w:val="0"/>
          <w:caps w:val="0"/>
          <w:color w:val="333333"/>
          <w:spacing w:val="0"/>
          <w:sz w:val="32"/>
          <w:szCs w:val="32"/>
          <w:shd w:val="clear" w:fill="FFFFFF"/>
        </w:rPr>
        <w:t>2.研究制定全市供销合作社发展规划；指导全市供销合作社的综合改革和高质量发展，加快体制、机制创新，探索社会主义市场经济条件下合作经济的多种实现形式。</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 w:hAnsi="仿宋" w:eastAsia="仿宋" w:cs="仿宋"/>
          <w:i w:val="0"/>
          <w:iCs w:val="0"/>
          <w:caps w:val="0"/>
          <w:color w:val="333333"/>
          <w:spacing w:val="0"/>
          <w:sz w:val="32"/>
          <w:szCs w:val="32"/>
          <w:shd w:val="clear" w:fill="FFFFFF"/>
        </w:rPr>
        <w:t>3.承担对重要农业生产资料、废旧物资、农副产品的经营管理工作；参与组织、储备、调运有关救灾物资工作。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 w:hAnsi="仿宋" w:eastAsia="仿宋" w:cs="仿宋"/>
          <w:i w:val="0"/>
          <w:iCs w:val="0"/>
          <w:caps w:val="0"/>
          <w:color w:val="333333"/>
          <w:spacing w:val="0"/>
          <w:sz w:val="32"/>
          <w:szCs w:val="32"/>
          <w:shd w:val="clear" w:fill="FFFFFF"/>
        </w:rPr>
        <w:t>4.协调同政府有关部门、社会组织的关系，研究扶持农村合作经济发展的政策性建议，了解、反映农民群众和农村新型经营主体的意见和要求，维护农民合作经济组织的合法权益。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 w:hAnsi="仿宋" w:eastAsia="仿宋" w:cs="仿宋"/>
          <w:i w:val="0"/>
          <w:iCs w:val="0"/>
          <w:caps w:val="0"/>
          <w:color w:val="333333"/>
          <w:spacing w:val="0"/>
          <w:sz w:val="32"/>
          <w:szCs w:val="32"/>
          <w:shd w:val="clear" w:fill="FFFFFF"/>
        </w:rPr>
        <w:t>5.服务乡村振兴战略。指导全市供销社系统推进农业农村现代化建设，促进一二三产业融合发展；发挥供销社行业特点全力做好脱贫攻坚，参与农村人居环境整治农业面源污染治理和先进乡镇和示范村建设，构建农村现代流通体系，推动小农户与现代农业有机衔接，指导农村金融互助、消费、生产、供销等合作社发展，帮助农民提高收入水平。</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 w:hAnsi="仿宋" w:eastAsia="仿宋" w:cs="仿宋"/>
          <w:i w:val="0"/>
          <w:iCs w:val="0"/>
          <w:caps w:val="0"/>
          <w:color w:val="333333"/>
          <w:spacing w:val="0"/>
          <w:sz w:val="32"/>
          <w:szCs w:val="32"/>
          <w:shd w:val="clear" w:fill="FFFFFF"/>
        </w:rPr>
        <w:t>6.围绕建立和完善农业社会化服务体系，做好农业、农村、农民服务工作，指导发展土地托管、电子商务、农村现代物流等新型业务，引导农民发展商品生产，搞活农村商品流通。</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 w:hAnsi="仿宋" w:eastAsia="仿宋" w:cs="仿宋"/>
          <w:i w:val="0"/>
          <w:iCs w:val="0"/>
          <w:caps w:val="0"/>
          <w:color w:val="333333"/>
          <w:spacing w:val="0"/>
          <w:sz w:val="32"/>
          <w:szCs w:val="32"/>
          <w:shd w:val="clear" w:fill="FFFFFF"/>
        </w:rPr>
        <w:t>7.指导全市供销社系统组织建设，发展新型基层供销合作社，密切与农民利益联系，组织发展农民专业合作社、农村社区综合服务社等农村基层经营服务组织，发挥联合合作优势。</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shd w:val="clear" w:fill="FFFFFF"/>
        </w:rPr>
        <w:t>8.监督和管理社有资产，把握社有企业发展方向。履行本级社社有资产出资人代表职责，优化社有资本布局，促进社有资产保值增值。</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 w:hAnsi="仿宋" w:eastAsia="仿宋" w:cs="仿宋"/>
          <w:i w:val="0"/>
          <w:iCs w:val="0"/>
          <w:caps w:val="0"/>
          <w:color w:val="333333"/>
          <w:spacing w:val="0"/>
          <w:sz w:val="32"/>
          <w:szCs w:val="32"/>
          <w:shd w:val="clear" w:fill="FFFFFF"/>
        </w:rPr>
        <w:t>9.发挥合作经济组织联合会作用，参与、协调农村合作经济组织技术交流与对外合作工作。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 w:hAnsi="仿宋" w:eastAsia="仿宋" w:cs="仿宋"/>
          <w:i w:val="0"/>
          <w:iCs w:val="0"/>
          <w:caps w:val="0"/>
          <w:color w:val="333333"/>
          <w:spacing w:val="0"/>
          <w:sz w:val="32"/>
          <w:szCs w:val="32"/>
          <w:shd w:val="clear" w:fill="FFFFFF"/>
        </w:rPr>
        <w:t>10.完成市委、市政府交办的其他任务。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6" w:name="_Toc75404"/>
      <w:bookmarkStart w:id="7" w:name="_Toc1560968488"/>
      <w:bookmarkStart w:id="8" w:name="_Toc230551182"/>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广元市供销合作社联合社</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6"/>
      <w:bookmarkEnd w:id="7"/>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仿宋" w:hAnsi="仿宋" w:eastAsia="仿宋" w:cs="仿宋"/>
          <w:i w:val="0"/>
          <w:iCs w:val="0"/>
          <w:caps w:val="0"/>
          <w:color w:val="333333"/>
          <w:spacing w:val="0"/>
          <w:sz w:val="32"/>
          <w:szCs w:val="32"/>
          <w:shd w:val="clear" w:fill="FFFFFF"/>
        </w:rPr>
        <w:t>1.全面贯彻新发展理念，持续深化供销社综合改革。一是进一步完善“三会制度”建设。各县区供销社要进一步健全完善组织体系、提升治理能力，全面建立社员代表大会、理事会、监事会制度。进一步厘清党组领导下的理事会、监事会、社资委的职能职责。二是推广改革经验。要进一步完善“双线运行”、“县基一体化”营运管理体制机制，要学习借鉴市外“三社融合”“三位一体”“农业社会化服务”等改革成果，推动我市供销社事业高质量发展。三是推动社有企业上下贯通。各级社有企业要向上、向下延链补链，加强与基层供销社、农民专业合作社、社区综合服务社的业务与服务联结，加快形成经济联合体，密切与基层基础、农民群众的利益联结。要深化与外地、外系统加工企业、流通企业、新型产业的联合合作，不断延伸产业链。</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 w:hAnsi="仿宋" w:eastAsia="仿宋" w:cs="仿宋"/>
          <w:i w:val="0"/>
          <w:iCs w:val="0"/>
          <w:caps w:val="0"/>
          <w:color w:val="333333"/>
          <w:spacing w:val="0"/>
          <w:sz w:val="32"/>
          <w:szCs w:val="32"/>
          <w:shd w:val="clear" w:fill="FFFFFF"/>
        </w:rPr>
        <w:t>2.持续强基固本，抓好基层组织体系建设。一是分类指导基层社建设。全市供销社系统要通过完善功能、吸呐农民专业合作社加入和社有企业带动等方式促进基层组织体系发展。对行政区划调整后没有基层供销社的乡镇，要争取当地党委政府支持，新建一批基层供销社，努力实现基层供销社乡镇全覆盖。二是发挥国家级“标杆基层社”示范作用。各级供销社对自身实力强、服务功能完善的基层社，要进一步提升服务能力和经营实力，争创全国供销合作总社标杆社。对已创建成国家级“标杆基层社”，要充分发挥其“领头羊”的作用。三是进一步做好开门开放办社。要发挥供销社整体、系统、品牌优势，做好“供销合作社+”大文章。本着“自愿、规范、共赢”原则，广泛吸纳小农户、各类合作经济组织、新型农业经营主体加入基层社，多方合作开展综合服务。要强化与小农户的联合合作，推动基层供销社逐步办成以农民社员为主体的合作社。要依靠党委、政府的坚强领导，以“党建带社建、村社共同建”的工作部署，积极推动村集体经济、专业合作社、基层供销社“三社”融合。四是充分发挥社有企业的“龙头”带动作用。市、县社有企业要利用自身优势，服务带动基层社发展，每年至少领办带动2个以上的基层供销社，努力实现层级之间的上下联动。</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 w:hAnsi="仿宋" w:eastAsia="仿宋" w:cs="仿宋"/>
          <w:i w:val="0"/>
          <w:iCs w:val="0"/>
          <w:caps w:val="0"/>
          <w:color w:val="333333"/>
          <w:spacing w:val="0"/>
          <w:sz w:val="32"/>
          <w:szCs w:val="32"/>
          <w:shd w:val="clear" w:fill="FFFFFF"/>
        </w:rPr>
        <w:t>3.创新经营服务方式，开展农业社会化服务。一是进一步完善三级农业社会化服务体系建设。在全市系统近年来初步构建的“3×（4＋N）”农业社会化服务体系基础上，不断完善健全市县、乡、村三级农业社会化服务中心（平台）建设，提升服务功能、拓展服务领域、创新服务方式，实现上、下业务相互补充、整体功能不断提升。二是积极开展农业社会化服务。紧扣服务保障国家粮食安全和重要农产品供给，深入实施以土地托管服务为核心内容的全产业链农业社会化服务惠农工程，扩大土地托管、代耕代种、代管代收、统防统治等托管服务规模，创造条件开展农产品收储、烘干、加工、流通、销售等“后半程”服务，为农民合作社、家庭农场、小农户、现代农业园区等农业经营主体提供“保姆式”全托管、“菜单式”半托管等多种形式、精准要求服务。今年全市土地托管面积要达50万亩次以上。三是以优质特色农产品为重点抓好流通服务。要加快县、乡、村三级物流配送体系和电商服务体系建设，支持农产品生产基地烘干和冷链设施的建设，搭建流通服务综合平台，促进产销对接，让我市优质特色农产品能卖得出、卖得好。</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 w:hAnsi="仿宋" w:eastAsia="仿宋" w:cs="仿宋"/>
          <w:i w:val="0"/>
          <w:iCs w:val="0"/>
          <w:caps w:val="0"/>
          <w:color w:val="333333"/>
          <w:spacing w:val="0"/>
          <w:sz w:val="32"/>
          <w:szCs w:val="32"/>
          <w:shd w:val="clear" w:fill="FFFFFF"/>
        </w:rPr>
        <w:t>4.做大做强社有企业，发挥经营服务体系的支撑作用。一是推进社有企业市场化改革发展，使企业真正成为为农服务的市场经济主体。加快现代企业制度建设，完善企业法人治理结构，实现“自主经营、自负盈亏、自我约束、自我激励”。二是进一步理顺社企业关系。按照“把握方向、管好资本、放开经营、激发活力”的基本要求完善相关制度机制，督促指导企业健全完善“三重一大”决策制度，处理好管理与服务的关系，做到“到位不越位、管住不管死、放活不放乱”。强化监督问责，发挥监事会职能，统筹监督力量，建立监督联动机制，加大违规经营投资等问题的责任追究力度。三是推进社有企业高质量发展。各级社有企业要围绕农业生产资料、农产品流通、再生资源回收利用、日用消费品、农村电子商务等供销社系统主营业务，进一步做大总量、提升质量。四是注重防范化解社有企业风险。要平衡好稳增长和防风险的关系，以问题为导向，提前研判并防范化解社有企业在廉政建设、安全生产、环保、债务、金融等方面可能出现的重大风险，建立风险台账，采取有效措施，增强防范化解风险能力。</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 w:hAnsi="仿宋" w:eastAsia="仿宋" w:cs="仿宋"/>
          <w:i w:val="0"/>
          <w:iCs w:val="0"/>
          <w:caps w:val="0"/>
          <w:color w:val="333333"/>
          <w:spacing w:val="0"/>
          <w:sz w:val="32"/>
          <w:szCs w:val="32"/>
          <w:shd w:val="clear" w:fill="FFFFFF"/>
        </w:rPr>
        <w:t>5.切实抓好项目投资，促进全市供销事业快速健康发展。一是精心谋划储备项目。全市系统项目储备实行动态管理，定期围绕乡村振兴、成渝双城经济圈、“等国家战略规划，谋划包装农业社会化服务、农村现代流通体系、农业特色产业融合发展等方面的项目，全系统项目动态储备总额不低于50亿元。二是积极争取项目资金。认真研究国家政策支持投资方向，及时与主管部门和发改、农业、商务等部门汇报协调沟通，主动承接符合条件的相关项目。加大招商引资力度，全系统招商引资较去年增长10%以上。三是认真实施项目。明确责任领导和责任人员，协调解决项目推进中的困难问题。对在建项目要加快建设进度争取早日完工，对有意向和已签约的项目要跟踪督促争取尽早落地。四是加强项目监管。要加强项目实施过程的监督和评价，确保项目质量和项目资金专款专用。</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 w:hAnsi="仿宋" w:eastAsia="仿宋" w:cs="仿宋"/>
          <w:i w:val="0"/>
          <w:iCs w:val="0"/>
          <w:caps w:val="0"/>
          <w:color w:val="333333"/>
          <w:spacing w:val="0"/>
          <w:sz w:val="32"/>
          <w:szCs w:val="32"/>
          <w:shd w:val="clear" w:fill="FFFFFF"/>
        </w:rPr>
        <w:t>6．坚持全面从严治社，为供销合作事业高质量发展提供坚强保障。一是深入学习贯彻习近平新时代中国特色社会主义思想。在深学细悟中把握思想体系，切实用习近平新时代中国特色社会主义思想武装头脑、指导实践、推动工作。在联系实际中理清工作思路，切实把全系统的思想统一到习近平总书记对供销社系列重要指示批示精神上来。在知行合一中积极担当作为，全面对标对表习近平总书记重要指示批示，切实推动工作落地见效。二是切实把党的政治建设摆在首位。以党的政治建设为统领，全面加强供销合作社党建工作，切实提高政治判断力、政治领悟力、政治执行力，提高从政治上谋划推进工作的能力水平，增强“四个意识”、坚定“四个自信”、做到“两个维护”。严明政治纪律和政治规矩，坚决贯彻落实习近平总书记重要指示批示精神和党中央、省委、市委重大决策部署。巩固深化“不忘初心、牢记使命”主题教育成果，全面贯彻全省供销合作社全面从严治社电视电话会议精神，坚定不移推进党风廉政建设，认真落实“4321”精准监督模式，把全面从严治党各项要求落到实处。加快建立从严治社长效机制，推动党风廉政建设不断深入，形成风清气正的良好政治生态。三是着力加强干部人才队伍建设。落实新时代党的组织路线，突出政治标准，加快建立健全具有供销合作社特色的干部人事制度，培养造就政治强、业务精、结构优、作风好的干部队伍。着力培养一批爱农业、懂供销、会管理、勇创新的干部队伍。加强基层人才队伍建设，创新基层用人机制和薪酬机制。大力弘扬供销合作社文化，为新时代供销合作事业发展凝聚强大力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1581701659"/>
      <w:bookmarkStart w:id="10" w:name="_Toc2038115250"/>
      <w:bookmarkStart w:id="11" w:name="_Toc313667975"/>
      <w:r>
        <w:rPr>
          <w:rFonts w:hint="eastAsia" w:ascii="黑体" w:hAnsi="黑体" w:eastAsia="黑体" w:cs="黑体"/>
          <w:sz w:val="32"/>
          <w:szCs w:val="32"/>
          <w:lang w:val="en-US" w:eastAsia="zh-CN"/>
        </w:rPr>
        <w:t>二、部门预算单位构成</w:t>
      </w:r>
      <w:bookmarkEnd w:id="9"/>
      <w:bookmarkEnd w:id="10"/>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仿宋" w:hAnsi="仿宋" w:eastAsia="仿宋" w:cs="仿宋"/>
          <w:i w:val="0"/>
          <w:iCs w:val="0"/>
          <w:caps w:val="0"/>
          <w:color w:val="333333"/>
          <w:spacing w:val="0"/>
          <w:sz w:val="32"/>
          <w:szCs w:val="32"/>
          <w:shd w:val="clear" w:fill="FFFFFF"/>
        </w:rPr>
        <w:t>广元市供销</w:t>
      </w:r>
      <w:r>
        <w:rPr>
          <w:rFonts w:hint="eastAsia" w:ascii="仿宋" w:hAnsi="仿宋" w:eastAsia="仿宋" w:cs="仿宋"/>
          <w:i w:val="0"/>
          <w:iCs w:val="0"/>
          <w:caps w:val="0"/>
          <w:color w:val="333333"/>
          <w:spacing w:val="0"/>
          <w:sz w:val="32"/>
          <w:szCs w:val="32"/>
          <w:shd w:val="clear" w:fill="FFFFFF"/>
          <w:lang w:val="en-US" w:eastAsia="zh-CN"/>
        </w:rPr>
        <w:t>合作社联合</w:t>
      </w:r>
      <w:r>
        <w:rPr>
          <w:rFonts w:hint="eastAsia" w:ascii="仿宋" w:hAnsi="仿宋" w:eastAsia="仿宋" w:cs="仿宋"/>
          <w:i w:val="0"/>
          <w:iCs w:val="0"/>
          <w:caps w:val="0"/>
          <w:color w:val="333333"/>
          <w:spacing w:val="0"/>
          <w:sz w:val="32"/>
          <w:szCs w:val="32"/>
          <w:shd w:val="clear" w:fill="FFFFFF"/>
        </w:rPr>
        <w:t>社</w:t>
      </w:r>
      <w:r>
        <w:rPr>
          <w:rFonts w:hint="eastAsia" w:ascii="仿宋" w:hAnsi="仿宋" w:eastAsia="仿宋" w:cs="仿宋"/>
          <w:i w:val="0"/>
          <w:iCs w:val="0"/>
          <w:caps w:val="0"/>
          <w:color w:val="333333"/>
          <w:spacing w:val="0"/>
          <w:sz w:val="32"/>
          <w:szCs w:val="32"/>
          <w:shd w:val="clear" w:fill="FFFFFF"/>
          <w:lang w:val="en-US" w:eastAsia="zh-CN"/>
        </w:rPr>
        <w:t>无</w:t>
      </w:r>
      <w:r>
        <w:rPr>
          <w:rFonts w:hint="eastAsia" w:ascii="仿宋" w:hAnsi="仿宋" w:eastAsia="仿宋" w:cs="仿宋"/>
          <w:i w:val="0"/>
          <w:iCs w:val="0"/>
          <w:caps w:val="0"/>
          <w:color w:val="333333"/>
          <w:spacing w:val="0"/>
          <w:sz w:val="32"/>
          <w:szCs w:val="32"/>
          <w:shd w:val="clear" w:fill="FFFFFF"/>
        </w:rPr>
        <w:t>下属二级预算单位</w:t>
      </w:r>
      <w:r>
        <w:rPr>
          <w:rFonts w:hint="eastAsia" w:ascii="仿宋" w:hAnsi="仿宋" w:eastAsia="仿宋" w:cs="仿宋"/>
          <w:i w:val="0"/>
          <w:iCs w:val="0"/>
          <w:caps w:val="0"/>
          <w:color w:val="333333"/>
          <w:spacing w:val="0"/>
          <w:sz w:val="32"/>
          <w:szCs w:val="32"/>
          <w:shd w:val="clear" w:fill="FFFFFF"/>
          <w:lang w:eastAsia="zh-CN"/>
        </w:rPr>
        <w:t>，仅包含本级机关</w:t>
      </w:r>
      <w:r>
        <w:rPr>
          <w:rFonts w:hint="eastAsia" w:ascii="仿宋" w:hAnsi="仿宋" w:eastAsia="仿宋" w:cs="仿宋"/>
          <w:i w:val="0"/>
          <w:iCs w:val="0"/>
          <w:caps w:val="0"/>
          <w:color w:val="333333"/>
          <w:spacing w:val="0"/>
          <w:sz w:val="32"/>
          <w:szCs w:val="32"/>
          <w:shd w:val="clear" w:fill="FFFFFF"/>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887309773"/>
      <w:bookmarkStart w:id="13" w:name="_Toc622411180"/>
      <w:bookmarkStart w:id="14" w:name="_Toc1399689696"/>
      <w:r>
        <w:rPr>
          <w:rFonts w:hint="eastAsia" w:ascii="黑体" w:hAnsi="黑体" w:eastAsia="黑体" w:cs="黑体"/>
          <w:sz w:val="32"/>
          <w:szCs w:val="32"/>
          <w:lang w:val="en-US" w:eastAsia="zh-CN"/>
        </w:rPr>
        <w:t>三、收支预算情况说明</w:t>
      </w:r>
      <w:bookmarkEnd w:id="12"/>
      <w:bookmarkEnd w:id="13"/>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w:t>
      </w:r>
      <w:r>
        <w:rPr>
          <w:rFonts w:hint="eastAsia" w:ascii="仿宋" w:hAnsi="仿宋" w:eastAsia="仿宋" w:cs="仿宋"/>
          <w:i w:val="0"/>
          <w:iCs w:val="0"/>
          <w:caps w:val="0"/>
          <w:color w:val="333333"/>
          <w:spacing w:val="0"/>
          <w:sz w:val="32"/>
          <w:szCs w:val="32"/>
          <w:shd w:val="clear" w:fill="FFFFFF"/>
        </w:rPr>
        <w:t>广元市供销</w:t>
      </w:r>
      <w:r>
        <w:rPr>
          <w:rFonts w:hint="eastAsia" w:ascii="仿宋" w:hAnsi="仿宋" w:eastAsia="仿宋" w:cs="仿宋"/>
          <w:i w:val="0"/>
          <w:iCs w:val="0"/>
          <w:caps w:val="0"/>
          <w:color w:val="333333"/>
          <w:spacing w:val="0"/>
          <w:sz w:val="32"/>
          <w:szCs w:val="32"/>
          <w:shd w:val="clear" w:fill="FFFFFF"/>
          <w:lang w:val="en-US" w:eastAsia="zh-CN"/>
        </w:rPr>
        <w:t>合作社联合</w:t>
      </w:r>
      <w:r>
        <w:rPr>
          <w:rFonts w:hint="eastAsia" w:ascii="仿宋" w:hAnsi="仿宋" w:eastAsia="仿宋" w:cs="仿宋"/>
          <w:i w:val="0"/>
          <w:iCs w:val="0"/>
          <w:caps w:val="0"/>
          <w:color w:val="333333"/>
          <w:spacing w:val="0"/>
          <w:sz w:val="32"/>
          <w:szCs w:val="32"/>
          <w:shd w:val="clear" w:fill="FFFFFF"/>
        </w:rPr>
        <w:t>社</w:t>
      </w:r>
      <w:r>
        <w:rPr>
          <w:rFonts w:hint="eastAsia" w:ascii="仿宋_GB2312" w:hAnsi="仿宋_GB2312" w:eastAsia="仿宋_GB2312" w:cs="仿宋_GB2312"/>
          <w:sz w:val="32"/>
          <w:szCs w:val="32"/>
          <w:lang w:val="en-US" w:eastAsia="zh-CN"/>
        </w:rPr>
        <w:t>所有收入和支出均纳入部门预算管理。收入包括：一般公共预算拨款收入；支出包括：社会保障和就业支出、卫生健康支出、农林水支出、商业服务业等支出、住房保障支出。</w:t>
      </w:r>
      <w:r>
        <w:rPr>
          <w:rFonts w:hint="eastAsia" w:ascii="仿宋" w:hAnsi="仿宋" w:eastAsia="仿宋" w:cs="仿宋"/>
          <w:i w:val="0"/>
          <w:iCs w:val="0"/>
          <w:caps w:val="0"/>
          <w:color w:val="333333"/>
          <w:spacing w:val="0"/>
          <w:sz w:val="32"/>
          <w:szCs w:val="32"/>
          <w:shd w:val="clear" w:fill="FFFFFF"/>
        </w:rPr>
        <w:t>广元市供销</w:t>
      </w:r>
      <w:r>
        <w:rPr>
          <w:rFonts w:hint="eastAsia" w:ascii="仿宋" w:hAnsi="仿宋" w:eastAsia="仿宋" w:cs="仿宋"/>
          <w:i w:val="0"/>
          <w:iCs w:val="0"/>
          <w:caps w:val="0"/>
          <w:color w:val="333333"/>
          <w:spacing w:val="0"/>
          <w:sz w:val="32"/>
          <w:szCs w:val="32"/>
          <w:shd w:val="clear" w:fill="FFFFFF"/>
          <w:lang w:val="en-US" w:eastAsia="zh-CN"/>
        </w:rPr>
        <w:t>合作社联合</w:t>
      </w:r>
      <w:r>
        <w:rPr>
          <w:rFonts w:hint="eastAsia" w:ascii="仿宋" w:hAnsi="仿宋" w:eastAsia="仿宋" w:cs="仿宋"/>
          <w:i w:val="0"/>
          <w:iCs w:val="0"/>
          <w:caps w:val="0"/>
          <w:color w:val="333333"/>
          <w:spacing w:val="0"/>
          <w:sz w:val="32"/>
          <w:szCs w:val="32"/>
          <w:shd w:val="clear" w:fill="FFFFFF"/>
        </w:rPr>
        <w:t>社</w:t>
      </w:r>
      <w:r>
        <w:rPr>
          <w:rFonts w:hint="eastAsia" w:ascii="仿宋_GB2312" w:hAnsi="仿宋_GB2312" w:eastAsia="仿宋_GB2312" w:cs="仿宋_GB2312"/>
          <w:sz w:val="32"/>
          <w:szCs w:val="32"/>
          <w:lang w:val="en-US" w:eastAsia="zh-CN"/>
        </w:rPr>
        <w:t>2024年收支预算总数</w:t>
      </w:r>
      <w:r>
        <w:rPr>
          <w:rFonts w:hint="eastAsia" w:ascii="仿宋_GB2312" w:hAnsi="仿宋_GB2312" w:eastAsia="仿宋_GB2312" w:cs="仿宋_GB2312"/>
          <w:sz w:val="32"/>
          <w:szCs w:val="32"/>
          <w:highlight w:val="none"/>
          <w:lang w:val="en-US" w:eastAsia="zh-CN"/>
        </w:rPr>
        <w:t>731.9</w:t>
      </w:r>
      <w:r>
        <w:rPr>
          <w:rFonts w:hint="eastAsia" w:ascii="仿宋_GB2312" w:hAnsi="仿宋_GB2312" w:eastAsia="仿宋_GB2312" w:cs="仿宋_GB2312"/>
          <w:sz w:val="32"/>
          <w:szCs w:val="32"/>
          <w:lang w:val="en-US" w:eastAsia="zh-CN"/>
        </w:rPr>
        <w:t>万元,比2023年收支预算总数增加</w:t>
      </w:r>
      <w:r>
        <w:rPr>
          <w:rFonts w:hint="eastAsia" w:ascii="仿宋_GB2312" w:hAnsi="仿宋_GB2312" w:eastAsia="仿宋_GB2312" w:cs="仿宋_GB2312"/>
          <w:sz w:val="32"/>
          <w:szCs w:val="32"/>
          <w:highlight w:val="none"/>
          <w:lang w:val="en-US" w:eastAsia="zh-CN"/>
        </w:rPr>
        <w:t>40.23</w:t>
      </w:r>
      <w:r>
        <w:rPr>
          <w:rFonts w:hint="eastAsia" w:ascii="仿宋_GB2312" w:hAnsi="仿宋_GB2312" w:eastAsia="仿宋_GB2312" w:cs="仿宋_GB2312"/>
          <w:sz w:val="32"/>
          <w:szCs w:val="32"/>
          <w:lang w:val="en-US" w:eastAsia="zh-CN"/>
        </w:rPr>
        <w:t>万元，主要原因是人员及土鸡产业专班工作经费增加。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556760431"/>
      <w:bookmarkStart w:id="16" w:name="_Toc135419922"/>
      <w:bookmarkStart w:id="17" w:name="_Toc1995735089"/>
      <w:r>
        <w:rPr>
          <w:rFonts w:hint="eastAsia" w:ascii="楷体_GB2312" w:hAnsi="楷体_GB2312" w:eastAsia="楷体_GB2312" w:cs="楷体_GB2312"/>
          <w:sz w:val="32"/>
          <w:szCs w:val="32"/>
          <w:lang w:val="en-US" w:eastAsia="zh-CN"/>
        </w:rPr>
        <w:t>（一）收入预算情况</w:t>
      </w:r>
      <w:bookmarkEnd w:id="15"/>
      <w:bookmarkEnd w:id="16"/>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iCs w:val="0"/>
          <w:caps w:val="0"/>
          <w:color w:val="auto"/>
          <w:spacing w:val="0"/>
          <w:sz w:val="32"/>
          <w:szCs w:val="32"/>
          <w:shd w:val="clear" w:fill="auto"/>
        </w:rPr>
        <w:t>广元市供销</w:t>
      </w:r>
      <w:r>
        <w:rPr>
          <w:rFonts w:hint="eastAsia" w:ascii="仿宋_GB2312" w:hAnsi="仿宋_GB2312" w:eastAsia="仿宋_GB2312" w:cs="仿宋_GB2312"/>
          <w:i w:val="0"/>
          <w:iCs w:val="0"/>
          <w:caps w:val="0"/>
          <w:color w:val="auto"/>
          <w:spacing w:val="0"/>
          <w:sz w:val="32"/>
          <w:szCs w:val="32"/>
          <w:shd w:val="clear" w:fill="auto"/>
          <w:lang w:val="en-US" w:eastAsia="zh-CN"/>
        </w:rPr>
        <w:t>合作社联合</w:t>
      </w:r>
      <w:r>
        <w:rPr>
          <w:rFonts w:hint="eastAsia" w:ascii="仿宋_GB2312" w:hAnsi="仿宋_GB2312" w:eastAsia="仿宋_GB2312" w:cs="仿宋_GB2312"/>
          <w:i w:val="0"/>
          <w:iCs w:val="0"/>
          <w:caps w:val="0"/>
          <w:color w:val="auto"/>
          <w:spacing w:val="0"/>
          <w:sz w:val="32"/>
          <w:szCs w:val="32"/>
          <w:shd w:val="clear" w:fill="auto"/>
        </w:rPr>
        <w:t>社</w:t>
      </w:r>
      <w:r>
        <w:rPr>
          <w:rFonts w:hint="eastAsia" w:ascii="仿宋_GB2312" w:hAnsi="仿宋_GB2312" w:eastAsia="仿宋_GB2312" w:cs="仿宋_GB2312"/>
          <w:sz w:val="32"/>
          <w:szCs w:val="32"/>
          <w:lang w:val="en-US" w:eastAsia="zh-CN"/>
        </w:rPr>
        <w:t>2024年收入预算731.9万元，其中一般公共预算拨款收入731.9万元，占100%。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8" w:name="_Toc1001207349"/>
      <w:bookmarkStart w:id="19" w:name="_Toc704318863"/>
      <w:bookmarkStart w:id="20" w:name="_Toc1810383964"/>
      <w:r>
        <w:rPr>
          <w:rFonts w:hint="eastAsia" w:ascii="楷体_GB2312" w:hAnsi="楷体_GB2312" w:eastAsia="楷体_GB2312" w:cs="楷体_GB2312"/>
          <w:sz w:val="32"/>
          <w:szCs w:val="32"/>
          <w:lang w:val="en-US" w:eastAsia="zh-CN"/>
        </w:rPr>
        <w:t>（二）支出预算情况</w:t>
      </w:r>
      <w:bookmarkEnd w:id="18"/>
      <w:bookmarkEnd w:id="19"/>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i w:val="0"/>
          <w:iCs w:val="0"/>
          <w:caps w:val="0"/>
          <w:color w:val="auto"/>
          <w:spacing w:val="0"/>
          <w:sz w:val="32"/>
          <w:szCs w:val="32"/>
          <w:shd w:val="clear" w:fill="auto"/>
        </w:rPr>
        <w:t>广元市供销</w:t>
      </w:r>
      <w:r>
        <w:rPr>
          <w:rFonts w:hint="eastAsia" w:ascii="仿宋_GB2312" w:hAnsi="仿宋_GB2312" w:eastAsia="仿宋_GB2312" w:cs="仿宋_GB2312"/>
          <w:i w:val="0"/>
          <w:iCs w:val="0"/>
          <w:caps w:val="0"/>
          <w:color w:val="auto"/>
          <w:spacing w:val="0"/>
          <w:sz w:val="32"/>
          <w:szCs w:val="32"/>
          <w:shd w:val="clear" w:fill="auto"/>
          <w:lang w:val="en-US" w:eastAsia="zh-CN"/>
        </w:rPr>
        <w:t>合作社联合</w:t>
      </w:r>
      <w:r>
        <w:rPr>
          <w:rFonts w:hint="eastAsia" w:ascii="仿宋_GB2312" w:hAnsi="仿宋_GB2312" w:eastAsia="仿宋_GB2312" w:cs="仿宋_GB2312"/>
          <w:i w:val="0"/>
          <w:iCs w:val="0"/>
          <w:caps w:val="0"/>
          <w:color w:val="auto"/>
          <w:spacing w:val="0"/>
          <w:sz w:val="32"/>
          <w:szCs w:val="32"/>
          <w:shd w:val="clear" w:fill="auto"/>
        </w:rPr>
        <w:t>社</w:t>
      </w:r>
      <w:r>
        <w:rPr>
          <w:rFonts w:hint="eastAsia" w:ascii="仿宋_GB2312" w:hAnsi="仿宋_GB2312" w:eastAsia="仿宋_GB2312" w:cs="仿宋_GB2312"/>
          <w:sz w:val="32"/>
          <w:szCs w:val="32"/>
          <w:lang w:val="en-US" w:eastAsia="zh-CN"/>
        </w:rPr>
        <w:t>2024年支出预算731.9万元，其中：基本支出636.07万元，占86.91%；项目支出95.83万元，占13.09%</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1" w:name="_Toc852962362"/>
      <w:bookmarkStart w:id="22" w:name="_Toc1658237425"/>
      <w:bookmarkStart w:id="23" w:name="_Toc75638594"/>
      <w:r>
        <w:rPr>
          <w:rFonts w:hint="eastAsia" w:ascii="黑体" w:hAnsi="黑体" w:eastAsia="黑体" w:cs="黑体"/>
          <w:sz w:val="32"/>
          <w:szCs w:val="32"/>
          <w:lang w:val="en-US" w:eastAsia="zh-CN"/>
        </w:rPr>
        <w:t>四、财政拨款收支预算情况说明</w:t>
      </w:r>
      <w:bookmarkEnd w:id="21"/>
      <w:bookmarkEnd w:id="22"/>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 w:hAnsi="仿宋" w:eastAsia="仿宋" w:cs="仿宋"/>
          <w:i w:val="0"/>
          <w:iCs w:val="0"/>
          <w:caps w:val="0"/>
          <w:color w:val="333333"/>
          <w:spacing w:val="0"/>
          <w:sz w:val="32"/>
          <w:szCs w:val="32"/>
          <w:shd w:val="clear" w:fill="FFFFFF"/>
        </w:rPr>
        <w:t>广元市供销</w:t>
      </w:r>
      <w:r>
        <w:rPr>
          <w:rFonts w:hint="eastAsia" w:ascii="仿宋" w:hAnsi="仿宋" w:eastAsia="仿宋" w:cs="仿宋"/>
          <w:i w:val="0"/>
          <w:iCs w:val="0"/>
          <w:caps w:val="0"/>
          <w:color w:val="333333"/>
          <w:spacing w:val="0"/>
          <w:sz w:val="32"/>
          <w:szCs w:val="32"/>
          <w:shd w:val="clear" w:fill="FFFFFF"/>
          <w:lang w:val="en-US" w:eastAsia="zh-CN"/>
        </w:rPr>
        <w:t>合作社联合</w:t>
      </w:r>
      <w:r>
        <w:rPr>
          <w:rFonts w:hint="eastAsia" w:ascii="仿宋" w:hAnsi="仿宋" w:eastAsia="仿宋" w:cs="仿宋"/>
          <w:i w:val="0"/>
          <w:iCs w:val="0"/>
          <w:caps w:val="0"/>
          <w:color w:val="333333"/>
          <w:spacing w:val="0"/>
          <w:sz w:val="32"/>
          <w:szCs w:val="32"/>
          <w:shd w:val="clear" w:fill="FFFFFF"/>
        </w:rPr>
        <w:t>社</w:t>
      </w:r>
      <w:r>
        <w:rPr>
          <w:rFonts w:hint="eastAsia" w:ascii="仿宋_GB2312" w:hAnsi="仿宋_GB2312" w:eastAsia="仿宋_GB2312" w:cs="仿宋_GB2312"/>
          <w:sz w:val="32"/>
          <w:szCs w:val="32"/>
          <w:lang w:val="en-US" w:eastAsia="zh-CN"/>
        </w:rPr>
        <w:t>2024年财政拨款收支预算总数731.9万元,比2023年财政拨款收支预算总数增加40.23万元，主要原因是人员及土鸡产业专班工作经费增加。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收入包括：本年一般公共预算拨款收入731.9万元；支出包括：社会保障和就业支出170.8万元、卫生健康支出15.84万元、农林水支出3.64万元、商业服务业等支出500.6万元、住房保障支出41.02万元。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4" w:name="_Toc1483588480"/>
      <w:bookmarkStart w:id="25" w:name="_Toc2138462091"/>
      <w:bookmarkStart w:id="26" w:name="_Toc504200474"/>
      <w:r>
        <w:rPr>
          <w:rFonts w:hint="eastAsia" w:ascii="黑体" w:hAnsi="黑体" w:eastAsia="黑体" w:cs="黑体"/>
          <w:sz w:val="32"/>
          <w:szCs w:val="32"/>
          <w:lang w:val="en-US" w:eastAsia="zh-CN"/>
        </w:rPr>
        <w:t>五、一般公共预算当年拨款情况说明</w:t>
      </w:r>
      <w:bookmarkEnd w:id="24"/>
      <w:bookmarkEnd w:id="25"/>
      <w:bookmarkEnd w:id="2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7" w:name="_Toc2104008559"/>
      <w:bookmarkStart w:id="28" w:name="_Toc983206445"/>
      <w:bookmarkStart w:id="29" w:name="_Toc2077561067"/>
      <w:r>
        <w:rPr>
          <w:rFonts w:hint="eastAsia" w:ascii="楷体_GB2312" w:hAnsi="楷体_GB2312" w:eastAsia="楷体_GB2312" w:cs="楷体_GB2312"/>
          <w:sz w:val="32"/>
          <w:szCs w:val="32"/>
          <w:lang w:val="en-US" w:eastAsia="zh-CN"/>
        </w:rPr>
        <w:t>（一）一般公共预算当年拨款规模变化情况</w:t>
      </w:r>
      <w:bookmarkEnd w:id="27"/>
      <w:bookmarkEnd w:id="28"/>
      <w:bookmarkEnd w:id="2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 w:hAnsi="仿宋" w:eastAsia="仿宋" w:cs="仿宋"/>
          <w:i w:val="0"/>
          <w:iCs w:val="0"/>
          <w:caps w:val="0"/>
          <w:color w:val="333333"/>
          <w:spacing w:val="0"/>
          <w:sz w:val="32"/>
          <w:szCs w:val="32"/>
          <w:shd w:val="clear" w:fill="FFFFFF"/>
        </w:rPr>
        <w:t>广元市供销</w:t>
      </w:r>
      <w:r>
        <w:rPr>
          <w:rFonts w:hint="eastAsia" w:ascii="仿宋" w:hAnsi="仿宋" w:eastAsia="仿宋" w:cs="仿宋"/>
          <w:i w:val="0"/>
          <w:iCs w:val="0"/>
          <w:caps w:val="0"/>
          <w:color w:val="333333"/>
          <w:spacing w:val="0"/>
          <w:sz w:val="32"/>
          <w:szCs w:val="32"/>
          <w:shd w:val="clear" w:fill="FFFFFF"/>
          <w:lang w:val="en-US" w:eastAsia="zh-CN"/>
        </w:rPr>
        <w:t>合作社联合</w:t>
      </w:r>
      <w:r>
        <w:rPr>
          <w:rFonts w:hint="eastAsia" w:ascii="仿宋" w:hAnsi="仿宋" w:eastAsia="仿宋" w:cs="仿宋"/>
          <w:i w:val="0"/>
          <w:iCs w:val="0"/>
          <w:caps w:val="0"/>
          <w:color w:val="333333"/>
          <w:spacing w:val="0"/>
          <w:sz w:val="32"/>
          <w:szCs w:val="32"/>
          <w:shd w:val="clear" w:fill="FFFFFF"/>
        </w:rPr>
        <w:t>社</w:t>
      </w:r>
      <w:r>
        <w:rPr>
          <w:rFonts w:hint="eastAsia" w:ascii="仿宋_GB2312" w:hAnsi="仿宋_GB2312" w:eastAsia="仿宋_GB2312" w:cs="仿宋_GB2312"/>
          <w:sz w:val="32"/>
          <w:szCs w:val="32"/>
          <w:lang w:val="en-US" w:eastAsia="zh-CN"/>
        </w:rPr>
        <w:t>2024年一般公共预算当年拨款731.9万元，比2023年预算数增加40.23万元，主要原因是主要原因是人员及土鸡产业专班工作经费增加。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0" w:name="_Toc1378489524"/>
      <w:bookmarkStart w:id="31" w:name="_Toc2130477837"/>
      <w:bookmarkStart w:id="32" w:name="_Toc988382285"/>
      <w:r>
        <w:rPr>
          <w:rFonts w:hint="eastAsia" w:ascii="楷体_GB2312" w:hAnsi="楷体_GB2312" w:eastAsia="楷体_GB2312" w:cs="楷体_GB2312"/>
          <w:sz w:val="32"/>
          <w:szCs w:val="32"/>
          <w:lang w:val="en-US" w:eastAsia="zh-CN"/>
        </w:rPr>
        <w:t>（二）一般公共预算当年拨款结构情况</w:t>
      </w:r>
      <w:bookmarkEnd w:id="30"/>
      <w:bookmarkEnd w:id="31"/>
      <w:bookmarkEnd w:id="3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社会保障和就业支出170.8万元，占23.34%、卫生健康支出15.84万元，占2.16%，农林水支出3.64万元，占0.5%，商业服务业等支出500.6万元，占68.4%、住房保障支出41.02万元，占5.6%。</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3" w:name="_Toc735433488"/>
      <w:bookmarkStart w:id="34" w:name="_Toc1801362407"/>
      <w:bookmarkStart w:id="35" w:name="_Toc67937365"/>
      <w:r>
        <w:rPr>
          <w:rFonts w:hint="eastAsia" w:ascii="楷体_GB2312" w:hAnsi="楷体_GB2312" w:eastAsia="楷体_GB2312" w:cs="楷体_GB2312"/>
          <w:sz w:val="32"/>
          <w:szCs w:val="32"/>
          <w:lang w:val="en-US" w:eastAsia="zh-CN"/>
        </w:rPr>
        <w:t>（三）一般公共预算当年拨款具体使用情况</w:t>
      </w:r>
      <w:bookmarkEnd w:id="33"/>
      <w:bookmarkEnd w:id="34"/>
      <w:bookmarkEnd w:id="3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1</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社会保障和就业（类）行政事业单位养老支出（款）行政单位离退休（项）2024年预算数为120.96万元，主要用于：机关及参公管理事业单位离退休人员经费支出。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eastAsia="zh-CN"/>
        </w:rPr>
        <w:t>2</w:t>
      </w:r>
      <w:r>
        <w:rPr>
          <w:rFonts w:hint="eastAsia" w:ascii="仿宋_GB2312" w:hAnsi="仿宋_GB2312" w:eastAsia="仿宋_GB2312" w:cs="仿宋_GB2312"/>
          <w:sz w:val="32"/>
          <w:szCs w:val="32"/>
          <w:lang w:val="en-US" w:eastAsia="zh-CN"/>
        </w:rPr>
        <w:t>.社会保障和就业（类）行政事业单位养老支出（款）机关事业单位基本养老保险缴费支出（项）2024年预算数为49.84万元，主要用于：实施养老保险制度由单位缴纳的基本养老保险支出。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3</w:t>
      </w:r>
      <w:r>
        <w:rPr>
          <w:rFonts w:hint="eastAsia" w:ascii="仿宋_GB2312" w:hAnsi="仿宋_GB2312" w:eastAsia="仿宋_GB2312" w:cs="仿宋_GB2312"/>
          <w:sz w:val="32"/>
          <w:szCs w:val="32"/>
          <w:lang w:val="en-US" w:eastAsia="zh-CN"/>
        </w:rPr>
        <w:t>.卫生健康（类）行政事业单位医疗（款）行政单位医疗（项）2024年预算数为15.84万元，主要用于：机关及参公管理事业单位按规定由单位缴纳的基本医疗保险支出。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4</w:t>
      </w:r>
      <w:r>
        <w:rPr>
          <w:rFonts w:hint="eastAsia" w:ascii="仿宋_GB2312" w:hAnsi="仿宋_GB2312" w:eastAsia="仿宋_GB2312" w:cs="仿宋_GB2312"/>
          <w:sz w:val="32"/>
          <w:szCs w:val="32"/>
          <w:lang w:val="en-US" w:eastAsia="zh-CN"/>
        </w:rPr>
        <w:t>.农林水支出（类）巩固脱贫攻坚成果衔接乡村振兴（款）其他巩固脱贫攻坚成果衔接乡村振兴支出（项）2024年预算数为3.64万元，主要用于</w:t>
      </w:r>
      <w:r>
        <w:rPr>
          <w:rFonts w:hint="eastAsia" w:ascii="仿宋_GB2312" w:hAnsi="仿宋_GB2312" w:eastAsia="仿宋_GB2312" w:cs="仿宋_GB2312"/>
          <w:sz w:val="32"/>
          <w:szCs w:val="32"/>
        </w:rPr>
        <w:t>反映其他用于巩固拓展脱贫攻坚成果同乡村振兴有效衔接方面的支</w:t>
      </w:r>
      <w:r>
        <w:rPr>
          <w:rFonts w:hint="default" w:ascii="仿宋_GB2312" w:hAnsi="仿宋_GB2312" w:eastAsia="仿宋_GB2312" w:cs="仿宋_GB2312"/>
          <w:sz w:val="32"/>
          <w:szCs w:val="32"/>
          <w:lang w:val="en-US"/>
        </w:rPr>
        <w:t>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5</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商业服务业（类）商业流通事务（款）行政运行（项）2024年预算数为408.41万元，主要用于：机关单位用于保障机构正常运行、开展日常工作的基本支出。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6</w:t>
      </w:r>
      <w:r>
        <w:rPr>
          <w:rFonts w:hint="eastAsia" w:ascii="仿宋_GB2312" w:hAnsi="仿宋_GB2312" w:eastAsia="仿宋_GB2312" w:cs="仿宋_GB2312"/>
          <w:sz w:val="32"/>
          <w:szCs w:val="32"/>
          <w:lang w:val="en-US" w:eastAsia="zh-CN"/>
        </w:rPr>
        <w:t>.商业服务业（类）商业流通事务（款）一般行政管理事务（项）2024年预算数为92.19万元，主要用于：机关单位开展土鸡产业专班、供销事业发展、废弃农膜回收、基层社建设、“广元832”运营打造管理工作的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7</w:t>
      </w:r>
      <w:r>
        <w:rPr>
          <w:rFonts w:hint="eastAsia" w:ascii="仿宋_GB2312" w:hAnsi="仿宋_GB2312" w:eastAsia="仿宋_GB2312" w:cs="仿宋_GB2312"/>
          <w:sz w:val="32"/>
          <w:szCs w:val="32"/>
          <w:lang w:val="en-US" w:eastAsia="zh-CN"/>
        </w:rPr>
        <w:t>.住房保障（类）住房改革支出（款）住房公积金（项）2024年预算数为41.02万元，主要用于：部门按规定为职工缴纳的住房公积金支出。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6" w:name="_Toc32163505"/>
      <w:bookmarkStart w:id="37" w:name="_Toc175373618"/>
      <w:bookmarkStart w:id="38" w:name="_Toc61974459"/>
      <w:r>
        <w:rPr>
          <w:rFonts w:hint="eastAsia" w:ascii="黑体" w:hAnsi="黑体" w:eastAsia="黑体" w:cs="黑体"/>
          <w:sz w:val="32"/>
          <w:szCs w:val="32"/>
          <w:lang w:val="en-US" w:eastAsia="zh-CN"/>
        </w:rPr>
        <w:t>六、一般公共预算基本支出情况说明</w:t>
      </w:r>
      <w:bookmarkEnd w:id="36"/>
      <w:bookmarkEnd w:id="37"/>
      <w:bookmarkEnd w:id="3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iCs w:val="0"/>
          <w:caps w:val="0"/>
          <w:color w:val="auto"/>
          <w:spacing w:val="0"/>
          <w:sz w:val="32"/>
          <w:szCs w:val="32"/>
          <w:shd w:val="clear"/>
        </w:rPr>
        <w:t>广元市供销</w:t>
      </w:r>
      <w:r>
        <w:rPr>
          <w:rFonts w:hint="eastAsia" w:ascii="仿宋_GB2312" w:hAnsi="仿宋_GB2312" w:eastAsia="仿宋_GB2312" w:cs="仿宋_GB2312"/>
          <w:i w:val="0"/>
          <w:iCs w:val="0"/>
          <w:caps w:val="0"/>
          <w:color w:val="auto"/>
          <w:spacing w:val="0"/>
          <w:sz w:val="32"/>
          <w:szCs w:val="32"/>
          <w:shd w:val="clear"/>
          <w:lang w:val="en-US" w:eastAsia="zh-CN"/>
        </w:rPr>
        <w:t>合作社联合</w:t>
      </w:r>
      <w:r>
        <w:rPr>
          <w:rFonts w:hint="eastAsia" w:ascii="仿宋_GB2312" w:hAnsi="仿宋_GB2312" w:eastAsia="仿宋_GB2312" w:cs="仿宋_GB2312"/>
          <w:i w:val="0"/>
          <w:iCs w:val="0"/>
          <w:caps w:val="0"/>
          <w:color w:val="auto"/>
          <w:spacing w:val="0"/>
          <w:sz w:val="32"/>
          <w:szCs w:val="32"/>
          <w:shd w:val="clear"/>
        </w:rPr>
        <w:t>社</w:t>
      </w:r>
      <w:r>
        <w:rPr>
          <w:rFonts w:hint="eastAsia" w:ascii="仿宋_GB2312" w:hAnsi="仿宋_GB2312" w:eastAsia="仿宋_GB2312" w:cs="仿宋_GB2312"/>
          <w:sz w:val="32"/>
          <w:szCs w:val="32"/>
          <w:lang w:val="en-US" w:eastAsia="zh-CN"/>
        </w:rPr>
        <w:t>2024年一般公共预算基本支出636.07元，其中：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人员经费556.16万元，主要包括：基本工资、津贴补贴、奖金、社会保险缴费、住房公积金</w:t>
      </w:r>
      <w:r>
        <w:rPr>
          <w:rFonts w:hint="default" w:ascii="仿宋_GB2312" w:hAnsi="仿宋_GB2312" w:eastAsia="仿宋_GB2312" w:cs="仿宋_GB2312"/>
          <w:sz w:val="32"/>
          <w:szCs w:val="32"/>
          <w:lang w:eastAsia="zh-CN"/>
        </w:rPr>
        <w:t>、生活补助</w:t>
      </w:r>
      <w:r>
        <w:rPr>
          <w:rFonts w:hint="eastAsia" w:ascii="仿宋_GB2312" w:hAnsi="仿宋_GB2312" w:eastAsia="仿宋_GB2312" w:cs="仿宋_GB2312"/>
          <w:sz w:val="32"/>
          <w:szCs w:val="32"/>
          <w:lang w:val="en-US" w:eastAsia="zh-CN"/>
        </w:rPr>
        <w:t>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公用经费79.91万元，主要包括：办公费、印刷费、</w:t>
      </w:r>
      <w:r>
        <w:rPr>
          <w:rFonts w:hint="default" w:ascii="仿宋_GB2312" w:hAnsi="仿宋_GB2312" w:eastAsia="仿宋_GB2312" w:cs="仿宋_GB2312"/>
          <w:sz w:val="32"/>
          <w:szCs w:val="32"/>
          <w:lang w:eastAsia="zh-CN"/>
        </w:rPr>
        <w:t>咨询费、手续费、</w:t>
      </w:r>
      <w:r>
        <w:rPr>
          <w:rFonts w:hint="eastAsia" w:ascii="仿宋_GB2312" w:hAnsi="仿宋_GB2312" w:eastAsia="仿宋_GB2312" w:cs="仿宋_GB2312"/>
          <w:sz w:val="32"/>
          <w:szCs w:val="32"/>
          <w:lang w:val="en-US" w:eastAsia="zh-CN"/>
        </w:rPr>
        <w:t>差旅费、维修（护）费、公务接待费、工会经费、福利费、公务用车运行维护费、其他交通费用</w:t>
      </w:r>
      <w:r>
        <w:rPr>
          <w:rFonts w:hint="default" w:ascii="仿宋_GB2312" w:hAnsi="仿宋_GB2312" w:eastAsia="仿宋_GB2312" w:cs="仿宋_GB2312"/>
          <w:sz w:val="32"/>
          <w:szCs w:val="32"/>
          <w:lang w:eastAsia="zh-CN"/>
        </w:rPr>
        <w:t>、其他商品和服务支出</w:t>
      </w:r>
      <w:r>
        <w:rPr>
          <w:rFonts w:hint="eastAsia" w:ascii="仿宋_GB2312" w:hAnsi="仿宋_GB2312" w:eastAsia="仿宋_GB2312" w:cs="仿宋_GB2312"/>
          <w:sz w:val="32"/>
          <w:szCs w:val="32"/>
          <w:lang w:val="en-US" w:eastAsia="zh-CN"/>
        </w:rPr>
        <w:t>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9" w:name="_Toc900337967"/>
      <w:bookmarkStart w:id="40" w:name="_Toc1492582759"/>
      <w:bookmarkStart w:id="41" w:name="_Toc414782299"/>
      <w:r>
        <w:rPr>
          <w:rFonts w:hint="eastAsia" w:ascii="黑体" w:hAnsi="黑体" w:eastAsia="黑体" w:cs="黑体"/>
          <w:sz w:val="32"/>
          <w:szCs w:val="32"/>
          <w:lang w:val="en-US" w:eastAsia="zh-CN"/>
        </w:rPr>
        <w:t>七、“三公”经费财政拨款预算安排情况说明</w:t>
      </w:r>
      <w:bookmarkEnd w:id="39"/>
      <w:bookmarkEnd w:id="40"/>
      <w:bookmarkEnd w:id="4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 w:hAnsi="仿宋" w:eastAsia="仿宋" w:cs="仿宋"/>
          <w:i w:val="0"/>
          <w:iCs w:val="0"/>
          <w:caps w:val="0"/>
          <w:color w:val="333333"/>
          <w:spacing w:val="0"/>
          <w:sz w:val="32"/>
          <w:szCs w:val="32"/>
          <w:shd w:val="clear" w:fill="FFFFFF"/>
        </w:rPr>
        <w:t>广元市供销</w:t>
      </w:r>
      <w:r>
        <w:rPr>
          <w:rFonts w:hint="eastAsia" w:ascii="仿宋" w:hAnsi="仿宋" w:eastAsia="仿宋" w:cs="仿宋"/>
          <w:i w:val="0"/>
          <w:iCs w:val="0"/>
          <w:caps w:val="0"/>
          <w:color w:val="333333"/>
          <w:spacing w:val="0"/>
          <w:sz w:val="32"/>
          <w:szCs w:val="32"/>
          <w:shd w:val="clear" w:fill="FFFFFF"/>
          <w:lang w:val="en-US" w:eastAsia="zh-CN"/>
        </w:rPr>
        <w:t>合作社联合</w:t>
      </w:r>
      <w:r>
        <w:rPr>
          <w:rFonts w:hint="eastAsia" w:ascii="仿宋" w:hAnsi="仿宋" w:eastAsia="仿宋" w:cs="仿宋"/>
          <w:i w:val="0"/>
          <w:iCs w:val="0"/>
          <w:caps w:val="0"/>
          <w:color w:val="333333"/>
          <w:spacing w:val="0"/>
          <w:sz w:val="32"/>
          <w:szCs w:val="32"/>
          <w:shd w:val="clear" w:fill="FFFFFF"/>
        </w:rPr>
        <w:t>社</w:t>
      </w:r>
      <w:r>
        <w:rPr>
          <w:rFonts w:hint="eastAsia" w:ascii="仿宋_GB2312" w:hAnsi="仿宋_GB2312" w:eastAsia="仿宋_GB2312" w:cs="仿宋_GB2312"/>
          <w:sz w:val="32"/>
          <w:szCs w:val="32"/>
          <w:lang w:val="en-US" w:eastAsia="zh-CN"/>
        </w:rPr>
        <w:t>2024年“三公”经费财政拨款预算数3万元，其中：公务接待费0.7万元，公务用车购置及运行维护费2.3万元。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2" w:name="_Toc688859364"/>
      <w:bookmarkStart w:id="43" w:name="_Toc1731439826"/>
      <w:bookmarkStart w:id="44" w:name="_Toc840783827"/>
      <w:r>
        <w:rPr>
          <w:rFonts w:hint="eastAsia" w:ascii="楷体_GB2312" w:hAnsi="楷体_GB2312" w:eastAsia="楷体_GB2312" w:cs="楷体_GB2312"/>
          <w:sz w:val="32"/>
          <w:szCs w:val="32"/>
          <w:lang w:val="en-US" w:eastAsia="zh-CN"/>
        </w:rPr>
        <w:t>（一）公务接待费</w:t>
      </w:r>
      <w:bookmarkEnd w:id="42"/>
      <w:bookmarkEnd w:id="43"/>
      <w:bookmarkEnd w:id="4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公务接待费与2023年预算相比持平</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5" w:name="_Toc193115512"/>
      <w:bookmarkStart w:id="46" w:name="_Toc843486645"/>
      <w:bookmarkStart w:id="47" w:name="_Toc1410653029"/>
      <w:r>
        <w:rPr>
          <w:rFonts w:hint="eastAsia" w:ascii="楷体_GB2312" w:hAnsi="楷体_GB2312" w:eastAsia="楷体_GB2312" w:cs="楷体_GB2312"/>
          <w:sz w:val="32"/>
          <w:szCs w:val="32"/>
          <w:lang w:val="en-US" w:eastAsia="zh-CN"/>
        </w:rPr>
        <w:t>公务用车购置及运行维护费</w:t>
      </w:r>
      <w:bookmarkEnd w:id="45"/>
      <w:bookmarkEnd w:id="46"/>
      <w:bookmarkEnd w:id="47"/>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lang w:val="en-US" w:eastAsia="zh-CN"/>
        </w:rPr>
        <w:t>公务用车购置及运行维护费与2023年预算持平。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单位现有公务用车1辆，其中：轿车1辆。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2024年安排公务用车运行维护费2.3万元，用于1辆公务用车燃油、过路（桥）、维修、保险等方面支出，主要保障机关工作督导促进。</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48" w:name="_Toc80532600"/>
      <w:bookmarkStart w:id="49" w:name="_Toc1667110542"/>
      <w:bookmarkStart w:id="50" w:name="_Toc85819571"/>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48"/>
      <w:bookmarkEnd w:id="49"/>
      <w:bookmarkEnd w:id="5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51" w:name="_Toc1793414285"/>
      <w:bookmarkStart w:id="52" w:name="_Toc2048297350"/>
      <w:bookmarkStart w:id="53" w:name="_Toc238194779"/>
      <w:r>
        <w:rPr>
          <w:rFonts w:hint="eastAsia" w:ascii="黑体" w:hAnsi="黑体" w:eastAsia="黑体" w:cs="黑体"/>
          <w:sz w:val="32"/>
          <w:szCs w:val="32"/>
          <w:lang w:val="en-US" w:eastAsia="zh-CN"/>
        </w:rPr>
        <w:t>八、政府性基金预算支出情况说明</w:t>
      </w:r>
      <w:bookmarkEnd w:id="51"/>
      <w:bookmarkEnd w:id="52"/>
      <w:bookmarkEnd w:id="5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 w:hAnsi="仿宋" w:eastAsia="仿宋" w:cs="仿宋"/>
          <w:i w:val="0"/>
          <w:iCs w:val="0"/>
          <w:caps w:val="0"/>
          <w:color w:val="333333"/>
          <w:spacing w:val="0"/>
          <w:sz w:val="32"/>
          <w:szCs w:val="32"/>
          <w:shd w:val="clear" w:fill="FFFFFF"/>
        </w:rPr>
        <w:t>广元市供销</w:t>
      </w:r>
      <w:r>
        <w:rPr>
          <w:rFonts w:hint="eastAsia" w:ascii="仿宋" w:hAnsi="仿宋" w:eastAsia="仿宋" w:cs="仿宋"/>
          <w:i w:val="0"/>
          <w:iCs w:val="0"/>
          <w:caps w:val="0"/>
          <w:color w:val="333333"/>
          <w:spacing w:val="0"/>
          <w:sz w:val="32"/>
          <w:szCs w:val="32"/>
          <w:shd w:val="clear" w:fill="FFFFFF"/>
          <w:lang w:val="en-US" w:eastAsia="zh-CN"/>
        </w:rPr>
        <w:t>合作社联合</w:t>
      </w:r>
      <w:r>
        <w:rPr>
          <w:rFonts w:hint="eastAsia" w:ascii="仿宋" w:hAnsi="仿宋" w:eastAsia="仿宋" w:cs="仿宋"/>
          <w:i w:val="0"/>
          <w:iCs w:val="0"/>
          <w:caps w:val="0"/>
          <w:color w:val="333333"/>
          <w:spacing w:val="0"/>
          <w:sz w:val="32"/>
          <w:szCs w:val="32"/>
          <w:shd w:val="clear" w:fill="FFFFFF"/>
        </w:rPr>
        <w:t>社</w:t>
      </w:r>
      <w:r>
        <w:rPr>
          <w:rFonts w:hint="eastAsia" w:ascii="仿宋_GB2312" w:hAnsi="仿宋_GB2312" w:eastAsia="仿宋_GB2312" w:cs="仿宋_GB2312"/>
          <w:sz w:val="32"/>
          <w:szCs w:val="32"/>
          <w:lang w:val="en-US" w:eastAsia="zh-CN"/>
        </w:rPr>
        <w:t>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54" w:name="_Toc1101708943"/>
      <w:bookmarkStart w:id="55" w:name="_Toc319656633"/>
      <w:bookmarkStart w:id="56" w:name="_Toc1825435329"/>
      <w:r>
        <w:rPr>
          <w:rFonts w:hint="eastAsia" w:ascii="黑体" w:hAnsi="黑体" w:eastAsia="黑体" w:cs="黑体"/>
          <w:sz w:val="32"/>
          <w:szCs w:val="32"/>
          <w:lang w:val="en-US" w:eastAsia="zh-CN"/>
        </w:rPr>
        <w:t>九、国有资本经营预算支出情况说明</w:t>
      </w:r>
      <w:bookmarkEnd w:id="54"/>
      <w:bookmarkEnd w:id="55"/>
      <w:bookmarkEnd w:id="5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 w:hAnsi="仿宋" w:eastAsia="仿宋" w:cs="仿宋"/>
          <w:i w:val="0"/>
          <w:iCs w:val="0"/>
          <w:caps w:val="0"/>
          <w:color w:val="333333"/>
          <w:spacing w:val="0"/>
          <w:sz w:val="32"/>
          <w:szCs w:val="32"/>
          <w:shd w:val="clear" w:fill="FFFFFF"/>
        </w:rPr>
        <w:t>广元市供销</w:t>
      </w:r>
      <w:r>
        <w:rPr>
          <w:rFonts w:hint="eastAsia" w:ascii="仿宋" w:hAnsi="仿宋" w:eastAsia="仿宋" w:cs="仿宋"/>
          <w:i w:val="0"/>
          <w:iCs w:val="0"/>
          <w:caps w:val="0"/>
          <w:color w:val="333333"/>
          <w:spacing w:val="0"/>
          <w:sz w:val="32"/>
          <w:szCs w:val="32"/>
          <w:shd w:val="clear" w:fill="FFFFFF"/>
          <w:lang w:val="en-US" w:eastAsia="zh-CN"/>
        </w:rPr>
        <w:t>合作社联合</w:t>
      </w:r>
      <w:r>
        <w:rPr>
          <w:rFonts w:hint="eastAsia" w:ascii="仿宋" w:hAnsi="仿宋" w:eastAsia="仿宋" w:cs="仿宋"/>
          <w:i w:val="0"/>
          <w:iCs w:val="0"/>
          <w:caps w:val="0"/>
          <w:color w:val="333333"/>
          <w:spacing w:val="0"/>
          <w:sz w:val="32"/>
          <w:szCs w:val="32"/>
          <w:shd w:val="clear" w:fill="FFFFFF"/>
        </w:rPr>
        <w:t>社</w:t>
      </w:r>
      <w:r>
        <w:rPr>
          <w:rFonts w:hint="eastAsia" w:ascii="仿宋_GB2312" w:hAnsi="仿宋_GB2312" w:eastAsia="仿宋_GB2312" w:cs="仿宋_GB2312"/>
          <w:sz w:val="32"/>
          <w:szCs w:val="32"/>
          <w:lang w:val="en-US" w:eastAsia="zh-CN"/>
        </w:rPr>
        <w:t>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7" w:name="_Toc865934682"/>
      <w:bookmarkStart w:id="58" w:name="_Toc471363255"/>
      <w:bookmarkStart w:id="59" w:name="_Toc921316427"/>
      <w:r>
        <w:rPr>
          <w:rFonts w:hint="eastAsia" w:ascii="黑体" w:hAnsi="黑体" w:eastAsia="黑体" w:cs="黑体"/>
          <w:sz w:val="32"/>
          <w:szCs w:val="32"/>
          <w:lang w:val="en-US" w:eastAsia="zh-CN"/>
        </w:rPr>
        <w:t>十、其他重要事项的情况说明</w:t>
      </w:r>
      <w:bookmarkEnd w:id="57"/>
      <w:bookmarkEnd w:id="58"/>
      <w:bookmarkEnd w:id="5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0" w:name="_Toc1986529798"/>
      <w:bookmarkStart w:id="61" w:name="_Toc1360309330"/>
      <w:r>
        <w:rPr>
          <w:rFonts w:hint="eastAsia" w:ascii="楷体_GB2312" w:hAnsi="楷体_GB2312" w:eastAsia="楷体_GB2312" w:cs="楷体_GB2312"/>
          <w:sz w:val="32"/>
          <w:szCs w:val="32"/>
          <w:lang w:val="en-US" w:eastAsia="zh-CN"/>
        </w:rPr>
        <w:t>（一）</w:t>
      </w:r>
      <w:bookmarkEnd w:id="60"/>
      <w:bookmarkEnd w:id="61"/>
      <w:r>
        <w:rPr>
          <w:rFonts w:hint="eastAsia" w:ascii="楷体_GB2312" w:hAnsi="楷体_GB2312" w:eastAsia="楷体_GB2312" w:cs="楷体_GB2312"/>
          <w:sz w:val="32"/>
          <w:szCs w:val="32"/>
          <w:lang w:val="en-US" w:eastAsia="zh-CN"/>
        </w:rPr>
        <w:t>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333333"/>
          <w:sz w:val="32"/>
          <w:szCs w:val="32"/>
          <w:shd w:val="clear" w:fill="FFFFFF"/>
          <w:lang w:val="en-US" w:eastAsia="zh-CN" w:bidi="ar"/>
        </w:rPr>
      </w:pPr>
      <w:r>
        <w:rPr>
          <w:rFonts w:hint="eastAsia" w:ascii="仿宋_GB2312" w:hAnsi="仿宋_GB2312" w:eastAsia="仿宋_GB2312" w:cs="仿宋_GB2312"/>
          <w:color w:val="333333"/>
          <w:sz w:val="32"/>
          <w:szCs w:val="32"/>
          <w:shd w:val="clear" w:fill="FFFFFF"/>
          <w:lang w:val="en-US" w:eastAsia="zh-CN" w:bidi="ar"/>
        </w:rPr>
        <w:t>2024年，</w:t>
      </w:r>
      <w:r>
        <w:rPr>
          <w:rFonts w:hint="eastAsia" w:ascii="仿宋_GB2312" w:hAnsi="仿宋_GB2312" w:eastAsia="仿宋_GB2312" w:cs="仿宋_GB2312"/>
          <w:i w:val="0"/>
          <w:iCs w:val="0"/>
          <w:caps w:val="0"/>
          <w:color w:val="333333"/>
          <w:spacing w:val="0"/>
          <w:sz w:val="32"/>
          <w:szCs w:val="32"/>
          <w:shd w:val="clear" w:fill="FFFFFF"/>
          <w:lang w:bidi="ar"/>
        </w:rPr>
        <w:t>广元市供销</w:t>
      </w:r>
      <w:r>
        <w:rPr>
          <w:rFonts w:hint="eastAsia" w:ascii="仿宋_GB2312" w:hAnsi="仿宋_GB2312" w:eastAsia="仿宋_GB2312" w:cs="仿宋_GB2312"/>
          <w:i w:val="0"/>
          <w:iCs w:val="0"/>
          <w:caps w:val="0"/>
          <w:color w:val="333333"/>
          <w:spacing w:val="0"/>
          <w:sz w:val="32"/>
          <w:szCs w:val="32"/>
          <w:shd w:val="clear" w:fill="FFFFFF"/>
          <w:lang w:val="en-US" w:eastAsia="zh-CN" w:bidi="ar"/>
        </w:rPr>
        <w:t>合作社联合</w:t>
      </w:r>
      <w:r>
        <w:rPr>
          <w:rFonts w:hint="eastAsia" w:ascii="仿宋_GB2312" w:hAnsi="仿宋_GB2312" w:eastAsia="仿宋_GB2312" w:cs="仿宋_GB2312"/>
          <w:i w:val="0"/>
          <w:iCs w:val="0"/>
          <w:caps w:val="0"/>
          <w:color w:val="333333"/>
          <w:spacing w:val="0"/>
          <w:sz w:val="32"/>
          <w:szCs w:val="32"/>
          <w:shd w:val="clear" w:fill="FFFFFF"/>
          <w:lang w:bidi="ar"/>
        </w:rPr>
        <w:t>社</w:t>
      </w:r>
      <w:r>
        <w:rPr>
          <w:rFonts w:hint="eastAsia" w:ascii="仿宋_GB2312" w:hAnsi="仿宋_GB2312" w:eastAsia="仿宋_GB2312" w:cs="仿宋_GB2312"/>
          <w:color w:val="333333"/>
          <w:sz w:val="32"/>
          <w:szCs w:val="32"/>
          <w:shd w:val="clear" w:fill="FFFFFF"/>
          <w:lang w:val="en-US" w:eastAsia="zh-CN" w:bidi="ar"/>
        </w:rPr>
        <w:t>1家参公管理事业单位的机关运行经费财政拨款预算为79.91万元，比2023年预算增加0.43万元，增长0.54%。主要原因是人员及土鸡产业专班工作经费增加。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2" w:name="_Toc272423649"/>
      <w:bookmarkStart w:id="63" w:name="_Toc1911254900"/>
      <w:r>
        <w:rPr>
          <w:rFonts w:hint="eastAsia" w:ascii="楷体_GB2312" w:hAnsi="楷体_GB2312" w:eastAsia="楷体_GB2312" w:cs="楷体_GB2312"/>
          <w:sz w:val="32"/>
          <w:szCs w:val="32"/>
          <w:lang w:val="en-US" w:eastAsia="zh-CN"/>
        </w:rPr>
        <w:t>（二）政府采购情况</w:t>
      </w:r>
      <w:bookmarkEnd w:id="62"/>
      <w:bookmarkEnd w:id="6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color w:val="333333"/>
          <w:sz w:val="32"/>
          <w:szCs w:val="32"/>
          <w:shd w:val="clear" w:fill="FFFFFF"/>
          <w:lang w:val="en-US" w:eastAsia="zh-CN" w:bidi="ar"/>
        </w:rPr>
      </w:pPr>
      <w:bookmarkStart w:id="64" w:name="_Toc781930041"/>
      <w:bookmarkStart w:id="65" w:name="_Toc822130130"/>
      <w:r>
        <w:rPr>
          <w:rFonts w:hint="default" w:ascii="仿宋" w:hAnsi="仿宋" w:eastAsia="仿宋" w:cs="仿宋"/>
          <w:color w:val="333333"/>
          <w:sz w:val="32"/>
          <w:szCs w:val="32"/>
          <w:shd w:val="clear" w:fill="FFFFFF"/>
          <w:lang w:val="en-US" w:eastAsia="zh-CN" w:bidi="ar"/>
        </w:rPr>
        <w:t>2024年无政府采购预算支出。</w:t>
      </w:r>
      <w:bookmarkEnd w:id="64"/>
      <w:bookmarkEnd w:id="65"/>
    </w:p>
    <w:p>
      <w:pPr>
        <w:keepNext w:val="0"/>
        <w:keepLines w:val="0"/>
        <w:widowControl w:val="0"/>
        <w:suppressLineNumbers w:val="0"/>
        <w:suppressAutoHyphens/>
        <w:autoSpaceDE/>
        <w:autoSpaceDN/>
        <w:spacing w:before="0" w:beforeAutospacing="0" w:after="0" w:afterAutospacing="0" w:line="576" w:lineRule="exact"/>
        <w:ind w:left="0" w:right="0" w:firstLine="640" w:firstLineChars="200"/>
        <w:jc w:val="left"/>
        <w:outlineLvl w:val="1"/>
        <w:rPr>
          <w:rFonts w:hint="eastAsia" w:ascii="楷体_GB2312" w:hAnsi="楷体_GB2312" w:eastAsia="楷体_GB2312" w:cs="楷体_GB2312"/>
          <w:sz w:val="32"/>
          <w:szCs w:val="32"/>
          <w:lang w:val="en-US" w:eastAsia="zh-CN"/>
        </w:rPr>
      </w:pPr>
      <w:bookmarkStart w:id="66" w:name="_Toc770464357"/>
      <w:bookmarkStart w:id="67" w:name="_Toc158702783"/>
      <w:r>
        <w:rPr>
          <w:rFonts w:hint="eastAsia" w:ascii="楷体_GB2312" w:hAnsi="楷体_GB2312" w:eastAsia="楷体_GB2312" w:cs="楷体_GB2312"/>
          <w:sz w:val="32"/>
          <w:szCs w:val="32"/>
          <w:lang w:eastAsia="zh-CN"/>
        </w:rPr>
        <w:t>（三）</w:t>
      </w:r>
      <w:r>
        <w:rPr>
          <w:rFonts w:hint="eastAsia" w:ascii="楷体_GB2312" w:hAnsi="楷体_GB2312" w:eastAsia="楷体_GB2312" w:cs="楷体_GB2312"/>
          <w:sz w:val="32"/>
          <w:szCs w:val="32"/>
          <w:lang w:val="en-US" w:eastAsia="zh-CN"/>
        </w:rPr>
        <w:t>国有资产占有使用情况</w:t>
      </w:r>
      <w:bookmarkEnd w:id="66"/>
      <w:bookmarkEnd w:id="67"/>
    </w:p>
    <w:p>
      <w:pPr>
        <w:keepNext w:val="0"/>
        <w:keepLines w:val="0"/>
        <w:widowControl w:val="0"/>
        <w:numPr>
          <w:ilvl w:val="0"/>
          <w:numId w:val="0"/>
        </w:numPr>
        <w:suppressLineNumbers w:val="0"/>
        <w:suppressAutoHyphens/>
        <w:autoSpaceDE/>
        <w:autoSpaceDN/>
        <w:spacing w:before="0" w:beforeAutospacing="0" w:after="0" w:afterAutospacing="0" w:line="576" w:lineRule="exact"/>
        <w:ind w:left="0" w:right="0" w:firstLine="640" w:firstLineChars="200"/>
        <w:jc w:val="left"/>
        <w:rPr>
          <w:rFonts w:hint="eastAsia" w:ascii="仿宋_GB2312" w:hAnsi="仿宋_GB2312" w:eastAsia="仿宋_GB2312" w:cs="仿宋_GB2312"/>
          <w:kern w:val="2"/>
          <w:sz w:val="32"/>
          <w:szCs w:val="32"/>
          <w:highlight w:val="none"/>
          <w:lang w:bidi="ar"/>
        </w:rPr>
      </w:pPr>
      <w:r>
        <w:rPr>
          <w:rFonts w:hint="eastAsia" w:ascii="仿宋_GB2312" w:hAnsi="仿宋_GB2312" w:eastAsia="仿宋_GB2312" w:cs="仿宋_GB2312"/>
          <w:color w:val="auto"/>
          <w:kern w:val="2"/>
          <w:sz w:val="32"/>
          <w:szCs w:val="32"/>
          <w:highlight w:val="none"/>
          <w:lang w:val="en-US" w:eastAsia="zh-CN" w:bidi="ar"/>
        </w:rPr>
        <w:t>截至2023年底，</w:t>
      </w:r>
      <w:r>
        <w:rPr>
          <w:rFonts w:hint="default" w:ascii="仿宋_GB2312" w:hAnsi="仿宋_GB2312" w:eastAsia="仿宋_GB2312" w:cs="仿宋_GB2312"/>
          <w:color w:val="auto"/>
          <w:kern w:val="2"/>
          <w:sz w:val="32"/>
          <w:szCs w:val="32"/>
          <w:highlight w:val="none"/>
          <w:lang w:val="en-US" w:eastAsia="zh-CN" w:bidi="ar"/>
        </w:rPr>
        <w:t>广元市供销合作社联合社</w:t>
      </w:r>
      <w:r>
        <w:rPr>
          <w:rFonts w:hint="eastAsia" w:ascii="仿宋_GB2312" w:hAnsi="仿宋_GB2312" w:eastAsia="仿宋_GB2312" w:cs="仿宋_GB2312"/>
          <w:color w:val="auto"/>
          <w:kern w:val="2"/>
          <w:sz w:val="32"/>
          <w:szCs w:val="32"/>
          <w:highlight w:val="none"/>
          <w:lang w:val="en-US" w:eastAsia="zh-CN" w:bidi="ar"/>
        </w:rPr>
        <w:t>共有车辆</w:t>
      </w:r>
      <w:r>
        <w:rPr>
          <w:rFonts w:hint="eastAsia" w:ascii="仿宋_GB2312" w:hAnsi="仿宋_GB2312" w:eastAsia="仿宋_GB2312" w:cs="仿宋_GB2312"/>
          <w:color w:val="auto"/>
          <w:kern w:val="2"/>
          <w:sz w:val="32"/>
          <w:szCs w:val="32"/>
          <w:highlight w:val="none"/>
          <w:lang w:eastAsia="zh-CN" w:bidi="ar"/>
        </w:rPr>
        <w:t>1</w:t>
      </w:r>
      <w:r>
        <w:rPr>
          <w:rFonts w:hint="eastAsia" w:ascii="仿宋_GB2312" w:hAnsi="仿宋_GB2312" w:eastAsia="仿宋_GB2312" w:cs="仿宋_GB2312"/>
          <w:color w:val="auto"/>
          <w:kern w:val="2"/>
          <w:sz w:val="32"/>
          <w:szCs w:val="32"/>
          <w:highlight w:val="none"/>
          <w:lang w:val="en-US" w:eastAsia="zh-CN" w:bidi="ar"/>
        </w:rPr>
        <w:t>辆，其中，</w:t>
      </w:r>
      <w:r>
        <w:rPr>
          <w:rFonts w:hint="eastAsia" w:ascii="仿宋_GB2312" w:hAnsi="仿宋_GB2312" w:eastAsia="仿宋_GB2312" w:cs="仿宋_GB2312"/>
          <w:color w:val="auto"/>
          <w:kern w:val="2"/>
          <w:sz w:val="32"/>
          <w:szCs w:val="32"/>
          <w:highlight w:val="none"/>
          <w:lang w:eastAsia="zh-CN" w:bidi="ar"/>
        </w:rPr>
        <w:t>一般公务用车</w:t>
      </w:r>
      <w:r>
        <w:rPr>
          <w:rFonts w:hint="default" w:ascii="仿宋_GB2312" w:hAnsi="仿宋_GB2312" w:eastAsia="仿宋_GB2312" w:cs="仿宋_GB2312"/>
          <w:sz w:val="32"/>
          <w:szCs w:val="32"/>
          <w:highlight w:val="none"/>
          <w:lang w:val="en-US" w:eastAsia="zh-CN" w:bidi="ar"/>
        </w:rPr>
        <w:t>1辆</w:t>
      </w:r>
      <w:r>
        <w:rPr>
          <w:rFonts w:hint="eastAsia" w:ascii="仿宋_GB2312" w:hAnsi="仿宋_GB2312" w:eastAsia="仿宋_GB2312" w:cs="仿宋_GB2312"/>
          <w:sz w:val="32"/>
          <w:szCs w:val="32"/>
          <w:highlight w:val="none"/>
          <w:lang w:eastAsia="zh-CN" w:bidi="ar"/>
        </w:rPr>
        <w:t>，</w:t>
      </w:r>
      <w:r>
        <w:rPr>
          <w:rFonts w:hint="eastAsia" w:ascii="仿宋_GB2312" w:hAnsi="仿宋_GB2312" w:eastAsia="仿宋_GB2312" w:cs="仿宋_GB2312"/>
          <w:color w:val="auto"/>
          <w:kern w:val="2"/>
          <w:sz w:val="32"/>
          <w:szCs w:val="32"/>
          <w:highlight w:val="none"/>
          <w:lang w:val="en-US" w:eastAsia="zh-CN" w:bidi="ar"/>
        </w:rPr>
        <w:t>单位无价值200万元以上的大型设备。</w:t>
      </w:r>
    </w:p>
    <w:p>
      <w:pPr>
        <w:keepNext w:val="0"/>
        <w:keepLines w:val="0"/>
        <w:widowControl w:val="0"/>
        <w:numPr>
          <w:ilvl w:val="0"/>
          <w:numId w:val="0"/>
        </w:numPr>
        <w:suppressLineNumbers w:val="0"/>
        <w:suppressAutoHyphens/>
        <w:autoSpaceDE/>
        <w:autoSpaceDN/>
        <w:spacing w:before="0" w:beforeAutospacing="0" w:after="0" w:afterAutospacing="0" w:line="576" w:lineRule="exact"/>
        <w:ind w:left="0" w:right="0" w:firstLine="640" w:firstLineChars="200"/>
        <w:jc w:val="left"/>
        <w:rPr>
          <w:rFonts w:hint="eastAsia" w:ascii="仿宋_GB2312" w:hAnsi="仿宋_GB2312" w:eastAsia="仿宋_GB2312" w:cs="仿宋_GB2312"/>
          <w:color w:val="auto"/>
          <w:kern w:val="2"/>
          <w:sz w:val="32"/>
          <w:szCs w:val="32"/>
          <w:highlight w:val="none"/>
          <w:lang w:val="en-US" w:eastAsia="zh-CN" w:bidi="ar"/>
        </w:rPr>
      </w:pPr>
      <w:r>
        <w:rPr>
          <w:rFonts w:hint="eastAsia" w:ascii="仿宋_GB2312" w:hAnsi="仿宋_GB2312" w:eastAsia="仿宋_GB2312" w:cs="仿宋_GB2312"/>
          <w:color w:val="auto"/>
          <w:kern w:val="2"/>
          <w:sz w:val="32"/>
          <w:szCs w:val="32"/>
          <w:highlight w:val="none"/>
          <w:lang w:val="en-US" w:eastAsia="zh-CN" w:bidi="ar"/>
        </w:rPr>
        <w:t>2024年部门预算未安排购置车辆及单位价值200万元以上大型设备。</w:t>
      </w:r>
    </w:p>
    <w:p>
      <w:pPr>
        <w:keepNext w:val="0"/>
        <w:keepLines w:val="0"/>
        <w:widowControl w:val="0"/>
        <w:numPr>
          <w:ilvl w:val="0"/>
          <w:numId w:val="0"/>
        </w:numPr>
        <w:suppressLineNumbers w:val="0"/>
        <w:suppressAutoHyphens/>
        <w:autoSpaceDE/>
        <w:autoSpaceDN/>
        <w:spacing w:before="0" w:beforeAutospacing="0" w:after="0" w:afterAutospacing="0" w:line="576" w:lineRule="exact"/>
        <w:ind w:left="0" w:right="0" w:firstLine="640" w:firstLineChars="200"/>
        <w:jc w:val="left"/>
        <w:rPr>
          <w:rFonts w:hint="eastAsia" w:ascii="仿宋_GB2312" w:hAnsi="仿宋_GB2312" w:eastAsia="仿宋_GB2312" w:cs="仿宋_GB2312"/>
          <w:color w:val="auto"/>
          <w:kern w:val="2"/>
          <w:sz w:val="32"/>
          <w:szCs w:val="32"/>
          <w:highlight w:val="none"/>
          <w:lang w:val="en-US" w:eastAsia="zh-CN" w:bidi="ar"/>
        </w:rPr>
      </w:pPr>
      <w:r>
        <w:rPr>
          <w:rFonts w:hint="eastAsia" w:ascii="仿宋_GB2312" w:hAnsi="仿宋_GB2312" w:eastAsia="仿宋_GB2312" w:cs="仿宋_GB2312"/>
          <w:color w:val="auto"/>
          <w:kern w:val="2"/>
          <w:sz w:val="32"/>
          <w:szCs w:val="32"/>
          <w:highlight w:val="none"/>
          <w:lang w:val="en-US" w:eastAsia="zh-CN" w:bidi="ar"/>
        </w:rPr>
        <w:t>（四）绩效目标设置情况</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highlight w:val="none"/>
          <w:lang w:val="en-US" w:eastAsia="zh-CN" w:bidi="ar"/>
        </w:rPr>
      </w:pPr>
      <w:r>
        <w:rPr>
          <w:rFonts w:hint="eastAsia" w:ascii="仿宋_GB2312" w:hAnsi="仿宋_GB2312" w:eastAsia="仿宋_GB2312" w:cs="仿宋_GB2312"/>
          <w:sz w:val="32"/>
          <w:szCs w:val="32"/>
          <w:highlight w:val="none"/>
          <w:lang w:val="en-US" w:eastAsia="zh-CN" w:bidi="ar"/>
        </w:rPr>
        <w:t>2024</w:t>
      </w:r>
      <w:r>
        <w:rPr>
          <w:rFonts w:hint="eastAsia" w:ascii="仿宋_GB2312" w:hAnsi="仿宋_GB2312" w:eastAsia="仿宋_GB2312" w:cs="仿宋_GB2312"/>
          <w:i w:val="0"/>
          <w:iCs w:val="0"/>
          <w:caps w:val="0"/>
          <w:color w:val="auto"/>
          <w:spacing w:val="0"/>
          <w:sz w:val="32"/>
          <w:szCs w:val="32"/>
          <w:highlight w:val="none"/>
          <w:shd w:val="clear" w:fill="auto"/>
          <w:lang w:bidi="ar"/>
        </w:rPr>
        <w:t>广元市供销</w:t>
      </w:r>
      <w:r>
        <w:rPr>
          <w:rFonts w:hint="eastAsia" w:ascii="仿宋_GB2312" w:hAnsi="仿宋_GB2312" w:eastAsia="仿宋_GB2312" w:cs="仿宋_GB2312"/>
          <w:i w:val="0"/>
          <w:iCs w:val="0"/>
          <w:caps w:val="0"/>
          <w:color w:val="auto"/>
          <w:spacing w:val="0"/>
          <w:sz w:val="32"/>
          <w:szCs w:val="32"/>
          <w:highlight w:val="none"/>
          <w:shd w:val="clear" w:fill="auto"/>
          <w:lang w:val="en-US" w:eastAsia="zh-CN" w:bidi="ar"/>
        </w:rPr>
        <w:t>合作社联合</w:t>
      </w:r>
      <w:r>
        <w:rPr>
          <w:rFonts w:hint="eastAsia" w:ascii="仿宋_GB2312" w:hAnsi="仿宋_GB2312" w:eastAsia="仿宋_GB2312" w:cs="仿宋_GB2312"/>
          <w:i w:val="0"/>
          <w:iCs w:val="0"/>
          <w:caps w:val="0"/>
          <w:color w:val="auto"/>
          <w:spacing w:val="0"/>
          <w:sz w:val="32"/>
          <w:szCs w:val="32"/>
          <w:highlight w:val="none"/>
          <w:shd w:val="clear" w:fill="auto"/>
          <w:lang w:bidi="ar"/>
        </w:rPr>
        <w:t>社</w:t>
      </w:r>
      <w:r>
        <w:rPr>
          <w:rFonts w:hint="eastAsia" w:ascii="仿宋_GB2312" w:hAnsi="仿宋_GB2312" w:eastAsia="仿宋_GB2312" w:cs="仿宋_GB2312"/>
          <w:sz w:val="32"/>
          <w:szCs w:val="32"/>
          <w:highlight w:val="none"/>
          <w:lang w:val="en-US" w:eastAsia="zh-CN" w:bidi="ar"/>
        </w:rPr>
        <w:t>开展绩效目标管理的项目</w:t>
      </w:r>
      <w:r>
        <w:rPr>
          <w:rFonts w:hint="eastAsia" w:ascii="仿宋_GB2312" w:hAnsi="仿宋_GB2312" w:eastAsia="仿宋_GB2312" w:cs="仿宋_GB2312"/>
          <w:sz w:val="32"/>
          <w:szCs w:val="32"/>
          <w:highlight w:val="none"/>
          <w:lang w:eastAsia="zh-CN" w:bidi="ar"/>
        </w:rPr>
        <w:t>31</w:t>
      </w:r>
      <w:r>
        <w:rPr>
          <w:rFonts w:hint="eastAsia" w:ascii="仿宋_GB2312" w:hAnsi="仿宋_GB2312" w:eastAsia="仿宋_GB2312" w:cs="仿宋_GB2312"/>
          <w:sz w:val="32"/>
          <w:szCs w:val="32"/>
          <w:highlight w:val="none"/>
          <w:lang w:val="en-US" w:eastAsia="zh-CN" w:bidi="ar"/>
        </w:rPr>
        <w:t>个，涉及预算731.9万元。其中：人员类项目12个，涉及预算 556.16万元；运转类项目13个，涉及预算79.91万元；特定目标类项目6个，涉及预算95.83万元。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68" w:name="_Toc34955812"/>
      <w:bookmarkStart w:id="69" w:name="_Toc690030064"/>
      <w:bookmarkStart w:id="70" w:name="_Toc312047059"/>
      <w:r>
        <w:rPr>
          <w:rFonts w:hint="eastAsia" w:ascii="黑体" w:hAnsi="黑体" w:eastAsia="黑体" w:cs="黑体"/>
          <w:sz w:val="32"/>
          <w:szCs w:val="32"/>
          <w:lang w:val="en-US" w:eastAsia="zh-CN"/>
        </w:rPr>
        <w:t>十一、名词解释</w:t>
      </w:r>
      <w:bookmarkEnd w:id="68"/>
      <w:bookmarkEnd w:id="69"/>
      <w:bookmarkEnd w:id="7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楷体_GB2312" w:hAnsi="楷体_GB2312" w:eastAsia="楷体_GB2312" w:cs="楷体_GB2312"/>
          <w:sz w:val="32"/>
          <w:szCs w:val="32"/>
          <w:lang w:val="en-US" w:eastAsia="zh-CN"/>
        </w:rPr>
        <w:t>（二）商业服务业（类）商业流通事务（款）行政运行（项）：</w:t>
      </w:r>
      <w:r>
        <w:rPr>
          <w:rFonts w:hint="eastAsia" w:ascii="仿宋_GB2312" w:hAnsi="仿宋_GB2312" w:eastAsia="仿宋_GB2312" w:cs="仿宋_GB2312"/>
          <w:sz w:val="32"/>
          <w:szCs w:val="32"/>
          <w:lang w:val="en-US" w:eastAsia="zh-CN"/>
        </w:rPr>
        <w:t>指机关单位用于保障机构正常运行、开展日常工作的基本支出。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（三）商业服务业（类）商业流通事务（款）一般行政管理事务（项）：</w:t>
      </w:r>
      <w:r>
        <w:rPr>
          <w:rFonts w:hint="eastAsia" w:ascii="仿宋_GB2312" w:hAnsi="仿宋_GB2312" w:eastAsia="仿宋_GB2312" w:cs="仿宋_GB2312"/>
          <w:sz w:val="32"/>
          <w:szCs w:val="32"/>
          <w:lang w:val="en-US" w:eastAsia="zh-CN"/>
        </w:rPr>
        <w:t>指机关单位开展管理工作的项目支出。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（四）社会保障和就业（类）行政事业单位养老支出（款）行政单位离退休（项）：</w:t>
      </w:r>
      <w:r>
        <w:rPr>
          <w:rFonts w:hint="eastAsia" w:ascii="仿宋_GB2312" w:hAnsi="仿宋_GB2312" w:eastAsia="仿宋_GB2312" w:cs="仿宋_GB2312"/>
          <w:sz w:val="32"/>
          <w:szCs w:val="32"/>
          <w:lang w:val="en-US" w:eastAsia="zh-CN"/>
        </w:rPr>
        <w:t>指行政及参公管理事业单位离退休人员的支出。</w:t>
      </w:r>
      <w:bookmarkStart w:id="71" w:name="_GoBack"/>
      <w:bookmarkEnd w:id="71"/>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（六）卫生健康（类）行政事业单位医疗（款）行政单位医疗（项）：</w:t>
      </w:r>
      <w:r>
        <w:rPr>
          <w:rFonts w:hint="eastAsia" w:ascii="仿宋_GB2312" w:hAnsi="仿宋_GB2312" w:eastAsia="仿宋_GB2312" w:cs="仿宋_GB2312"/>
          <w:sz w:val="32"/>
          <w:szCs w:val="32"/>
          <w:lang w:val="en-US" w:eastAsia="zh-CN"/>
        </w:rPr>
        <w:t>指机关及参公管理事业单位用于单位应缴纳基本医疗保险支出。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七</w:t>
      </w:r>
      <w:r>
        <w:rPr>
          <w:rFonts w:hint="eastAsia" w:ascii="楷体_GB2312" w:hAnsi="楷体_GB2312" w:eastAsia="楷体_GB2312" w:cs="楷体_GB2312"/>
          <w:sz w:val="32"/>
          <w:szCs w:val="32"/>
          <w:lang w:val="en-US" w:eastAsia="zh-CN"/>
        </w:rPr>
        <w:t>）住房保障（类）住房改革支出（款）住房公积金（项）：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八</w:t>
      </w:r>
      <w:r>
        <w:rPr>
          <w:rFonts w:hint="eastAsia" w:ascii="楷体_GB2312" w:hAnsi="楷体_GB2312" w:eastAsia="楷体_GB2312" w:cs="楷体_GB2312"/>
          <w:sz w:val="32"/>
          <w:szCs w:val="32"/>
          <w:lang w:val="en-US" w:eastAsia="zh-CN"/>
        </w:rPr>
        <w:t>）农林水支出（类）巩固脱贫攻坚成果衔接乡村振兴（款）：</w:t>
      </w:r>
      <w:r>
        <w:rPr>
          <w:rFonts w:hint="eastAsia" w:ascii="仿宋_GB2312" w:hAnsi="仿宋_GB2312" w:eastAsia="仿宋_GB2312" w:cs="仿宋_GB2312"/>
          <w:sz w:val="32"/>
          <w:szCs w:val="32"/>
          <w:lang w:val="en-US" w:eastAsia="zh-CN"/>
        </w:rPr>
        <w:t>其他巩固脱贫攻坚成果衔接乡村振兴支出（项）</w:t>
      </w:r>
      <w:r>
        <w:rPr>
          <w:rFonts w:hint="default" w:ascii="仿宋_GB2312" w:hAnsi="仿宋_GB2312" w:eastAsia="仿宋_GB2312" w:cs="仿宋_GB2312"/>
          <w:sz w:val="32"/>
          <w:szCs w:val="32"/>
          <w:lang w:eastAsia="zh-CN"/>
        </w:rPr>
        <w:t>：指</w:t>
      </w:r>
      <w:r>
        <w:rPr>
          <w:rFonts w:hint="eastAsia" w:ascii="仿宋_GB2312" w:hAnsi="仿宋_GB2312" w:eastAsia="仿宋_GB2312" w:cs="仿宋_GB2312"/>
          <w:sz w:val="32"/>
          <w:szCs w:val="32"/>
        </w:rPr>
        <w:t>其他用于巩固拓展脱贫攻坚成果同乡村振兴有效衔接方面的支</w:t>
      </w:r>
      <w:r>
        <w:rPr>
          <w:rFonts w:hint="default" w:ascii="仿宋_GB2312" w:hAnsi="仿宋_GB2312" w:eastAsia="仿宋_GB2312" w:cs="仿宋_GB2312"/>
          <w:sz w:val="32"/>
          <w:szCs w:val="32"/>
          <w:lang w:val="en-US"/>
        </w:rPr>
        <w:t>出</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九</w:t>
      </w:r>
      <w:r>
        <w:rPr>
          <w:rFonts w:hint="eastAsia" w:ascii="楷体_GB2312" w:hAnsi="楷体_GB2312" w:eastAsia="楷体_GB2312" w:cs="楷体_GB2312"/>
          <w:sz w:val="32"/>
          <w:szCs w:val="32"/>
          <w:lang w:val="en-US" w:eastAsia="zh-CN"/>
        </w:rPr>
        <w:t>）基本支出：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w:t>
      </w:r>
      <w:r>
        <w:rPr>
          <w:rFonts w:hint="default" w:ascii="楷体_GB2312" w:hAnsi="楷体_GB2312" w:eastAsia="楷体_GB2312" w:cs="楷体_GB2312"/>
          <w:sz w:val="32"/>
          <w:szCs w:val="32"/>
          <w:lang w:eastAsia="zh-CN"/>
        </w:rPr>
        <w:t>一</w:t>
      </w:r>
      <w:r>
        <w:rPr>
          <w:rFonts w:hint="eastAsia" w:ascii="楷体_GB2312" w:hAnsi="楷体_GB2312" w:eastAsia="楷体_GB2312" w:cs="楷体_GB2312"/>
          <w:sz w:val="32"/>
          <w:szCs w:val="32"/>
          <w:lang w:val="en-US" w:eastAsia="zh-CN"/>
        </w:rPr>
        <w:t>）“三公”经费：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w:t>
      </w:r>
      <w:r>
        <w:rPr>
          <w:rFonts w:hint="default" w:ascii="楷体_GB2312" w:hAnsi="楷体_GB2312" w:eastAsia="楷体_GB2312" w:cs="楷体_GB2312"/>
          <w:sz w:val="32"/>
          <w:szCs w:val="32"/>
          <w:lang w:eastAsia="zh-CN"/>
        </w:rPr>
        <w:t>二</w:t>
      </w:r>
      <w:r>
        <w:rPr>
          <w:rFonts w:hint="eastAsia" w:ascii="楷体_GB2312" w:hAnsi="楷体_GB2312" w:eastAsia="楷体_GB2312" w:cs="楷体_GB2312"/>
          <w:sz w:val="32"/>
          <w:szCs w:val="32"/>
          <w:lang w:val="en-US" w:eastAsia="zh-CN"/>
        </w:rPr>
        <w:t>）机关运行经费：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12352D1"/>
    <w:rsid w:val="0AF2AA82"/>
    <w:rsid w:val="0E576335"/>
    <w:rsid w:val="17A6467F"/>
    <w:rsid w:val="1C6A763E"/>
    <w:rsid w:val="1F7BF06F"/>
    <w:rsid w:val="1FEE4B73"/>
    <w:rsid w:val="21ED7807"/>
    <w:rsid w:val="23CE9849"/>
    <w:rsid w:val="2E355A79"/>
    <w:rsid w:val="32C6B8CD"/>
    <w:rsid w:val="34C630A6"/>
    <w:rsid w:val="37FD6F9A"/>
    <w:rsid w:val="39F304DD"/>
    <w:rsid w:val="3F7FAD52"/>
    <w:rsid w:val="41FFB2C4"/>
    <w:rsid w:val="4610236E"/>
    <w:rsid w:val="53EE3255"/>
    <w:rsid w:val="54244390"/>
    <w:rsid w:val="54662A63"/>
    <w:rsid w:val="58064E12"/>
    <w:rsid w:val="5BFEE015"/>
    <w:rsid w:val="5EBF4165"/>
    <w:rsid w:val="63EDCF55"/>
    <w:rsid w:val="63FBFBCF"/>
    <w:rsid w:val="669360FD"/>
    <w:rsid w:val="68FF6A83"/>
    <w:rsid w:val="6FBBC9CF"/>
    <w:rsid w:val="72BDE561"/>
    <w:rsid w:val="73085C31"/>
    <w:rsid w:val="77FF0F67"/>
    <w:rsid w:val="78462278"/>
    <w:rsid w:val="7997EA6C"/>
    <w:rsid w:val="7AEAE675"/>
    <w:rsid w:val="7BAFCE5D"/>
    <w:rsid w:val="7D46598C"/>
    <w:rsid w:val="7DFB240B"/>
    <w:rsid w:val="7E0935ED"/>
    <w:rsid w:val="7E9790BC"/>
    <w:rsid w:val="7FCF2AF7"/>
    <w:rsid w:val="9EEEA6F0"/>
    <w:rsid w:val="9FEF033D"/>
    <w:rsid w:val="A27FF1E5"/>
    <w:rsid w:val="ADF56EB1"/>
    <w:rsid w:val="AFDEB5A7"/>
    <w:rsid w:val="AFEA7FBF"/>
    <w:rsid w:val="B83F4767"/>
    <w:rsid w:val="BF930F07"/>
    <w:rsid w:val="BFCE8436"/>
    <w:rsid w:val="C3F7EB7A"/>
    <w:rsid w:val="CFF5FEEC"/>
    <w:rsid w:val="D3DD9064"/>
    <w:rsid w:val="D6F76A0C"/>
    <w:rsid w:val="D7ECE8D2"/>
    <w:rsid w:val="DFB447FE"/>
    <w:rsid w:val="DFDD4FB5"/>
    <w:rsid w:val="DFF931B3"/>
    <w:rsid w:val="E7F748B5"/>
    <w:rsid w:val="ECFD6680"/>
    <w:rsid w:val="EE5F3713"/>
    <w:rsid w:val="EFC9D62C"/>
    <w:rsid w:val="EFFECC8F"/>
    <w:rsid w:val="F6BE9755"/>
    <w:rsid w:val="F6FFA89B"/>
    <w:rsid w:val="F7FDC74B"/>
    <w:rsid w:val="F8C8BE8F"/>
    <w:rsid w:val="FAE4EFE1"/>
    <w:rsid w:val="FB3FAA1C"/>
    <w:rsid w:val="FB9B6F12"/>
    <w:rsid w:val="FBB66A4A"/>
    <w:rsid w:val="FDBC3900"/>
    <w:rsid w:val="FDEE6989"/>
    <w:rsid w:val="FE4FAEBE"/>
    <w:rsid w:val="FF3DAB14"/>
    <w:rsid w:val="FF3F3981"/>
    <w:rsid w:val="FF4D019F"/>
    <w:rsid w:val="FF5E7DB8"/>
    <w:rsid w:val="FF77E367"/>
    <w:rsid w:val="FFBB9910"/>
    <w:rsid w:val="FFD576EB"/>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2">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annotation text"/>
    <w:basedOn w:val="1"/>
    <w:qFormat/>
    <w:uiPriority w:val="0"/>
    <w:pPr>
      <w:jc w:val="left"/>
    </w:p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List"/>
    <w:basedOn w:val="4"/>
    <w:qFormat/>
    <w:uiPriority w:val="0"/>
  </w:style>
  <w:style w:type="paragraph" w:styleId="9">
    <w:name w:val="toc 2"/>
    <w:basedOn w:val="1"/>
    <w:next w:val="1"/>
    <w:qFormat/>
    <w:uiPriority w:val="0"/>
    <w:pPr>
      <w:ind w:left="420" w:leftChars="200"/>
    </w:pPr>
  </w:style>
  <w:style w:type="paragraph" w:styleId="10">
    <w:name w:val="Normal (Web)"/>
    <w:basedOn w:val="1"/>
    <w:qFormat/>
    <w:uiPriority w:val="0"/>
    <w:rPr>
      <w:sz w:val="24"/>
    </w:rPr>
  </w:style>
  <w:style w:type="character" w:customStyle="1" w:styleId="13">
    <w:name w:val="默认段落字体1"/>
    <w:qFormat/>
    <w:uiPriority w:val="0"/>
  </w:style>
  <w:style w:type="paragraph" w:customStyle="1" w:styleId="14">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qFormat/>
    <w:uiPriority w:val="0"/>
    <w:pPr>
      <w:widowControl w:val="0"/>
      <w:suppressLineNumbers/>
      <w:suppressAutoHyphens/>
    </w:p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2018-12-02T01:47:00Z</dcterms:created>
  <dc:creator>admin</dc:creator>
  <cp:lastModifiedBy> </cp:lastModifiedBy>
  <dcterms:modified xsi:type="dcterms:W3CDTF">2024-02-20T19:00:03Z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6B8CE7D598EC4E3CB63E609C81B642E5_13</vt:lpwstr>
  </property>
</Properties>
</file>