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2260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广元市天然气综合利用工业园区管委会</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51736"/>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 </w:instrText>
          </w:r>
          <w:r>
            <w:rPr>
              <w:rFonts w:hint="eastAsia" w:ascii="黑体" w:hAnsi="黑体" w:eastAsia="黑体" w:cs="黑体"/>
              <w:sz w:val="32"/>
              <w:szCs w:val="32"/>
              <w:lang w:val="en-US" w:eastAsia="zh-CN"/>
            </w:rPr>
            <w:fldChar w:fldCharType="separate"/>
          </w: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_Toc14434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_Toc14434 \h </w:instrText>
          </w:r>
          <w:r>
            <w:rPr>
              <w:b/>
            </w:rPr>
            <w:fldChar w:fldCharType="separate"/>
          </w:r>
          <w:r>
            <w:rPr>
              <w:b/>
            </w:rPr>
            <w:t>3</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_Toc15945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eastAsia="zh-CN"/>
            </w:rPr>
            <w:t>单位</w:t>
          </w:r>
          <w:r>
            <w:rPr>
              <w:rFonts w:hint="eastAsia" w:ascii="楷体_GB2312" w:hAnsi="楷体_GB2312" w:eastAsia="楷体_GB2312" w:cs="楷体_GB2312"/>
              <w:szCs w:val="32"/>
            </w:rPr>
            <w:t>职能简介</w:t>
          </w:r>
          <w:r>
            <w:tab/>
          </w:r>
          <w:r>
            <w:fldChar w:fldCharType="begin"/>
          </w:r>
          <w:r>
            <w:instrText xml:space="preserve"> PAGEREF _Toc15945 \h </w:instrText>
          </w:r>
          <w:r>
            <w:fldChar w:fldCharType="separate"/>
          </w:r>
          <w:r>
            <w:t>3</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_Toc13282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_Toc13282 \h </w:instrText>
          </w:r>
          <w:r>
            <w:fldChar w:fldCharType="separate"/>
          </w:r>
          <w:r>
            <w:t>4</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_Toc3929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_Toc3929 \h </w:instrText>
          </w:r>
          <w:r>
            <w:rPr>
              <w:b/>
            </w:rPr>
            <w:fldChar w:fldCharType="separate"/>
          </w:r>
          <w:r>
            <w:rPr>
              <w:b/>
            </w:rPr>
            <w:t>4</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_Toc4506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_Toc4506 \h </w:instrText>
          </w:r>
          <w:r>
            <w:rPr>
              <w:b/>
            </w:rPr>
            <w:fldChar w:fldCharType="separate"/>
          </w:r>
          <w:r>
            <w:rPr>
              <w:b/>
            </w:rPr>
            <w:t>4</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_Toc12439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（一）收入预算情况</w:t>
          </w:r>
          <w:r>
            <w:tab/>
          </w:r>
          <w:r>
            <w:fldChar w:fldCharType="begin"/>
          </w:r>
          <w:r>
            <w:instrText xml:space="preserve"> PAGEREF _Toc12439 \h </w:instrText>
          </w:r>
          <w:r>
            <w:fldChar w:fldCharType="separate"/>
          </w:r>
          <w:r>
            <w:t>5</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_Toc30543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（二）支出预算情况</w:t>
          </w:r>
          <w:r>
            <w:tab/>
          </w:r>
          <w:r>
            <w:fldChar w:fldCharType="begin"/>
          </w:r>
          <w:r>
            <w:instrText xml:space="preserve"> PAGEREF _Toc30543 \h </w:instrText>
          </w:r>
          <w:r>
            <w:fldChar w:fldCharType="separate"/>
          </w:r>
          <w:r>
            <w:t>5</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_Toc14669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四、财政拨款收支预算情况说明</w:t>
          </w:r>
          <w:r>
            <w:rPr>
              <w:b/>
            </w:rPr>
            <w:tab/>
          </w:r>
          <w:r>
            <w:rPr>
              <w:b/>
            </w:rPr>
            <w:fldChar w:fldCharType="begin"/>
          </w:r>
          <w:r>
            <w:rPr>
              <w:b/>
            </w:rPr>
            <w:instrText xml:space="preserve"> PAGEREF _Toc14669 \h </w:instrText>
          </w:r>
          <w:r>
            <w:rPr>
              <w:b/>
            </w:rPr>
            <w:fldChar w:fldCharType="separate"/>
          </w:r>
          <w:r>
            <w:rPr>
              <w:b/>
            </w:rPr>
            <w:t>5</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_Toc27988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五、一般公共预算当年拨款情况说明</w:t>
          </w:r>
          <w:r>
            <w:rPr>
              <w:b/>
            </w:rPr>
            <w:tab/>
          </w:r>
          <w:r>
            <w:rPr>
              <w:b/>
            </w:rPr>
            <w:fldChar w:fldCharType="begin"/>
          </w:r>
          <w:r>
            <w:rPr>
              <w:b/>
            </w:rPr>
            <w:instrText xml:space="preserve"> PAGEREF _Toc27988 \h </w:instrText>
          </w:r>
          <w:r>
            <w:rPr>
              <w:b/>
            </w:rPr>
            <w:fldChar w:fldCharType="separate"/>
          </w:r>
          <w:r>
            <w:rPr>
              <w:b/>
            </w:rPr>
            <w:t>5</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_Toc28136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（一）一般公共预算当年拨款规模变化情况</w:t>
          </w:r>
          <w:r>
            <w:tab/>
          </w:r>
          <w:r>
            <w:fldChar w:fldCharType="begin"/>
          </w:r>
          <w:r>
            <w:instrText xml:space="preserve"> PAGEREF _Toc28136 \h </w:instrText>
          </w:r>
          <w:r>
            <w:fldChar w:fldCharType="separate"/>
          </w:r>
          <w:r>
            <w:t>5</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_Toc13860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（二）一般公共预算当年拨款结构情况</w:t>
          </w:r>
          <w:r>
            <w:tab/>
          </w:r>
          <w:r>
            <w:fldChar w:fldCharType="begin"/>
          </w:r>
          <w:r>
            <w:instrText xml:space="preserve"> PAGEREF _Toc13860 \h </w:instrText>
          </w:r>
          <w:r>
            <w:fldChar w:fldCharType="separate"/>
          </w:r>
          <w:r>
            <w:t>6</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_Toc24497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_Toc24497 \h </w:instrText>
          </w:r>
          <w:r>
            <w:fldChar w:fldCharType="separate"/>
          </w:r>
          <w:r>
            <w:t>6</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_Toc31671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_Toc31671 \h </w:instrText>
          </w:r>
          <w:r>
            <w:rPr>
              <w:b/>
            </w:rPr>
            <w:fldChar w:fldCharType="separate"/>
          </w:r>
          <w:r>
            <w:rPr>
              <w:b/>
            </w:rPr>
            <w:t>7</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_Toc16208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七、“三公”经费财政拨款预算安排情况说明</w:t>
          </w:r>
          <w:r>
            <w:rPr>
              <w:b/>
            </w:rPr>
            <w:tab/>
          </w:r>
          <w:r>
            <w:rPr>
              <w:b/>
            </w:rPr>
            <w:fldChar w:fldCharType="begin"/>
          </w:r>
          <w:r>
            <w:rPr>
              <w:b/>
            </w:rPr>
            <w:instrText xml:space="preserve"> PAGEREF _Toc16208 \h </w:instrText>
          </w:r>
          <w:r>
            <w:rPr>
              <w:b/>
            </w:rPr>
            <w:fldChar w:fldCharType="separate"/>
          </w:r>
          <w:r>
            <w:rPr>
              <w:b/>
            </w:rPr>
            <w:t>7</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_Toc18550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_Toc18550 \h </w:instrText>
          </w:r>
          <w:r>
            <w:fldChar w:fldCharType="separate"/>
          </w:r>
          <w:r>
            <w:t>7</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_Toc8286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_Toc8286 \h </w:instrText>
          </w:r>
          <w:r>
            <w:fldChar w:fldCharType="separate"/>
          </w:r>
          <w:r>
            <w:t>7</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_Toc12553 </w:instrText>
          </w:r>
          <w:r>
            <w:rPr>
              <w:rFonts w:hint="eastAsia" w:ascii="黑体" w:hAnsi="黑体" w:eastAsia="黑体" w:cs="黑体"/>
              <w:szCs w:val="32"/>
              <w:lang w:val="en-US" w:eastAsia="zh-CN"/>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tab/>
          </w:r>
          <w:r>
            <w:fldChar w:fldCharType="begin"/>
          </w:r>
          <w:r>
            <w:instrText xml:space="preserve"> PAGEREF _Toc12553 \h </w:instrText>
          </w:r>
          <w:r>
            <w:fldChar w:fldCharType="separate"/>
          </w:r>
          <w:r>
            <w:t>8</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_Toc7826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八、政府性基金预算支出情况说明</w:t>
          </w:r>
          <w:r>
            <w:rPr>
              <w:b/>
            </w:rPr>
            <w:tab/>
          </w:r>
          <w:r>
            <w:rPr>
              <w:b/>
            </w:rPr>
            <w:fldChar w:fldCharType="begin"/>
          </w:r>
          <w:r>
            <w:rPr>
              <w:b/>
            </w:rPr>
            <w:instrText xml:space="preserve"> PAGEREF _Toc7826 \h </w:instrText>
          </w:r>
          <w:r>
            <w:rPr>
              <w:b/>
            </w:rPr>
            <w:fldChar w:fldCharType="separate"/>
          </w:r>
          <w:r>
            <w:rPr>
              <w:b/>
            </w:rPr>
            <w:t>8</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_Toc32076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九、国有资本经营预算支出情况说明</w:t>
          </w:r>
          <w:r>
            <w:rPr>
              <w:b/>
            </w:rPr>
            <w:tab/>
          </w:r>
          <w:r>
            <w:rPr>
              <w:b/>
            </w:rPr>
            <w:fldChar w:fldCharType="begin"/>
          </w:r>
          <w:r>
            <w:rPr>
              <w:b/>
            </w:rPr>
            <w:instrText xml:space="preserve"> PAGEREF _Toc32076 \h </w:instrText>
          </w:r>
          <w:r>
            <w:rPr>
              <w:b/>
            </w:rPr>
            <w:fldChar w:fldCharType="separate"/>
          </w:r>
          <w:r>
            <w:rPr>
              <w:b/>
            </w:rPr>
            <w:t>8</w:t>
          </w:r>
          <w:r>
            <w:rPr>
              <w:b/>
            </w:rPr>
            <w:fldChar w:fldCharType="end"/>
          </w:r>
          <w:r>
            <w:rPr>
              <w:rFonts w:hint="eastAsia" w:ascii="黑体" w:hAnsi="黑体" w:eastAsia="黑体" w:cs="黑体"/>
              <w:b/>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_Toc6477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highlight w:val="none"/>
              <w:lang w:val="en-US" w:eastAsia="zh-CN"/>
            </w:rPr>
            <w:t>十、其他重要事项的情况说明</w:t>
          </w:r>
          <w:r>
            <w:rPr>
              <w:b/>
            </w:rPr>
            <w:tab/>
          </w:r>
          <w:r>
            <w:rPr>
              <w:b/>
            </w:rPr>
            <w:fldChar w:fldCharType="begin"/>
          </w:r>
          <w:r>
            <w:rPr>
              <w:b/>
            </w:rPr>
            <w:instrText xml:space="preserve"> PAGEREF _Toc6477 \h </w:instrText>
          </w:r>
          <w:r>
            <w:rPr>
              <w:b/>
            </w:rPr>
            <w:fldChar w:fldCharType="separate"/>
          </w:r>
          <w:r>
            <w:rPr>
              <w:b/>
            </w:rPr>
            <w:t>8</w:t>
          </w:r>
          <w:r>
            <w:rPr>
              <w:b/>
            </w:rPr>
            <w:fldChar w:fldCharType="end"/>
          </w:r>
          <w:r>
            <w:rPr>
              <w:rFonts w:hint="eastAsia" w:ascii="黑体" w:hAnsi="黑体" w:eastAsia="黑体" w:cs="黑体"/>
              <w:b/>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_Toc21037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_Toc21037 \h </w:instrText>
          </w:r>
          <w:r>
            <w:fldChar w:fldCharType="separate"/>
          </w:r>
          <w:r>
            <w:t>8</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_Toc8339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（二）政府采购情况</w:t>
          </w:r>
          <w:r>
            <w:tab/>
          </w:r>
          <w:r>
            <w:fldChar w:fldCharType="begin"/>
          </w:r>
          <w:r>
            <w:instrText xml:space="preserve"> PAGEREF _Toc8339 \h </w:instrText>
          </w:r>
          <w:r>
            <w:fldChar w:fldCharType="separate"/>
          </w:r>
          <w:r>
            <w:t>8</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_Toc11078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（三）国有资产占有使用情况</w:t>
          </w:r>
          <w:r>
            <w:tab/>
          </w:r>
          <w:r>
            <w:fldChar w:fldCharType="begin"/>
          </w:r>
          <w:r>
            <w:instrText xml:space="preserve"> PAGEREF _Toc11078 \h </w:instrText>
          </w:r>
          <w:r>
            <w:fldChar w:fldCharType="separate"/>
          </w:r>
          <w:r>
            <w:t>9</w:t>
          </w:r>
          <w:r>
            <w:fldChar w:fldCharType="end"/>
          </w:r>
          <w:r>
            <w:rPr>
              <w:rFonts w:hint="eastAsia" w:ascii="黑体" w:hAnsi="黑体" w:eastAsia="黑体" w:cs="黑体"/>
              <w:szCs w:val="32"/>
              <w:lang w:val="en-US" w:eastAsia="zh-CN"/>
            </w:rPr>
            <w:fldChar w:fldCharType="end"/>
          </w:r>
        </w:p>
        <w:p>
          <w:pPr>
            <w:pStyle w:val="14"/>
            <w:tabs>
              <w:tab w:val="right" w:leader="dot" w:pos="8845"/>
            </w:tabs>
            <w:spacing w:line="36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_Toc18093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highlight w:val="none"/>
              <w:lang w:val="en-US" w:eastAsia="zh-CN"/>
            </w:rPr>
            <w:t>（四）绩效目标设置情况</w:t>
          </w:r>
          <w:r>
            <w:tab/>
          </w:r>
          <w:r>
            <w:fldChar w:fldCharType="begin"/>
          </w:r>
          <w:r>
            <w:instrText xml:space="preserve"> PAGEREF _Toc18093 \h </w:instrText>
          </w:r>
          <w:r>
            <w:fldChar w:fldCharType="separate"/>
          </w:r>
          <w:r>
            <w:t>9</w:t>
          </w:r>
          <w:r>
            <w:fldChar w:fldCharType="end"/>
          </w:r>
          <w:r>
            <w:rPr>
              <w:rFonts w:hint="eastAsia" w:ascii="黑体" w:hAnsi="黑体" w:eastAsia="黑体" w:cs="黑体"/>
              <w:szCs w:val="32"/>
              <w:lang w:val="en-US" w:eastAsia="zh-CN"/>
            </w:rPr>
            <w:fldChar w:fldCharType="end"/>
          </w:r>
        </w:p>
        <w:p>
          <w:pPr>
            <w:pStyle w:val="13"/>
            <w:tabs>
              <w:tab w:val="right" w:leader="dot" w:pos="8845"/>
            </w:tabs>
            <w:spacing w:line="36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_Toc10857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_Toc10857 \h </w:instrText>
          </w:r>
          <w:r>
            <w:rPr>
              <w:b/>
            </w:rPr>
            <w:fldChar w:fldCharType="separate"/>
          </w:r>
          <w:r>
            <w:rPr>
              <w:b/>
            </w:rPr>
            <w:t>9</w:t>
          </w:r>
          <w:r>
            <w:rPr>
              <w:b/>
            </w:rPr>
            <w:fldChar w:fldCharType="end"/>
          </w:r>
          <w:r>
            <w:rPr>
              <w:rFonts w:hint="eastAsia" w:ascii="黑体" w:hAnsi="黑体" w:eastAsia="黑体" w:cs="黑体"/>
              <w:b/>
              <w:szCs w:val="32"/>
              <w:lang w:val="en-US" w:eastAsia="zh-CN"/>
            </w:rPr>
            <w:fldChar w:fldCharType="end"/>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r>
            <w:rPr>
              <w:rFonts w:hint="eastAsia" w:ascii="黑体" w:hAnsi="黑体" w:eastAsia="黑体" w:cs="黑体"/>
              <w:b/>
              <w:szCs w:val="32"/>
              <w:lang w:val="en-US" w:eastAsia="zh-CN"/>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4434"/>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594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单位</w:t>
      </w:r>
      <w:r>
        <w:rPr>
          <w:rFonts w:hint="eastAsia" w:ascii="楷体_GB2312" w:hAnsi="楷体_GB2312" w:eastAsia="楷体_GB2312" w:cs="楷体_GB2312"/>
          <w:sz w:val="32"/>
          <w:szCs w:val="32"/>
        </w:rPr>
        <w:t>职能简介</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rPr>
        <w:t xml:space="preserve">贯彻执行国家关于天然气资源管理和开发利用的战略、方针、政策和法律法规，拟订全市天然气综合利用的政策措施和管理办法并组织实施。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 xml:space="preserve">研究提出全市天然气综合利用产业发展的总体目标和发展战略，编制全市天然气综合利用发展规划、天然气工业园区发展规划及年度计划并组织实施。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 xml:space="preserve">指导协调、监督管理全市天然气综合利用工作。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4.</w:t>
      </w:r>
      <w:r>
        <w:rPr>
          <w:rFonts w:hint="eastAsia" w:ascii="仿宋_GB2312" w:eastAsia="仿宋_GB2312"/>
          <w:color w:val="auto"/>
          <w:sz w:val="32"/>
          <w:szCs w:val="32"/>
        </w:rPr>
        <w:t xml:space="preserve">承担全市天然气勘探开发协调服务工作。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 xml:space="preserve">负责全市天然气综合利用产业布局及项目用气指标争取，负责民用天然气、工业燃料用气、天然气发电、天然气化工、气煤循环利用的组织实施和监督管理。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6.</w:t>
      </w:r>
      <w:r>
        <w:rPr>
          <w:rFonts w:hint="eastAsia" w:ascii="仿宋_GB2312" w:eastAsia="仿宋_GB2312"/>
          <w:color w:val="auto"/>
          <w:sz w:val="32"/>
          <w:szCs w:val="32"/>
        </w:rPr>
        <w:t xml:space="preserve">拟定广元市天然气综合利用工业园区管理办法并组织实施。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7.</w:t>
      </w:r>
      <w:r>
        <w:rPr>
          <w:rFonts w:hint="eastAsia" w:ascii="仿宋_GB2312" w:eastAsia="仿宋_GB2312"/>
          <w:color w:val="auto"/>
          <w:sz w:val="32"/>
          <w:szCs w:val="32"/>
        </w:rPr>
        <w:t xml:space="preserve">负责广元天然气综合利用工业园区的统一管理、统一规划和基础设施配套建设工作。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8.</w:t>
      </w:r>
      <w:r>
        <w:rPr>
          <w:rFonts w:hint="eastAsia" w:ascii="仿宋_GB2312" w:eastAsia="仿宋_GB2312"/>
          <w:color w:val="auto"/>
          <w:sz w:val="32"/>
          <w:szCs w:val="32"/>
        </w:rPr>
        <w:t xml:space="preserve">配合做好天然气综合利用产业项目招商引资工作。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9.</w:t>
      </w:r>
      <w:r>
        <w:rPr>
          <w:rFonts w:hint="eastAsia" w:ascii="仿宋_GB2312" w:eastAsia="仿宋_GB2312"/>
          <w:color w:val="auto"/>
          <w:sz w:val="32"/>
          <w:szCs w:val="32"/>
        </w:rPr>
        <w:t xml:space="preserve">承担广元市天然气公司和广元市油气投资股份公司行政管理职责。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10.</w:t>
      </w:r>
      <w:r>
        <w:rPr>
          <w:rFonts w:hint="eastAsia" w:ascii="仿宋_GB2312" w:eastAsia="仿宋_GB2312"/>
          <w:color w:val="auto"/>
          <w:sz w:val="32"/>
          <w:szCs w:val="32"/>
        </w:rPr>
        <w:t xml:space="preserve">负责全市石油天然气管道保护执法工作，协调处理全市行政区域管道保护的重大问题，指导、监督有关单位履行管道保护义务，依法查处危害管道安全的违法行为。 </w:t>
      </w:r>
    </w:p>
    <w:p>
      <w:pPr>
        <w:keepNext w:val="0"/>
        <w:keepLines w:val="0"/>
        <w:pageBreakBefore w:val="0"/>
        <w:widowControl w:val="0"/>
        <w:shd w:val="clear"/>
        <w:kinsoku/>
        <w:wordWrap/>
        <w:overflowPunct/>
        <w:topLinePunct w:val="0"/>
        <w:autoSpaceDE/>
        <w:autoSpaceDN/>
        <w:bidi w:val="0"/>
        <w:adjustRightInd/>
        <w:snapToGrid/>
        <w:spacing w:line="576" w:lineRule="exact"/>
        <w:ind w:firstLine="624"/>
        <w:textAlignment w:val="auto"/>
        <w:rPr>
          <w:rFonts w:hint="eastAsia" w:ascii="仿宋_GB2312" w:hAnsi="仿宋_GB2312" w:eastAsia="仿宋_GB2312" w:cs="仿宋_GB2312"/>
          <w:b/>
          <w:i w:val="0"/>
          <w:caps w:val="0"/>
          <w:color w:val="auto"/>
          <w:spacing w:val="0"/>
          <w:sz w:val="32"/>
          <w:szCs w:val="32"/>
          <w:shd w:val="clear" w:color="auto" w:fill="FFFFFF"/>
        </w:rPr>
      </w:pPr>
      <w:r>
        <w:rPr>
          <w:rFonts w:hint="eastAsia" w:ascii="仿宋_GB2312" w:eastAsia="仿宋_GB2312"/>
          <w:color w:val="auto"/>
          <w:sz w:val="32"/>
          <w:szCs w:val="32"/>
          <w:lang w:val="en-US" w:eastAsia="zh-CN"/>
        </w:rPr>
        <w:t>11.</w:t>
      </w:r>
      <w:r>
        <w:rPr>
          <w:rFonts w:hint="eastAsia" w:ascii="仿宋_GB2312" w:eastAsia="仿宋_GB2312"/>
          <w:color w:val="auto"/>
          <w:sz w:val="32"/>
          <w:szCs w:val="32"/>
        </w:rPr>
        <w:t xml:space="preserve">承办市政府交办的其他事项。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3282"/>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_GB2312" w:eastAsia="仿宋_GB2312"/>
          <w:sz w:val="32"/>
          <w:szCs w:val="32"/>
        </w:rPr>
        <w:t>2024年，围绕天然气勘探开发和综合利用产业发展，大力实施“1345”发展战略，抢抓“双碳”机遇，促进水风光氢天然气等多能互补发展，加快建设</w:t>
      </w:r>
      <w:r>
        <w:rPr>
          <w:rFonts w:hint="eastAsia" w:ascii="楷体_GB2312" w:eastAsia="楷体_GB2312" w:cs="仿宋_GB2312"/>
          <w:sz w:val="32"/>
          <w:szCs w:val="32"/>
        </w:rPr>
        <w:t>百</w:t>
      </w:r>
      <w:r>
        <w:rPr>
          <w:rFonts w:hint="eastAsia" w:ascii="仿宋_GB2312" w:eastAsia="仿宋_GB2312"/>
          <w:sz w:val="32"/>
          <w:szCs w:val="32"/>
        </w:rPr>
        <w:t>亿立方级天然气产能基地、百亿元级天然气综合利用产业基地和中国西部油气管网枢纽“两基地一枢纽”，奋力实现天然气产业高质量发展。</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3929"/>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市天然气综合利用工业园区管委会</w:t>
      </w:r>
      <w:r>
        <w:rPr>
          <w:rFonts w:hint="eastAsia" w:ascii="仿宋_GB2312" w:hAnsi="仿宋_GB2312" w:eastAsia="仿宋_GB2312" w:cs="仿宋_GB2312"/>
          <w:sz w:val="32"/>
          <w:szCs w:val="32"/>
          <w:highlight w:val="none"/>
          <w:lang w:val="en-US" w:eastAsia="zh-CN"/>
        </w:rPr>
        <w:t>单位无下属二级预算单位，仅包含市天然气管委会机关，</w:t>
      </w:r>
      <w:r>
        <w:rPr>
          <w:rFonts w:hint="eastAsia" w:ascii="仿宋_GB2312" w:hAnsi="仿宋_GB2312" w:eastAsia="仿宋_GB2312" w:cs="仿宋_GB2312"/>
          <w:sz w:val="32"/>
          <w:szCs w:val="32"/>
          <w:lang w:val="en-US" w:eastAsia="zh-CN"/>
        </w:rPr>
        <w:t>设有内设机构6个。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4506"/>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lang w:val="en-US" w:eastAsia="zh-CN"/>
        </w:rPr>
        <w:t>按照综合预算的原则，市天然气管委会所有收入和支出均纳入部门预算管理。收入包括：一般公共预算拨款收入、其他收入；</w:t>
      </w:r>
      <w:r>
        <w:rPr>
          <w:rFonts w:hint="eastAsia" w:ascii="仿宋_GB2312" w:hAnsi="仿宋_GB2312" w:eastAsia="仿宋_GB2312" w:cs="仿宋_GB2312"/>
          <w:sz w:val="32"/>
          <w:szCs w:val="32"/>
          <w:highlight w:val="none"/>
          <w:lang w:val="en-US" w:eastAsia="zh-CN"/>
        </w:rPr>
        <w:t>支出包括：一般公共服务支出、社会保障和就业支出、卫生健康支出、住房保障支出。市天然气管委会2024年收支预算总数518.43万元，比2023年收支预算总数增50.62万元，主要原因是：1.增加天然气产业招商引资经费20万元；2.其他收入增加10.79万元；3.人员类经费增加19.83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6" w:name="_Toc12439"/>
      <w:r>
        <w:rPr>
          <w:rFonts w:hint="eastAsia" w:ascii="楷体_GB2312" w:hAnsi="楷体_GB2312" w:eastAsia="楷体_GB2312" w:cs="楷体_GB2312"/>
          <w:sz w:val="32"/>
          <w:szCs w:val="32"/>
          <w:highlight w:val="none"/>
          <w:lang w:val="en-US" w:eastAsia="zh-CN"/>
        </w:rPr>
        <w:t>（一）收入预算情况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市天然气管委会2024年收入预算518.43万元，其中：一般公共预算拨款收入507.64万元，占97.92%；其他收入10.79万元，占2.08%。</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7" w:name="_Toc30543"/>
      <w:r>
        <w:rPr>
          <w:rFonts w:hint="eastAsia" w:ascii="楷体_GB2312" w:hAnsi="楷体_GB2312" w:eastAsia="楷体_GB2312" w:cs="楷体_GB2312"/>
          <w:sz w:val="32"/>
          <w:szCs w:val="32"/>
          <w:highlight w:val="none"/>
          <w:lang w:val="en-US" w:eastAsia="zh-CN"/>
        </w:rPr>
        <w:t>（二）支出预算情况</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市天然气管委会2024年支出预算518.43万元，其中：基本支出431.97万元，占83.32%；项目支出86.46万元，占16.68%</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8" w:name="_Toc14669"/>
      <w:r>
        <w:rPr>
          <w:rFonts w:hint="eastAsia" w:ascii="黑体" w:hAnsi="黑体" w:eastAsia="黑体" w:cs="黑体"/>
          <w:sz w:val="32"/>
          <w:szCs w:val="32"/>
          <w:highlight w:val="none"/>
          <w:lang w:val="en-US" w:eastAsia="zh-CN"/>
        </w:rPr>
        <w:t>四、财政拨款收支预算情况说明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市天然气管委会2024年财政拨款收支预算总数507.64万元，比2023年财政拨款收支预算总数增加39.83万元，主要原因是1.增加天然气产业招商引资经费20万元；2.人员类经费增加19.83万元。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收入包括：本年一般公共预算拨款收入507.64万元；支出包括：一般公共服务支出420.05万元、社会保障和就业支出40.62万元、卫生健康支出13.14万元、住房保障支出33.83万元。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9" w:name="_Toc27988"/>
      <w:r>
        <w:rPr>
          <w:rFonts w:hint="eastAsia" w:ascii="黑体" w:hAnsi="黑体" w:eastAsia="黑体" w:cs="黑体"/>
          <w:sz w:val="32"/>
          <w:szCs w:val="32"/>
          <w:highlight w:val="none"/>
          <w:lang w:val="en-US" w:eastAsia="zh-CN"/>
        </w:rPr>
        <w:t>五、一般公共预算当年拨款情况说明</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0" w:name="_Toc28136"/>
      <w:r>
        <w:rPr>
          <w:rFonts w:hint="eastAsia" w:ascii="楷体_GB2312" w:hAnsi="楷体_GB2312" w:eastAsia="楷体_GB2312" w:cs="楷体_GB2312"/>
          <w:sz w:val="32"/>
          <w:szCs w:val="32"/>
          <w:highlight w:val="none"/>
          <w:lang w:val="en-US" w:eastAsia="zh-CN"/>
        </w:rPr>
        <w:t>（一）一般公共预算当年拨款规模变化情况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市天然气管委会2024年一般公共预算当年拨款507.64万元，比2023年预算数增加39.83万元，主要原因是1.增加天然气产业招商引资经费20万元；2.人员类经费增加19.83万元。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13860"/>
      <w:r>
        <w:rPr>
          <w:rFonts w:hint="eastAsia" w:ascii="楷体_GB2312" w:hAnsi="楷体_GB2312" w:eastAsia="楷体_GB2312" w:cs="楷体_GB2312"/>
          <w:sz w:val="32"/>
          <w:szCs w:val="32"/>
          <w:highlight w:val="none"/>
          <w:lang w:val="en-US" w:eastAsia="zh-CN"/>
        </w:rPr>
        <w:t>（二）一般公共预算当年拨款结构情况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一般公共服务支出420.05万元，占82.75%；社会保障和就业支出40.62万元，占8%；卫生健康支出13.14万元，占2.59%；住房保障支出33.83万元，占6.66%。</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2" w:name="_Toc24497"/>
      <w:r>
        <w:rPr>
          <w:rFonts w:hint="eastAsia" w:ascii="楷体_GB2312" w:hAnsi="楷体_GB2312" w:eastAsia="楷体_GB2312" w:cs="楷体_GB2312"/>
          <w:sz w:val="32"/>
          <w:szCs w:val="32"/>
          <w:highlight w:val="none"/>
          <w:lang w:val="en-US" w:eastAsia="zh-CN"/>
        </w:rPr>
        <w:t>（三）一般公共预算当年拨款具体使用情况</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color w:val="auto"/>
          <w:sz w:val="32"/>
          <w:szCs w:val="32"/>
          <w:highlight w:val="none"/>
        </w:rPr>
        <w:t>一般公共服务</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（类）政府办公厅（室）及相关机构事务（款）行政运行（项）</w:t>
      </w:r>
      <w:r>
        <w:rPr>
          <w:rFonts w:hint="eastAsia" w:ascii="仿宋_GB2312" w:hAnsi="仿宋_GB2312" w:eastAsia="仿宋_GB2312" w:cs="仿宋_GB2312"/>
          <w:sz w:val="32"/>
          <w:szCs w:val="32"/>
          <w:highlight w:val="none"/>
          <w:lang w:val="en-US" w:eastAsia="zh-CN"/>
        </w:rPr>
        <w:t>2024年预算数为344.38万元，主要</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用于</w:t>
      </w:r>
      <w:r>
        <w:rPr>
          <w:rFonts w:hint="eastAsia" w:ascii="仿宋_GB2312" w:hAnsi="仿宋_GB2312" w:eastAsia="仿宋_GB2312" w:cs="仿宋_GB2312"/>
          <w:color w:val="auto"/>
          <w:sz w:val="32"/>
          <w:szCs w:val="32"/>
          <w:highlight w:val="none"/>
        </w:rPr>
        <w:t>行政单位工资奖金津补贴、办公经费、</w:t>
      </w:r>
      <w:r>
        <w:rPr>
          <w:rFonts w:hint="eastAsia" w:ascii="仿宋_GB2312" w:hAnsi="仿宋_GB2312" w:eastAsia="仿宋_GB2312" w:cs="仿宋_GB2312"/>
          <w:color w:val="auto"/>
          <w:sz w:val="32"/>
          <w:szCs w:val="32"/>
          <w:highlight w:val="none"/>
          <w:lang w:eastAsia="zh-CN"/>
        </w:rPr>
        <w:t>差旅费、</w:t>
      </w:r>
      <w:r>
        <w:rPr>
          <w:rFonts w:hint="eastAsia" w:ascii="仿宋_GB2312" w:hAnsi="仿宋_GB2312" w:eastAsia="仿宋_GB2312" w:cs="仿宋_GB2312"/>
          <w:color w:val="auto"/>
          <w:sz w:val="32"/>
          <w:szCs w:val="32"/>
          <w:highlight w:val="none"/>
        </w:rPr>
        <w:t>公务接待费、公务用车运行维护费、</w:t>
      </w:r>
      <w:r>
        <w:rPr>
          <w:rFonts w:hint="eastAsia" w:ascii="仿宋_GB2312" w:hAnsi="仿宋_GB2312" w:eastAsia="仿宋_GB2312" w:cs="仿宋_GB2312"/>
          <w:color w:val="auto"/>
          <w:sz w:val="32"/>
          <w:szCs w:val="32"/>
          <w:highlight w:val="none"/>
          <w:lang w:eastAsia="zh-CN"/>
        </w:rPr>
        <w:t>工会经费、福利费和</w:t>
      </w:r>
      <w:r>
        <w:rPr>
          <w:rFonts w:hint="eastAsia" w:ascii="仿宋_GB2312" w:hAnsi="仿宋_GB2312" w:eastAsia="仿宋_GB2312" w:cs="仿宋_GB2312"/>
          <w:color w:val="auto"/>
          <w:sz w:val="32"/>
          <w:szCs w:val="32"/>
          <w:highlight w:val="none"/>
        </w:rPr>
        <w:t>其他商品和服务支出</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color w:val="auto"/>
          <w:sz w:val="32"/>
          <w:szCs w:val="32"/>
          <w:highlight w:val="none"/>
        </w:rPr>
        <w:t>一般公共服务</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（类）政府办公厅（室）及相关机构事务（款）一般行政管理事务（项）</w:t>
      </w:r>
      <w:r>
        <w:rPr>
          <w:rFonts w:hint="eastAsia" w:ascii="仿宋_GB2312" w:hAnsi="仿宋_GB2312" w:eastAsia="仿宋_GB2312" w:cs="仿宋_GB2312"/>
          <w:sz w:val="32"/>
          <w:szCs w:val="32"/>
          <w:highlight w:val="none"/>
          <w:lang w:val="en-US" w:eastAsia="zh-CN"/>
        </w:rPr>
        <w:t>2024年预算数为75.67万元，</w:t>
      </w:r>
      <w:r>
        <w:rPr>
          <w:rFonts w:hint="eastAsia" w:ascii="仿宋_GB2312" w:hAnsi="仿宋_GB2312" w:eastAsia="仿宋_GB2312" w:cs="仿宋_GB2312"/>
          <w:color w:val="auto"/>
          <w:sz w:val="32"/>
          <w:szCs w:val="32"/>
          <w:highlight w:val="none"/>
          <w:lang w:eastAsia="zh-CN"/>
        </w:rPr>
        <w:t>主要用于天然气产业招商、天然气产业发展、管道保护执法安全生产、项目投资推进和天然气勘探开发、规划建设、乡村振兴、固定资产采购等工作</w:t>
      </w:r>
      <w:r>
        <w:rPr>
          <w:rFonts w:hint="eastAsia" w:ascii="仿宋_GB2312" w:hAnsi="仿宋_GB2312" w:eastAsia="仿宋_GB2312" w:cs="仿宋_GB2312"/>
          <w:b w:val="0"/>
          <w:bCs w:val="0"/>
          <w:i w:val="0"/>
          <w:caps w:val="0"/>
          <w:color w:val="auto"/>
          <w:spacing w:val="0"/>
          <w:kern w:val="0"/>
          <w:sz w:val="32"/>
          <w:szCs w:val="32"/>
          <w:highlight w:val="none"/>
          <w:shd w:val="clear" w:color="auto" w:fill="FFFFFF"/>
          <w:lang w:val="en-US" w:eastAsia="zh-CN" w:bidi="ar"/>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3.社会保障和就业（类）行政事业单位养老支出（款）机关事业单位基本养老保险缴费支出（项）2024年预算数为40.62万元，主要用于：实施养老保险制度由单位缴纳的基本养老保险支出。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4.卫生健康（类）行政事业单位医疗（款）行政单位医疗（项）2024年预算数为13.14万元，主要用于：机关按规定由单位缴纳的基本医疗保险支出。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5.住房保障（类）住房改革支出（款）住房公积金（项）2024年预算数为33.83万元，主要用于：机关按规定为职工缴纳的住房公积金支出。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3" w:name="_Toc31671"/>
      <w:r>
        <w:rPr>
          <w:rFonts w:hint="eastAsia" w:ascii="黑体" w:hAnsi="黑体" w:eastAsia="黑体" w:cs="黑体"/>
          <w:sz w:val="32"/>
          <w:szCs w:val="32"/>
          <w:highlight w:val="none"/>
          <w:lang w:val="en-US" w:eastAsia="zh-CN"/>
        </w:rPr>
        <w:t>六、一般公共预算基本支出情况说明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市天然气管委会2024年一般公共预算基本支出431.97万元，其中：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人员经费367.24万元，主要包括：基本工资、津贴补贴、奖金、机关事业单位基本养老保险缴费、职工基本医疗保险缴费、其他社会保障缴费、住房公积金、生活补助等支出。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公用经费64.73万元，主要包括：办公费、印刷费、水费、电费、邮电费、物业管理费、差旅费、公务接待费、工会经费、福利费、公务用车运行维护费、其他交通费用、其他商品和服务支出等支出。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4" w:name="_Toc16208"/>
      <w:r>
        <w:rPr>
          <w:rFonts w:hint="eastAsia" w:ascii="黑体" w:hAnsi="黑体" w:eastAsia="黑体" w:cs="黑体"/>
          <w:sz w:val="32"/>
          <w:szCs w:val="32"/>
          <w:highlight w:val="none"/>
          <w:lang w:val="en-US" w:eastAsia="zh-CN"/>
        </w:rPr>
        <w:t>七、“三公”经费财政拨款预算安排情况说明</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市天然气管委会2024年“三公”经费财政拨款预算数0.84万元，其中：公务接待费0.38万元，公务用车购置及运行维护费0.46万元，因公出国（境）经费0万元。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5" w:name="_Toc18550"/>
      <w:r>
        <w:rPr>
          <w:rFonts w:hint="eastAsia" w:ascii="楷体_GB2312" w:hAnsi="楷体_GB2312" w:eastAsia="楷体_GB2312" w:cs="楷体_GB2312"/>
          <w:sz w:val="32"/>
          <w:szCs w:val="32"/>
          <w:highlight w:val="none"/>
          <w:lang w:val="en-US" w:eastAsia="zh-CN"/>
        </w:rPr>
        <w:t>（一）公务接待费</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6" w:name="_Toc8286"/>
      <w:r>
        <w:rPr>
          <w:rFonts w:hint="eastAsia" w:ascii="楷体_GB2312" w:hAnsi="楷体_GB2312" w:eastAsia="楷体_GB2312" w:cs="楷体_GB2312"/>
          <w:sz w:val="32"/>
          <w:szCs w:val="32"/>
          <w:highlight w:val="none"/>
          <w:lang w:val="en-US" w:eastAsia="zh-CN"/>
        </w:rPr>
        <w:t>公务用车购置及运行维护费</w:t>
      </w:r>
      <w:bookmarkEnd w:id="16"/>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单位现有公务用车1辆，其中：越野车1辆。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2024年安排公务用车运行维护费0.46万元，用于1辆公务用车燃油、过路（桥）、维修、保险等方面支出，主要保障机关运行和项目、招商等工作开展。</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bookmarkStart w:id="17" w:name="_Toc12553"/>
      <w:r>
        <w:rPr>
          <w:rFonts w:hint="eastAsia" w:ascii="仿宋_GB2312" w:hAnsi="仿宋_GB2312" w:eastAsia="仿宋_GB2312" w:cs="仿宋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三）因公出国（境）经费</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因公出国（境）经费与2023年预算相比持平，无出国安排。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8" w:name="_Toc7826"/>
      <w:r>
        <w:rPr>
          <w:rFonts w:hint="eastAsia" w:ascii="黑体" w:hAnsi="黑体" w:eastAsia="黑体" w:cs="黑体"/>
          <w:sz w:val="32"/>
          <w:szCs w:val="32"/>
          <w:highlight w:val="none"/>
          <w:lang w:val="en-US" w:eastAsia="zh-CN"/>
        </w:rPr>
        <w:t>八、政府性基金预算支出情况说明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市天然气管委会2024年无政府性基金预算拨款安排的支出。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9" w:name="_Toc32076"/>
      <w:r>
        <w:rPr>
          <w:rFonts w:hint="eastAsia" w:ascii="黑体" w:hAnsi="黑体" w:eastAsia="黑体" w:cs="黑体"/>
          <w:sz w:val="32"/>
          <w:szCs w:val="32"/>
          <w:highlight w:val="none"/>
          <w:lang w:val="en-US" w:eastAsia="zh-CN"/>
        </w:rPr>
        <w:t>九、国有资本经营预算支出情况说明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市天然气管委会2024年无国有资本经营预算拨款安排的支出。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0" w:name="_Toc6477"/>
      <w:r>
        <w:rPr>
          <w:rFonts w:hint="eastAsia" w:ascii="黑体" w:hAnsi="黑体" w:eastAsia="黑体" w:cs="黑体"/>
          <w:sz w:val="32"/>
          <w:szCs w:val="32"/>
          <w:highlight w:val="none"/>
          <w:lang w:val="en-US" w:eastAsia="zh-CN"/>
        </w:rPr>
        <w:t>十、其他重要事项的情况说明</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1" w:name="_Toc21037"/>
      <w:r>
        <w:rPr>
          <w:rFonts w:hint="eastAsia" w:ascii="楷体_GB2312" w:hAnsi="楷体_GB2312" w:eastAsia="楷体_GB2312" w:cs="楷体_GB2312"/>
          <w:sz w:val="32"/>
          <w:szCs w:val="32"/>
          <w:highlight w:val="none"/>
          <w:lang w:val="en-US" w:eastAsia="zh-CN"/>
        </w:rPr>
        <w:t>（一）机关运行经费</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024年，市天然气管委会委机关1家行政单位机关运行经费财政拨款预算为64.73万元，比2023年预算减少0.05万元，下降0.0077%。主要原因人员工资基数减少，党建、福利、工会经费按比例计算金额相应减少。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highlight w:val="none"/>
          <w:lang w:val="en-US" w:eastAsia="zh-CN"/>
        </w:rPr>
      </w:pPr>
      <w:bookmarkStart w:id="22" w:name="_Toc8339"/>
      <w:r>
        <w:rPr>
          <w:rFonts w:hint="eastAsia" w:ascii="楷体_GB2312" w:hAnsi="楷体_GB2312" w:eastAsia="楷体_GB2312" w:cs="楷体_GB2312"/>
          <w:color w:val="auto"/>
          <w:sz w:val="32"/>
          <w:szCs w:val="32"/>
          <w:highlight w:val="none"/>
          <w:lang w:val="en-US" w:eastAsia="zh-CN"/>
        </w:rPr>
        <w:t>（二）政府采购情况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2024年，市天然气管委会安排政府采购预算3.2万元，其中：政府采购货物预算3.2万元。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highlight w:val="none"/>
          <w:lang w:val="en-US" w:eastAsia="zh-CN"/>
        </w:rPr>
      </w:pPr>
      <w:bookmarkStart w:id="23" w:name="_Toc11078"/>
      <w:r>
        <w:rPr>
          <w:rFonts w:hint="eastAsia" w:ascii="楷体_GB2312" w:hAnsi="楷体_GB2312" w:eastAsia="楷体_GB2312" w:cs="楷体_GB2312"/>
          <w:color w:val="auto"/>
          <w:sz w:val="32"/>
          <w:szCs w:val="32"/>
          <w:highlight w:val="none"/>
          <w:lang w:val="en-US" w:eastAsia="zh-CN"/>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截至2023年底，市天然气管委会共有车辆1辆，为一般公务用车。单位无价值200万元以上的大型设备。</w:t>
      </w:r>
      <w:bookmarkStart w:id="26" w:name="_GoBack"/>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highlight w:val="none"/>
        </w:rPr>
      </w:pPr>
      <w:bookmarkStart w:id="24" w:name="_Toc18093"/>
      <w:r>
        <w:rPr>
          <w:rFonts w:hint="eastAsia" w:ascii="楷体_GB2312" w:hAnsi="楷体_GB2312" w:eastAsia="楷体_GB2312" w:cs="楷体_GB2312"/>
          <w:color w:val="auto"/>
          <w:sz w:val="32"/>
          <w:szCs w:val="32"/>
          <w:highlight w:val="none"/>
          <w:lang w:val="en-US" w:eastAsia="zh-CN"/>
        </w:rPr>
        <w:t>（四）绩效目标设置情况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2024年市天然气管委会开展绩效目标管理的项目16个，涉及预算518.43万元。其中：人员类项目6个，涉及预算367.24万元；运转类项目3个，涉及预算64.73万元；特定目标类项目8个，涉及预算86</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0857"/>
      <w:r>
        <w:rPr>
          <w:rFonts w:hint="eastAsia" w:ascii="黑体" w:hAnsi="黑体" w:eastAsia="黑体" w:cs="黑体"/>
          <w:sz w:val="32"/>
          <w:szCs w:val="32"/>
          <w:lang w:val="en-US" w:eastAsia="zh-CN"/>
        </w:rPr>
        <w:t>十一、名词解释</w:t>
      </w:r>
      <w:bookmarkEnd w:id="25"/>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其他收入：</w:t>
      </w:r>
      <w:r>
        <w:rPr>
          <w:rFonts w:hint="eastAsia" w:ascii="仿宋_GB2312" w:hAnsi="仿宋_GB2312" w:eastAsia="仿宋_GB2312" w:cs="仿宋_GB2312"/>
          <w:sz w:val="32"/>
          <w:szCs w:val="32"/>
          <w:lang w:val="en-US" w:eastAsia="zh-CN"/>
        </w:rPr>
        <w:t>指除上述“一般公共预算拨款收入”以外的收入。如财政代管资金等。</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color w:val="auto"/>
          <w:sz w:val="32"/>
          <w:szCs w:val="32"/>
        </w:rPr>
        <w:t>一般公共服务</w:t>
      </w:r>
      <w:r>
        <w:rPr>
          <w:rFonts w:hint="eastAsia" w:ascii="楷体_GB2312" w:hAnsi="楷体_GB2312" w:eastAsia="楷体_GB2312" w:cs="楷体_GB2312"/>
          <w:color w:val="auto"/>
          <w:sz w:val="32"/>
          <w:szCs w:val="32"/>
          <w:lang w:eastAsia="zh-CN"/>
        </w:rPr>
        <w:t>支出</w:t>
      </w:r>
      <w:r>
        <w:rPr>
          <w:rFonts w:hint="eastAsia" w:ascii="楷体_GB2312" w:hAnsi="楷体_GB2312" w:eastAsia="楷体_GB2312" w:cs="楷体_GB2312"/>
          <w:color w:val="auto"/>
          <w:sz w:val="32"/>
          <w:szCs w:val="32"/>
        </w:rPr>
        <w:t>（类）政府办公厅（室）及相关机构事务（款）行政运行（项）</w:t>
      </w:r>
      <w:r>
        <w:rPr>
          <w:rFonts w:hint="eastAsia" w:ascii="楷体_GB2312" w:hAnsi="楷体_GB2312" w:eastAsia="楷体_GB2312" w:cs="楷体_GB2312"/>
          <w:color w:val="auto"/>
          <w:sz w:val="32"/>
          <w:szCs w:val="32"/>
          <w:lang w:eastAsia="zh-CN"/>
        </w:rPr>
        <w:t>：</w:t>
      </w:r>
      <w:r>
        <w:rPr>
          <w:rFonts w:hint="eastAsia" w:ascii="仿宋_GB2312" w:hAnsi="仿宋_GB2312" w:eastAsia="仿宋_GB2312" w:cs="仿宋_GB2312"/>
          <w:b w:val="0"/>
          <w:bCs w:val="0"/>
          <w:i w:val="0"/>
          <w:caps w:val="0"/>
          <w:color w:val="auto"/>
          <w:spacing w:val="0"/>
          <w:kern w:val="0"/>
          <w:sz w:val="32"/>
          <w:szCs w:val="32"/>
          <w:shd w:val="clear" w:color="auto" w:fill="FFFFFF"/>
          <w:lang w:val="en-US" w:eastAsia="zh-CN" w:bidi="ar"/>
        </w:rPr>
        <w:t>反映行政单位（包括实行公务员管理的事业单位）的基本支出</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color w:val="auto"/>
          <w:sz w:val="32"/>
          <w:szCs w:val="32"/>
        </w:rPr>
        <w:t>一般公共服务</w:t>
      </w:r>
      <w:r>
        <w:rPr>
          <w:rFonts w:hint="eastAsia" w:ascii="楷体_GB2312" w:hAnsi="楷体_GB2312" w:eastAsia="楷体_GB2312" w:cs="楷体_GB2312"/>
          <w:color w:val="auto"/>
          <w:sz w:val="32"/>
          <w:szCs w:val="32"/>
          <w:lang w:eastAsia="zh-CN"/>
        </w:rPr>
        <w:t>支出</w:t>
      </w:r>
      <w:r>
        <w:rPr>
          <w:rFonts w:hint="eastAsia" w:ascii="楷体_GB2312" w:hAnsi="楷体_GB2312" w:eastAsia="楷体_GB2312" w:cs="楷体_GB2312"/>
          <w:color w:val="auto"/>
          <w:sz w:val="32"/>
          <w:szCs w:val="32"/>
        </w:rPr>
        <w:t>（类）政府办公厅（室）及相关机构事务（款）一般行政管理事务（项）</w:t>
      </w:r>
      <w:r>
        <w:rPr>
          <w:rFonts w:hint="eastAsia" w:ascii="楷体_GB2312" w:hAnsi="楷体_GB2312" w:eastAsia="楷体_GB2312" w:cs="楷体_GB2312"/>
          <w:color w:val="auto"/>
          <w:sz w:val="32"/>
          <w:szCs w:val="32"/>
          <w:lang w:eastAsia="zh-CN"/>
        </w:rPr>
        <w:t>：</w:t>
      </w:r>
      <w:r>
        <w:rPr>
          <w:rFonts w:hint="eastAsia" w:ascii="仿宋_GB2312" w:hAnsi="仿宋_GB2312" w:eastAsia="仿宋_GB2312" w:cs="仿宋_GB2312"/>
          <w:b w:val="0"/>
          <w:bCs w:val="0"/>
          <w:i w:val="0"/>
          <w:caps w:val="0"/>
          <w:color w:val="auto"/>
          <w:spacing w:val="0"/>
          <w:kern w:val="0"/>
          <w:sz w:val="32"/>
          <w:szCs w:val="32"/>
          <w:shd w:val="clear" w:color="auto" w:fill="FFFFFF"/>
          <w:lang w:val="en-US" w:eastAsia="zh-CN" w:bidi="ar"/>
        </w:rPr>
        <w:t>反映行政单位（包括实行公务员管理的事业单位）未单独设置项级科目的其他项目支出。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社会保障和就业支出（类）行政事业单位养老支出（款）机关事业单位基本养老保险缴费支出（项）：</w:t>
      </w:r>
      <w:r>
        <w:rPr>
          <w:rFonts w:hint="eastAsia" w:ascii="仿宋_GB2312" w:hAnsi="仿宋_GB2312" w:eastAsia="仿宋_GB2312" w:cs="仿宋_GB2312"/>
          <w:sz w:val="32"/>
          <w:szCs w:val="32"/>
          <w:lang w:val="en-US" w:eastAsia="zh-CN"/>
        </w:rPr>
        <w:t>反映机关事业单位实施养老保险制度由单位缴纳的基本养老保险费支出。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卫生健康支出（类）行政事业单位医疗（款）行政单位医疗（项）：</w:t>
      </w:r>
      <w:r>
        <w:rPr>
          <w:rFonts w:hint="eastAsia" w:ascii="仿宋_GB2312" w:hAnsi="仿宋_GB2312" w:eastAsia="仿宋_GB2312" w:cs="仿宋_GB2312"/>
          <w:sz w:val="32"/>
          <w:szCs w:val="32"/>
          <w:lang w:val="en-US" w:eastAsia="zh-CN"/>
        </w:rPr>
        <w:t>反映财政部门安排的行政单位（包括实行公务员管理的事业单位）基本医疗保险缴费经费，未参加医疗保险的行政单位的公费医疗经费，按国家规定享受离休人员、红军老战士待遇人员的医疗经费。</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住房保障支出（类）住房改革支出（款）住房公积金（项）：</w:t>
      </w:r>
      <w:r>
        <w:rPr>
          <w:rFonts w:hint="eastAsia" w:ascii="仿宋_GB2312" w:hAnsi="仿宋_GB2312" w:eastAsia="仿宋_GB2312" w:cs="仿宋_GB2312"/>
          <w:sz w:val="32"/>
          <w:szCs w:val="32"/>
          <w:lang w:val="en-US" w:eastAsia="zh-CN"/>
        </w:rPr>
        <w:t>反映行政事业单位按人力资源和社会保障部、财政部规定的基本工资和津贴补贴以及规定比例为职工缴纳的住房公积金。</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7CE1100F"/>
    <w:multiLevelType w:val="singleLevel"/>
    <w:tmpl w:val="7CE1100F"/>
    <w:lvl w:ilvl="0" w:tentative="0">
      <w:start w:val="1"/>
      <w:numFmt w:val="chineseCounting"/>
      <w:suff w:val="nothing"/>
      <w:lvlText w:val="（%1）"/>
      <w:lvlJc w:val="left"/>
      <w:pPr>
        <w:ind w:left="0" w:firstLine="420"/>
      </w:pPr>
      <w:rPr>
        <w:rFonts w:hint="eastAsia" w:ascii="楷体" w:hAnsi="楷体" w:eastAsia="楷体" w:cs="楷体"/>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12107727"/>
    <w:rsid w:val="19D927E0"/>
    <w:rsid w:val="1D9F113A"/>
    <w:rsid w:val="1F7BF06F"/>
    <w:rsid w:val="1FEE4B73"/>
    <w:rsid w:val="211F0C9C"/>
    <w:rsid w:val="23CE9849"/>
    <w:rsid w:val="2F260132"/>
    <w:rsid w:val="31D03037"/>
    <w:rsid w:val="362E2A87"/>
    <w:rsid w:val="372799D5"/>
    <w:rsid w:val="39F304DD"/>
    <w:rsid w:val="4ACE27FC"/>
    <w:rsid w:val="4BED4059"/>
    <w:rsid w:val="4C1B0BC7"/>
    <w:rsid w:val="504A1A7A"/>
    <w:rsid w:val="51E85014"/>
    <w:rsid w:val="54244390"/>
    <w:rsid w:val="54662A63"/>
    <w:rsid w:val="58064E12"/>
    <w:rsid w:val="5BE32D83"/>
    <w:rsid w:val="5BFEE015"/>
    <w:rsid w:val="62546789"/>
    <w:rsid w:val="63EDCF55"/>
    <w:rsid w:val="63FBFBCF"/>
    <w:rsid w:val="669360FD"/>
    <w:rsid w:val="68FF6A83"/>
    <w:rsid w:val="6AEF6005"/>
    <w:rsid w:val="6B0C76DF"/>
    <w:rsid w:val="6E3DB48E"/>
    <w:rsid w:val="6F265009"/>
    <w:rsid w:val="6FBBC9CF"/>
    <w:rsid w:val="72BDE561"/>
    <w:rsid w:val="73905147"/>
    <w:rsid w:val="7431692A"/>
    <w:rsid w:val="78462278"/>
    <w:rsid w:val="7997EA6C"/>
    <w:rsid w:val="7AEAE675"/>
    <w:rsid w:val="7BAFCE5D"/>
    <w:rsid w:val="7CBF02F9"/>
    <w:rsid w:val="7D2B18CA"/>
    <w:rsid w:val="7D46598C"/>
    <w:rsid w:val="7D9F8F0F"/>
    <w:rsid w:val="7DFB240B"/>
    <w:rsid w:val="7DFE05E7"/>
    <w:rsid w:val="7E0935ED"/>
    <w:rsid w:val="7FCF2AF7"/>
    <w:rsid w:val="9E7F9445"/>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E700B7"/>
    <w:rsid w:val="FFE786DF"/>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cp:lastPrinted>2024-02-07T18:01:00Z</cp:lastPrinted>
  <dcterms:modified xsi:type="dcterms:W3CDTF">2024-02-18T16:36:27Z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