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广元市金融工作局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5042"/>
        <w15:color w:val="DBDBDB"/>
        <w:docPartObj>
          <w:docPartGallery w:val="Table of Contents"/>
          <w:docPartUnique/>
        </w:docPartObj>
      </w:sdtPr>
      <w:sdtEndPr>
        <w:rPr>
          <w:rFonts w:hint="default"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7"/>
            <w:tabs>
              <w:tab w:val="right" w:leader="dot" w:pos="8845"/>
            </w:tabs>
            <w:spacing w:line="360" w:lineRule="auto"/>
            <w:rPr>
              <w:b/>
            </w:rPr>
          </w:pP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_Toc3392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_Toc3392 \h </w:instrText>
          </w:r>
          <w:r>
            <w:rPr>
              <w:b/>
            </w:rPr>
            <w:fldChar w:fldCharType="separate"/>
          </w:r>
          <w:r>
            <w:rPr>
              <w:b/>
            </w:rPr>
            <w:t>1</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_Toc5997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val="en-US" w:eastAsia="zh-CN"/>
            </w:rPr>
            <w:t>广元市金融工作局</w:t>
          </w:r>
          <w:r>
            <w:rPr>
              <w:rFonts w:hint="eastAsia" w:ascii="楷体_GB2312" w:hAnsi="楷体_GB2312" w:eastAsia="楷体_GB2312" w:cs="楷体_GB2312"/>
              <w:szCs w:val="32"/>
            </w:rPr>
            <w:t>职能简介</w:t>
          </w:r>
          <w:r>
            <w:tab/>
          </w:r>
          <w:r>
            <w:fldChar w:fldCharType="begin"/>
          </w:r>
          <w:r>
            <w:instrText xml:space="preserve"> PAGEREF _Toc5997 \h </w:instrText>
          </w:r>
          <w:r>
            <w:fldChar w:fldCharType="separate"/>
          </w:r>
          <w:r>
            <w:t>1</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_Toc12518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rPr>
            <w:t>（二）</w:t>
          </w:r>
          <w:r>
            <w:rPr>
              <w:rFonts w:hint="eastAsia" w:ascii="楷体_GB2312" w:hAnsi="楷体_GB2312" w:eastAsia="楷体_GB2312" w:cs="楷体_GB2312"/>
              <w:szCs w:val="32"/>
              <w:lang w:val="en-US" w:eastAsia="zh-CN"/>
            </w:rPr>
            <w:t>广元市金融工作局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_Toc12518 \h </w:instrText>
          </w:r>
          <w:r>
            <w:fldChar w:fldCharType="separate"/>
          </w:r>
          <w:r>
            <w:t>3</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_Toc4080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_Toc4080 \h </w:instrText>
          </w:r>
          <w:r>
            <w:rPr>
              <w:b/>
            </w:rPr>
            <w:fldChar w:fldCharType="separate"/>
          </w:r>
          <w:r>
            <w:rPr>
              <w:b/>
            </w:rPr>
            <w:t>5</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_Toc13857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_Toc13857 \h </w:instrText>
          </w:r>
          <w:r>
            <w:rPr>
              <w:b/>
            </w:rPr>
            <w:fldChar w:fldCharType="separate"/>
          </w:r>
          <w:r>
            <w:rPr>
              <w:b/>
            </w:rPr>
            <w:t>5</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_Toc26770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_Toc26770 \h </w:instrText>
          </w:r>
          <w:r>
            <w:fldChar w:fldCharType="separate"/>
          </w:r>
          <w:r>
            <w:t>5</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_Toc21860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_Toc21860 \h </w:instrText>
          </w:r>
          <w:r>
            <w:fldChar w:fldCharType="separate"/>
          </w:r>
          <w:r>
            <w:t>5</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_Toc26859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_Toc26859 \h </w:instrText>
          </w:r>
          <w:r>
            <w:rPr>
              <w:b/>
            </w:rPr>
            <w:fldChar w:fldCharType="separate"/>
          </w:r>
          <w:r>
            <w:rPr>
              <w:b/>
            </w:rPr>
            <w:t>6</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_Toc11540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_Toc11540 \h </w:instrText>
          </w:r>
          <w:r>
            <w:rPr>
              <w:b/>
            </w:rPr>
            <w:fldChar w:fldCharType="separate"/>
          </w:r>
          <w:r>
            <w:rPr>
              <w:b/>
            </w:rPr>
            <w:t>6</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_Toc32334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_Toc32334 \h </w:instrText>
          </w:r>
          <w:r>
            <w:fldChar w:fldCharType="separate"/>
          </w:r>
          <w:r>
            <w:t>6</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_Toc9131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i w:val="0"/>
              <w:caps w:val="0"/>
              <w:spacing w:val="0"/>
              <w:kern w:val="0"/>
              <w:szCs w:val="32"/>
              <w:shd w:val="clear" w:fill="FFFFFF"/>
              <w:lang w:val="en-US" w:eastAsia="zh-CN" w:bidi="ar"/>
            </w:rPr>
            <w:t xml:space="preserve">（二） </w:t>
          </w:r>
          <w:r>
            <w:rPr>
              <w:rFonts w:hint="eastAsia" w:ascii="楷体_GB2312" w:hAnsi="楷体_GB2312" w:eastAsia="楷体_GB2312" w:cs="楷体_GB2312"/>
              <w:bCs/>
              <w:i w:val="0"/>
              <w:caps w:val="0"/>
              <w:spacing w:val="0"/>
              <w:kern w:val="0"/>
              <w:szCs w:val="32"/>
              <w:shd w:val="clear" w:color="auto" w:fill="FFFFFF"/>
              <w:lang w:val="en-US" w:eastAsia="zh-CN" w:bidi="ar"/>
            </w:rPr>
            <w:t>一般公共预算当年拨款结构情况</w:t>
          </w:r>
          <w:r>
            <w:tab/>
          </w:r>
          <w:r>
            <w:fldChar w:fldCharType="begin"/>
          </w:r>
          <w:r>
            <w:instrText xml:space="preserve"> PAGEREF _Toc9131 \h </w:instrText>
          </w:r>
          <w:r>
            <w:fldChar w:fldCharType="separate"/>
          </w:r>
          <w:r>
            <w:t>6</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_Toc20962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i w:val="0"/>
              <w:caps w:val="0"/>
              <w:spacing w:val="0"/>
              <w:kern w:val="0"/>
              <w:szCs w:val="32"/>
              <w:shd w:val="clear" w:color="auto" w:fill="FFFFFF"/>
              <w:lang w:val="en-US" w:eastAsia="zh-CN" w:bidi="ar"/>
            </w:rPr>
            <w:t>（三）一般公共预算当年拨款具体使用情况</w:t>
          </w:r>
          <w:r>
            <w:tab/>
          </w:r>
          <w:r>
            <w:fldChar w:fldCharType="begin"/>
          </w:r>
          <w:r>
            <w:instrText xml:space="preserve"> PAGEREF _Toc20962 \h </w:instrText>
          </w:r>
          <w:r>
            <w:fldChar w:fldCharType="separate"/>
          </w:r>
          <w:r>
            <w:t>6</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_Toc28679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_Toc28679 \h </w:instrText>
          </w:r>
          <w:r>
            <w:rPr>
              <w:b/>
            </w:rPr>
            <w:fldChar w:fldCharType="separate"/>
          </w:r>
          <w:r>
            <w:rPr>
              <w:b/>
            </w:rPr>
            <w:t>8</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_Toc20525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 “三公”经费财政拨款预算安排情况说明</w:t>
          </w:r>
          <w:r>
            <w:rPr>
              <w:b/>
            </w:rPr>
            <w:tab/>
          </w:r>
          <w:r>
            <w:rPr>
              <w:b/>
            </w:rPr>
            <w:fldChar w:fldCharType="begin"/>
          </w:r>
          <w:r>
            <w:rPr>
              <w:b/>
            </w:rPr>
            <w:instrText xml:space="preserve"> PAGEREF _Toc20525 \h </w:instrText>
          </w:r>
          <w:r>
            <w:rPr>
              <w:b/>
            </w:rPr>
            <w:fldChar w:fldCharType="separate"/>
          </w:r>
          <w:r>
            <w:rPr>
              <w:b/>
            </w:rPr>
            <w:t>8</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_Toc8489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i w:val="0"/>
              <w:caps w:val="0"/>
              <w:spacing w:val="0"/>
              <w:kern w:val="0"/>
              <w:szCs w:val="32"/>
              <w:shd w:val="clear" w:color="auto" w:fill="FFFFFF"/>
              <w:lang w:val="en-US" w:eastAsia="zh-CN" w:bidi="ar"/>
            </w:rPr>
            <w:t>（一）公务接待费与2023年预算持平。</w:t>
          </w:r>
          <w:r>
            <w:tab/>
          </w:r>
          <w:r>
            <w:fldChar w:fldCharType="begin"/>
          </w:r>
          <w:r>
            <w:instrText xml:space="preserve"> PAGEREF _Toc8489 \h </w:instrText>
          </w:r>
          <w:r>
            <w:fldChar w:fldCharType="separate"/>
          </w:r>
          <w:r>
            <w:t>8</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_Toc13919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i w:val="0"/>
              <w:caps w:val="0"/>
              <w:spacing w:val="0"/>
              <w:kern w:val="0"/>
              <w:szCs w:val="32"/>
              <w:shd w:val="clear" w:color="auto" w:fill="FFFFFF"/>
              <w:lang w:val="en-US" w:eastAsia="zh-CN" w:bidi="ar"/>
            </w:rPr>
            <w:t>（二）公务用车购置及运行维护费与2023年预算</w:t>
          </w:r>
          <w:r>
            <w:rPr>
              <w:rFonts w:hint="eastAsia" w:ascii="楷体_GB2312" w:hAnsi="Times New Roman" w:eastAsia="楷体_GB2312" w:cs="楷体_GB2312"/>
              <w:bCs/>
              <w:i w:val="0"/>
              <w:caps w:val="0"/>
              <w:spacing w:val="0"/>
              <w:kern w:val="0"/>
              <w:szCs w:val="32"/>
              <w:shd w:val="clear" w:color="auto" w:fill="FFFFFF"/>
              <w:lang w:val="en-US" w:eastAsia="zh-CN" w:bidi="ar"/>
            </w:rPr>
            <w:t>持平</w:t>
          </w:r>
          <w:r>
            <w:rPr>
              <w:rFonts w:hint="eastAsia" w:ascii="楷体_GB2312" w:hAnsi="楷体_GB2312" w:eastAsia="楷体_GB2312" w:cs="楷体_GB2312"/>
              <w:bCs/>
              <w:i w:val="0"/>
              <w:caps w:val="0"/>
              <w:spacing w:val="0"/>
              <w:kern w:val="0"/>
              <w:szCs w:val="32"/>
              <w:shd w:val="clear" w:color="auto" w:fill="FFFFFF"/>
              <w:lang w:val="en-US" w:eastAsia="zh-CN" w:bidi="ar"/>
            </w:rPr>
            <w:t>。</w:t>
          </w:r>
          <w:r>
            <w:tab/>
          </w:r>
          <w:r>
            <w:fldChar w:fldCharType="begin"/>
          </w:r>
          <w:r>
            <w:instrText xml:space="preserve"> PAGEREF _Toc13919 \h </w:instrText>
          </w:r>
          <w:r>
            <w:fldChar w:fldCharType="separate"/>
          </w:r>
          <w:r>
            <w:t>8</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_Toc2284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bCs/>
              <w:i w:val="0"/>
              <w:caps w:val="0"/>
              <w:spacing w:val="0"/>
              <w:kern w:val="0"/>
              <w:szCs w:val="32"/>
              <w:shd w:val="clear" w:fill="FFFFFF"/>
              <w:lang w:val="en-US" w:eastAsia="zh-CN" w:bidi="ar"/>
            </w:rPr>
            <w:t xml:space="preserve">（三） </w:t>
          </w:r>
          <w:r>
            <w:rPr>
              <w:rFonts w:hint="eastAsia" w:ascii="楷体_GB2312" w:hAnsi="楷体_GB2312" w:eastAsia="楷体_GB2312" w:cs="楷体_GB2312"/>
              <w:bCs/>
              <w:i w:val="0"/>
              <w:caps w:val="0"/>
              <w:spacing w:val="0"/>
              <w:kern w:val="0"/>
              <w:szCs w:val="32"/>
              <w:shd w:val="clear" w:color="auto" w:fill="FFFFFF"/>
              <w:lang w:val="en-US" w:eastAsia="zh-CN" w:bidi="ar"/>
            </w:rPr>
            <w:t>因公出国（境）经费与2023年预算</w:t>
          </w:r>
          <w:r>
            <w:rPr>
              <w:rFonts w:hint="eastAsia" w:ascii="楷体_GB2312" w:hAnsi="Times New Roman" w:eastAsia="楷体_GB2312" w:cs="楷体_GB2312"/>
              <w:bCs/>
              <w:i w:val="0"/>
              <w:caps w:val="0"/>
              <w:spacing w:val="0"/>
              <w:kern w:val="0"/>
              <w:szCs w:val="32"/>
              <w:shd w:val="clear" w:color="auto" w:fill="FFFFFF"/>
              <w:lang w:val="en-US" w:eastAsia="zh-CN" w:bidi="ar"/>
            </w:rPr>
            <w:t>持平</w:t>
          </w:r>
          <w:r>
            <w:rPr>
              <w:rFonts w:hint="eastAsia" w:ascii="楷体_GB2312" w:hAnsi="楷体_GB2312" w:eastAsia="楷体_GB2312" w:cs="楷体_GB2312"/>
              <w:bCs/>
              <w:i w:val="0"/>
              <w:caps w:val="0"/>
              <w:spacing w:val="0"/>
              <w:kern w:val="0"/>
              <w:szCs w:val="32"/>
              <w:shd w:val="clear" w:color="auto" w:fill="FFFFFF"/>
              <w:lang w:val="en-US" w:eastAsia="zh-CN" w:bidi="ar"/>
            </w:rPr>
            <w:t>。</w:t>
          </w:r>
          <w:r>
            <w:tab/>
          </w:r>
          <w:r>
            <w:fldChar w:fldCharType="begin"/>
          </w:r>
          <w:r>
            <w:instrText xml:space="preserve"> PAGEREF _Toc2284 \h </w:instrText>
          </w:r>
          <w:r>
            <w:fldChar w:fldCharType="separate"/>
          </w:r>
          <w:r>
            <w:t>8</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_Toc6822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宋体" w:eastAsia="黑体" w:cs="黑体"/>
              <w:b/>
              <w:i w:val="0"/>
              <w:caps w:val="0"/>
              <w:spacing w:val="0"/>
              <w:kern w:val="0"/>
              <w:szCs w:val="32"/>
              <w:shd w:val="clear" w:color="auto" w:fill="FFFFFF"/>
              <w:lang w:val="en-US" w:eastAsia="zh-CN" w:bidi="ar"/>
            </w:rPr>
            <w:t>八、政府性基金预算支出情况说明</w:t>
          </w:r>
          <w:r>
            <w:rPr>
              <w:b/>
            </w:rPr>
            <w:tab/>
          </w:r>
          <w:r>
            <w:rPr>
              <w:b/>
            </w:rPr>
            <w:fldChar w:fldCharType="begin"/>
          </w:r>
          <w:r>
            <w:rPr>
              <w:b/>
            </w:rPr>
            <w:instrText xml:space="preserve"> PAGEREF _Toc6822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_Toc18818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宋体" w:eastAsia="黑体" w:cs="黑体"/>
              <w:b/>
              <w:i w:val="0"/>
              <w:caps w:val="0"/>
              <w:spacing w:val="0"/>
              <w:kern w:val="0"/>
              <w:szCs w:val="32"/>
              <w:shd w:val="clear" w:color="auto" w:fill="FFFFFF"/>
              <w:lang w:val="en-US" w:eastAsia="zh-CN" w:bidi="ar"/>
            </w:rPr>
            <w:t>九、国有资本经营预算支出情况说明</w:t>
          </w:r>
          <w:r>
            <w:rPr>
              <w:b/>
            </w:rPr>
            <w:tab/>
          </w:r>
          <w:r>
            <w:rPr>
              <w:b/>
            </w:rPr>
            <w:fldChar w:fldCharType="begin"/>
          </w:r>
          <w:r>
            <w:rPr>
              <w:b/>
            </w:rPr>
            <w:instrText xml:space="preserve"> PAGEREF _Toc18818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_Toc20548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_Toc20548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_Toc944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Times New Roman" w:eastAsia="楷体_GB2312" w:cs="楷体_GB2312"/>
              <w:bCs/>
              <w:i w:val="0"/>
              <w:caps w:val="0"/>
              <w:spacing w:val="0"/>
              <w:kern w:val="0"/>
              <w:szCs w:val="32"/>
              <w:shd w:val="clear" w:color="auto" w:fill="FFFFFF"/>
              <w:lang w:val="en-US" w:eastAsia="zh-CN" w:bidi="ar"/>
            </w:rPr>
            <w:t>（一）机关运行经费</w:t>
          </w:r>
          <w:r>
            <w:tab/>
          </w:r>
          <w:r>
            <w:fldChar w:fldCharType="begin"/>
          </w:r>
          <w:r>
            <w:instrText xml:space="preserve"> PAGEREF _Toc944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_Toc19781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Times New Roman" w:eastAsia="楷体_GB2312" w:cs="楷体_GB2312"/>
              <w:bCs/>
              <w:i w:val="0"/>
              <w:caps w:val="0"/>
              <w:spacing w:val="0"/>
              <w:kern w:val="0"/>
              <w:szCs w:val="32"/>
              <w:shd w:val="clear" w:color="auto" w:fill="FFFFFF"/>
              <w:lang w:val="en-US" w:eastAsia="zh-CN" w:bidi="ar"/>
            </w:rPr>
            <w:t>（二）政府采购情况</w:t>
          </w:r>
          <w:r>
            <w:tab/>
          </w:r>
          <w:r>
            <w:fldChar w:fldCharType="begin"/>
          </w:r>
          <w:r>
            <w:instrText xml:space="preserve"> PAGEREF _Toc19781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_Toc21543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Times New Roman" w:eastAsia="楷体_GB2312" w:cs="楷体_GB2312"/>
              <w:bCs/>
              <w:i w:val="0"/>
              <w:caps w:val="0"/>
              <w:spacing w:val="0"/>
              <w:kern w:val="0"/>
              <w:szCs w:val="32"/>
              <w:shd w:val="clear" w:color="auto" w:fill="FFFFFF"/>
              <w:lang w:val="en-US" w:eastAsia="zh-CN" w:bidi="ar"/>
            </w:rPr>
            <w:t>（三）国有资产占有使用情况</w:t>
          </w:r>
          <w:r>
            <w:tab/>
          </w:r>
          <w:r>
            <w:fldChar w:fldCharType="begin"/>
          </w:r>
          <w:r>
            <w:instrText xml:space="preserve"> PAGEREF _Toc21543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8"/>
            <w:tabs>
              <w:tab w:val="right" w:leader="dot" w:pos="8845"/>
            </w:tabs>
            <w:spacing w:line="360" w:lineRule="auto"/>
          </w:pP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_Toc9997 </w:instrText>
          </w:r>
          <w:r>
            <w:rPr>
              <w:rFonts w:hint="default"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Times New Roman" w:eastAsia="楷体_GB2312" w:cs="楷体_GB2312"/>
              <w:bCs/>
              <w:i w:val="0"/>
              <w:caps w:val="0"/>
              <w:spacing w:val="0"/>
              <w:kern w:val="0"/>
              <w:szCs w:val="32"/>
              <w:highlight w:val="none"/>
              <w:shd w:val="clear" w:color="auto" w:fill="FFFFFF"/>
              <w:lang w:val="en-US" w:eastAsia="zh-CN" w:bidi="ar"/>
            </w:rPr>
            <w:t>（四）绩效目标设置情况</w:t>
          </w:r>
          <w:r>
            <w:tab/>
          </w:r>
          <w:r>
            <w:fldChar w:fldCharType="begin"/>
          </w:r>
          <w:r>
            <w:instrText xml:space="preserve"> PAGEREF _Toc9997 \h </w:instrText>
          </w:r>
          <w:r>
            <w:fldChar w:fldCharType="separate"/>
          </w:r>
          <w:r>
            <w:t>9</w:t>
          </w:r>
          <w:r>
            <w:fldChar w:fldCharType="end"/>
          </w:r>
          <w:r>
            <w:rPr>
              <w:rFonts w:hint="default"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rPr>
              <w:b/>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_Toc109 </w:instrText>
          </w:r>
          <w:r>
            <w:rPr>
              <w:rFonts w:hint="default"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宋体" w:eastAsia="黑体" w:cs="黑体"/>
              <w:b/>
              <w:i w:val="0"/>
              <w:caps w:val="0"/>
              <w:spacing w:val="0"/>
              <w:kern w:val="0"/>
              <w:szCs w:val="32"/>
              <w:shd w:val="clear" w:color="auto" w:fill="FFFFFF"/>
              <w:lang w:val="en-US" w:eastAsia="zh-CN" w:bidi="ar"/>
            </w:rPr>
            <w:t>十一、名词解释</w:t>
          </w:r>
          <w:r>
            <w:rPr>
              <w:b/>
            </w:rPr>
            <w:tab/>
          </w:r>
          <w:r>
            <w:rPr>
              <w:b/>
            </w:rPr>
            <w:fldChar w:fldCharType="begin"/>
          </w:r>
          <w:r>
            <w:rPr>
              <w:b/>
            </w:rPr>
            <w:instrText xml:space="preserve"> PAGEREF _Toc109 \h </w:instrText>
          </w:r>
          <w:r>
            <w:rPr>
              <w:b/>
            </w:rPr>
            <w:fldChar w:fldCharType="separate"/>
          </w:r>
          <w:r>
            <w:rPr>
              <w:b/>
            </w:rPr>
            <w:t>9</w:t>
          </w:r>
          <w:r>
            <w:rPr>
              <w:b/>
            </w:rPr>
            <w:fldChar w:fldCharType="end"/>
          </w: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default"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sectPr>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3392"/>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5997"/>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广元市金融工作局</w:t>
      </w:r>
      <w:r>
        <w:rPr>
          <w:rFonts w:hint="eastAsia" w:ascii="楷体_GB2312" w:hAnsi="楷体_GB2312" w:eastAsia="楷体_GB2312" w:cs="楷体_GB2312"/>
          <w:sz w:val="32"/>
          <w:szCs w:val="32"/>
        </w:rPr>
        <w:t>职能简介</w:t>
      </w:r>
      <w:bookmarkEnd w:id="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1.会同有关部门研究拟订并组织实施全市金融业发展规划和政策措施。负责市金融工作领导小组日常工作。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2.统筹、协调推进全市金融业服务实体经济、防控金融风险、深化金融改革。推动地方政府和金融机构合作。加强金融对外合作交流。</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会同有关部门推进地方金融业规范发展，组建、培育、壮大地方法人金融机构，引进市外、境外金融机构，促进金融机构合理布局和金融资源优化配置。负责监管范围内的地方法人金融机构的改革发展和业务指导工作。参与市委、市政府对金融机构的考核等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统筹推进全市企业直接融资工作。指导全市企业上市改制工作，负责上市培育和上市协调工作。指导上市公司规范运作、并购重组等工作。会同有关部门指导推动企业发行各种债券、开展资产证券化等工作（境外融资除外），推进多渠道直接融资。参与指导各类投资基金规范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5.统筹地方金融要素市场体系建设。会同有关部门指导、推动地方金融要素市场建设，组织推进多层次资本市场发展。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6.配合中央金融管理部门驻广机构做好金融监管相关工作，共享地方金融监管指标数据和金融业务发展情况。为中央驻广金融管理部门、金融机构提供服务，协调解决地方金融业改革发展中的有关问题。</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推动金融机构为全市经济社会发展服务，协调市级政府性投资项目融资工作，参与全市投融资体制改革工作。推动地方金融统计体系建设。参与研究制定引导社会融资发展的政策措施和政府重大项目融资方案。协调推进重大金融项目招商工作。会同相关部门推进全市金融服务体系建设，推进普惠金融、科技金融、绿色金融、数字金融发展。</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全市小额贷款公司、融资担保公司、区域性股权市场、典当行、融资租赁公司、商业保理公司、地方资产管理公司等地方金融组织的监管。加强对开展信用互助的农民专业合作社、地方权益类交易场所、大宗商品类交易场所的风险监测与行为监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维护地方金融秩序。牵头有关部门防范、化解和处置地方金融风险。牵头处置非法集资，协调配合有关部门打击其他非法金融活动，推进地方金融风险监测预警与应急处置机制建设，推动互联网金融规范发展和维护金融稳定，构建优良金融生态环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11.配合市级有关部门研究制定国有金融资本布局方案。</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12.负责对县区政府金融工作进行业务指导，推进市、县区金融工作协同联动机制建设，参与、指导全市金融人才资源培育和队伍建设工作。推进全市金融知识宣传普及工作。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13.督促监管范围内的地方法人金融机构建立健全并执行安全生产和职业健康相关制度、规定、标准；组织开展本行业系统安全生产工作检查，总结推广安全生产工作经验，督促整改安全隐患。</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14.负责职责范围内的生态环境保护、审批服务便民化等工作。</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15.完成市委、市政府交办的其他任务。</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251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广元市金融工作局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我局将认真贯彻落实好习近平总书记来川来广视察重要指示精神和中央金融工作会议精神，全面做好</w:t>
      </w:r>
      <w:r>
        <w:rPr>
          <w:rFonts w:hint="eastAsia" w:ascii="仿宋_GB2312" w:hAnsi="仿宋_GB2312" w:eastAsia="仿宋_GB2312" w:cs="仿宋_GB2312"/>
          <w:sz w:val="32"/>
          <w:szCs w:val="32"/>
          <w:lang w:val="en-US" w:eastAsia="zh-CN"/>
        </w:rPr>
        <w:t>“科技金融、绿色金融、普惠金融、养老金融、数字金融”五篇大文章，深刻把握“金融的政治性和人民性”，</w:t>
      </w:r>
      <w:r>
        <w:rPr>
          <w:rFonts w:hint="eastAsia" w:ascii="仿宋_GB2312" w:hAnsi="仿宋_GB2312" w:eastAsia="仿宋_GB2312" w:cs="仿宋_GB2312"/>
          <w:b w:val="0"/>
          <w:bCs w:val="0"/>
          <w:color w:val="auto"/>
          <w:spacing w:val="0"/>
          <w:sz w:val="32"/>
          <w:szCs w:val="32"/>
          <w:lang w:val="en-US" w:eastAsia="zh-CN"/>
        </w:rPr>
        <w:t>坚持把金融服务实体经济作为根本宗旨，坚持把防控风险作为金融工作的永恒主题，坚持深入扎实推进金融改革创新，为加快建设川陕甘结合部现代化中心城市提供金融保障。力争2024年存款、贷款、保费收入增速分别达到11%、13%、9%。</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一是</w:t>
      </w:r>
      <w:r>
        <w:rPr>
          <w:rFonts w:hint="eastAsia" w:ascii="仿宋_GB2312" w:hAnsi="仿宋_GB2312" w:eastAsia="仿宋_GB2312" w:cs="仿宋_GB2312"/>
          <w:b w:val="0"/>
          <w:bCs w:val="0"/>
          <w:color w:val="auto"/>
          <w:sz w:val="32"/>
          <w:szCs w:val="32"/>
          <w:lang w:val="en-US" w:eastAsia="zh-CN"/>
        </w:rPr>
        <w:t>强化重点领域信贷支持。围绕市委“1345”发展战略，扎实开展“大走访、大调研、解难题”活动，常态化举行融资对接活动，</w:t>
      </w:r>
      <w:r>
        <w:rPr>
          <w:rFonts w:hint="eastAsia" w:ascii="仿宋_GB2312" w:hAnsi="仿宋_GB2312" w:eastAsia="仿宋_GB2312" w:cs="仿宋_GB2312"/>
          <w:color w:val="000000" w:themeColor="text1"/>
          <w:sz w:val="32"/>
          <w:szCs w:val="32"/>
          <w:u w:val="none"/>
          <w14:textFill>
            <w14:solidFill>
              <w14:schemeClr w14:val="tx1"/>
            </w14:solidFill>
          </w14:textFill>
        </w:rPr>
        <w:t>强化银企精准对接，</w:t>
      </w:r>
      <w:r>
        <w:rPr>
          <w:rFonts w:hint="eastAsia" w:ascii="仿宋_GB2312" w:hAnsi="仿宋_GB2312" w:eastAsia="仿宋_GB2312" w:cs="仿宋_GB2312"/>
          <w:b w:val="0"/>
          <w:bCs w:val="0"/>
          <w:color w:val="auto"/>
          <w:sz w:val="32"/>
          <w:szCs w:val="32"/>
          <w:lang w:val="en-US" w:eastAsia="zh-CN"/>
        </w:rPr>
        <w:t>用好考核激励机制，引导银行机构进一步</w:t>
      </w:r>
      <w:r>
        <w:rPr>
          <w:rFonts w:hint="eastAsia" w:ascii="仿宋_GB2312" w:hAnsi="仿宋_GB2312" w:eastAsia="仿宋_GB2312" w:cs="仿宋_GB2312"/>
          <w:sz w:val="32"/>
          <w:szCs w:val="32"/>
          <w:lang w:val="en-US" w:eastAsia="zh-CN"/>
        </w:rPr>
        <w:t>加大</w:t>
      </w:r>
      <w:r>
        <w:rPr>
          <w:rFonts w:hint="eastAsia" w:ascii="仿宋_GB2312" w:hAnsi="仿宋_GB2312" w:eastAsia="仿宋_GB2312" w:cs="仿宋_GB2312"/>
          <w:b w:val="0"/>
          <w:bCs w:val="0"/>
          <w:color w:val="auto"/>
          <w:sz w:val="32"/>
          <w:szCs w:val="32"/>
          <w:lang w:val="en-US" w:eastAsia="zh-CN"/>
        </w:rPr>
        <w:t>对重点产业、重点项目的信贷支持。</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二是</w:t>
      </w:r>
      <w:r>
        <w:rPr>
          <w:rFonts w:hint="eastAsia" w:ascii="仿宋_GB2312" w:hAnsi="仿宋_GB2312" w:eastAsia="仿宋_GB2312" w:cs="仿宋_GB2312"/>
          <w:b w:val="0"/>
          <w:bCs w:val="0"/>
          <w:color w:val="auto"/>
          <w:sz w:val="32"/>
          <w:szCs w:val="32"/>
          <w:lang w:val="en-US" w:eastAsia="zh-CN"/>
        </w:rPr>
        <w:t>构建制造业供应链金融服务新模式。加大对“1+3+3”工业优势主导产业信贷支持，搭建一站式供应链管理服务平台，构建多元化供应链金融服务体系，解决传统授信模式下中小微企业“准入难、担保难、审批难”的问题。</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val="0"/>
          <w:bCs w:val="0"/>
          <w:color w:val="auto"/>
          <w:sz w:val="32"/>
          <w:szCs w:val="32"/>
          <w:lang w:val="en-US" w:eastAsia="zh-CN"/>
        </w:rPr>
        <w:t>优化升级普惠金融服务平台。建立“民营小微”金融服务超市，整合银行纯信用贷款产品，强化宣传推广。</w:t>
      </w:r>
      <w:r>
        <w:rPr>
          <w:rFonts w:hint="eastAsia" w:ascii="仿宋_GB2312" w:hAnsi="仿宋_GB2312" w:eastAsia="仿宋_GB2312" w:cs="仿宋_GB2312"/>
          <w:bCs/>
          <w:color w:val="auto"/>
          <w:kern w:val="2"/>
          <w:sz w:val="32"/>
          <w:szCs w:val="32"/>
          <w:lang w:val="en-US" w:eastAsia="zh-CN" w:bidi="ar-SA"/>
        </w:rPr>
        <w:t>强化“融资难融资贵攻坚克难小分队”“金融会客厅”线下服务功能，拓宽“广元</w:t>
      </w:r>
      <w:r>
        <w:rPr>
          <w:rFonts w:hint="eastAsia" w:ascii="仿宋_GB2312" w:hAnsi="仿宋_GB2312" w:eastAsia="仿宋_GB2312" w:cs="仿宋_GB2312"/>
          <w:sz w:val="32"/>
          <w:szCs w:val="32"/>
          <w:lang w:val="en-US" w:eastAsia="zh-CN"/>
        </w:rPr>
        <w:t>金融</w:t>
      </w:r>
      <w:r>
        <w:rPr>
          <w:rFonts w:hint="eastAsia" w:ascii="仿宋_GB2312" w:hAnsi="仿宋_GB2312" w:eastAsia="仿宋_GB2312" w:cs="仿宋_GB2312"/>
          <w:bCs/>
          <w:color w:val="auto"/>
          <w:kern w:val="2"/>
          <w:sz w:val="32"/>
          <w:szCs w:val="32"/>
          <w:lang w:val="en-US" w:eastAsia="zh-CN" w:bidi="ar-SA"/>
        </w:rPr>
        <w:t>直播间”线上宣传渠道，持续提升普惠金融覆盖面。</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
          <w:bCs/>
          <w:color w:val="auto"/>
          <w:sz w:val="32"/>
          <w:szCs w:val="32"/>
          <w:lang w:val="en-US" w:eastAsia="zh-CN"/>
        </w:rPr>
        <w:t>四是</w:t>
      </w:r>
      <w:r>
        <w:rPr>
          <w:rFonts w:hint="eastAsia" w:ascii="仿宋_GB2312" w:hAnsi="仿宋_GB2312" w:eastAsia="仿宋_GB2312" w:cs="仿宋_GB2312"/>
          <w:b w:val="0"/>
          <w:bCs w:val="0"/>
          <w:color w:val="auto"/>
          <w:sz w:val="32"/>
          <w:szCs w:val="32"/>
          <w:lang w:val="en-US" w:eastAsia="zh-CN"/>
        </w:rPr>
        <w:t>持续深化绿色金融创新试点。</w:t>
      </w:r>
      <w:r>
        <w:rPr>
          <w:rFonts w:hint="eastAsia" w:ascii="仿宋_GB2312" w:hAnsi="仿宋_GB2312" w:eastAsia="仿宋_GB2312" w:cs="仿宋_GB2312"/>
          <w:sz w:val="32"/>
          <w:szCs w:val="32"/>
          <w:lang w:val="en-US" w:eastAsia="zh-CN"/>
        </w:rPr>
        <w:t>切实发挥省绿色金融试点市优势，</w:t>
      </w:r>
      <w:r>
        <w:rPr>
          <w:rFonts w:hint="eastAsia" w:ascii="仿宋_GB2312" w:hAnsi="仿宋_GB2312" w:eastAsia="仿宋_GB2312" w:cs="仿宋_GB2312"/>
          <w:bCs/>
          <w:color w:val="auto"/>
          <w:kern w:val="2"/>
          <w:sz w:val="32"/>
          <w:szCs w:val="32"/>
          <w:lang w:val="en-US" w:eastAsia="zh-CN" w:bidi="ar-SA"/>
        </w:rPr>
        <w:t>加大对乡村振兴、生态农业、康养旅游等领域的信贷支持，大力创建绿色支行、零碳网点，加快金融机构绿色转型发展。丰富绿色保险产品供给，扩大绿色保险风险保障覆盖面，努力打造</w:t>
      </w:r>
      <w:r>
        <w:rPr>
          <w:rFonts w:hint="eastAsia" w:ascii="仿宋_GB2312" w:hAnsi="仿宋_GB2312" w:eastAsia="仿宋_GB2312" w:cs="仿宋_GB2312"/>
          <w:sz w:val="32"/>
          <w:szCs w:val="32"/>
          <w:lang w:val="en-US" w:eastAsia="zh-CN"/>
        </w:rPr>
        <w:t>区域性</w:t>
      </w:r>
      <w:r>
        <w:rPr>
          <w:rFonts w:hint="eastAsia" w:ascii="仿宋_GB2312" w:hAnsi="仿宋_GB2312" w:eastAsia="仿宋_GB2312" w:cs="仿宋_GB2312"/>
          <w:bCs/>
          <w:color w:val="auto"/>
          <w:kern w:val="2"/>
          <w:sz w:val="32"/>
          <w:szCs w:val="32"/>
          <w:lang w:val="en-US" w:eastAsia="zh-CN" w:bidi="ar-SA"/>
        </w:rPr>
        <w:t>绿色金融高地。</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Cs/>
          <w:color w:val="auto"/>
          <w:kern w:val="2"/>
          <w:sz w:val="32"/>
          <w:szCs w:val="32"/>
          <w:lang w:val="en-US" w:eastAsia="zh-CN" w:bidi="ar-SA"/>
        </w:rPr>
      </w:pPr>
      <w:r>
        <w:rPr>
          <w:rFonts w:hint="eastAsia" w:ascii="仿宋_GB2312" w:hAnsi="仿宋_GB2312" w:eastAsia="仿宋_GB2312" w:cs="仿宋_GB2312"/>
          <w:b/>
          <w:bCs w:val="0"/>
          <w:color w:val="auto"/>
          <w:kern w:val="2"/>
          <w:sz w:val="32"/>
          <w:szCs w:val="32"/>
          <w:lang w:val="en-US" w:eastAsia="zh-CN" w:bidi="ar-SA"/>
        </w:rPr>
        <w:t>五是</w:t>
      </w:r>
      <w:r>
        <w:rPr>
          <w:rFonts w:hint="eastAsia" w:ascii="仿宋_GB2312" w:hAnsi="仿宋_GB2312" w:eastAsia="仿宋_GB2312" w:cs="仿宋_GB2312"/>
          <w:bCs/>
          <w:color w:val="auto"/>
          <w:kern w:val="2"/>
          <w:sz w:val="32"/>
          <w:szCs w:val="32"/>
          <w:lang w:val="en-US" w:eastAsia="zh-CN" w:bidi="ar-SA"/>
        </w:rPr>
        <w:t>扎实开展“一</w:t>
      </w:r>
      <w:r>
        <w:rPr>
          <w:rFonts w:hint="eastAsia" w:ascii="仿宋_GB2312" w:hAnsi="仿宋_GB2312" w:eastAsia="仿宋_GB2312" w:cs="仿宋_GB2312"/>
          <w:b w:val="0"/>
          <w:bCs w:val="0"/>
          <w:color w:val="auto"/>
          <w:sz w:val="32"/>
          <w:szCs w:val="32"/>
          <w:lang w:val="en-US" w:eastAsia="zh-CN"/>
        </w:rPr>
        <w:t>行（司）帮一县”。</w:t>
      </w:r>
      <w:r>
        <w:rPr>
          <w:rFonts w:hint="eastAsia" w:ascii="仿宋_GB2312" w:hAnsi="仿宋_GB2312" w:eastAsia="仿宋_GB2312" w:cs="仿宋_GB2312"/>
          <w:bCs/>
          <w:color w:val="auto"/>
          <w:kern w:val="2"/>
          <w:sz w:val="32"/>
          <w:szCs w:val="32"/>
          <w:lang w:val="en-US" w:eastAsia="zh-CN" w:bidi="ar-SA"/>
        </w:rPr>
        <w:t>引导金融机构紧盯农村产业的资源特色，推动金融资源向县域、乡村倾斜，创新金融产品和服务方式，夯实“三农”信贷基础，扩大政策性保险覆盖范围，</w:t>
      </w:r>
      <w:r>
        <w:rPr>
          <w:rFonts w:hint="eastAsia" w:ascii="仿宋_GB2312" w:hAnsi="仿宋_GB2312" w:eastAsia="仿宋_GB2312" w:cs="仿宋_GB2312"/>
          <w:sz w:val="32"/>
          <w:szCs w:val="32"/>
          <w:lang w:val="en-US" w:eastAsia="zh-CN"/>
        </w:rPr>
        <w:t>探索</w:t>
      </w:r>
      <w:r>
        <w:rPr>
          <w:rFonts w:hint="eastAsia" w:ascii="仿宋_GB2312" w:hAnsi="仿宋_GB2312" w:eastAsia="仿宋_GB2312" w:cs="仿宋_GB2312"/>
          <w:bCs/>
          <w:color w:val="auto"/>
          <w:kern w:val="2"/>
          <w:sz w:val="32"/>
          <w:szCs w:val="32"/>
          <w:lang w:val="en-US" w:eastAsia="zh-CN" w:bidi="ar-SA"/>
        </w:rPr>
        <w:t>打造一批金融支持乡村振兴典型经验。</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六是</w:t>
      </w:r>
      <w:r>
        <w:rPr>
          <w:rFonts w:hint="eastAsia" w:ascii="仿宋_GB2312" w:hAnsi="仿宋_GB2312" w:eastAsia="仿宋_GB2312" w:cs="仿宋_GB2312"/>
          <w:b w:val="0"/>
          <w:bCs w:val="0"/>
          <w:color w:val="auto"/>
          <w:sz w:val="32"/>
          <w:szCs w:val="32"/>
          <w:lang w:val="en-US" w:eastAsia="zh-CN"/>
        </w:rPr>
        <w:t>持续做好保险风险保障。</w:t>
      </w:r>
      <w:r>
        <w:rPr>
          <w:rFonts w:hint="eastAsia" w:ascii="仿宋_GB2312" w:hAnsi="仿宋_GB2312" w:eastAsia="仿宋_GB2312" w:cs="仿宋_GB2312"/>
          <w:sz w:val="32"/>
          <w:szCs w:val="32"/>
          <w:lang w:val="en-US" w:eastAsia="zh-CN"/>
        </w:rPr>
        <w:t>持续提升农业保险覆盖面，确保三大粮食作物保险全覆盖，</w:t>
      </w:r>
      <w:r>
        <w:rPr>
          <w:rFonts w:hint="eastAsia" w:ascii="仿宋_GB2312" w:hAnsi="仿宋_GB2312" w:eastAsia="仿宋_GB2312" w:cs="仿宋_GB2312"/>
          <w:b w:val="0"/>
          <w:bCs w:val="0"/>
          <w:color w:val="auto"/>
          <w:sz w:val="32"/>
          <w:szCs w:val="32"/>
          <w:lang w:val="en-US" w:eastAsia="zh-CN"/>
        </w:rPr>
        <w:t>大力</w:t>
      </w:r>
      <w:r>
        <w:rPr>
          <w:rFonts w:hint="eastAsia" w:ascii="仿宋_GB2312" w:hAnsi="仿宋_GB2312" w:eastAsia="仿宋_GB2312" w:cs="仿宋_GB2312"/>
          <w:b w:val="0"/>
          <w:bCs w:val="0"/>
          <w:color w:val="auto"/>
          <w:sz w:val="32"/>
          <w:szCs w:val="32"/>
          <w:lang w:val="zh-TW" w:eastAsia="zh-CN"/>
        </w:rPr>
        <w:t>推广“元惠保”“防贫保”等普惠民生保险产品，</w:t>
      </w:r>
      <w:r>
        <w:rPr>
          <w:rFonts w:hint="eastAsia" w:ascii="仿宋_GB2312" w:hAnsi="仿宋_GB2312" w:eastAsia="仿宋_GB2312" w:cs="仿宋_GB2312"/>
          <w:sz w:val="32"/>
          <w:szCs w:val="32"/>
          <w:lang w:val="en-US" w:eastAsia="zh-CN"/>
        </w:rPr>
        <w:t>强力推进肉牛羊等重点产业保险保障力度，</w:t>
      </w:r>
      <w:r>
        <w:rPr>
          <w:rFonts w:hint="eastAsia" w:ascii="仿宋_GB2312" w:hAnsi="仿宋_GB2312" w:eastAsia="仿宋_GB2312" w:cs="仿宋_GB2312"/>
          <w:sz w:val="32"/>
          <w:szCs w:val="32"/>
          <w:lang w:eastAsia="zh-CN"/>
        </w:rPr>
        <w:t>加快</w:t>
      </w:r>
      <w:r>
        <w:rPr>
          <w:rFonts w:hint="eastAsia" w:ascii="仿宋_GB2312" w:hAnsi="仿宋_GB2312" w:eastAsia="仿宋_GB2312" w:cs="仿宋_GB2312"/>
          <w:sz w:val="32"/>
          <w:szCs w:val="32"/>
        </w:rPr>
        <w:t>推动安全生产责任保险普及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sz w:val="32"/>
          <w:szCs w:val="32"/>
          <w:lang w:val="zh-TW" w:eastAsia="zh-CN"/>
        </w:rPr>
        <w:t>支持保险机构参与健康养老保障体系建设，</w:t>
      </w:r>
      <w:r>
        <w:rPr>
          <w:rFonts w:hint="eastAsia" w:ascii="仿宋_GB2312" w:hAnsi="仿宋_GB2312" w:eastAsia="仿宋_GB2312" w:cs="仿宋_GB2312"/>
          <w:b w:val="0"/>
          <w:bCs w:val="0"/>
          <w:color w:val="auto"/>
          <w:sz w:val="32"/>
          <w:szCs w:val="32"/>
          <w:lang w:val="en-US" w:eastAsia="zh-CN"/>
        </w:rPr>
        <w:t>积极探索长期护理险，助力康养产业发展</w:t>
      </w:r>
      <w:r>
        <w:rPr>
          <w:rFonts w:hint="eastAsia" w:ascii="仿宋_GB2312" w:hAnsi="宋体" w:eastAsia="仿宋_GB2312" w:cs="仿宋_GB2312"/>
          <w:b w:val="0"/>
          <w:bCs w:val="0"/>
          <w:color w:val="000000"/>
          <w:kern w:val="0"/>
          <w:sz w:val="32"/>
          <w:szCs w:val="32"/>
          <w:u w:val="none"/>
          <w:lang w:val="en-US" w:eastAsia="zh-CN" w:bidi="ar"/>
        </w:rPr>
        <w:t>，持续提升保险覆盖面</w:t>
      </w:r>
      <w:r>
        <w:rPr>
          <w:rFonts w:hint="eastAsia" w:ascii="仿宋_GB2312" w:hAnsi="仿宋_GB2312" w:eastAsia="仿宋_GB2312" w:cs="仿宋_GB2312"/>
          <w:b w:val="0"/>
          <w:bCs w:val="0"/>
          <w:color w:val="auto"/>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七是</w:t>
      </w:r>
      <w:r>
        <w:rPr>
          <w:rFonts w:hint="eastAsia" w:ascii="仿宋_GB2312" w:hAnsi="仿宋_GB2312" w:eastAsia="仿宋_GB2312" w:cs="仿宋_GB2312"/>
          <w:b w:val="0"/>
          <w:bCs w:val="0"/>
          <w:color w:val="auto"/>
          <w:sz w:val="32"/>
          <w:szCs w:val="32"/>
          <w:lang w:val="en-US" w:eastAsia="zh-CN"/>
        </w:rPr>
        <w:t>加</w:t>
      </w:r>
      <w:r>
        <w:rPr>
          <w:rFonts w:hint="eastAsia" w:ascii="仿宋_GB2312" w:hAnsi="仿宋_GB2312" w:eastAsia="仿宋_GB2312" w:cs="仿宋_GB2312"/>
          <w:sz w:val="32"/>
          <w:szCs w:val="32"/>
          <w:lang w:val="en-US" w:eastAsia="zh-CN"/>
        </w:rPr>
        <w:t>大多层次资本市场培育力度。深入落实企业上市五年“蝶变”行动计划，梯次培育优质企业，积极争取各类投资基金投资久达科技等拟上市重点企业，推动设立铝基新材料产业基金，“以投</w:t>
      </w:r>
      <w:r>
        <w:rPr>
          <w:rFonts w:hint="eastAsia" w:ascii="仿宋_GB2312" w:hAnsi="仿宋_GB2312" w:eastAsia="仿宋_GB2312" w:cs="仿宋_GB2312"/>
          <w:b w:val="0"/>
          <w:bCs w:val="0"/>
          <w:color w:val="auto"/>
          <w:sz w:val="32"/>
          <w:szCs w:val="32"/>
          <w:lang w:val="en-US" w:eastAsia="zh-CN"/>
        </w:rPr>
        <w:t>带招”，吸引优质企业项目落地。</w:t>
      </w:r>
    </w:p>
    <w:p>
      <w:pPr>
        <w:keepNext w:val="0"/>
        <w:keepLines w:val="0"/>
        <w:pageBreakBefore w:val="0"/>
        <w:widowControl w:val="0"/>
        <w:shd w:val="clea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八是</w:t>
      </w:r>
      <w:r>
        <w:rPr>
          <w:rFonts w:hint="eastAsia" w:ascii="仿宋_GB2312" w:hAnsi="仿宋_GB2312" w:eastAsia="仿宋_GB2312" w:cs="仿宋_GB2312"/>
          <w:b w:val="0"/>
          <w:bCs w:val="0"/>
          <w:color w:val="auto"/>
          <w:sz w:val="32"/>
          <w:szCs w:val="32"/>
          <w:lang w:val="en-US" w:eastAsia="zh-CN"/>
        </w:rPr>
        <w:t>牢牢守住不发生系统性金融风险底线。紧盯中小金融机构、银行机构不良贷款、地方政府债务和国有平台公司债务、房地产市场风险外溢、非法集资等风险隐患苗头，对风险早识别、</w:t>
      </w:r>
      <w:r>
        <w:rPr>
          <w:rFonts w:hint="eastAsia" w:ascii="仿宋_GB2312" w:hAnsi="仿宋_GB2312" w:eastAsia="仿宋_GB2312" w:cs="仿宋_GB2312"/>
          <w:sz w:val="32"/>
          <w:szCs w:val="32"/>
          <w:lang w:val="en-US" w:eastAsia="zh-CN"/>
        </w:rPr>
        <w:t>早预警、早暴露、早处置。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4080"/>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广元市金融工作局无下属二级预算单位，仅包含局机关。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3857"/>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金融工作局所有收入和支出均纳入部门预算管理。收入包括：一般公共预算拨款收入；支出包括：一般公共服务支出、社会保障和就业支出、卫生健康支出、住房保障支出。广元市金融工作局2024年收支总预算438.91万元，比2023年收支预算总数减少3.34万元，主要原因是2023年干部职工退休，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6770"/>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广元市金融工作局2024年收入预算438.91万元，其中：一般公共预算拨款收入438.91万元，占100%。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1860"/>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 xml:space="preserve">广元市金融工作局2024年支出预算438.91万元，其中：基本支出401.38万元，占91.45%；项目支出37.53万元，占8.55%。   </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rPr>
      </w:pPr>
      <w:bookmarkStart w:id="7" w:name="_Toc26859"/>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广元市金融工作局2024年财政拨款收支总预算438.91万元，比2023年财政拨款收支总预算减少3.34万元，主要原因是人员减少。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收入包括：本年一般公共预算拨款收入438.91万元。支出包括：一般公共服务支出362.58万元、社会保障和就业支出35.39万元、卫生健康支出11.39万元、住房保障支出29.55万元。</w:t>
      </w:r>
    </w:p>
    <w:p>
      <w:pPr>
        <w:keepNext w:val="0"/>
        <w:keepLines w:val="0"/>
        <w:pageBreakBefore w:val="0"/>
        <w:widowControl w:val="0"/>
        <w:shd w:val="clear"/>
        <w:kinsoku/>
        <w:wordWrap/>
        <w:overflowPunct/>
        <w:topLinePunct w:val="0"/>
        <w:autoSpaceDE/>
        <w:autoSpaceDN/>
        <w:bidi w:val="0"/>
        <w:adjustRightInd/>
        <w:snapToGrid/>
        <w:spacing w:line="240" w:lineRule="auto"/>
        <w:ind w:firstLine="640" w:firstLineChars="200"/>
        <w:textAlignment w:val="auto"/>
        <w:outlineLvl w:val="0"/>
        <w:rPr>
          <w:rFonts w:hint="eastAsia" w:ascii="黑体" w:hAnsi="黑体" w:eastAsia="黑体" w:cs="黑体"/>
          <w:sz w:val="32"/>
          <w:szCs w:val="32"/>
          <w:lang w:val="en-US" w:eastAsia="zh-CN"/>
        </w:rPr>
      </w:pPr>
      <w:bookmarkStart w:id="8" w:name="_Toc11540"/>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32334"/>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广元市金融工作局2024年财政拨款收支总预算438.91万元，比2023年财政拨款收支总预算减少3.34万元，主要原因是人员减少。</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bookmarkStart w:id="10" w:name="_Toc9131"/>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一般公共预算当年拨款结构情况</w:t>
      </w:r>
      <w:bookmarkEnd w:id="1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一般公共服务支出362.58万元，占82.61%；社会保障和就业支出35.39万元，占8.06%；卫生健康支出11.39万元，占2.6%；住房保障支出29.55万元，占6.73%。</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bookmarkStart w:id="11" w:name="_Toc20962"/>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（三）一般公共预算当年拨款具体使用情况</w:t>
      </w:r>
      <w:bookmarkEnd w:id="11"/>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1.一般公共服务（类）政府办公厅（室）及相关机构事务（款）行政运行（项）2024年预算数为325.05万元，</w:t>
      </w:r>
      <w:r>
        <w:rPr>
          <w:rFonts w:hint="eastAsia" w:ascii="仿宋_GB2312" w:hAnsi="仿宋_GB2312" w:eastAsia="仿宋_GB2312" w:cs="仿宋_GB2312"/>
          <w:sz w:val="32"/>
          <w:szCs w:val="32"/>
        </w:rPr>
        <w:t>主要用于：</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单位正常运转的支出，包括基本工资、津贴补贴等人员经费以及办公费、印刷费、水电费、会议费、全市融资担保公司审计服务采购项目、乡村振兴工作项目等支出，保障部门正常运转。</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2.一般公共服务（类）政府办公厅（室）及相关机构事务（款）一般行政管理事务（项）2024年预算数为37.53万元，</w:t>
      </w:r>
      <w:r>
        <w:rPr>
          <w:rFonts w:hint="eastAsia" w:ascii="仿宋_GB2312" w:hAnsi="仿宋_GB2312" w:eastAsia="仿宋_GB2312" w:cs="仿宋_GB2312"/>
          <w:sz w:val="32"/>
          <w:szCs w:val="32"/>
        </w:rPr>
        <w:t>主要用于：处置非法集资工作</w:t>
      </w:r>
      <w:r>
        <w:rPr>
          <w:rFonts w:hint="eastAsia" w:ascii="仿宋_GB2312" w:hAnsi="仿宋_GB2312" w:eastAsia="仿宋_GB2312" w:cs="仿宋_GB2312"/>
          <w:sz w:val="32"/>
          <w:szCs w:val="32"/>
          <w:lang w:eastAsia="zh-CN"/>
        </w:rPr>
        <w:t>、项目融资工作、乡村振兴工作等项目支出。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3.社会保障和就业（类）行政事业单位养老支出（款）机关事业单位基本养老保险缴费支出（项）2024年预算数为35.15万元，主要用于：实施养老保险制度由单位缴纳的基本养老保险支出。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4.社会保障和就业（类）行政事业单位养老支出（款）机关事业单位其他社会保障和就业支出（项）2024年预算数为0.24万元，主要用于：实施养老保险制度由单位缴纳的工伤保险支出。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5.卫生健康（类）行政事业单位医疗（款）行政单位医疗（项）2024年预算数为11.39万元，主要用于：机关及参公管理事业单位按规定由单位缴纳的基本医疗保险支出。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6.住房保障（类）住房改革支出（款）住房公积金（项）2024年预算数为29.55万元，主要用于：部门按规定为职工缴纳的住房公积金支出。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outlineLvl w:val="0"/>
        <w:rPr>
          <w:rFonts w:hint="eastAsia" w:ascii="黑体" w:hAnsi="黑体" w:eastAsia="黑体" w:cs="黑体"/>
          <w:sz w:val="32"/>
          <w:szCs w:val="32"/>
        </w:rPr>
      </w:pPr>
      <w:bookmarkStart w:id="12" w:name="_Toc28679"/>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广元市金融工作局2024年一般公共预算基本支出401.38万元，其中：</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人员经费345.52万元，主要包括：基本工资、津贴补贴、奖金、机关事业单位基本养老保险缴费、职工基本医疗保险缴费、工伤保险、住房公积金等支出。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公用经费55.86万元，主要包括：办公费、印刷费、水费、电费、邮电费、物业管理费、差旅费、会议费、培训费、公务接待费、工会经费、福利费、退休人员活动经费、党建经费、其他交通费用等支出。</w:t>
      </w:r>
    </w:p>
    <w:p>
      <w:pPr>
        <w:keepNext w:val="0"/>
        <w:keepLines w:val="0"/>
        <w:pageBreakBefore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outlineLvl w:val="0"/>
        <w:rPr>
          <w:rFonts w:hint="eastAsia" w:ascii="黑体" w:hAnsi="黑体" w:eastAsia="黑体" w:cs="黑体"/>
          <w:sz w:val="32"/>
          <w:szCs w:val="32"/>
          <w:lang w:val="en-US" w:eastAsia="zh-CN"/>
        </w:rPr>
      </w:pPr>
      <w:bookmarkStart w:id="13" w:name="_Toc20525"/>
      <w:r>
        <w:rPr>
          <w:rFonts w:hint="eastAsia" w:ascii="黑体" w:hAnsi="黑体" w:eastAsia="黑体" w:cs="黑体"/>
          <w:sz w:val="32"/>
          <w:szCs w:val="32"/>
          <w:lang w:val="en-US" w:eastAsia="zh-CN"/>
        </w:rPr>
        <w:t>“三公”经费财政拨款预算安排情况说明</w:t>
      </w:r>
      <w:bookmarkEnd w:id="13"/>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广元市金融工作局2024年“三公”经费财政拨款预算数0.4万元，其中：公务接待费0.4万元，公务用车购置及运行维护费0万元，因公出国（境）经费0万元。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bookmarkStart w:id="14" w:name="_Toc8489"/>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（一）公务接待费与2023年预算持平。</w:t>
      </w:r>
      <w:bookmarkEnd w:id="14"/>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2024年公务接待费计划用于执行接待考察调研、检查指导等公务活动开支的交通费、住宿费、用餐费等。</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bookmarkStart w:id="15" w:name="_Toc13919"/>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（二）公务用车购置及运行维护费与2023年预算</w:t>
      </w: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持平</w:t>
      </w:r>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w:t>
      </w:r>
      <w:bookmarkEnd w:id="15"/>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2024年公务用车购置费0万元，较2023年预算持平，原因是2024年无公务用车购置计划。单位现有公务用车0辆，2024年安排公务用车运行维护费0万元。</w:t>
      </w:r>
    </w:p>
    <w:p>
      <w:pPr>
        <w:keepNext w:val="0"/>
        <w:keepLines w:val="0"/>
        <w:pageBreakBefore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pPr>
      <w:bookmarkStart w:id="16" w:name="_Toc2284"/>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因公出国（境）经费与2023年预算</w:t>
      </w: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持平</w:t>
      </w:r>
      <w:r>
        <w:rPr>
          <w:rFonts w:hint="eastAsia" w:ascii="楷体_GB2312" w:hAnsi="楷体_GB2312" w:eastAsia="楷体_GB2312" w:cs="楷体_GB2312"/>
          <w:b w:val="0"/>
          <w:bCs/>
          <w:i w:val="0"/>
          <w:caps w:val="0"/>
          <w:color w:val="333333"/>
          <w:spacing w:val="0"/>
          <w:kern w:val="0"/>
          <w:sz w:val="32"/>
          <w:szCs w:val="32"/>
          <w:shd w:val="clear" w:color="auto" w:fill="FFFFFF"/>
          <w:lang w:val="en-US" w:eastAsia="zh-CN" w:bidi="ar"/>
        </w:rPr>
        <w:t>。</w:t>
      </w:r>
      <w:bookmarkEnd w:id="16"/>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2024年部门预算未编列因公出国（境）经费，未安排出国（境）任务和计划。</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7" w:name="_Toc6822"/>
      <w:r>
        <w:rPr>
          <w:rFonts w:hint="eastAsia" w:ascii="黑体" w:hAnsi="宋体" w:eastAsia="黑体" w:cs="黑体"/>
          <w:i w:val="0"/>
          <w:caps w:val="0"/>
          <w:color w:val="333333"/>
          <w:spacing w:val="0"/>
          <w:kern w:val="0"/>
          <w:sz w:val="32"/>
          <w:szCs w:val="32"/>
          <w:shd w:val="clear" w:color="auto" w:fill="FFFFFF"/>
          <w:lang w:val="en-US" w:eastAsia="zh-CN" w:bidi="ar"/>
        </w:rPr>
        <w:t>八、政府性基金预算支出情况说明</w:t>
      </w:r>
      <w:bookmarkEnd w:id="1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广元市金融工作局2024年没有使用政府性基金预算拨款安排的支出。</w:t>
      </w:r>
    </w:p>
    <w:p>
      <w:pPr>
        <w:keepNext w:val="0"/>
        <w:keepLines w:val="0"/>
        <w:pageBreakBefore w:val="0"/>
        <w:widowControl/>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bookmarkStart w:id="18" w:name="_Toc18818"/>
      <w:r>
        <w:rPr>
          <w:rFonts w:hint="eastAsia" w:ascii="黑体" w:hAnsi="宋体" w:eastAsia="黑体" w:cs="黑体"/>
          <w:i w:val="0"/>
          <w:caps w:val="0"/>
          <w:color w:val="333333"/>
          <w:spacing w:val="0"/>
          <w:kern w:val="0"/>
          <w:sz w:val="32"/>
          <w:szCs w:val="32"/>
          <w:shd w:val="clear" w:color="auto" w:fill="FFFFFF"/>
          <w:lang w:val="en-US" w:eastAsia="zh-CN" w:bidi="ar"/>
        </w:rPr>
        <w:t>九、国有资本经营预算支出情况说明</w:t>
      </w:r>
      <w:bookmarkEnd w:id="18"/>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广元市金融工作局2024年没有使用国有资本经营预算拨款安排的支出。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19" w:name="_Toc20548"/>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bookmarkStart w:id="20" w:name="_Toc944"/>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（一）机关运行经费</w:t>
      </w:r>
      <w:bookmarkEnd w:id="20"/>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2024年，广元市金融工作局机关运行经费财政拨款预算为55.86万元，比2023年预算减少2.45万元，下降4.2%。主要原因人员减少。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bookmarkStart w:id="21" w:name="_Toc19781"/>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（二）政府采购情况</w:t>
      </w:r>
      <w:bookmarkEnd w:id="21"/>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2024年，广元市金融工作局未安排政府采购预算。</w:t>
      </w:r>
      <w:bookmarkStart w:id="22" w:name="_Toc21543"/>
    </w:p>
    <w:p>
      <w:pPr>
        <w:keepNext w:val="0"/>
        <w:keepLines w:val="0"/>
        <w:pageBreakBefore w:val="0"/>
        <w:widowControl/>
        <w:numPr>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pPr>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（三</w:t>
      </w:r>
      <w:bookmarkStart w:id="26" w:name="_GoBack"/>
      <w:bookmarkEnd w:id="26"/>
      <w:r>
        <w:rPr>
          <w:rFonts w:hint="eastAsia" w:ascii="楷体_GB2312" w:hAnsi="Times New Roman" w:eastAsia="楷体_GB2312" w:cs="楷体_GB2312"/>
          <w:b w:val="0"/>
          <w:bCs/>
          <w:i w:val="0"/>
          <w:caps w:val="0"/>
          <w:color w:val="333333"/>
          <w:spacing w:val="0"/>
          <w:kern w:val="0"/>
          <w:sz w:val="32"/>
          <w:szCs w:val="32"/>
          <w:shd w:val="clear" w:color="auto" w:fill="FFFFFF"/>
          <w:lang w:val="en-US" w:eastAsia="zh-CN" w:bidi="ar"/>
        </w:rPr>
        <w:t>）国有资产占有使用情况</w:t>
      </w:r>
      <w:bookmarkEnd w:id="22"/>
    </w:p>
    <w:p>
      <w:pPr>
        <w:keepNext w:val="0"/>
        <w:keepLines w:val="0"/>
        <w:pageBreakBefore w:val="0"/>
        <w:widowControl/>
        <w:numPr>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截至2023年底，广元市金融工作局共有</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车辆0辆，无单位价值200万元以上的设备</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right="0" w:rightChars="0" w:firstLine="640" w:firstLineChars="200"/>
        <w:jc w:val="both"/>
        <w:textAlignment w:val="auto"/>
        <w:outlineLvl w:val="1"/>
        <w:rPr>
          <w:rFonts w:hint="eastAsia" w:ascii="楷体_GB2312" w:hAnsi="Times New Roman" w:eastAsia="楷体_GB2312" w:cs="楷体_GB2312"/>
          <w:b w:val="0"/>
          <w:bCs/>
          <w:i w:val="0"/>
          <w:caps w:val="0"/>
          <w:color w:val="333333"/>
          <w:spacing w:val="0"/>
          <w:kern w:val="0"/>
          <w:sz w:val="32"/>
          <w:szCs w:val="32"/>
          <w:highlight w:val="none"/>
          <w:shd w:val="clear" w:color="auto" w:fill="FFFFFF"/>
          <w:lang w:val="en-US" w:eastAsia="zh-CN" w:bidi="ar"/>
        </w:rPr>
      </w:pPr>
      <w:bookmarkStart w:id="23" w:name="_Toc9997"/>
      <w:r>
        <w:rPr>
          <w:rFonts w:hint="eastAsia" w:ascii="楷体_GB2312" w:hAnsi="Times New Roman" w:eastAsia="楷体_GB2312" w:cs="楷体_GB2312"/>
          <w:b w:val="0"/>
          <w:bCs/>
          <w:i w:val="0"/>
          <w:caps w:val="0"/>
          <w:color w:val="333333"/>
          <w:spacing w:val="0"/>
          <w:kern w:val="0"/>
          <w:sz w:val="32"/>
          <w:szCs w:val="32"/>
          <w:highlight w:val="none"/>
          <w:shd w:val="clear" w:color="auto" w:fill="FFFFFF"/>
          <w:lang w:val="en-US" w:eastAsia="zh-CN" w:bidi="ar"/>
        </w:rPr>
        <w:t>（四）绩效目标设置情况</w:t>
      </w:r>
      <w:bookmarkEnd w:id="23"/>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outlineLvl w:val="0"/>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pPr>
      <w:bookmarkStart w:id="24" w:name="_Toc109"/>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2024年广元市金融工作局开展绩效目标管理的项目13个，涉及预算438.91万元。其中：人员类项目6个，涉及预算345.52万元；运转类项目3个，涉及预算55.86万元；特定目标类项目4个，涉及预算37.53万元。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Chars="0" w:right="0" w:rightChars="0" w:firstLine="640" w:firstLineChars="200"/>
        <w:jc w:val="both"/>
        <w:textAlignment w:val="auto"/>
        <w:outlineLvl w:val="0"/>
        <w:rPr>
          <w:rFonts w:hint="eastAsia" w:ascii="黑体" w:hAnsi="宋体" w:eastAsia="黑体" w:cs="黑体"/>
          <w:i w:val="0"/>
          <w:caps w:val="0"/>
          <w:color w:val="333333"/>
          <w:spacing w:val="0"/>
          <w:kern w:val="0"/>
          <w:sz w:val="32"/>
          <w:szCs w:val="32"/>
          <w:shd w:val="clear" w:color="auto" w:fill="FFFFFF"/>
          <w:lang w:val="en-US" w:eastAsia="zh-CN" w:bidi="ar"/>
        </w:rPr>
      </w:pPr>
      <w:r>
        <w:rPr>
          <w:rFonts w:hint="eastAsia" w:ascii="黑体" w:hAnsi="宋体" w:eastAsia="黑体" w:cs="黑体"/>
          <w:i w:val="0"/>
          <w:caps w:val="0"/>
          <w:color w:val="333333"/>
          <w:spacing w:val="0"/>
          <w:kern w:val="0"/>
          <w:sz w:val="32"/>
          <w:szCs w:val="32"/>
          <w:shd w:val="clear" w:color="auto" w:fill="FFFFFF"/>
          <w:lang w:val="en-US" w:eastAsia="zh-CN" w:bidi="ar"/>
        </w:rPr>
        <w:t>十一、名词解释</w:t>
      </w:r>
      <w:bookmarkEnd w:id="24"/>
      <w:r>
        <w:rPr>
          <w:rFonts w:hint="eastAsia" w:ascii="黑体" w:hAnsi="宋体" w:eastAsia="黑体" w:cs="黑体"/>
          <w:i w:val="0"/>
          <w:caps w:val="0"/>
          <w:color w:val="333333"/>
          <w:spacing w:val="0"/>
          <w:kern w:val="0"/>
          <w:sz w:val="32"/>
          <w:szCs w:val="32"/>
          <w:shd w:val="clear" w:color="auto" w:fill="FFFFFF"/>
          <w:lang w:val="en-US" w:eastAsia="zh-CN" w:bidi="ar"/>
        </w:rPr>
        <w:tab/>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outlineLvl w:val="1"/>
        <w:rPr>
          <w:rFonts w:hint="eastAsia" w:ascii="仿宋_GB2312" w:hAnsi="仿宋_GB2312" w:eastAsia="仿宋_GB2312" w:cs="仿宋_GB2312"/>
          <w:b w:val="0"/>
          <w:bCs w:val="0"/>
          <w:i w:val="0"/>
          <w:caps w:val="0"/>
          <w:color w:val="FF0000"/>
          <w:spacing w:val="0"/>
          <w:kern w:val="0"/>
          <w:sz w:val="32"/>
          <w:szCs w:val="32"/>
          <w:shd w:val="clear" w:color="auto" w:fill="FFFFFF"/>
          <w:lang w:val="en-US" w:eastAsia="zh-CN" w:bidi="ar"/>
        </w:rPr>
      </w:pPr>
      <w:bookmarkStart w:id="25" w:name="_Toc9226"/>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一般公共预算拨款收入：指市级财政当年拨付的资金。</w:t>
      </w:r>
      <w:bookmarkEnd w:id="25"/>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val="0"/>
          <w:sz w:val="32"/>
          <w:szCs w:val="32"/>
        </w:rPr>
        <w:t>一般公共服务（类）政府办公厅（室）及相关机构事务（款）行政运行（项）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：指单位用于保障机构正常运行、开展日常工作的基本支出。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val="0"/>
          <w:sz w:val="32"/>
          <w:szCs w:val="32"/>
        </w:rPr>
        <w:t>一般公共服务（类）政府办公厅（室）及相关机构事务（款）一般行政管理事务（项）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：指单位开展处置非法集资、项目融资</w:t>
      </w:r>
      <w:r>
        <w:rPr>
          <w:rFonts w:hint="eastAsia" w:ascii="仿宋_GB2312" w:hAnsi="仿宋_GB2312" w:eastAsia="仿宋_GB2312" w:cs="仿宋_GB2312"/>
          <w:b w:val="0"/>
          <w:bCs w:val="0"/>
          <w:sz w:val="32"/>
          <w:szCs w:val="32"/>
          <w:lang w:eastAsia="zh-CN"/>
        </w:rPr>
        <w:t>等</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工作的项目支出。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社会保障和就业（类）行政事业单位养老支出（款）机关事业单位基本养老保险缴费支出（项）：指部门实施养老保险制度由单位缴纳的养老保险的支出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社会保障和就业（类）其他社会保障和就业支出（款）其他社会保障和就业支出（项）：指部门实施养老保险制度由单位缴纳的工伤保险的支出。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卫生健康（类）行政事业单位医疗（款）行政单位医疗（项）：指用于单位应缴纳基本医疗保险支出。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住房保障（类）住房改革支出（款）住房公积金（项）：指按照《住房公积金管理条例》的规定，由单位及其在职职工缴存的长期住房储金。</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基本支出：指为保证机构正常运转，完成日常工作任务而发生的人员支出和公用支出。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项目支出：指在基本支出之外为完成特定行政任务和事业发展目标所发生的支出。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Autospacing="0" w:line="576" w:lineRule="exact"/>
        <w:ind w:left="0" w:leftChars="0" w:right="0" w:rightChars="0" w:firstLine="420" w:firstLineChars="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机关运行经费：为保障行政单位（包括参照公务员法管理的事业单位）运行用于购买货物和服务的各项资金，包括办公及印刷费、邮电费、差旅费、会议费、培训费、福利费、党建经费、办公用房水电费、办公用房物业管理费以及其他费用。</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Autospacing="0" w:line="576"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Autospacing="0" w:line="576" w:lineRule="exact"/>
        <w:ind w:right="0" w:rightChars="0" w:firstLine="640"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2024年广元市金融工作局部门预算公开表</w:t>
      </w:r>
    </w:p>
    <w:p>
      <w:pPr>
        <w:keepNext w:val="0"/>
        <w:keepLines w:val="0"/>
        <w:pageBreakBefore w:val="0"/>
        <w:widowControl w:val="0"/>
        <w:numPr>
          <w:ilvl w:val="0"/>
          <w:numId w:val="0"/>
        </w:numPr>
        <w:pBdr>
          <w:bottom w:val="single" w:color="FFFFFF" w:sz="4" w:space="31"/>
        </w:pBdr>
        <w:shd w:val="clear"/>
        <w:tabs>
          <w:tab w:val="left" w:pos="1440"/>
        </w:tabs>
        <w:kinsoku/>
        <w:wordWrap/>
        <w:overflowPunct/>
        <w:topLinePunct w:val="0"/>
        <w:autoSpaceDE w:val="0"/>
        <w:autoSpaceDN w:val="0"/>
        <w:bidi w:val="0"/>
        <w:adjustRightInd w:val="0"/>
        <w:snapToGrid w:val="0"/>
        <w:spacing w:line="576" w:lineRule="exact"/>
        <w:ind w:firstLine="640" w:firstLineChars="200"/>
        <w:textAlignment w:val="auto"/>
        <w:rPr>
          <w:rFonts w:hint="eastAsia" w:ascii="仿宋_GB2312" w:hAnsi="仿宋_GB2312" w:eastAsia="仿宋_GB2312" w:cs="仿宋_GB2312"/>
          <w:b w:val="0"/>
          <w:bCs w:val="0"/>
          <w:color w:val="auto"/>
          <w:sz w:val="32"/>
          <w:szCs w:val="32"/>
          <w:lang w:val="en-US" w:eastAsia="zh-CN"/>
        </w:rPr>
      </w:pPr>
    </w:p>
    <w:sectPr>
      <w:footerReference r:id="rId4" w:type="default"/>
      <w:pgSz w:w="11906" w:h="16838"/>
      <w:pgMar w:top="2098" w:right="1474" w:bottom="1984" w:left="1587" w:header="720" w:footer="1559"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_GB2312">
    <w:panose1 w:val="02010609030101010101"/>
    <w:charset w:val="86"/>
    <w:family w:val="modern"/>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bHqHHeAQAAvgMAAA4AAABkcnMv&#10;ZTJvRG9jLnhtbK1TzY7TMBC+I/EOlu802a6E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xseocd4BAAC+AwAADgAAAAAAAAABACAAAAA0AQAAZHJzL2Uyb0RvYy54bWxQSwUGAAAAAAYA&#10;BgBZAQAAhAU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E06B0"/>
    <w:multiLevelType w:val="singleLevel"/>
    <w:tmpl w:val="97FE06B0"/>
    <w:lvl w:ilvl="0" w:tentative="0">
      <w:start w:val="2"/>
      <w:numFmt w:val="chineseCounting"/>
      <w:suff w:val="nothing"/>
      <w:lvlText w:val="（%1）"/>
      <w:lvlJc w:val="left"/>
      <w:rPr>
        <w:rFonts w:hint="eastAsia"/>
      </w:rPr>
    </w:lvl>
  </w:abstractNum>
  <w:abstractNum w:abstractNumId="1">
    <w:nsid w:val="B707DD62"/>
    <w:multiLevelType w:val="singleLevel"/>
    <w:tmpl w:val="B707DD62"/>
    <w:lvl w:ilvl="0" w:tentative="0">
      <w:start w:val="1"/>
      <w:numFmt w:val="chineseCounting"/>
      <w:suff w:val="nothing"/>
      <w:lvlText w:val="（%1）"/>
      <w:lvlJc w:val="left"/>
      <w:pPr>
        <w:ind w:left="0" w:firstLine="420"/>
      </w:pPr>
      <w:rPr>
        <w:rFonts w:hint="eastAsia"/>
        <w:color w:val="auto"/>
      </w:rPr>
    </w:lvl>
  </w:abstractNum>
  <w:abstractNum w:abstractNumId="2">
    <w:nsid w:val="F4791E79"/>
    <w:multiLevelType w:val="singleLevel"/>
    <w:tmpl w:val="F4791E79"/>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3343242"/>
    <w:rsid w:val="1337A3FF"/>
    <w:rsid w:val="1F672B08"/>
    <w:rsid w:val="1F7BF06F"/>
    <w:rsid w:val="1FCE11D0"/>
    <w:rsid w:val="1FEE4B73"/>
    <w:rsid w:val="1FFF5CBB"/>
    <w:rsid w:val="23CE9849"/>
    <w:rsid w:val="2B7B7C3F"/>
    <w:rsid w:val="2EFDAA76"/>
    <w:rsid w:val="2FAFB30B"/>
    <w:rsid w:val="2FF8C125"/>
    <w:rsid w:val="39F304DD"/>
    <w:rsid w:val="3CBE6D79"/>
    <w:rsid w:val="3DF5B5B8"/>
    <w:rsid w:val="3DFFF3D1"/>
    <w:rsid w:val="3FB129BC"/>
    <w:rsid w:val="467D0EE0"/>
    <w:rsid w:val="476E453E"/>
    <w:rsid w:val="4BA250B0"/>
    <w:rsid w:val="54244390"/>
    <w:rsid w:val="54662A63"/>
    <w:rsid w:val="566BDED0"/>
    <w:rsid w:val="58064E12"/>
    <w:rsid w:val="5BFEE015"/>
    <w:rsid w:val="5FF6C87F"/>
    <w:rsid w:val="5FFF5395"/>
    <w:rsid w:val="63654FE1"/>
    <w:rsid w:val="63EDCF55"/>
    <w:rsid w:val="63FBFBCF"/>
    <w:rsid w:val="669360FD"/>
    <w:rsid w:val="67EF0EFC"/>
    <w:rsid w:val="6879282C"/>
    <w:rsid w:val="68FF6A83"/>
    <w:rsid w:val="6ADFD5C5"/>
    <w:rsid w:val="6D7F4397"/>
    <w:rsid w:val="6FBBC9CF"/>
    <w:rsid w:val="6FCDA662"/>
    <w:rsid w:val="72BDE561"/>
    <w:rsid w:val="72BF415A"/>
    <w:rsid w:val="762BBDC4"/>
    <w:rsid w:val="76FB22E4"/>
    <w:rsid w:val="78462278"/>
    <w:rsid w:val="7997EA6C"/>
    <w:rsid w:val="7AEAE675"/>
    <w:rsid w:val="7BAFCE5D"/>
    <w:rsid w:val="7CBF6007"/>
    <w:rsid w:val="7D2E6DF7"/>
    <w:rsid w:val="7D46598C"/>
    <w:rsid w:val="7DABF8F8"/>
    <w:rsid w:val="7DFB240B"/>
    <w:rsid w:val="7E0935ED"/>
    <w:rsid w:val="7EEF91A4"/>
    <w:rsid w:val="7F3B90DB"/>
    <w:rsid w:val="7FBD253F"/>
    <w:rsid w:val="7FCF2AF7"/>
    <w:rsid w:val="7FD9B0DF"/>
    <w:rsid w:val="7FDDC2AC"/>
    <w:rsid w:val="9FEF033D"/>
    <w:rsid w:val="A27FF1E5"/>
    <w:rsid w:val="ABFE3F70"/>
    <w:rsid w:val="ADF755B9"/>
    <w:rsid w:val="AF34FE28"/>
    <w:rsid w:val="AFDEB5A7"/>
    <w:rsid w:val="AFEA7FBF"/>
    <w:rsid w:val="B83F4767"/>
    <w:rsid w:val="BDFD8A48"/>
    <w:rsid w:val="BF930F07"/>
    <w:rsid w:val="BFCE8436"/>
    <w:rsid w:val="BFFFC975"/>
    <w:rsid w:val="C3F7EB7A"/>
    <w:rsid w:val="CFF5FEEC"/>
    <w:rsid w:val="D3DD9064"/>
    <w:rsid w:val="D6F76A0C"/>
    <w:rsid w:val="D7ECE8D2"/>
    <w:rsid w:val="DE7737FF"/>
    <w:rsid w:val="DFDD4FB5"/>
    <w:rsid w:val="DFFF624E"/>
    <w:rsid w:val="E7CFBD33"/>
    <w:rsid w:val="E7F748B5"/>
    <w:rsid w:val="EBDFE9C2"/>
    <w:rsid w:val="EBFEABD8"/>
    <w:rsid w:val="EE5F3713"/>
    <w:rsid w:val="EFC9D62C"/>
    <w:rsid w:val="EFFF10C2"/>
    <w:rsid w:val="F45B3EE0"/>
    <w:rsid w:val="F56C1489"/>
    <w:rsid w:val="F6BE9755"/>
    <w:rsid w:val="F6FFA89B"/>
    <w:rsid w:val="F7AEA91F"/>
    <w:rsid w:val="F7B30E0A"/>
    <w:rsid w:val="F7DE2CF7"/>
    <w:rsid w:val="F7EF6EE9"/>
    <w:rsid w:val="F7FFA70A"/>
    <w:rsid w:val="FAE4EFE1"/>
    <w:rsid w:val="FAFF54C4"/>
    <w:rsid w:val="FB9B6F12"/>
    <w:rsid w:val="FBB66A4A"/>
    <w:rsid w:val="FBDB842A"/>
    <w:rsid w:val="FBDF14F7"/>
    <w:rsid w:val="FD6FF3BB"/>
    <w:rsid w:val="FDEE6989"/>
    <w:rsid w:val="FE7DDEB4"/>
    <w:rsid w:val="FEB89C13"/>
    <w:rsid w:val="FEBF338B"/>
    <w:rsid w:val="FF5E7DB8"/>
    <w:rsid w:val="FF77E367"/>
    <w:rsid w:val="FFD576EB"/>
    <w:rsid w:val="FFDD372A"/>
    <w:rsid w:val="FFF91365"/>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5">
    <w:name w:val="caption"/>
    <w:basedOn w:val="1"/>
    <w:qFormat/>
    <w:uiPriority w:val="0"/>
    <w:pPr>
      <w:widowControl w:val="0"/>
      <w:suppressLineNumbers/>
      <w:suppressAutoHyphens/>
      <w:spacing w:before="120" w:after="120"/>
    </w:pPr>
    <w:rPr>
      <w:i/>
      <w:iCs/>
      <w:sz w:val="24"/>
      <w:szCs w:val="24"/>
    </w:rPr>
  </w:style>
  <w:style w:type="paragraph" w:styleId="6">
    <w:name w:val="Plain Text"/>
    <w:basedOn w:val="1"/>
    <w:qFormat/>
    <w:uiPriority w:val="0"/>
    <w:pPr>
      <w:suppressAutoHyphens w:val="0"/>
    </w:pPr>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4"/>
    <w:qFormat/>
    <w:uiPriority w:val="0"/>
  </w:style>
  <w:style w:type="paragraph" w:styleId="10">
    <w:name w:val="Body Text 2"/>
    <w:basedOn w:val="1"/>
    <w:qFormat/>
    <w:uiPriority w:val="0"/>
    <w:pPr>
      <w:spacing w:after="120" w:line="480" w:lineRule="auto"/>
    </w:pPr>
    <w:rPr>
      <w:rFonts w:eastAsia="仿宋_GB2312"/>
      <w:sz w:val="32"/>
      <w:szCs w:val="20"/>
    </w:r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2018-12-01T01:47:00Z</dcterms:created>
  <dc:creator>admin</dc:creator>
  <cp:lastModifiedBy> </cp:lastModifiedBy>
  <dcterms:modified xsi:type="dcterms:W3CDTF">2024-02-18T12:07:23Z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1644FEADE396B2FB8578BB65D12191D2</vt:lpwstr>
  </property>
</Properties>
</file>