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0" w:afterAutospacing="0" w:line="576" w:lineRule="exact"/>
        <w:ind w:left="0" w:right="0" w:firstLine="0"/>
        <w:jc w:val="center"/>
        <w:textAlignment w:val="auto"/>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0" w:afterAutospacing="0" w:line="576" w:lineRule="exact"/>
        <w:ind w:left="0" w:right="0" w:firstLine="0"/>
        <w:jc w:val="center"/>
        <w:textAlignment w:val="auto"/>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0" w:afterAutospacing="0" w:line="576" w:lineRule="exact"/>
        <w:ind w:left="0" w:right="0" w:firstLine="0"/>
        <w:jc w:val="center"/>
        <w:textAlignment w:val="auto"/>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bookmarkStart w:id="0" w:name="_Toc10648"/>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广元市昭化区人民法院</w:t>
      </w:r>
      <w:bookmarkEnd w:id="0"/>
    </w:p>
    <w:p>
      <w:pPr>
        <w:rPr>
          <w:rFonts w:hint="eastAsia"/>
          <w:lang w:val="en-US" w:eastAsia="zh-CN"/>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0" w:afterAutospacing="0" w:line="576" w:lineRule="exact"/>
        <w:ind w:left="0" w:right="0" w:firstLine="0"/>
        <w:jc w:val="center"/>
        <w:textAlignment w:val="auto"/>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sectPr>
          <w:footerReference r:id="rId3" w:type="default"/>
          <w:pgSz w:w="11906" w:h="16838"/>
          <w:pgMar w:top="2098" w:right="1474" w:bottom="1984" w:left="1587" w:header="720" w:footer="1559" w:gutter="0"/>
          <w:pgNumType w:fmt="decimal"/>
          <w:cols w:space="720" w:num="1"/>
          <w:docGrid w:type="lines" w:linePitch="312" w:charSpace="0"/>
        </w:sect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w:t>
      </w:r>
    </w:p>
    <w:sdt>
      <w:sdtPr>
        <w:rPr>
          <w:rFonts w:ascii="宋体" w:hAnsi="宋体" w:eastAsia="宋体" w:cs="Times New Roman"/>
          <w:color w:val="auto"/>
          <w:kern w:val="2"/>
          <w:sz w:val="21"/>
          <w:szCs w:val="24"/>
          <w:lang w:val="en-US" w:eastAsia="zh-CN" w:bidi="ar-SA"/>
        </w:rPr>
        <w:id w:val="147480799"/>
        <w15:color w:val="DBDBDB"/>
        <w:docPartObj>
          <w:docPartGallery w:val="Table of Contents"/>
          <w:docPartUnique/>
        </w:docPartObj>
      </w:sdtPr>
      <w:sdtEndPr>
        <w:rPr>
          <w:rFonts w:hint="eastAsia" w:ascii="黑体" w:hAnsi="黑体" w:eastAsia="黑体" w:cs="黑体"/>
          <w:b/>
          <w:color w:val="auto"/>
          <w:kern w:val="2"/>
          <w:sz w:val="21"/>
          <w:szCs w:val="32"/>
          <w:highlight w:val="none"/>
          <w:lang w:val="en-US" w:eastAsia="zh-CN" w:bidi="ar-SA"/>
        </w:rPr>
      </w:sdtEndPr>
      <w:sdtContent>
        <w:p>
          <w:pPr>
            <w:spacing w:before="0" w:beforeLines="0" w:after="0" w:afterLines="0" w:line="360" w:lineRule="auto"/>
            <w:ind w:left="0" w:leftChars="0" w:right="0" w:rightChars="0" w:firstLine="0" w:firstLineChars="0"/>
            <w:jc w:val="center"/>
          </w:pPr>
          <w:bookmarkStart w:id="26" w:name="_GoBack"/>
          <w:r>
            <w:rPr>
              <w:rFonts w:ascii="宋体" w:hAnsi="宋体" w:eastAsia="宋体"/>
              <w:sz w:val="21"/>
            </w:rPr>
            <w:t>目录</w:t>
          </w:r>
        </w:p>
        <w:p>
          <w:pPr>
            <w:pStyle w:val="14"/>
            <w:tabs>
              <w:tab w:val="right" w:leader="dot" w:pos="8845"/>
            </w:tabs>
            <w:spacing w:line="360" w:lineRule="auto"/>
            <w:rPr>
              <w:b/>
            </w:rPr>
          </w:pPr>
          <w:r>
            <w:rPr>
              <w:rFonts w:hint="eastAsia" w:ascii="黑体" w:hAnsi="黑体" w:eastAsia="黑体" w:cs="黑体"/>
              <w:sz w:val="32"/>
              <w:szCs w:val="32"/>
              <w:highlight w:val="none"/>
              <w:lang w:val="en-US" w:eastAsia="zh-CN"/>
            </w:rPr>
            <w:fldChar w:fldCharType="begin"/>
          </w:r>
          <w:r>
            <w:rPr>
              <w:rFonts w:hint="eastAsia" w:ascii="黑体" w:hAnsi="黑体" w:eastAsia="黑体" w:cs="黑体"/>
              <w:sz w:val="32"/>
              <w:szCs w:val="32"/>
              <w:highlight w:val="none"/>
              <w:lang w:val="en-US" w:eastAsia="zh-CN"/>
            </w:rPr>
            <w:instrText xml:space="preserve">TOC \o "1-2" \h \u </w:instrText>
          </w:r>
          <w:r>
            <w:rPr>
              <w:rFonts w:hint="eastAsia" w:ascii="黑体" w:hAnsi="黑体" w:eastAsia="黑体" w:cs="黑体"/>
              <w:sz w:val="32"/>
              <w:szCs w:val="32"/>
              <w:highlight w:val="none"/>
              <w:lang w:val="en-US" w:eastAsia="zh-CN"/>
            </w:rPr>
            <w:fldChar w:fldCharType="separate"/>
          </w:r>
          <w:r>
            <w:rPr>
              <w:rFonts w:hint="eastAsia" w:ascii="黑体" w:hAnsi="黑体" w:eastAsia="黑体" w:cs="黑体"/>
              <w:b/>
              <w:szCs w:val="32"/>
              <w:highlight w:val="none"/>
              <w:lang w:val="en-US" w:eastAsia="zh-CN"/>
            </w:rPr>
            <w:fldChar w:fldCharType="begin"/>
          </w:r>
          <w:r>
            <w:rPr>
              <w:rFonts w:hint="eastAsia" w:ascii="黑体" w:hAnsi="黑体" w:eastAsia="黑体" w:cs="黑体"/>
              <w:b/>
              <w:szCs w:val="32"/>
              <w:highlight w:val="none"/>
              <w:lang w:val="en-US" w:eastAsia="zh-CN"/>
            </w:rPr>
            <w:instrText xml:space="preserve"> HYPERLINK \l _Toc15923 </w:instrText>
          </w:r>
          <w:r>
            <w:rPr>
              <w:rFonts w:hint="eastAsia" w:ascii="黑体" w:hAnsi="黑体" w:eastAsia="黑体" w:cs="黑体"/>
              <w:b/>
              <w:szCs w:val="32"/>
              <w:highlight w:val="none"/>
              <w:lang w:val="en-US" w:eastAsia="zh-CN"/>
            </w:rPr>
            <w:fldChar w:fldCharType="separate"/>
          </w:r>
          <w:r>
            <w:rPr>
              <w:rFonts w:hint="eastAsia" w:ascii="黑体" w:hAnsi="黑体" w:eastAsia="黑体" w:cs="黑体"/>
              <w:b/>
              <w:szCs w:val="32"/>
              <w:highlight w:val="none"/>
              <w:lang w:val="en-US" w:eastAsia="zh-CN"/>
            </w:rPr>
            <w:t>一、基本职能及主要工作</w:t>
          </w:r>
          <w:r>
            <w:rPr>
              <w:b/>
            </w:rPr>
            <w:tab/>
          </w:r>
          <w:r>
            <w:rPr>
              <w:b/>
            </w:rPr>
            <w:fldChar w:fldCharType="begin"/>
          </w:r>
          <w:r>
            <w:rPr>
              <w:b/>
            </w:rPr>
            <w:instrText xml:space="preserve"> PAGEREF _Toc15923 \h </w:instrText>
          </w:r>
          <w:r>
            <w:rPr>
              <w:b/>
            </w:rPr>
            <w:fldChar w:fldCharType="separate"/>
          </w:r>
          <w:r>
            <w:rPr>
              <w:b/>
            </w:rPr>
            <w:t>3</w:t>
          </w:r>
          <w:r>
            <w:rPr>
              <w:b/>
            </w:rPr>
            <w:fldChar w:fldCharType="end"/>
          </w:r>
          <w:r>
            <w:rPr>
              <w:rFonts w:hint="eastAsia" w:ascii="黑体" w:hAnsi="黑体" w:eastAsia="黑体" w:cs="黑体"/>
              <w:b/>
              <w:szCs w:val="32"/>
              <w:highlight w:val="none"/>
              <w:lang w:val="en-US" w:eastAsia="zh-CN"/>
            </w:rPr>
            <w:fldChar w:fldCharType="end"/>
          </w:r>
        </w:p>
        <w:p>
          <w:pPr>
            <w:pStyle w:val="15"/>
            <w:tabs>
              <w:tab w:val="right" w:leader="dot" w:pos="8845"/>
            </w:tabs>
            <w:spacing w:line="360" w:lineRule="auto"/>
          </w:pPr>
          <w:r>
            <w:rPr>
              <w:rFonts w:hint="eastAsia" w:ascii="黑体" w:hAnsi="黑体" w:eastAsia="黑体" w:cs="黑体"/>
              <w:szCs w:val="32"/>
              <w:highlight w:val="none"/>
              <w:lang w:val="en-US" w:eastAsia="zh-CN"/>
            </w:rPr>
            <w:fldChar w:fldCharType="begin"/>
          </w:r>
          <w:r>
            <w:rPr>
              <w:rFonts w:hint="eastAsia" w:ascii="黑体" w:hAnsi="黑体" w:eastAsia="黑体" w:cs="黑体"/>
              <w:szCs w:val="32"/>
              <w:highlight w:val="none"/>
              <w:lang w:val="en-US" w:eastAsia="zh-CN"/>
            </w:rPr>
            <w:instrText xml:space="preserve"> HYPERLINK \l _Toc25007 </w:instrText>
          </w:r>
          <w:r>
            <w:rPr>
              <w:rFonts w:hint="eastAsia" w:ascii="黑体" w:hAnsi="黑体" w:eastAsia="黑体" w:cs="黑体"/>
              <w:szCs w:val="32"/>
              <w:highlight w:val="none"/>
              <w:lang w:val="en-US" w:eastAsia="zh-CN"/>
            </w:rPr>
            <w:fldChar w:fldCharType="separate"/>
          </w:r>
          <w:r>
            <w:rPr>
              <w:rFonts w:hint="eastAsia" w:ascii="楷体_GB2312" w:hAnsi="楷体_GB2312" w:eastAsia="楷体_GB2312" w:cs="楷体_GB2312"/>
              <w:szCs w:val="32"/>
              <w:highlight w:val="none"/>
            </w:rPr>
            <w:t>（一）</w:t>
          </w:r>
          <w:r>
            <w:rPr>
              <w:rFonts w:hint="eastAsia" w:ascii="楷体_GB2312" w:hAnsi="楷体_GB2312" w:eastAsia="楷体_GB2312" w:cs="楷体_GB2312"/>
              <w:szCs w:val="32"/>
              <w:highlight w:val="none"/>
              <w:lang w:val="en-US" w:eastAsia="zh-CN"/>
            </w:rPr>
            <w:t>广元市昭化区人民法院</w:t>
          </w:r>
          <w:r>
            <w:rPr>
              <w:rFonts w:hint="eastAsia" w:ascii="楷体_GB2312" w:hAnsi="楷体_GB2312" w:eastAsia="楷体_GB2312" w:cs="楷体_GB2312"/>
              <w:szCs w:val="32"/>
              <w:highlight w:val="none"/>
            </w:rPr>
            <w:t>职能简介</w:t>
          </w:r>
          <w:r>
            <w:tab/>
          </w:r>
          <w:r>
            <w:fldChar w:fldCharType="begin"/>
          </w:r>
          <w:r>
            <w:instrText xml:space="preserve"> PAGEREF _Toc25007 \h </w:instrText>
          </w:r>
          <w:r>
            <w:fldChar w:fldCharType="separate"/>
          </w:r>
          <w:r>
            <w:t>3</w:t>
          </w:r>
          <w:r>
            <w:fldChar w:fldCharType="end"/>
          </w:r>
          <w:r>
            <w:rPr>
              <w:rFonts w:hint="eastAsia" w:ascii="黑体" w:hAnsi="黑体" w:eastAsia="黑体" w:cs="黑体"/>
              <w:szCs w:val="32"/>
              <w:highlight w:val="none"/>
              <w:lang w:val="en-US" w:eastAsia="zh-CN"/>
            </w:rPr>
            <w:fldChar w:fldCharType="end"/>
          </w:r>
        </w:p>
        <w:p>
          <w:pPr>
            <w:pStyle w:val="15"/>
            <w:tabs>
              <w:tab w:val="right" w:leader="dot" w:pos="8845"/>
            </w:tabs>
            <w:spacing w:line="360" w:lineRule="auto"/>
          </w:pPr>
          <w:r>
            <w:rPr>
              <w:rFonts w:hint="eastAsia" w:ascii="黑体" w:hAnsi="黑体" w:eastAsia="黑体" w:cs="黑体"/>
              <w:szCs w:val="32"/>
              <w:highlight w:val="none"/>
              <w:lang w:val="en-US" w:eastAsia="zh-CN"/>
            </w:rPr>
            <w:fldChar w:fldCharType="begin"/>
          </w:r>
          <w:r>
            <w:rPr>
              <w:rFonts w:hint="eastAsia" w:ascii="黑体" w:hAnsi="黑体" w:eastAsia="黑体" w:cs="黑体"/>
              <w:szCs w:val="32"/>
              <w:highlight w:val="none"/>
              <w:lang w:val="en-US" w:eastAsia="zh-CN"/>
            </w:rPr>
            <w:instrText xml:space="preserve"> HYPERLINK \l _Toc17603 </w:instrText>
          </w:r>
          <w:r>
            <w:rPr>
              <w:rFonts w:hint="eastAsia" w:ascii="黑体" w:hAnsi="黑体" w:eastAsia="黑体" w:cs="黑体"/>
              <w:szCs w:val="32"/>
              <w:highlight w:val="none"/>
              <w:lang w:val="en-US" w:eastAsia="zh-CN"/>
            </w:rPr>
            <w:fldChar w:fldCharType="separate"/>
          </w:r>
          <w:r>
            <w:rPr>
              <w:rFonts w:hint="eastAsia" w:ascii="楷体_GB2312" w:hAnsi="楷体_GB2312" w:eastAsia="楷体_GB2312" w:cs="楷体_GB2312"/>
              <w:szCs w:val="32"/>
            </w:rPr>
            <w:t xml:space="preserve">（二） </w:t>
          </w:r>
          <w:r>
            <w:rPr>
              <w:rFonts w:hint="eastAsia" w:ascii="楷体_GB2312" w:hAnsi="楷体_GB2312" w:eastAsia="楷体_GB2312" w:cs="楷体_GB2312"/>
              <w:szCs w:val="32"/>
              <w:highlight w:val="none"/>
              <w:lang w:val="en-US" w:eastAsia="zh-CN"/>
            </w:rPr>
            <w:t>广元市昭化区人民法院</w:t>
          </w:r>
          <w:r>
            <w:rPr>
              <w:rFonts w:hint="eastAsia" w:ascii="楷体_GB2312" w:hAnsi="楷体_GB2312" w:eastAsia="楷体_GB2312" w:cs="楷体_GB2312"/>
              <w:szCs w:val="32"/>
              <w:highlight w:val="none"/>
              <w:lang w:val="en-US"/>
            </w:rPr>
            <w:t>2024</w:t>
          </w:r>
          <w:r>
            <w:rPr>
              <w:rFonts w:hint="eastAsia" w:ascii="楷体_GB2312" w:hAnsi="楷体_GB2312" w:eastAsia="楷体_GB2312" w:cs="楷体_GB2312"/>
              <w:szCs w:val="32"/>
              <w:highlight w:val="none"/>
            </w:rPr>
            <w:t>年重点工作</w:t>
          </w:r>
          <w:r>
            <w:tab/>
          </w:r>
          <w:r>
            <w:fldChar w:fldCharType="begin"/>
          </w:r>
          <w:r>
            <w:instrText xml:space="preserve"> PAGEREF _Toc17603 \h </w:instrText>
          </w:r>
          <w:r>
            <w:fldChar w:fldCharType="separate"/>
          </w:r>
          <w:r>
            <w:t>4</w:t>
          </w:r>
          <w:r>
            <w:fldChar w:fldCharType="end"/>
          </w:r>
          <w:r>
            <w:rPr>
              <w:rFonts w:hint="eastAsia" w:ascii="黑体" w:hAnsi="黑体" w:eastAsia="黑体" w:cs="黑体"/>
              <w:szCs w:val="32"/>
              <w:highlight w:val="none"/>
              <w:lang w:val="en-US" w:eastAsia="zh-CN"/>
            </w:rPr>
            <w:fldChar w:fldCharType="end"/>
          </w:r>
        </w:p>
        <w:p>
          <w:pPr>
            <w:pStyle w:val="14"/>
            <w:tabs>
              <w:tab w:val="right" w:leader="dot" w:pos="8845"/>
            </w:tabs>
            <w:spacing w:line="360" w:lineRule="auto"/>
            <w:rPr>
              <w:b/>
            </w:rPr>
          </w:pPr>
          <w:r>
            <w:rPr>
              <w:rFonts w:hint="eastAsia" w:ascii="黑体" w:hAnsi="黑体" w:eastAsia="黑体" w:cs="黑体"/>
              <w:b/>
              <w:szCs w:val="32"/>
              <w:highlight w:val="none"/>
              <w:lang w:val="en-US" w:eastAsia="zh-CN"/>
            </w:rPr>
            <w:fldChar w:fldCharType="begin"/>
          </w:r>
          <w:r>
            <w:rPr>
              <w:rFonts w:hint="eastAsia" w:ascii="黑体" w:hAnsi="黑体" w:eastAsia="黑体" w:cs="黑体"/>
              <w:b/>
              <w:szCs w:val="32"/>
              <w:highlight w:val="none"/>
              <w:lang w:val="en-US" w:eastAsia="zh-CN"/>
            </w:rPr>
            <w:instrText xml:space="preserve"> HYPERLINK \l _Toc7840 </w:instrText>
          </w:r>
          <w:r>
            <w:rPr>
              <w:rFonts w:hint="eastAsia" w:ascii="黑体" w:hAnsi="黑体" w:eastAsia="黑体" w:cs="黑体"/>
              <w:b/>
              <w:szCs w:val="32"/>
              <w:highlight w:val="none"/>
              <w:lang w:val="en-US" w:eastAsia="zh-CN"/>
            </w:rPr>
            <w:fldChar w:fldCharType="separate"/>
          </w:r>
          <w:r>
            <w:rPr>
              <w:rFonts w:hint="eastAsia" w:ascii="黑体" w:hAnsi="黑体" w:eastAsia="黑体" w:cs="黑体"/>
              <w:b/>
              <w:szCs w:val="32"/>
              <w:highlight w:val="none"/>
              <w:lang w:val="en-US" w:eastAsia="zh-CN"/>
            </w:rPr>
            <w:t>二、部门预算单位构成</w:t>
          </w:r>
          <w:r>
            <w:rPr>
              <w:b/>
            </w:rPr>
            <w:tab/>
          </w:r>
          <w:r>
            <w:rPr>
              <w:b/>
            </w:rPr>
            <w:fldChar w:fldCharType="begin"/>
          </w:r>
          <w:r>
            <w:rPr>
              <w:b/>
            </w:rPr>
            <w:instrText xml:space="preserve"> PAGEREF _Toc7840 \h </w:instrText>
          </w:r>
          <w:r>
            <w:rPr>
              <w:b/>
            </w:rPr>
            <w:fldChar w:fldCharType="separate"/>
          </w:r>
          <w:r>
            <w:rPr>
              <w:b/>
            </w:rPr>
            <w:t>5</w:t>
          </w:r>
          <w:r>
            <w:rPr>
              <w:b/>
            </w:rPr>
            <w:fldChar w:fldCharType="end"/>
          </w:r>
          <w:r>
            <w:rPr>
              <w:rFonts w:hint="eastAsia" w:ascii="黑体" w:hAnsi="黑体" w:eastAsia="黑体" w:cs="黑体"/>
              <w:b/>
              <w:szCs w:val="32"/>
              <w:highlight w:val="none"/>
              <w:lang w:val="en-US" w:eastAsia="zh-CN"/>
            </w:rPr>
            <w:fldChar w:fldCharType="end"/>
          </w:r>
        </w:p>
        <w:p>
          <w:pPr>
            <w:pStyle w:val="14"/>
            <w:tabs>
              <w:tab w:val="right" w:leader="dot" w:pos="8845"/>
            </w:tabs>
            <w:spacing w:line="360" w:lineRule="auto"/>
            <w:rPr>
              <w:b/>
            </w:rPr>
          </w:pPr>
          <w:r>
            <w:rPr>
              <w:rFonts w:hint="eastAsia" w:ascii="黑体" w:hAnsi="黑体" w:eastAsia="黑体" w:cs="黑体"/>
              <w:b/>
              <w:szCs w:val="32"/>
              <w:highlight w:val="none"/>
              <w:lang w:val="en-US" w:eastAsia="zh-CN"/>
            </w:rPr>
            <w:fldChar w:fldCharType="begin"/>
          </w:r>
          <w:r>
            <w:rPr>
              <w:rFonts w:hint="eastAsia" w:ascii="黑体" w:hAnsi="黑体" w:eastAsia="黑体" w:cs="黑体"/>
              <w:b/>
              <w:szCs w:val="32"/>
              <w:highlight w:val="none"/>
              <w:lang w:val="en-US" w:eastAsia="zh-CN"/>
            </w:rPr>
            <w:instrText xml:space="preserve"> HYPERLINK \l _Toc1195 </w:instrText>
          </w:r>
          <w:r>
            <w:rPr>
              <w:rFonts w:hint="eastAsia" w:ascii="黑体" w:hAnsi="黑体" w:eastAsia="黑体" w:cs="黑体"/>
              <w:b/>
              <w:szCs w:val="32"/>
              <w:highlight w:val="none"/>
              <w:lang w:val="en-US" w:eastAsia="zh-CN"/>
            </w:rPr>
            <w:fldChar w:fldCharType="separate"/>
          </w:r>
          <w:r>
            <w:rPr>
              <w:rFonts w:hint="eastAsia" w:ascii="黑体" w:hAnsi="黑体" w:eastAsia="黑体" w:cs="黑体"/>
              <w:b/>
              <w:szCs w:val="32"/>
              <w:highlight w:val="none"/>
              <w:lang w:val="en-US" w:eastAsia="zh-CN"/>
            </w:rPr>
            <w:t>三、收支预算情况说明</w:t>
          </w:r>
          <w:r>
            <w:rPr>
              <w:b/>
            </w:rPr>
            <w:tab/>
          </w:r>
          <w:r>
            <w:rPr>
              <w:b/>
            </w:rPr>
            <w:fldChar w:fldCharType="begin"/>
          </w:r>
          <w:r>
            <w:rPr>
              <w:b/>
            </w:rPr>
            <w:instrText xml:space="preserve"> PAGEREF _Toc1195 \h </w:instrText>
          </w:r>
          <w:r>
            <w:rPr>
              <w:b/>
            </w:rPr>
            <w:fldChar w:fldCharType="separate"/>
          </w:r>
          <w:r>
            <w:rPr>
              <w:b/>
            </w:rPr>
            <w:t>5</w:t>
          </w:r>
          <w:r>
            <w:rPr>
              <w:b/>
            </w:rPr>
            <w:fldChar w:fldCharType="end"/>
          </w:r>
          <w:r>
            <w:rPr>
              <w:rFonts w:hint="eastAsia" w:ascii="黑体" w:hAnsi="黑体" w:eastAsia="黑体" w:cs="黑体"/>
              <w:b/>
              <w:szCs w:val="32"/>
              <w:highlight w:val="none"/>
              <w:lang w:val="en-US" w:eastAsia="zh-CN"/>
            </w:rPr>
            <w:fldChar w:fldCharType="end"/>
          </w:r>
        </w:p>
        <w:p>
          <w:pPr>
            <w:pStyle w:val="15"/>
            <w:tabs>
              <w:tab w:val="right" w:leader="dot" w:pos="8845"/>
            </w:tabs>
            <w:spacing w:line="360" w:lineRule="auto"/>
          </w:pPr>
          <w:r>
            <w:rPr>
              <w:rFonts w:hint="eastAsia" w:ascii="黑体" w:hAnsi="黑体" w:eastAsia="黑体" w:cs="黑体"/>
              <w:szCs w:val="32"/>
              <w:highlight w:val="none"/>
              <w:lang w:val="en-US" w:eastAsia="zh-CN"/>
            </w:rPr>
            <w:fldChar w:fldCharType="begin"/>
          </w:r>
          <w:r>
            <w:rPr>
              <w:rFonts w:hint="eastAsia" w:ascii="黑体" w:hAnsi="黑体" w:eastAsia="黑体" w:cs="黑体"/>
              <w:szCs w:val="32"/>
              <w:highlight w:val="none"/>
              <w:lang w:val="en-US" w:eastAsia="zh-CN"/>
            </w:rPr>
            <w:instrText xml:space="preserve"> HYPERLINK \l _Toc16600 </w:instrText>
          </w:r>
          <w:r>
            <w:rPr>
              <w:rFonts w:hint="eastAsia" w:ascii="黑体" w:hAnsi="黑体" w:eastAsia="黑体" w:cs="黑体"/>
              <w:szCs w:val="32"/>
              <w:highlight w:val="none"/>
              <w:lang w:val="en-US" w:eastAsia="zh-CN"/>
            </w:rPr>
            <w:fldChar w:fldCharType="separate"/>
          </w:r>
          <w:r>
            <w:rPr>
              <w:rFonts w:hint="eastAsia" w:ascii="楷体_GB2312" w:hAnsi="楷体_GB2312" w:eastAsia="楷体_GB2312" w:cs="楷体_GB2312"/>
              <w:szCs w:val="32"/>
              <w:highlight w:val="none"/>
              <w:lang w:val="en-US" w:eastAsia="zh-CN"/>
            </w:rPr>
            <w:t>（一）收入预算情况</w:t>
          </w:r>
          <w:r>
            <w:tab/>
          </w:r>
          <w:r>
            <w:fldChar w:fldCharType="begin"/>
          </w:r>
          <w:r>
            <w:instrText xml:space="preserve"> PAGEREF _Toc16600 \h </w:instrText>
          </w:r>
          <w:r>
            <w:fldChar w:fldCharType="separate"/>
          </w:r>
          <w:r>
            <w:t>5</w:t>
          </w:r>
          <w:r>
            <w:fldChar w:fldCharType="end"/>
          </w:r>
          <w:r>
            <w:rPr>
              <w:rFonts w:hint="eastAsia" w:ascii="黑体" w:hAnsi="黑体" w:eastAsia="黑体" w:cs="黑体"/>
              <w:szCs w:val="32"/>
              <w:highlight w:val="none"/>
              <w:lang w:val="en-US" w:eastAsia="zh-CN"/>
            </w:rPr>
            <w:fldChar w:fldCharType="end"/>
          </w:r>
        </w:p>
        <w:p>
          <w:pPr>
            <w:pStyle w:val="15"/>
            <w:tabs>
              <w:tab w:val="right" w:leader="dot" w:pos="8845"/>
            </w:tabs>
            <w:spacing w:line="360" w:lineRule="auto"/>
          </w:pPr>
          <w:r>
            <w:rPr>
              <w:rFonts w:hint="eastAsia" w:ascii="黑体" w:hAnsi="黑体" w:eastAsia="黑体" w:cs="黑体"/>
              <w:szCs w:val="32"/>
              <w:highlight w:val="none"/>
              <w:lang w:val="en-US" w:eastAsia="zh-CN"/>
            </w:rPr>
            <w:fldChar w:fldCharType="begin"/>
          </w:r>
          <w:r>
            <w:rPr>
              <w:rFonts w:hint="eastAsia" w:ascii="黑体" w:hAnsi="黑体" w:eastAsia="黑体" w:cs="黑体"/>
              <w:szCs w:val="32"/>
              <w:highlight w:val="none"/>
              <w:lang w:val="en-US" w:eastAsia="zh-CN"/>
            </w:rPr>
            <w:instrText xml:space="preserve"> HYPERLINK \l _Toc9686 </w:instrText>
          </w:r>
          <w:r>
            <w:rPr>
              <w:rFonts w:hint="eastAsia" w:ascii="黑体" w:hAnsi="黑体" w:eastAsia="黑体" w:cs="黑体"/>
              <w:szCs w:val="32"/>
              <w:highlight w:val="none"/>
              <w:lang w:val="en-US" w:eastAsia="zh-CN"/>
            </w:rPr>
            <w:fldChar w:fldCharType="separate"/>
          </w:r>
          <w:r>
            <w:rPr>
              <w:rFonts w:hint="eastAsia" w:ascii="楷体_GB2312" w:hAnsi="楷体_GB2312" w:eastAsia="楷体_GB2312" w:cs="楷体_GB2312"/>
              <w:szCs w:val="32"/>
              <w:highlight w:val="none"/>
              <w:lang w:val="en-US" w:eastAsia="zh-CN"/>
            </w:rPr>
            <w:t>（二）支出预算情况</w:t>
          </w:r>
          <w:r>
            <w:tab/>
          </w:r>
          <w:r>
            <w:fldChar w:fldCharType="begin"/>
          </w:r>
          <w:r>
            <w:instrText xml:space="preserve"> PAGEREF _Toc9686 \h </w:instrText>
          </w:r>
          <w:r>
            <w:fldChar w:fldCharType="separate"/>
          </w:r>
          <w:r>
            <w:t>5</w:t>
          </w:r>
          <w:r>
            <w:fldChar w:fldCharType="end"/>
          </w:r>
          <w:r>
            <w:rPr>
              <w:rFonts w:hint="eastAsia" w:ascii="黑体" w:hAnsi="黑体" w:eastAsia="黑体" w:cs="黑体"/>
              <w:szCs w:val="32"/>
              <w:highlight w:val="none"/>
              <w:lang w:val="en-US" w:eastAsia="zh-CN"/>
            </w:rPr>
            <w:fldChar w:fldCharType="end"/>
          </w:r>
        </w:p>
        <w:p>
          <w:pPr>
            <w:pStyle w:val="14"/>
            <w:tabs>
              <w:tab w:val="right" w:leader="dot" w:pos="8845"/>
            </w:tabs>
            <w:spacing w:line="360" w:lineRule="auto"/>
            <w:rPr>
              <w:b/>
            </w:rPr>
          </w:pPr>
          <w:r>
            <w:rPr>
              <w:rFonts w:hint="eastAsia" w:ascii="黑体" w:hAnsi="黑体" w:eastAsia="黑体" w:cs="黑体"/>
              <w:b/>
              <w:szCs w:val="32"/>
              <w:highlight w:val="none"/>
              <w:lang w:val="en-US" w:eastAsia="zh-CN"/>
            </w:rPr>
            <w:fldChar w:fldCharType="begin"/>
          </w:r>
          <w:r>
            <w:rPr>
              <w:rFonts w:hint="eastAsia" w:ascii="黑体" w:hAnsi="黑体" w:eastAsia="黑体" w:cs="黑体"/>
              <w:b/>
              <w:szCs w:val="32"/>
              <w:highlight w:val="none"/>
              <w:lang w:val="en-US" w:eastAsia="zh-CN"/>
            </w:rPr>
            <w:instrText xml:space="preserve"> HYPERLINK \l _Toc15613 </w:instrText>
          </w:r>
          <w:r>
            <w:rPr>
              <w:rFonts w:hint="eastAsia" w:ascii="黑体" w:hAnsi="黑体" w:eastAsia="黑体" w:cs="黑体"/>
              <w:b/>
              <w:szCs w:val="32"/>
              <w:highlight w:val="none"/>
              <w:lang w:val="en-US" w:eastAsia="zh-CN"/>
            </w:rPr>
            <w:fldChar w:fldCharType="separate"/>
          </w:r>
          <w:r>
            <w:rPr>
              <w:rFonts w:hint="eastAsia" w:ascii="黑体" w:hAnsi="黑体" w:eastAsia="黑体" w:cs="黑体"/>
              <w:b/>
              <w:szCs w:val="32"/>
              <w:highlight w:val="none"/>
              <w:lang w:val="en-US" w:eastAsia="zh-CN"/>
            </w:rPr>
            <w:t>四、财政拨款收支预算情况说明</w:t>
          </w:r>
          <w:r>
            <w:rPr>
              <w:b/>
            </w:rPr>
            <w:tab/>
          </w:r>
          <w:r>
            <w:rPr>
              <w:b/>
            </w:rPr>
            <w:fldChar w:fldCharType="begin"/>
          </w:r>
          <w:r>
            <w:rPr>
              <w:b/>
            </w:rPr>
            <w:instrText xml:space="preserve"> PAGEREF _Toc15613 \h </w:instrText>
          </w:r>
          <w:r>
            <w:rPr>
              <w:b/>
            </w:rPr>
            <w:fldChar w:fldCharType="separate"/>
          </w:r>
          <w:r>
            <w:rPr>
              <w:b/>
            </w:rPr>
            <w:t>5</w:t>
          </w:r>
          <w:r>
            <w:rPr>
              <w:b/>
            </w:rPr>
            <w:fldChar w:fldCharType="end"/>
          </w:r>
          <w:r>
            <w:rPr>
              <w:rFonts w:hint="eastAsia" w:ascii="黑体" w:hAnsi="黑体" w:eastAsia="黑体" w:cs="黑体"/>
              <w:b/>
              <w:szCs w:val="32"/>
              <w:highlight w:val="none"/>
              <w:lang w:val="en-US" w:eastAsia="zh-CN"/>
            </w:rPr>
            <w:fldChar w:fldCharType="end"/>
          </w:r>
        </w:p>
        <w:p>
          <w:pPr>
            <w:pStyle w:val="14"/>
            <w:tabs>
              <w:tab w:val="right" w:leader="dot" w:pos="8845"/>
            </w:tabs>
            <w:spacing w:line="360" w:lineRule="auto"/>
            <w:rPr>
              <w:b/>
            </w:rPr>
          </w:pPr>
          <w:r>
            <w:rPr>
              <w:rFonts w:hint="eastAsia" w:ascii="黑体" w:hAnsi="黑体" w:eastAsia="黑体" w:cs="黑体"/>
              <w:b/>
              <w:szCs w:val="32"/>
              <w:highlight w:val="none"/>
              <w:lang w:val="en-US" w:eastAsia="zh-CN"/>
            </w:rPr>
            <w:fldChar w:fldCharType="begin"/>
          </w:r>
          <w:r>
            <w:rPr>
              <w:rFonts w:hint="eastAsia" w:ascii="黑体" w:hAnsi="黑体" w:eastAsia="黑体" w:cs="黑体"/>
              <w:b/>
              <w:szCs w:val="32"/>
              <w:highlight w:val="none"/>
              <w:lang w:val="en-US" w:eastAsia="zh-CN"/>
            </w:rPr>
            <w:instrText xml:space="preserve"> HYPERLINK \l _Toc11541 </w:instrText>
          </w:r>
          <w:r>
            <w:rPr>
              <w:rFonts w:hint="eastAsia" w:ascii="黑体" w:hAnsi="黑体" w:eastAsia="黑体" w:cs="黑体"/>
              <w:b/>
              <w:szCs w:val="32"/>
              <w:highlight w:val="none"/>
              <w:lang w:val="en-US" w:eastAsia="zh-CN"/>
            </w:rPr>
            <w:fldChar w:fldCharType="separate"/>
          </w:r>
          <w:r>
            <w:rPr>
              <w:rFonts w:hint="eastAsia" w:ascii="黑体" w:hAnsi="黑体" w:eastAsia="黑体" w:cs="黑体"/>
              <w:b/>
              <w:szCs w:val="32"/>
              <w:highlight w:val="none"/>
              <w:lang w:val="en-US" w:eastAsia="zh-CN"/>
            </w:rPr>
            <w:t>五、一般公共预算当年拨款情况说明</w:t>
          </w:r>
          <w:r>
            <w:rPr>
              <w:b/>
            </w:rPr>
            <w:tab/>
          </w:r>
          <w:r>
            <w:rPr>
              <w:b/>
            </w:rPr>
            <w:fldChar w:fldCharType="begin"/>
          </w:r>
          <w:r>
            <w:rPr>
              <w:b/>
            </w:rPr>
            <w:instrText xml:space="preserve"> PAGEREF _Toc11541 \h </w:instrText>
          </w:r>
          <w:r>
            <w:rPr>
              <w:b/>
            </w:rPr>
            <w:fldChar w:fldCharType="separate"/>
          </w:r>
          <w:r>
            <w:rPr>
              <w:b/>
            </w:rPr>
            <w:t>6</w:t>
          </w:r>
          <w:r>
            <w:rPr>
              <w:b/>
            </w:rPr>
            <w:fldChar w:fldCharType="end"/>
          </w:r>
          <w:r>
            <w:rPr>
              <w:rFonts w:hint="eastAsia" w:ascii="黑体" w:hAnsi="黑体" w:eastAsia="黑体" w:cs="黑体"/>
              <w:b/>
              <w:szCs w:val="32"/>
              <w:highlight w:val="none"/>
              <w:lang w:val="en-US" w:eastAsia="zh-CN"/>
            </w:rPr>
            <w:fldChar w:fldCharType="end"/>
          </w:r>
        </w:p>
        <w:p>
          <w:pPr>
            <w:pStyle w:val="15"/>
            <w:tabs>
              <w:tab w:val="right" w:leader="dot" w:pos="8845"/>
            </w:tabs>
            <w:spacing w:line="360" w:lineRule="auto"/>
          </w:pPr>
          <w:r>
            <w:rPr>
              <w:rFonts w:hint="eastAsia" w:ascii="黑体" w:hAnsi="黑体" w:eastAsia="黑体" w:cs="黑体"/>
              <w:szCs w:val="32"/>
              <w:highlight w:val="none"/>
              <w:lang w:val="en-US" w:eastAsia="zh-CN"/>
            </w:rPr>
            <w:fldChar w:fldCharType="begin"/>
          </w:r>
          <w:r>
            <w:rPr>
              <w:rFonts w:hint="eastAsia" w:ascii="黑体" w:hAnsi="黑体" w:eastAsia="黑体" w:cs="黑体"/>
              <w:szCs w:val="32"/>
              <w:highlight w:val="none"/>
              <w:lang w:val="en-US" w:eastAsia="zh-CN"/>
            </w:rPr>
            <w:instrText xml:space="preserve"> HYPERLINK \l _Toc25686 </w:instrText>
          </w:r>
          <w:r>
            <w:rPr>
              <w:rFonts w:hint="eastAsia" w:ascii="黑体" w:hAnsi="黑体" w:eastAsia="黑体" w:cs="黑体"/>
              <w:szCs w:val="32"/>
              <w:highlight w:val="none"/>
              <w:lang w:val="en-US" w:eastAsia="zh-CN"/>
            </w:rPr>
            <w:fldChar w:fldCharType="separate"/>
          </w:r>
          <w:r>
            <w:rPr>
              <w:rFonts w:hint="eastAsia" w:ascii="楷体_GB2312" w:hAnsi="楷体_GB2312" w:eastAsia="楷体_GB2312" w:cs="楷体_GB2312"/>
              <w:szCs w:val="32"/>
              <w:highlight w:val="none"/>
              <w:lang w:val="en-US" w:eastAsia="zh-CN"/>
            </w:rPr>
            <w:t>（一）一般公共预算当年拨款规模变化情况</w:t>
          </w:r>
          <w:r>
            <w:tab/>
          </w:r>
          <w:r>
            <w:fldChar w:fldCharType="begin"/>
          </w:r>
          <w:r>
            <w:instrText xml:space="preserve"> PAGEREF _Toc25686 \h </w:instrText>
          </w:r>
          <w:r>
            <w:fldChar w:fldCharType="separate"/>
          </w:r>
          <w:r>
            <w:t>6</w:t>
          </w:r>
          <w:r>
            <w:fldChar w:fldCharType="end"/>
          </w:r>
          <w:r>
            <w:rPr>
              <w:rFonts w:hint="eastAsia" w:ascii="黑体" w:hAnsi="黑体" w:eastAsia="黑体" w:cs="黑体"/>
              <w:szCs w:val="32"/>
              <w:highlight w:val="none"/>
              <w:lang w:val="en-US" w:eastAsia="zh-CN"/>
            </w:rPr>
            <w:fldChar w:fldCharType="end"/>
          </w:r>
        </w:p>
        <w:p>
          <w:pPr>
            <w:pStyle w:val="15"/>
            <w:tabs>
              <w:tab w:val="right" w:leader="dot" w:pos="8845"/>
            </w:tabs>
            <w:spacing w:line="360" w:lineRule="auto"/>
          </w:pPr>
          <w:r>
            <w:rPr>
              <w:rFonts w:hint="eastAsia" w:ascii="黑体" w:hAnsi="黑体" w:eastAsia="黑体" w:cs="黑体"/>
              <w:szCs w:val="32"/>
              <w:highlight w:val="none"/>
              <w:lang w:val="en-US" w:eastAsia="zh-CN"/>
            </w:rPr>
            <w:fldChar w:fldCharType="begin"/>
          </w:r>
          <w:r>
            <w:rPr>
              <w:rFonts w:hint="eastAsia" w:ascii="黑体" w:hAnsi="黑体" w:eastAsia="黑体" w:cs="黑体"/>
              <w:szCs w:val="32"/>
              <w:highlight w:val="none"/>
              <w:lang w:val="en-US" w:eastAsia="zh-CN"/>
            </w:rPr>
            <w:instrText xml:space="preserve"> HYPERLINK \l _Toc28515 </w:instrText>
          </w:r>
          <w:r>
            <w:rPr>
              <w:rFonts w:hint="eastAsia" w:ascii="黑体" w:hAnsi="黑体" w:eastAsia="黑体" w:cs="黑体"/>
              <w:szCs w:val="32"/>
              <w:highlight w:val="none"/>
              <w:lang w:val="en-US" w:eastAsia="zh-CN"/>
            </w:rPr>
            <w:fldChar w:fldCharType="separate"/>
          </w:r>
          <w:r>
            <w:rPr>
              <w:rFonts w:hint="eastAsia" w:ascii="楷体_GB2312" w:hAnsi="楷体_GB2312" w:eastAsia="楷体_GB2312" w:cs="楷体_GB2312"/>
              <w:szCs w:val="32"/>
              <w:highlight w:val="none"/>
              <w:lang w:val="en-US" w:eastAsia="zh-CN"/>
            </w:rPr>
            <w:t>（二）一般公共预算当年拨款结构情况</w:t>
          </w:r>
          <w:r>
            <w:tab/>
          </w:r>
          <w:r>
            <w:fldChar w:fldCharType="begin"/>
          </w:r>
          <w:r>
            <w:instrText xml:space="preserve"> PAGEREF _Toc28515 \h </w:instrText>
          </w:r>
          <w:r>
            <w:fldChar w:fldCharType="separate"/>
          </w:r>
          <w:r>
            <w:t>6</w:t>
          </w:r>
          <w:r>
            <w:fldChar w:fldCharType="end"/>
          </w:r>
          <w:r>
            <w:rPr>
              <w:rFonts w:hint="eastAsia" w:ascii="黑体" w:hAnsi="黑体" w:eastAsia="黑体" w:cs="黑体"/>
              <w:szCs w:val="32"/>
              <w:highlight w:val="none"/>
              <w:lang w:val="en-US" w:eastAsia="zh-CN"/>
            </w:rPr>
            <w:fldChar w:fldCharType="end"/>
          </w:r>
        </w:p>
        <w:p>
          <w:pPr>
            <w:pStyle w:val="15"/>
            <w:tabs>
              <w:tab w:val="right" w:leader="dot" w:pos="8845"/>
            </w:tabs>
            <w:spacing w:line="360" w:lineRule="auto"/>
          </w:pPr>
          <w:r>
            <w:rPr>
              <w:rFonts w:hint="eastAsia" w:ascii="黑体" w:hAnsi="黑体" w:eastAsia="黑体" w:cs="黑体"/>
              <w:szCs w:val="32"/>
              <w:highlight w:val="none"/>
              <w:lang w:val="en-US" w:eastAsia="zh-CN"/>
            </w:rPr>
            <w:fldChar w:fldCharType="begin"/>
          </w:r>
          <w:r>
            <w:rPr>
              <w:rFonts w:hint="eastAsia" w:ascii="黑体" w:hAnsi="黑体" w:eastAsia="黑体" w:cs="黑体"/>
              <w:szCs w:val="32"/>
              <w:highlight w:val="none"/>
              <w:lang w:val="en-US" w:eastAsia="zh-CN"/>
            </w:rPr>
            <w:instrText xml:space="preserve"> HYPERLINK \l _Toc9601 </w:instrText>
          </w:r>
          <w:r>
            <w:rPr>
              <w:rFonts w:hint="eastAsia" w:ascii="黑体" w:hAnsi="黑体" w:eastAsia="黑体" w:cs="黑体"/>
              <w:szCs w:val="32"/>
              <w:highlight w:val="none"/>
              <w:lang w:val="en-US" w:eastAsia="zh-CN"/>
            </w:rPr>
            <w:fldChar w:fldCharType="separate"/>
          </w:r>
          <w:r>
            <w:rPr>
              <w:rFonts w:hint="eastAsia" w:ascii="楷体_GB2312" w:hAnsi="楷体_GB2312" w:eastAsia="楷体_GB2312" w:cs="楷体_GB2312"/>
              <w:szCs w:val="32"/>
              <w:highlight w:val="none"/>
              <w:lang w:val="en-US" w:eastAsia="zh-CN"/>
            </w:rPr>
            <w:t>（三）一般公共预算当年拨款具体使用情况</w:t>
          </w:r>
          <w:r>
            <w:tab/>
          </w:r>
          <w:r>
            <w:fldChar w:fldCharType="begin"/>
          </w:r>
          <w:r>
            <w:instrText xml:space="preserve"> PAGEREF _Toc9601 \h </w:instrText>
          </w:r>
          <w:r>
            <w:fldChar w:fldCharType="separate"/>
          </w:r>
          <w:r>
            <w:t>6</w:t>
          </w:r>
          <w:r>
            <w:fldChar w:fldCharType="end"/>
          </w:r>
          <w:r>
            <w:rPr>
              <w:rFonts w:hint="eastAsia" w:ascii="黑体" w:hAnsi="黑体" w:eastAsia="黑体" w:cs="黑体"/>
              <w:szCs w:val="32"/>
              <w:highlight w:val="none"/>
              <w:lang w:val="en-US" w:eastAsia="zh-CN"/>
            </w:rPr>
            <w:fldChar w:fldCharType="end"/>
          </w:r>
        </w:p>
        <w:p>
          <w:pPr>
            <w:pStyle w:val="14"/>
            <w:tabs>
              <w:tab w:val="right" w:leader="dot" w:pos="8845"/>
            </w:tabs>
            <w:spacing w:line="360" w:lineRule="auto"/>
            <w:rPr>
              <w:b/>
            </w:rPr>
          </w:pPr>
          <w:r>
            <w:rPr>
              <w:rFonts w:hint="eastAsia" w:ascii="黑体" w:hAnsi="黑体" w:eastAsia="黑体" w:cs="黑体"/>
              <w:b/>
              <w:szCs w:val="32"/>
              <w:highlight w:val="none"/>
              <w:lang w:val="en-US" w:eastAsia="zh-CN"/>
            </w:rPr>
            <w:fldChar w:fldCharType="begin"/>
          </w:r>
          <w:r>
            <w:rPr>
              <w:rFonts w:hint="eastAsia" w:ascii="黑体" w:hAnsi="黑体" w:eastAsia="黑体" w:cs="黑体"/>
              <w:b/>
              <w:szCs w:val="32"/>
              <w:highlight w:val="none"/>
              <w:lang w:val="en-US" w:eastAsia="zh-CN"/>
            </w:rPr>
            <w:instrText xml:space="preserve"> HYPERLINK \l _Toc75 </w:instrText>
          </w:r>
          <w:r>
            <w:rPr>
              <w:rFonts w:hint="eastAsia" w:ascii="黑体" w:hAnsi="黑体" w:eastAsia="黑体" w:cs="黑体"/>
              <w:b/>
              <w:szCs w:val="32"/>
              <w:highlight w:val="none"/>
              <w:lang w:val="en-US" w:eastAsia="zh-CN"/>
            </w:rPr>
            <w:fldChar w:fldCharType="separate"/>
          </w:r>
          <w:r>
            <w:rPr>
              <w:rFonts w:hint="eastAsia" w:ascii="黑体" w:hAnsi="黑体" w:eastAsia="黑体" w:cs="黑体"/>
              <w:b/>
              <w:szCs w:val="32"/>
              <w:highlight w:val="none"/>
              <w:lang w:val="en-US" w:eastAsia="zh-CN"/>
            </w:rPr>
            <w:t>六、一般公共预算基本支出情况说明</w:t>
          </w:r>
          <w:r>
            <w:rPr>
              <w:b/>
            </w:rPr>
            <w:tab/>
          </w:r>
          <w:r>
            <w:rPr>
              <w:b/>
            </w:rPr>
            <w:fldChar w:fldCharType="begin"/>
          </w:r>
          <w:r>
            <w:rPr>
              <w:b/>
            </w:rPr>
            <w:instrText xml:space="preserve"> PAGEREF _Toc75 \h </w:instrText>
          </w:r>
          <w:r>
            <w:rPr>
              <w:b/>
            </w:rPr>
            <w:fldChar w:fldCharType="separate"/>
          </w:r>
          <w:r>
            <w:rPr>
              <w:b/>
            </w:rPr>
            <w:t>7</w:t>
          </w:r>
          <w:r>
            <w:rPr>
              <w:b/>
            </w:rPr>
            <w:fldChar w:fldCharType="end"/>
          </w:r>
          <w:r>
            <w:rPr>
              <w:rFonts w:hint="eastAsia" w:ascii="黑体" w:hAnsi="黑体" w:eastAsia="黑体" w:cs="黑体"/>
              <w:b/>
              <w:szCs w:val="32"/>
              <w:highlight w:val="none"/>
              <w:lang w:val="en-US" w:eastAsia="zh-CN"/>
            </w:rPr>
            <w:fldChar w:fldCharType="end"/>
          </w:r>
        </w:p>
        <w:p>
          <w:pPr>
            <w:pStyle w:val="14"/>
            <w:tabs>
              <w:tab w:val="right" w:leader="dot" w:pos="8845"/>
            </w:tabs>
            <w:spacing w:line="360" w:lineRule="auto"/>
            <w:rPr>
              <w:b/>
            </w:rPr>
          </w:pPr>
          <w:r>
            <w:rPr>
              <w:rFonts w:hint="eastAsia" w:ascii="黑体" w:hAnsi="黑体" w:eastAsia="黑体" w:cs="黑体"/>
              <w:b/>
              <w:szCs w:val="32"/>
              <w:highlight w:val="none"/>
              <w:lang w:val="en-US" w:eastAsia="zh-CN"/>
            </w:rPr>
            <w:fldChar w:fldCharType="begin"/>
          </w:r>
          <w:r>
            <w:rPr>
              <w:rFonts w:hint="eastAsia" w:ascii="黑体" w:hAnsi="黑体" w:eastAsia="黑体" w:cs="黑体"/>
              <w:b/>
              <w:szCs w:val="32"/>
              <w:highlight w:val="none"/>
              <w:lang w:val="en-US" w:eastAsia="zh-CN"/>
            </w:rPr>
            <w:instrText xml:space="preserve"> HYPERLINK \l _Toc12209 </w:instrText>
          </w:r>
          <w:r>
            <w:rPr>
              <w:rFonts w:hint="eastAsia" w:ascii="黑体" w:hAnsi="黑体" w:eastAsia="黑体" w:cs="黑体"/>
              <w:b/>
              <w:szCs w:val="32"/>
              <w:highlight w:val="none"/>
              <w:lang w:val="en-US" w:eastAsia="zh-CN"/>
            </w:rPr>
            <w:fldChar w:fldCharType="separate"/>
          </w:r>
          <w:r>
            <w:rPr>
              <w:rFonts w:hint="eastAsia" w:ascii="黑体" w:hAnsi="黑体" w:eastAsia="黑体" w:cs="黑体"/>
              <w:b/>
              <w:szCs w:val="32"/>
              <w:highlight w:val="none"/>
              <w:lang w:val="en-US" w:eastAsia="zh-CN"/>
            </w:rPr>
            <w:t>七、“三公”经费财政拨款预算安排情况说明</w:t>
          </w:r>
          <w:r>
            <w:rPr>
              <w:b/>
            </w:rPr>
            <w:tab/>
          </w:r>
          <w:r>
            <w:rPr>
              <w:b/>
            </w:rPr>
            <w:fldChar w:fldCharType="begin"/>
          </w:r>
          <w:r>
            <w:rPr>
              <w:b/>
            </w:rPr>
            <w:instrText xml:space="preserve"> PAGEREF _Toc12209 \h </w:instrText>
          </w:r>
          <w:r>
            <w:rPr>
              <w:b/>
            </w:rPr>
            <w:fldChar w:fldCharType="separate"/>
          </w:r>
          <w:r>
            <w:rPr>
              <w:b/>
            </w:rPr>
            <w:t>8</w:t>
          </w:r>
          <w:r>
            <w:rPr>
              <w:b/>
            </w:rPr>
            <w:fldChar w:fldCharType="end"/>
          </w:r>
          <w:r>
            <w:rPr>
              <w:rFonts w:hint="eastAsia" w:ascii="黑体" w:hAnsi="黑体" w:eastAsia="黑体" w:cs="黑体"/>
              <w:b/>
              <w:szCs w:val="32"/>
              <w:highlight w:val="none"/>
              <w:lang w:val="en-US" w:eastAsia="zh-CN"/>
            </w:rPr>
            <w:fldChar w:fldCharType="end"/>
          </w:r>
        </w:p>
        <w:p>
          <w:pPr>
            <w:pStyle w:val="15"/>
            <w:tabs>
              <w:tab w:val="right" w:leader="dot" w:pos="8845"/>
            </w:tabs>
            <w:spacing w:line="360" w:lineRule="auto"/>
          </w:pPr>
          <w:r>
            <w:rPr>
              <w:rFonts w:hint="eastAsia" w:ascii="黑体" w:hAnsi="黑体" w:eastAsia="黑体" w:cs="黑体"/>
              <w:szCs w:val="32"/>
              <w:highlight w:val="none"/>
              <w:lang w:val="en-US" w:eastAsia="zh-CN"/>
            </w:rPr>
            <w:fldChar w:fldCharType="begin"/>
          </w:r>
          <w:r>
            <w:rPr>
              <w:rFonts w:hint="eastAsia" w:ascii="黑体" w:hAnsi="黑体" w:eastAsia="黑体" w:cs="黑体"/>
              <w:szCs w:val="32"/>
              <w:highlight w:val="none"/>
              <w:lang w:val="en-US" w:eastAsia="zh-CN"/>
            </w:rPr>
            <w:instrText xml:space="preserve"> HYPERLINK \l _Toc31908 </w:instrText>
          </w:r>
          <w:r>
            <w:rPr>
              <w:rFonts w:hint="eastAsia" w:ascii="黑体" w:hAnsi="黑体" w:eastAsia="黑体" w:cs="黑体"/>
              <w:szCs w:val="32"/>
              <w:highlight w:val="none"/>
              <w:lang w:val="en-US" w:eastAsia="zh-CN"/>
            </w:rPr>
            <w:fldChar w:fldCharType="separate"/>
          </w:r>
          <w:r>
            <w:rPr>
              <w:rFonts w:hint="eastAsia" w:ascii="楷体_GB2312" w:hAnsi="楷体_GB2312" w:eastAsia="楷体_GB2312" w:cs="楷体_GB2312"/>
              <w:szCs w:val="32"/>
              <w:highlight w:val="none"/>
              <w:lang w:val="en-US" w:eastAsia="zh-CN"/>
            </w:rPr>
            <w:t>（一）公务接待费</w:t>
          </w:r>
          <w:r>
            <w:tab/>
          </w:r>
          <w:r>
            <w:fldChar w:fldCharType="begin"/>
          </w:r>
          <w:r>
            <w:instrText xml:space="preserve"> PAGEREF _Toc31908 \h </w:instrText>
          </w:r>
          <w:r>
            <w:fldChar w:fldCharType="separate"/>
          </w:r>
          <w:r>
            <w:t>8</w:t>
          </w:r>
          <w:r>
            <w:fldChar w:fldCharType="end"/>
          </w:r>
          <w:r>
            <w:rPr>
              <w:rFonts w:hint="eastAsia" w:ascii="黑体" w:hAnsi="黑体" w:eastAsia="黑体" w:cs="黑体"/>
              <w:szCs w:val="32"/>
              <w:highlight w:val="none"/>
              <w:lang w:val="en-US" w:eastAsia="zh-CN"/>
            </w:rPr>
            <w:fldChar w:fldCharType="end"/>
          </w:r>
        </w:p>
        <w:p>
          <w:pPr>
            <w:pStyle w:val="15"/>
            <w:tabs>
              <w:tab w:val="right" w:leader="dot" w:pos="8845"/>
            </w:tabs>
            <w:spacing w:line="360" w:lineRule="auto"/>
          </w:pPr>
          <w:r>
            <w:rPr>
              <w:rFonts w:hint="eastAsia" w:ascii="黑体" w:hAnsi="黑体" w:eastAsia="黑体" w:cs="黑体"/>
              <w:szCs w:val="32"/>
              <w:highlight w:val="none"/>
              <w:lang w:val="en-US" w:eastAsia="zh-CN"/>
            </w:rPr>
            <w:fldChar w:fldCharType="begin"/>
          </w:r>
          <w:r>
            <w:rPr>
              <w:rFonts w:hint="eastAsia" w:ascii="黑体" w:hAnsi="黑体" w:eastAsia="黑体" w:cs="黑体"/>
              <w:szCs w:val="32"/>
              <w:highlight w:val="none"/>
              <w:lang w:val="en-US" w:eastAsia="zh-CN"/>
            </w:rPr>
            <w:instrText xml:space="preserve"> HYPERLINK \l _Toc29965 </w:instrText>
          </w:r>
          <w:r>
            <w:rPr>
              <w:rFonts w:hint="eastAsia" w:ascii="黑体" w:hAnsi="黑体" w:eastAsia="黑体" w:cs="黑体"/>
              <w:szCs w:val="32"/>
              <w:highlight w:val="none"/>
              <w:lang w:val="en-US" w:eastAsia="zh-CN"/>
            </w:rPr>
            <w:fldChar w:fldCharType="separate"/>
          </w:r>
          <w:r>
            <w:rPr>
              <w:rFonts w:hint="eastAsia" w:ascii="楷体_GB2312" w:hAnsi="楷体_GB2312" w:eastAsia="楷体_GB2312" w:cs="楷体_GB2312"/>
              <w:szCs w:val="32"/>
              <w:lang w:val="en-US" w:eastAsia="zh-CN"/>
            </w:rPr>
            <w:t xml:space="preserve">（二） </w:t>
          </w:r>
          <w:r>
            <w:rPr>
              <w:rFonts w:hint="eastAsia" w:ascii="楷体_GB2312" w:hAnsi="楷体_GB2312" w:eastAsia="楷体_GB2312" w:cs="楷体_GB2312"/>
              <w:szCs w:val="32"/>
              <w:highlight w:val="none"/>
              <w:lang w:val="en-US" w:eastAsia="zh-CN"/>
            </w:rPr>
            <w:t>公务用车购置及运行维护费</w:t>
          </w:r>
          <w:r>
            <w:tab/>
          </w:r>
          <w:r>
            <w:fldChar w:fldCharType="begin"/>
          </w:r>
          <w:r>
            <w:instrText xml:space="preserve"> PAGEREF _Toc29965 \h </w:instrText>
          </w:r>
          <w:r>
            <w:fldChar w:fldCharType="separate"/>
          </w:r>
          <w:r>
            <w:t>8</w:t>
          </w:r>
          <w:r>
            <w:fldChar w:fldCharType="end"/>
          </w:r>
          <w:r>
            <w:rPr>
              <w:rFonts w:hint="eastAsia" w:ascii="黑体" w:hAnsi="黑体" w:eastAsia="黑体" w:cs="黑体"/>
              <w:szCs w:val="32"/>
              <w:highlight w:val="none"/>
              <w:lang w:val="en-US" w:eastAsia="zh-CN"/>
            </w:rPr>
            <w:fldChar w:fldCharType="end"/>
          </w:r>
        </w:p>
        <w:p>
          <w:pPr>
            <w:pStyle w:val="15"/>
            <w:tabs>
              <w:tab w:val="right" w:leader="dot" w:pos="8845"/>
            </w:tabs>
            <w:spacing w:line="360" w:lineRule="auto"/>
          </w:pPr>
          <w:r>
            <w:rPr>
              <w:rFonts w:hint="eastAsia" w:ascii="黑体" w:hAnsi="黑体" w:eastAsia="黑体" w:cs="黑体"/>
              <w:szCs w:val="32"/>
              <w:highlight w:val="none"/>
              <w:lang w:val="en-US" w:eastAsia="zh-CN"/>
            </w:rPr>
            <w:fldChar w:fldCharType="begin"/>
          </w:r>
          <w:r>
            <w:rPr>
              <w:rFonts w:hint="eastAsia" w:ascii="黑体" w:hAnsi="黑体" w:eastAsia="黑体" w:cs="黑体"/>
              <w:szCs w:val="32"/>
              <w:highlight w:val="none"/>
              <w:lang w:val="en-US" w:eastAsia="zh-CN"/>
            </w:rPr>
            <w:instrText xml:space="preserve"> HYPERLINK \l _Toc23545 </w:instrText>
          </w:r>
          <w:r>
            <w:rPr>
              <w:rFonts w:hint="eastAsia" w:ascii="黑体" w:hAnsi="黑体" w:eastAsia="黑体" w:cs="黑体"/>
              <w:szCs w:val="32"/>
              <w:highlight w:val="none"/>
              <w:lang w:val="en-US" w:eastAsia="zh-CN"/>
            </w:rPr>
            <w:fldChar w:fldCharType="separate"/>
          </w:r>
          <w:r>
            <w:rPr>
              <w:rFonts w:hint="eastAsia" w:ascii="仿宋_GB2312" w:hAnsi="仿宋_GB2312" w:eastAsia="仿宋_GB2312" w:cs="仿宋_GB2312"/>
              <w:szCs w:val="32"/>
              <w:highlight w:val="none"/>
              <w:lang w:val="en-US" w:eastAsia="zh-CN"/>
            </w:rPr>
            <w:t>（</w:t>
          </w:r>
          <w:r>
            <w:rPr>
              <w:rFonts w:hint="eastAsia" w:ascii="楷体_GB2312" w:hAnsi="楷体_GB2312" w:eastAsia="楷体_GB2312" w:cs="楷体_GB2312"/>
              <w:szCs w:val="32"/>
              <w:highlight w:val="none"/>
              <w:lang w:val="en-US" w:eastAsia="zh-CN"/>
            </w:rPr>
            <w:t>三）因公出国（境）经费</w:t>
          </w:r>
          <w:r>
            <w:tab/>
          </w:r>
          <w:r>
            <w:fldChar w:fldCharType="begin"/>
          </w:r>
          <w:r>
            <w:instrText xml:space="preserve"> PAGEREF _Toc23545 \h </w:instrText>
          </w:r>
          <w:r>
            <w:fldChar w:fldCharType="separate"/>
          </w:r>
          <w:r>
            <w:t>9</w:t>
          </w:r>
          <w:r>
            <w:fldChar w:fldCharType="end"/>
          </w:r>
          <w:r>
            <w:rPr>
              <w:rFonts w:hint="eastAsia" w:ascii="黑体" w:hAnsi="黑体" w:eastAsia="黑体" w:cs="黑体"/>
              <w:szCs w:val="32"/>
              <w:highlight w:val="none"/>
              <w:lang w:val="en-US" w:eastAsia="zh-CN"/>
            </w:rPr>
            <w:fldChar w:fldCharType="end"/>
          </w:r>
        </w:p>
        <w:p>
          <w:pPr>
            <w:pStyle w:val="14"/>
            <w:tabs>
              <w:tab w:val="right" w:leader="dot" w:pos="8845"/>
            </w:tabs>
            <w:spacing w:line="360" w:lineRule="auto"/>
            <w:rPr>
              <w:b/>
            </w:rPr>
          </w:pPr>
          <w:r>
            <w:rPr>
              <w:rFonts w:hint="eastAsia" w:ascii="黑体" w:hAnsi="黑体" w:eastAsia="黑体" w:cs="黑体"/>
              <w:b/>
              <w:szCs w:val="32"/>
              <w:highlight w:val="none"/>
              <w:lang w:val="en-US" w:eastAsia="zh-CN"/>
            </w:rPr>
            <w:fldChar w:fldCharType="begin"/>
          </w:r>
          <w:r>
            <w:rPr>
              <w:rFonts w:hint="eastAsia" w:ascii="黑体" w:hAnsi="黑体" w:eastAsia="黑体" w:cs="黑体"/>
              <w:b/>
              <w:szCs w:val="32"/>
              <w:highlight w:val="none"/>
              <w:lang w:val="en-US" w:eastAsia="zh-CN"/>
            </w:rPr>
            <w:instrText xml:space="preserve"> HYPERLINK \l _Toc11503 </w:instrText>
          </w:r>
          <w:r>
            <w:rPr>
              <w:rFonts w:hint="eastAsia" w:ascii="黑体" w:hAnsi="黑体" w:eastAsia="黑体" w:cs="黑体"/>
              <w:b/>
              <w:szCs w:val="32"/>
              <w:highlight w:val="none"/>
              <w:lang w:val="en-US" w:eastAsia="zh-CN"/>
            </w:rPr>
            <w:fldChar w:fldCharType="separate"/>
          </w:r>
          <w:r>
            <w:rPr>
              <w:rFonts w:hint="eastAsia" w:ascii="黑体" w:hAnsi="黑体" w:eastAsia="黑体" w:cs="黑体"/>
              <w:b/>
              <w:szCs w:val="32"/>
              <w:highlight w:val="none"/>
              <w:lang w:val="en-US" w:eastAsia="zh-CN"/>
            </w:rPr>
            <w:t>八、政府性基金预算支出情况说明</w:t>
          </w:r>
          <w:r>
            <w:rPr>
              <w:b/>
            </w:rPr>
            <w:tab/>
          </w:r>
          <w:r>
            <w:rPr>
              <w:b/>
            </w:rPr>
            <w:fldChar w:fldCharType="begin"/>
          </w:r>
          <w:r>
            <w:rPr>
              <w:b/>
            </w:rPr>
            <w:instrText xml:space="preserve"> PAGEREF _Toc11503 \h </w:instrText>
          </w:r>
          <w:r>
            <w:rPr>
              <w:b/>
            </w:rPr>
            <w:fldChar w:fldCharType="separate"/>
          </w:r>
          <w:r>
            <w:rPr>
              <w:b/>
            </w:rPr>
            <w:t>9</w:t>
          </w:r>
          <w:r>
            <w:rPr>
              <w:b/>
            </w:rPr>
            <w:fldChar w:fldCharType="end"/>
          </w:r>
          <w:r>
            <w:rPr>
              <w:rFonts w:hint="eastAsia" w:ascii="黑体" w:hAnsi="黑体" w:eastAsia="黑体" w:cs="黑体"/>
              <w:b/>
              <w:szCs w:val="32"/>
              <w:highlight w:val="none"/>
              <w:lang w:val="en-US" w:eastAsia="zh-CN"/>
            </w:rPr>
            <w:fldChar w:fldCharType="end"/>
          </w:r>
        </w:p>
        <w:p>
          <w:pPr>
            <w:pStyle w:val="14"/>
            <w:tabs>
              <w:tab w:val="right" w:leader="dot" w:pos="8845"/>
            </w:tabs>
            <w:spacing w:line="360" w:lineRule="auto"/>
            <w:rPr>
              <w:b/>
            </w:rPr>
          </w:pPr>
          <w:r>
            <w:rPr>
              <w:rFonts w:hint="eastAsia" w:ascii="黑体" w:hAnsi="黑体" w:eastAsia="黑体" w:cs="黑体"/>
              <w:b/>
              <w:szCs w:val="32"/>
              <w:highlight w:val="none"/>
              <w:lang w:val="en-US" w:eastAsia="zh-CN"/>
            </w:rPr>
            <w:fldChar w:fldCharType="begin"/>
          </w:r>
          <w:r>
            <w:rPr>
              <w:rFonts w:hint="eastAsia" w:ascii="黑体" w:hAnsi="黑体" w:eastAsia="黑体" w:cs="黑体"/>
              <w:b/>
              <w:szCs w:val="32"/>
              <w:highlight w:val="none"/>
              <w:lang w:val="en-US" w:eastAsia="zh-CN"/>
            </w:rPr>
            <w:instrText xml:space="preserve"> HYPERLINK \l _Toc1618 </w:instrText>
          </w:r>
          <w:r>
            <w:rPr>
              <w:rFonts w:hint="eastAsia" w:ascii="黑体" w:hAnsi="黑体" w:eastAsia="黑体" w:cs="黑体"/>
              <w:b/>
              <w:szCs w:val="32"/>
              <w:highlight w:val="none"/>
              <w:lang w:val="en-US" w:eastAsia="zh-CN"/>
            </w:rPr>
            <w:fldChar w:fldCharType="separate"/>
          </w:r>
          <w:r>
            <w:rPr>
              <w:rFonts w:hint="eastAsia" w:ascii="黑体" w:hAnsi="黑体" w:eastAsia="黑体" w:cs="黑体"/>
              <w:b/>
              <w:szCs w:val="32"/>
              <w:highlight w:val="none"/>
              <w:lang w:val="en-US" w:eastAsia="zh-CN"/>
            </w:rPr>
            <w:t>九、国有资本经营预算支出情况说明</w:t>
          </w:r>
          <w:r>
            <w:rPr>
              <w:b/>
            </w:rPr>
            <w:tab/>
          </w:r>
          <w:r>
            <w:rPr>
              <w:b/>
            </w:rPr>
            <w:fldChar w:fldCharType="begin"/>
          </w:r>
          <w:r>
            <w:rPr>
              <w:b/>
            </w:rPr>
            <w:instrText xml:space="preserve"> PAGEREF _Toc1618 \h </w:instrText>
          </w:r>
          <w:r>
            <w:rPr>
              <w:b/>
            </w:rPr>
            <w:fldChar w:fldCharType="separate"/>
          </w:r>
          <w:r>
            <w:rPr>
              <w:b/>
            </w:rPr>
            <w:t>9</w:t>
          </w:r>
          <w:r>
            <w:rPr>
              <w:b/>
            </w:rPr>
            <w:fldChar w:fldCharType="end"/>
          </w:r>
          <w:r>
            <w:rPr>
              <w:rFonts w:hint="eastAsia" w:ascii="黑体" w:hAnsi="黑体" w:eastAsia="黑体" w:cs="黑体"/>
              <w:b/>
              <w:szCs w:val="32"/>
              <w:highlight w:val="none"/>
              <w:lang w:val="en-US" w:eastAsia="zh-CN"/>
            </w:rPr>
            <w:fldChar w:fldCharType="end"/>
          </w:r>
        </w:p>
        <w:p>
          <w:pPr>
            <w:pStyle w:val="14"/>
            <w:tabs>
              <w:tab w:val="right" w:leader="dot" w:pos="8845"/>
            </w:tabs>
            <w:spacing w:line="360" w:lineRule="auto"/>
            <w:rPr>
              <w:b/>
            </w:rPr>
          </w:pPr>
          <w:r>
            <w:rPr>
              <w:rFonts w:hint="eastAsia" w:ascii="黑体" w:hAnsi="黑体" w:eastAsia="黑体" w:cs="黑体"/>
              <w:b/>
              <w:szCs w:val="32"/>
              <w:highlight w:val="none"/>
              <w:lang w:val="en-US" w:eastAsia="zh-CN"/>
            </w:rPr>
            <w:fldChar w:fldCharType="begin"/>
          </w:r>
          <w:r>
            <w:rPr>
              <w:rFonts w:hint="eastAsia" w:ascii="黑体" w:hAnsi="黑体" w:eastAsia="黑体" w:cs="黑体"/>
              <w:b/>
              <w:szCs w:val="32"/>
              <w:highlight w:val="none"/>
              <w:lang w:val="en-US" w:eastAsia="zh-CN"/>
            </w:rPr>
            <w:instrText xml:space="preserve"> HYPERLINK \l _Toc15621 </w:instrText>
          </w:r>
          <w:r>
            <w:rPr>
              <w:rFonts w:hint="eastAsia" w:ascii="黑体" w:hAnsi="黑体" w:eastAsia="黑体" w:cs="黑体"/>
              <w:b/>
              <w:szCs w:val="32"/>
              <w:highlight w:val="none"/>
              <w:lang w:val="en-US" w:eastAsia="zh-CN"/>
            </w:rPr>
            <w:fldChar w:fldCharType="separate"/>
          </w:r>
          <w:r>
            <w:rPr>
              <w:rFonts w:hint="eastAsia" w:ascii="黑体" w:hAnsi="黑体" w:eastAsia="黑体" w:cs="黑体"/>
              <w:b/>
              <w:szCs w:val="32"/>
              <w:highlight w:val="none"/>
              <w:lang w:val="en-US" w:eastAsia="zh-CN"/>
            </w:rPr>
            <w:t>十、其他重要事项的情况说明</w:t>
          </w:r>
          <w:r>
            <w:rPr>
              <w:b/>
            </w:rPr>
            <w:tab/>
          </w:r>
          <w:r>
            <w:rPr>
              <w:b/>
            </w:rPr>
            <w:fldChar w:fldCharType="begin"/>
          </w:r>
          <w:r>
            <w:rPr>
              <w:b/>
            </w:rPr>
            <w:instrText xml:space="preserve"> PAGEREF _Toc15621 \h </w:instrText>
          </w:r>
          <w:r>
            <w:rPr>
              <w:b/>
            </w:rPr>
            <w:fldChar w:fldCharType="separate"/>
          </w:r>
          <w:r>
            <w:rPr>
              <w:b/>
            </w:rPr>
            <w:t>9</w:t>
          </w:r>
          <w:r>
            <w:rPr>
              <w:b/>
            </w:rPr>
            <w:fldChar w:fldCharType="end"/>
          </w:r>
          <w:r>
            <w:rPr>
              <w:rFonts w:hint="eastAsia" w:ascii="黑体" w:hAnsi="黑体" w:eastAsia="黑体" w:cs="黑体"/>
              <w:b/>
              <w:szCs w:val="32"/>
              <w:highlight w:val="none"/>
              <w:lang w:val="en-US" w:eastAsia="zh-CN"/>
            </w:rPr>
            <w:fldChar w:fldCharType="end"/>
          </w:r>
        </w:p>
        <w:p>
          <w:pPr>
            <w:pStyle w:val="15"/>
            <w:tabs>
              <w:tab w:val="right" w:leader="dot" w:pos="8845"/>
            </w:tabs>
            <w:spacing w:line="360" w:lineRule="auto"/>
          </w:pPr>
          <w:r>
            <w:rPr>
              <w:rFonts w:hint="eastAsia" w:ascii="黑体" w:hAnsi="黑体" w:eastAsia="黑体" w:cs="黑体"/>
              <w:szCs w:val="32"/>
              <w:highlight w:val="none"/>
              <w:lang w:val="en-US" w:eastAsia="zh-CN"/>
            </w:rPr>
            <w:fldChar w:fldCharType="begin"/>
          </w:r>
          <w:r>
            <w:rPr>
              <w:rFonts w:hint="eastAsia" w:ascii="黑体" w:hAnsi="黑体" w:eastAsia="黑体" w:cs="黑体"/>
              <w:szCs w:val="32"/>
              <w:highlight w:val="none"/>
              <w:lang w:val="en-US" w:eastAsia="zh-CN"/>
            </w:rPr>
            <w:instrText xml:space="preserve"> HYPERLINK \l _Toc6470 </w:instrText>
          </w:r>
          <w:r>
            <w:rPr>
              <w:rFonts w:hint="eastAsia" w:ascii="黑体" w:hAnsi="黑体" w:eastAsia="黑体" w:cs="黑体"/>
              <w:szCs w:val="32"/>
              <w:highlight w:val="none"/>
              <w:lang w:val="en-US" w:eastAsia="zh-CN"/>
            </w:rPr>
            <w:fldChar w:fldCharType="separate"/>
          </w:r>
          <w:r>
            <w:rPr>
              <w:rFonts w:hint="eastAsia" w:ascii="楷体_GB2312" w:hAnsi="楷体_GB2312" w:eastAsia="楷体_GB2312" w:cs="楷体_GB2312"/>
              <w:szCs w:val="32"/>
              <w:highlight w:val="none"/>
              <w:lang w:val="en-US" w:eastAsia="zh-CN"/>
            </w:rPr>
            <w:t>（一）机关运行经费</w:t>
          </w:r>
          <w:r>
            <w:tab/>
          </w:r>
          <w:r>
            <w:fldChar w:fldCharType="begin"/>
          </w:r>
          <w:r>
            <w:instrText xml:space="preserve"> PAGEREF _Toc6470 \h </w:instrText>
          </w:r>
          <w:r>
            <w:fldChar w:fldCharType="separate"/>
          </w:r>
          <w:r>
            <w:t>9</w:t>
          </w:r>
          <w:r>
            <w:fldChar w:fldCharType="end"/>
          </w:r>
          <w:r>
            <w:rPr>
              <w:rFonts w:hint="eastAsia" w:ascii="黑体" w:hAnsi="黑体" w:eastAsia="黑体" w:cs="黑体"/>
              <w:szCs w:val="32"/>
              <w:highlight w:val="none"/>
              <w:lang w:val="en-US" w:eastAsia="zh-CN"/>
            </w:rPr>
            <w:fldChar w:fldCharType="end"/>
          </w:r>
        </w:p>
        <w:p>
          <w:pPr>
            <w:pStyle w:val="15"/>
            <w:tabs>
              <w:tab w:val="right" w:leader="dot" w:pos="8845"/>
            </w:tabs>
            <w:spacing w:line="360" w:lineRule="auto"/>
          </w:pPr>
          <w:r>
            <w:rPr>
              <w:rFonts w:hint="eastAsia" w:ascii="黑体" w:hAnsi="黑体" w:eastAsia="黑体" w:cs="黑体"/>
              <w:szCs w:val="32"/>
              <w:highlight w:val="none"/>
              <w:lang w:val="en-US" w:eastAsia="zh-CN"/>
            </w:rPr>
            <w:fldChar w:fldCharType="begin"/>
          </w:r>
          <w:r>
            <w:rPr>
              <w:rFonts w:hint="eastAsia" w:ascii="黑体" w:hAnsi="黑体" w:eastAsia="黑体" w:cs="黑体"/>
              <w:szCs w:val="32"/>
              <w:highlight w:val="none"/>
              <w:lang w:val="en-US" w:eastAsia="zh-CN"/>
            </w:rPr>
            <w:instrText xml:space="preserve"> HYPERLINK \l _Toc26796 </w:instrText>
          </w:r>
          <w:r>
            <w:rPr>
              <w:rFonts w:hint="eastAsia" w:ascii="黑体" w:hAnsi="黑体" w:eastAsia="黑体" w:cs="黑体"/>
              <w:szCs w:val="32"/>
              <w:highlight w:val="none"/>
              <w:lang w:val="en-US" w:eastAsia="zh-CN"/>
            </w:rPr>
            <w:fldChar w:fldCharType="separate"/>
          </w:r>
          <w:r>
            <w:rPr>
              <w:rFonts w:hint="eastAsia" w:ascii="楷体_GB2312" w:hAnsi="楷体_GB2312" w:eastAsia="楷体_GB2312" w:cs="楷体_GB2312"/>
              <w:szCs w:val="32"/>
              <w:highlight w:val="none"/>
              <w:lang w:val="en-US" w:eastAsia="zh-CN"/>
            </w:rPr>
            <w:t>（二）政府采购情况</w:t>
          </w:r>
          <w:r>
            <w:tab/>
          </w:r>
          <w:r>
            <w:fldChar w:fldCharType="begin"/>
          </w:r>
          <w:r>
            <w:instrText xml:space="preserve"> PAGEREF _Toc26796 \h </w:instrText>
          </w:r>
          <w:r>
            <w:fldChar w:fldCharType="separate"/>
          </w:r>
          <w:r>
            <w:t>9</w:t>
          </w:r>
          <w:r>
            <w:fldChar w:fldCharType="end"/>
          </w:r>
          <w:r>
            <w:rPr>
              <w:rFonts w:hint="eastAsia" w:ascii="黑体" w:hAnsi="黑体" w:eastAsia="黑体" w:cs="黑体"/>
              <w:szCs w:val="32"/>
              <w:highlight w:val="none"/>
              <w:lang w:val="en-US" w:eastAsia="zh-CN"/>
            </w:rPr>
            <w:fldChar w:fldCharType="end"/>
          </w:r>
        </w:p>
        <w:p>
          <w:pPr>
            <w:pStyle w:val="15"/>
            <w:tabs>
              <w:tab w:val="right" w:leader="dot" w:pos="8845"/>
            </w:tabs>
            <w:spacing w:line="360" w:lineRule="auto"/>
          </w:pPr>
          <w:r>
            <w:rPr>
              <w:rFonts w:hint="eastAsia" w:ascii="黑体" w:hAnsi="黑体" w:eastAsia="黑体" w:cs="黑体"/>
              <w:szCs w:val="32"/>
              <w:highlight w:val="none"/>
              <w:lang w:val="en-US" w:eastAsia="zh-CN"/>
            </w:rPr>
            <w:fldChar w:fldCharType="begin"/>
          </w:r>
          <w:r>
            <w:rPr>
              <w:rFonts w:hint="eastAsia" w:ascii="黑体" w:hAnsi="黑体" w:eastAsia="黑体" w:cs="黑体"/>
              <w:szCs w:val="32"/>
              <w:highlight w:val="none"/>
              <w:lang w:val="en-US" w:eastAsia="zh-CN"/>
            </w:rPr>
            <w:instrText xml:space="preserve"> HYPERLINK \l _Toc24172 </w:instrText>
          </w:r>
          <w:r>
            <w:rPr>
              <w:rFonts w:hint="eastAsia" w:ascii="黑体" w:hAnsi="黑体" w:eastAsia="黑体" w:cs="黑体"/>
              <w:szCs w:val="32"/>
              <w:highlight w:val="none"/>
              <w:lang w:val="en-US" w:eastAsia="zh-CN"/>
            </w:rPr>
            <w:fldChar w:fldCharType="separate"/>
          </w:r>
          <w:r>
            <w:rPr>
              <w:rFonts w:hint="eastAsia" w:ascii="楷体_GB2312" w:hAnsi="楷体_GB2312" w:eastAsia="楷体_GB2312" w:cs="楷体_GB2312"/>
              <w:szCs w:val="32"/>
              <w:highlight w:val="none"/>
              <w:lang w:val="en-US" w:eastAsia="zh-CN"/>
            </w:rPr>
            <w:t>（三）国有资产占有使用情况</w:t>
          </w:r>
          <w:r>
            <w:tab/>
          </w:r>
          <w:r>
            <w:fldChar w:fldCharType="begin"/>
          </w:r>
          <w:r>
            <w:instrText xml:space="preserve"> PAGEREF _Toc24172 \h </w:instrText>
          </w:r>
          <w:r>
            <w:fldChar w:fldCharType="separate"/>
          </w:r>
          <w:r>
            <w:t>9</w:t>
          </w:r>
          <w:r>
            <w:fldChar w:fldCharType="end"/>
          </w:r>
          <w:r>
            <w:rPr>
              <w:rFonts w:hint="eastAsia" w:ascii="黑体" w:hAnsi="黑体" w:eastAsia="黑体" w:cs="黑体"/>
              <w:szCs w:val="32"/>
              <w:highlight w:val="none"/>
              <w:lang w:val="en-US" w:eastAsia="zh-CN"/>
            </w:rPr>
            <w:fldChar w:fldCharType="end"/>
          </w:r>
        </w:p>
        <w:p>
          <w:pPr>
            <w:pStyle w:val="15"/>
            <w:tabs>
              <w:tab w:val="right" w:leader="dot" w:pos="8845"/>
            </w:tabs>
            <w:spacing w:line="360" w:lineRule="auto"/>
          </w:pPr>
          <w:r>
            <w:rPr>
              <w:rFonts w:hint="eastAsia" w:ascii="黑体" w:hAnsi="黑体" w:eastAsia="黑体" w:cs="黑体"/>
              <w:szCs w:val="32"/>
              <w:highlight w:val="none"/>
              <w:lang w:val="en-US" w:eastAsia="zh-CN"/>
            </w:rPr>
            <w:fldChar w:fldCharType="begin"/>
          </w:r>
          <w:r>
            <w:rPr>
              <w:rFonts w:hint="eastAsia" w:ascii="黑体" w:hAnsi="黑体" w:eastAsia="黑体" w:cs="黑体"/>
              <w:szCs w:val="32"/>
              <w:highlight w:val="none"/>
              <w:lang w:val="en-US" w:eastAsia="zh-CN"/>
            </w:rPr>
            <w:instrText xml:space="preserve"> HYPERLINK \l _Toc24577 </w:instrText>
          </w:r>
          <w:r>
            <w:rPr>
              <w:rFonts w:hint="eastAsia" w:ascii="黑体" w:hAnsi="黑体" w:eastAsia="黑体" w:cs="黑体"/>
              <w:szCs w:val="32"/>
              <w:highlight w:val="none"/>
              <w:lang w:val="en-US" w:eastAsia="zh-CN"/>
            </w:rPr>
            <w:fldChar w:fldCharType="separate"/>
          </w:r>
          <w:r>
            <w:rPr>
              <w:rFonts w:hint="eastAsia" w:ascii="楷体_GB2312" w:hAnsi="楷体_GB2312" w:eastAsia="楷体_GB2312" w:cs="楷体_GB2312"/>
              <w:szCs w:val="32"/>
              <w:highlight w:val="none"/>
              <w:lang w:val="en-US" w:eastAsia="zh-CN"/>
            </w:rPr>
            <w:t>（四）绩效目标设置情况</w:t>
          </w:r>
          <w:r>
            <w:tab/>
          </w:r>
          <w:r>
            <w:fldChar w:fldCharType="begin"/>
          </w:r>
          <w:r>
            <w:instrText xml:space="preserve"> PAGEREF _Toc24577 \h </w:instrText>
          </w:r>
          <w:r>
            <w:fldChar w:fldCharType="separate"/>
          </w:r>
          <w:r>
            <w:t>10</w:t>
          </w:r>
          <w:r>
            <w:fldChar w:fldCharType="end"/>
          </w:r>
          <w:r>
            <w:rPr>
              <w:rFonts w:hint="eastAsia" w:ascii="黑体" w:hAnsi="黑体" w:eastAsia="黑体" w:cs="黑体"/>
              <w:szCs w:val="32"/>
              <w:highlight w:val="none"/>
              <w:lang w:val="en-US" w:eastAsia="zh-CN"/>
            </w:rPr>
            <w:fldChar w:fldCharType="end"/>
          </w:r>
        </w:p>
        <w:p>
          <w:pPr>
            <w:pStyle w:val="14"/>
            <w:tabs>
              <w:tab w:val="right" w:leader="dot" w:pos="8845"/>
            </w:tabs>
            <w:spacing w:line="360" w:lineRule="auto"/>
            <w:rPr>
              <w:b/>
            </w:rPr>
          </w:pPr>
          <w:r>
            <w:rPr>
              <w:rFonts w:hint="eastAsia" w:ascii="黑体" w:hAnsi="黑体" w:eastAsia="黑体" w:cs="黑体"/>
              <w:b/>
              <w:szCs w:val="32"/>
              <w:highlight w:val="none"/>
              <w:lang w:val="en-US" w:eastAsia="zh-CN"/>
            </w:rPr>
            <w:fldChar w:fldCharType="begin"/>
          </w:r>
          <w:r>
            <w:rPr>
              <w:rFonts w:hint="eastAsia" w:ascii="黑体" w:hAnsi="黑体" w:eastAsia="黑体" w:cs="黑体"/>
              <w:b/>
              <w:szCs w:val="32"/>
              <w:highlight w:val="none"/>
              <w:lang w:val="en-US" w:eastAsia="zh-CN"/>
            </w:rPr>
            <w:instrText xml:space="preserve"> HYPERLINK \l _Toc18102 </w:instrText>
          </w:r>
          <w:r>
            <w:rPr>
              <w:rFonts w:hint="eastAsia" w:ascii="黑体" w:hAnsi="黑体" w:eastAsia="黑体" w:cs="黑体"/>
              <w:b/>
              <w:szCs w:val="32"/>
              <w:highlight w:val="none"/>
              <w:lang w:val="en-US" w:eastAsia="zh-CN"/>
            </w:rPr>
            <w:fldChar w:fldCharType="separate"/>
          </w:r>
          <w:r>
            <w:rPr>
              <w:rFonts w:hint="eastAsia" w:ascii="黑体" w:hAnsi="黑体" w:eastAsia="黑体" w:cs="黑体"/>
              <w:b/>
              <w:szCs w:val="32"/>
              <w:highlight w:val="none"/>
              <w:lang w:val="en-US" w:eastAsia="zh-CN"/>
            </w:rPr>
            <w:t>十一、名词解释</w:t>
          </w:r>
          <w:r>
            <w:rPr>
              <w:b/>
            </w:rPr>
            <w:tab/>
          </w:r>
          <w:r>
            <w:rPr>
              <w:b/>
            </w:rPr>
            <w:fldChar w:fldCharType="begin"/>
          </w:r>
          <w:r>
            <w:rPr>
              <w:b/>
            </w:rPr>
            <w:instrText xml:space="preserve"> PAGEREF _Toc18102 \h </w:instrText>
          </w:r>
          <w:r>
            <w:rPr>
              <w:b/>
            </w:rPr>
            <w:fldChar w:fldCharType="separate"/>
          </w:r>
          <w:r>
            <w:rPr>
              <w:b/>
            </w:rPr>
            <w:t>10</w:t>
          </w:r>
          <w:r>
            <w:rPr>
              <w:b/>
            </w:rPr>
            <w:fldChar w:fldCharType="end"/>
          </w:r>
          <w:r>
            <w:rPr>
              <w:rFonts w:hint="eastAsia" w:ascii="黑体" w:hAnsi="黑体" w:eastAsia="黑体" w:cs="黑体"/>
              <w:b/>
              <w:szCs w:val="32"/>
              <w:highlight w:val="none"/>
              <w:lang w:val="en-US" w:eastAsia="zh-CN"/>
            </w:rPr>
            <w:fldChar w:fldCharType="end"/>
          </w:r>
        </w:p>
        <w:p>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黑体" w:hAnsi="黑体" w:eastAsia="黑体" w:cs="黑体"/>
              <w:sz w:val="32"/>
              <w:szCs w:val="32"/>
              <w:highlight w:val="none"/>
              <w:lang w:val="en-US" w:eastAsia="zh-CN"/>
            </w:rPr>
            <w:sectPr>
              <w:pgSz w:w="11906" w:h="16838"/>
              <w:pgMar w:top="2098" w:right="1474" w:bottom="1984" w:left="1587" w:header="720" w:footer="1559" w:gutter="0"/>
              <w:pgNumType w:fmt="decimal"/>
              <w:cols w:space="720" w:num="1"/>
              <w:docGrid w:type="lines" w:linePitch="312" w:charSpace="0"/>
            </w:sectPr>
          </w:pPr>
          <w:r>
            <w:rPr>
              <w:rFonts w:hint="eastAsia" w:ascii="黑体" w:hAnsi="黑体" w:eastAsia="黑体" w:cs="黑体"/>
              <w:b/>
              <w:szCs w:val="32"/>
              <w:highlight w:val="none"/>
              <w:lang w:val="en-US" w:eastAsia="zh-CN"/>
            </w:rPr>
            <w:fldChar w:fldCharType="end"/>
          </w:r>
          <w:bookmarkEnd w:id="26"/>
        </w:p>
      </w:sdtContent>
    </w:sdt>
    <w:p>
      <w:pPr>
        <w:pStyle w:val="2"/>
        <w:rPr>
          <w:rFonts w:hint="eastAsia"/>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rPr>
      </w:pPr>
      <w:bookmarkStart w:id="1" w:name="_Toc15923"/>
      <w:r>
        <w:rPr>
          <w:rFonts w:hint="eastAsia" w:ascii="黑体" w:hAnsi="黑体" w:eastAsia="黑体" w:cs="黑体"/>
          <w:sz w:val="32"/>
          <w:szCs w:val="32"/>
          <w:highlight w:val="none"/>
          <w:lang w:val="en-US" w:eastAsia="zh-CN"/>
        </w:rPr>
        <w:t>一、基本职能及主要工作</w:t>
      </w:r>
      <w:bookmarkEnd w:id="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rPr>
      </w:pPr>
      <w:bookmarkStart w:id="2" w:name="_Toc25007"/>
      <w:r>
        <w:rPr>
          <w:rFonts w:hint="eastAsia" w:ascii="楷体_GB2312" w:hAnsi="楷体_GB2312" w:eastAsia="楷体_GB2312" w:cs="楷体_GB2312"/>
          <w:sz w:val="32"/>
          <w:szCs w:val="32"/>
          <w:highlight w:val="none"/>
        </w:rPr>
        <w:t>（一）</w:t>
      </w:r>
      <w:r>
        <w:rPr>
          <w:rFonts w:hint="eastAsia" w:ascii="楷体_GB2312" w:hAnsi="楷体_GB2312" w:eastAsia="楷体_GB2312" w:cs="楷体_GB2312"/>
          <w:sz w:val="32"/>
          <w:szCs w:val="32"/>
          <w:highlight w:val="none"/>
          <w:lang w:val="en-US" w:eastAsia="zh-CN"/>
        </w:rPr>
        <w:t>广元市昭化区人民法院</w:t>
      </w:r>
      <w:r>
        <w:rPr>
          <w:rFonts w:hint="eastAsia" w:ascii="楷体_GB2312" w:hAnsi="楷体_GB2312" w:eastAsia="楷体_GB2312" w:cs="楷体_GB2312"/>
          <w:sz w:val="32"/>
          <w:szCs w:val="32"/>
          <w:highlight w:val="none"/>
        </w:rPr>
        <w:t>职能简介</w:t>
      </w:r>
      <w:bookmarkEnd w:id="2"/>
    </w:p>
    <w:p>
      <w:pPr>
        <w:pStyle w:val="8"/>
        <w:keepNext w:val="0"/>
        <w:keepLines w:val="0"/>
        <w:pageBreakBefore w:val="0"/>
        <w:widowControl/>
        <w:shd w:val="clear" w:color="auto"/>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shd w:val="clear" w:color="auto" w:fill="FFFFFF"/>
        </w:rPr>
        <w:t>1.依法审判法律规定应由基层人民法院管辖的刑事、民事、行政等一审案件。</w:t>
      </w:r>
    </w:p>
    <w:p>
      <w:pPr>
        <w:pStyle w:val="8"/>
        <w:keepNext w:val="0"/>
        <w:keepLines w:val="0"/>
        <w:pageBreakBefore w:val="0"/>
        <w:widowControl/>
        <w:shd w:val="clear" w:color="auto"/>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shd w:val="clear" w:color="auto" w:fill="FFFFFF"/>
        </w:rPr>
        <w:t>2.依法审理上级人民法院指令再审的案件和本院审理的已发生法律效力后按审判监督程序进行再审的案件。</w:t>
      </w:r>
    </w:p>
    <w:p>
      <w:pPr>
        <w:pStyle w:val="8"/>
        <w:keepNext w:val="0"/>
        <w:keepLines w:val="0"/>
        <w:pageBreakBefore w:val="0"/>
        <w:widowControl/>
        <w:shd w:val="clear" w:color="auto"/>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shd w:val="clear" w:color="auto" w:fill="FFFFFF"/>
        </w:rPr>
        <w:t>3.依法审理由广元市人民检察院，昭化区人民检察院按审判监督程序提出的抗诉案件。</w:t>
      </w:r>
    </w:p>
    <w:p>
      <w:pPr>
        <w:pStyle w:val="8"/>
        <w:keepNext w:val="0"/>
        <w:keepLines w:val="0"/>
        <w:pageBreakBefore w:val="0"/>
        <w:widowControl/>
        <w:shd w:val="clear" w:color="auto"/>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shd w:val="clear" w:color="auto" w:fill="FFFFFF"/>
        </w:rPr>
        <w:t>4.依法行使司法决定权和司法执行权。</w:t>
      </w:r>
    </w:p>
    <w:p>
      <w:pPr>
        <w:pStyle w:val="8"/>
        <w:keepNext w:val="0"/>
        <w:keepLines w:val="0"/>
        <w:pageBreakBefore w:val="0"/>
        <w:widowControl/>
        <w:shd w:val="clear" w:color="auto"/>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shd w:val="clear" w:color="auto" w:fill="FFFFFF"/>
        </w:rPr>
      </w:pPr>
      <w:r>
        <w:rPr>
          <w:rFonts w:hint="eastAsia" w:ascii="仿宋_GB2312" w:hAnsi="仿宋_GB2312" w:eastAsia="仿宋_GB2312" w:cs="仿宋_GB2312"/>
          <w:color w:val="000000"/>
          <w:sz w:val="32"/>
          <w:szCs w:val="32"/>
          <w:highlight w:val="none"/>
          <w:shd w:val="clear" w:color="auto" w:fill="FFFFFF"/>
        </w:rPr>
        <w:t>5.依法决定国家赔偿。</w:t>
      </w:r>
    </w:p>
    <w:p>
      <w:pPr>
        <w:pStyle w:val="8"/>
        <w:keepNext w:val="0"/>
        <w:keepLines w:val="0"/>
        <w:pageBreakBefore w:val="0"/>
        <w:widowControl/>
        <w:shd w:val="clear" w:color="auto"/>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shd w:val="clear" w:color="auto" w:fill="FFFFFF"/>
        </w:rPr>
        <w:t>6.对案件审理中发现的问题提出司法建议。</w:t>
      </w:r>
    </w:p>
    <w:p>
      <w:pPr>
        <w:pStyle w:val="8"/>
        <w:keepNext w:val="0"/>
        <w:keepLines w:val="0"/>
        <w:pageBreakBefore w:val="0"/>
        <w:widowControl/>
        <w:shd w:val="clear" w:color="auto"/>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shd w:val="clear" w:color="auto" w:fill="FFFFFF"/>
        </w:rPr>
        <w:t>7.对</w:t>
      </w:r>
      <w:r>
        <w:rPr>
          <w:rFonts w:hint="eastAsia" w:ascii="仿宋_GB2312" w:hAnsi="仿宋_GB2312" w:eastAsia="仿宋_GB2312" w:cs="仿宋_GB2312"/>
          <w:sz w:val="32"/>
          <w:szCs w:val="32"/>
          <w:highlight w:val="none"/>
          <w:shd w:val="clear" w:color="auto" w:fill="FFFFFF"/>
          <w:lang w:eastAsia="zh-CN"/>
        </w:rPr>
        <w:t>广元市昭化区人民法院</w:t>
      </w:r>
      <w:r>
        <w:rPr>
          <w:rFonts w:hint="eastAsia" w:ascii="仿宋_GB2312" w:hAnsi="仿宋_GB2312" w:eastAsia="仿宋_GB2312" w:cs="仿宋_GB2312"/>
          <w:color w:val="000000"/>
          <w:sz w:val="32"/>
          <w:szCs w:val="32"/>
          <w:highlight w:val="none"/>
          <w:shd w:val="clear" w:color="auto" w:fill="FFFFFF"/>
        </w:rPr>
        <w:t>的法官和</w:t>
      </w:r>
      <w:r>
        <w:rPr>
          <w:rFonts w:hint="eastAsia" w:ascii="仿宋_GB2312" w:hAnsi="仿宋_GB2312" w:eastAsia="仿宋_GB2312" w:cs="仿宋_GB2312"/>
          <w:color w:val="000000"/>
          <w:sz w:val="32"/>
          <w:szCs w:val="32"/>
          <w:highlight w:val="none"/>
          <w:shd w:val="clear" w:color="auto" w:fill="FFFFFF"/>
          <w:lang w:val="en-US" w:eastAsia="zh-CN"/>
        </w:rPr>
        <w:t>其他</w:t>
      </w:r>
      <w:r>
        <w:rPr>
          <w:rFonts w:hint="eastAsia" w:ascii="仿宋_GB2312" w:hAnsi="仿宋_GB2312" w:eastAsia="仿宋_GB2312" w:cs="仿宋_GB2312"/>
          <w:color w:val="000000"/>
          <w:sz w:val="32"/>
          <w:szCs w:val="32"/>
          <w:highlight w:val="none"/>
          <w:shd w:val="clear" w:color="auto" w:fill="FFFFFF"/>
        </w:rPr>
        <w:t>工作人员进行思想政治教育，组织专业培训，按权限管理法官，</w:t>
      </w:r>
      <w:r>
        <w:rPr>
          <w:rFonts w:hint="eastAsia" w:ascii="仿宋_GB2312" w:hAnsi="仿宋_GB2312" w:eastAsia="仿宋_GB2312" w:cs="仿宋_GB2312"/>
          <w:color w:val="000000"/>
          <w:sz w:val="32"/>
          <w:szCs w:val="32"/>
          <w:highlight w:val="none"/>
          <w:shd w:val="clear" w:color="auto" w:fill="FFFFFF"/>
          <w:lang w:val="en-US" w:eastAsia="zh-CN"/>
        </w:rPr>
        <w:t>法官助理</w:t>
      </w:r>
      <w:r>
        <w:rPr>
          <w:rFonts w:hint="eastAsia" w:ascii="仿宋_GB2312" w:hAnsi="仿宋_GB2312" w:eastAsia="仿宋_GB2312" w:cs="仿宋_GB2312"/>
          <w:color w:val="000000"/>
          <w:sz w:val="32"/>
          <w:szCs w:val="32"/>
          <w:highlight w:val="none"/>
          <w:shd w:val="clear" w:color="auto" w:fill="FFFFFF"/>
        </w:rPr>
        <w:t>、书记员、司法警察、司法行政人员，协同主管部门管理本院机构设置，人员编制。</w:t>
      </w:r>
    </w:p>
    <w:p>
      <w:pPr>
        <w:pStyle w:val="8"/>
        <w:keepNext w:val="0"/>
        <w:keepLines w:val="0"/>
        <w:pageBreakBefore w:val="0"/>
        <w:widowControl/>
        <w:shd w:val="clear" w:color="auto"/>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shd w:val="clear" w:color="auto" w:fill="FFFFFF"/>
        </w:rPr>
      </w:pPr>
      <w:r>
        <w:rPr>
          <w:rFonts w:hint="eastAsia" w:ascii="仿宋_GB2312" w:hAnsi="仿宋_GB2312" w:eastAsia="仿宋_GB2312" w:cs="仿宋_GB2312"/>
          <w:color w:val="000000"/>
          <w:sz w:val="32"/>
          <w:szCs w:val="32"/>
          <w:highlight w:val="none"/>
          <w:shd w:val="clear" w:color="auto" w:fill="FFFFFF"/>
        </w:rPr>
        <w:t>8.协同区纪委处理本院干警的违法违纪行为，领导本院的监察工作。</w:t>
      </w:r>
    </w:p>
    <w:p>
      <w:pPr>
        <w:pStyle w:val="8"/>
        <w:keepNext w:val="0"/>
        <w:keepLines w:val="0"/>
        <w:pageBreakBefore w:val="0"/>
        <w:widowControl/>
        <w:shd w:val="clear" w:color="auto"/>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shd w:val="clear" w:color="auto" w:fill="FFFFFF"/>
        </w:rPr>
        <w:t>9.管理本院和各基层人民法庭的经费和物质装备。</w:t>
      </w:r>
    </w:p>
    <w:p>
      <w:pPr>
        <w:pStyle w:val="8"/>
        <w:keepNext w:val="0"/>
        <w:keepLines w:val="0"/>
        <w:pageBreakBefore w:val="0"/>
        <w:widowControl/>
        <w:shd w:val="clear" w:color="auto"/>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shd w:val="clear" w:color="auto" w:fill="FFFFFF"/>
        </w:rPr>
      </w:pPr>
      <w:r>
        <w:rPr>
          <w:rFonts w:hint="eastAsia" w:ascii="仿宋_GB2312" w:hAnsi="仿宋_GB2312" w:eastAsia="仿宋_GB2312" w:cs="仿宋_GB2312"/>
          <w:color w:val="000000"/>
          <w:sz w:val="32"/>
          <w:szCs w:val="32"/>
          <w:highlight w:val="none"/>
          <w:shd w:val="clear" w:color="auto" w:fill="FFFFFF"/>
        </w:rPr>
        <w:t>10.在审判工作中宣传法制，教育公民忠于社会主义祖国，自觉遵守宪法和法律以及社会公德，参与社会治安综合治理。</w:t>
      </w:r>
    </w:p>
    <w:p>
      <w:pPr>
        <w:pStyle w:val="8"/>
        <w:keepNext w:val="0"/>
        <w:keepLines w:val="0"/>
        <w:pageBreakBefore w:val="0"/>
        <w:widowControl/>
        <w:shd w:val="clear" w:color="auto"/>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shd w:val="clear" w:color="auto" w:fill="FFFFFF"/>
        </w:rPr>
      </w:pPr>
      <w:r>
        <w:rPr>
          <w:rFonts w:hint="eastAsia" w:ascii="仿宋_GB2312" w:hAnsi="仿宋_GB2312" w:eastAsia="仿宋_GB2312" w:cs="仿宋_GB2312"/>
          <w:color w:val="000000"/>
          <w:sz w:val="32"/>
          <w:szCs w:val="32"/>
          <w:highlight w:val="none"/>
          <w:shd w:val="clear" w:color="auto" w:fill="FFFFFF"/>
        </w:rPr>
        <w:t>11.处理不需开庭审判的民事经济纠纷和轻微的刑事案件。</w:t>
      </w:r>
    </w:p>
    <w:p>
      <w:pPr>
        <w:pStyle w:val="8"/>
        <w:keepNext w:val="0"/>
        <w:keepLines w:val="0"/>
        <w:pageBreakBefore w:val="0"/>
        <w:widowControl/>
        <w:shd w:val="clear" w:color="auto"/>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highlight w:val="none"/>
        </w:rPr>
      </w:pPr>
      <w:r>
        <w:rPr>
          <w:rFonts w:hint="eastAsia" w:ascii="仿宋_GB2312" w:hAnsi="仿宋_GB2312" w:eastAsia="仿宋_GB2312" w:cs="仿宋_GB2312"/>
          <w:color w:val="000000"/>
          <w:sz w:val="32"/>
          <w:szCs w:val="32"/>
          <w:highlight w:val="none"/>
          <w:shd w:val="clear" w:color="auto" w:fill="FFFFFF"/>
        </w:rPr>
        <w:t>12.指导人民</w:t>
      </w:r>
      <w:r>
        <w:rPr>
          <w:rFonts w:hint="eastAsia" w:ascii="仿宋_GB2312" w:hAnsi="仿宋_GB2312" w:eastAsia="仿宋_GB2312" w:cs="仿宋_GB2312"/>
          <w:color w:val="000000"/>
          <w:sz w:val="32"/>
          <w:szCs w:val="32"/>
          <w:highlight w:val="none"/>
          <w:shd w:val="clear" w:color="auto" w:fill="FFFFFF"/>
          <w:lang w:val="en-US" w:eastAsia="zh-CN"/>
        </w:rPr>
        <w:t>陪审员</w:t>
      </w:r>
      <w:r>
        <w:rPr>
          <w:rFonts w:hint="eastAsia" w:ascii="仿宋_GB2312" w:hAnsi="仿宋_GB2312" w:eastAsia="仿宋_GB2312" w:cs="仿宋_GB2312"/>
          <w:color w:val="000000"/>
          <w:sz w:val="32"/>
          <w:szCs w:val="32"/>
          <w:highlight w:val="none"/>
          <w:shd w:val="clear" w:color="auto" w:fill="FFFFFF"/>
        </w:rPr>
        <w:t>的工作。</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rPr>
      </w:pPr>
      <w:bookmarkStart w:id="3" w:name="_Toc17603"/>
      <w:r>
        <w:rPr>
          <w:rFonts w:hint="eastAsia" w:ascii="楷体_GB2312" w:hAnsi="楷体_GB2312" w:eastAsia="楷体_GB2312" w:cs="楷体_GB2312"/>
          <w:sz w:val="32"/>
          <w:szCs w:val="32"/>
          <w:highlight w:val="none"/>
          <w:lang w:val="en-US" w:eastAsia="zh-CN"/>
        </w:rPr>
        <w:t>广元市昭化区人民法院</w:t>
      </w:r>
      <w:r>
        <w:rPr>
          <w:rFonts w:hint="eastAsia" w:ascii="楷体_GB2312" w:hAnsi="楷体_GB2312" w:eastAsia="楷体_GB2312" w:cs="楷体_GB2312"/>
          <w:sz w:val="32"/>
          <w:szCs w:val="32"/>
          <w:highlight w:val="none"/>
          <w:lang w:val="en-US"/>
        </w:rPr>
        <w:t>2024</w:t>
      </w:r>
      <w:r>
        <w:rPr>
          <w:rFonts w:hint="eastAsia" w:ascii="楷体_GB2312" w:hAnsi="楷体_GB2312" w:eastAsia="楷体_GB2312" w:cs="楷体_GB2312"/>
          <w:sz w:val="32"/>
          <w:szCs w:val="32"/>
          <w:highlight w:val="none"/>
        </w:rPr>
        <w:t>年重点工作</w:t>
      </w:r>
      <w:bookmarkEnd w:id="3"/>
    </w:p>
    <w:p>
      <w:pPr>
        <w:pStyle w:val="8"/>
        <w:keepNext w:val="0"/>
        <w:keepLines w:val="0"/>
        <w:pageBreakBefore w:val="0"/>
        <w:widowControl/>
        <w:shd w:val="clear" w:color="auto"/>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shd w:val="clear" w:color="auto" w:fill="FFFFFF"/>
        </w:rPr>
        <w:t>1.</w:t>
      </w:r>
      <w:r>
        <w:rPr>
          <w:rFonts w:hint="eastAsia" w:ascii="仿宋_GB2312" w:hAnsi="仿宋_GB2312" w:eastAsia="仿宋_GB2312" w:cs="仿宋_GB2312"/>
          <w:color w:val="000000"/>
          <w:sz w:val="32"/>
          <w:szCs w:val="32"/>
          <w:highlight w:val="none"/>
          <w:shd w:val="clear" w:color="auto" w:fill="FFFFFF"/>
          <w:lang w:val="en-US" w:eastAsia="zh-CN"/>
        </w:rPr>
        <w:t>坚决落实全面从严治党战略方针，</w:t>
      </w:r>
      <w:r>
        <w:rPr>
          <w:rFonts w:hint="eastAsia" w:ascii="仿宋_GB2312" w:hAnsi="仿宋_GB2312" w:eastAsia="仿宋_GB2312" w:cs="仿宋_GB2312"/>
          <w:color w:val="000000"/>
          <w:sz w:val="32"/>
          <w:szCs w:val="32"/>
          <w:highlight w:val="none"/>
          <w:shd w:val="clear" w:color="auto" w:fill="FFFFFF"/>
        </w:rPr>
        <w:t>坚决落实党的决策部署。在思想上</w:t>
      </w:r>
      <w:r>
        <w:rPr>
          <w:rFonts w:hint="eastAsia" w:ascii="仿宋_GB2312" w:hAnsi="仿宋_GB2312" w:eastAsia="仿宋_GB2312" w:cs="仿宋_GB2312"/>
          <w:color w:val="000000"/>
          <w:sz w:val="32"/>
          <w:szCs w:val="32"/>
          <w:highlight w:val="none"/>
          <w:shd w:val="clear" w:color="auto" w:fill="FFFFFF"/>
          <w:lang w:eastAsia="zh-CN"/>
        </w:rPr>
        <w:t>、</w:t>
      </w:r>
      <w:r>
        <w:rPr>
          <w:rFonts w:hint="eastAsia" w:ascii="仿宋_GB2312" w:hAnsi="仿宋_GB2312" w:eastAsia="仿宋_GB2312" w:cs="仿宋_GB2312"/>
          <w:color w:val="000000"/>
          <w:sz w:val="32"/>
          <w:szCs w:val="32"/>
          <w:highlight w:val="none"/>
          <w:shd w:val="clear" w:color="auto" w:fill="FFFFFF"/>
        </w:rPr>
        <w:t>政治上</w:t>
      </w:r>
      <w:r>
        <w:rPr>
          <w:rFonts w:hint="eastAsia" w:ascii="仿宋_GB2312" w:hAnsi="仿宋_GB2312" w:eastAsia="仿宋_GB2312" w:cs="仿宋_GB2312"/>
          <w:color w:val="000000"/>
          <w:sz w:val="32"/>
          <w:szCs w:val="32"/>
          <w:highlight w:val="none"/>
          <w:shd w:val="clear" w:color="auto" w:fill="FFFFFF"/>
          <w:lang w:eastAsia="zh-CN"/>
        </w:rPr>
        <w:t>、</w:t>
      </w:r>
      <w:r>
        <w:rPr>
          <w:rFonts w:hint="eastAsia" w:ascii="仿宋_GB2312" w:hAnsi="仿宋_GB2312" w:eastAsia="仿宋_GB2312" w:cs="仿宋_GB2312"/>
          <w:color w:val="000000"/>
          <w:sz w:val="32"/>
          <w:szCs w:val="32"/>
          <w:highlight w:val="none"/>
          <w:shd w:val="clear" w:color="auto" w:fill="FFFFFF"/>
        </w:rPr>
        <w:t>行动上同以习近平同志为核心的党中央保持高度一致，确保习近平总书记重要指示批示、党中央和省委各项决策部署不折不扣落地落实。建立健全不忘初心、牢记使命长效机制，巩固主题教育成果。</w:t>
      </w:r>
    </w:p>
    <w:p>
      <w:pPr>
        <w:pStyle w:val="8"/>
        <w:keepNext w:val="0"/>
        <w:keepLines w:val="0"/>
        <w:pageBreakBefore w:val="0"/>
        <w:widowControl/>
        <w:shd w:val="clear" w:color="auto"/>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shd w:val="clear" w:color="auto" w:fill="FFFFFF"/>
        </w:rPr>
        <w:t>2.助推平安昭化的建设工作。与纪委监委、组织、检察、公安等部门密切配合，巩固扫黑除恶专项斗争成果，主动融入党委政府主导的社会治理体系，建设平安昭化。</w:t>
      </w:r>
    </w:p>
    <w:p>
      <w:pPr>
        <w:pStyle w:val="8"/>
        <w:keepNext w:val="0"/>
        <w:keepLines w:val="0"/>
        <w:pageBreakBefore w:val="0"/>
        <w:widowControl/>
        <w:shd w:val="clear" w:color="auto"/>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shd w:val="clear" w:color="auto" w:fill="FFFFFF"/>
        </w:rPr>
        <w:t>3.促进生态文明建设。助力打赢污染防治攻坚战，依法适用刑事制裁、损害赔偿、修复补偿等举措</w:t>
      </w:r>
      <w:r>
        <w:rPr>
          <w:rFonts w:hint="eastAsia" w:ascii="仿宋_GB2312" w:hAnsi="仿宋_GB2312" w:eastAsia="仿宋_GB2312" w:cs="仿宋_GB2312"/>
          <w:color w:val="000000"/>
          <w:sz w:val="32"/>
          <w:szCs w:val="32"/>
          <w:highlight w:val="none"/>
          <w:shd w:val="clear" w:color="auto" w:fill="FFFFFF"/>
          <w:lang w:eastAsia="zh-CN"/>
        </w:rPr>
        <w:t>，</w:t>
      </w:r>
      <w:r>
        <w:rPr>
          <w:rFonts w:hint="eastAsia" w:ascii="仿宋_GB2312" w:hAnsi="仿宋_GB2312" w:eastAsia="仿宋_GB2312" w:cs="仿宋_GB2312"/>
          <w:color w:val="000000"/>
          <w:sz w:val="32"/>
          <w:szCs w:val="32"/>
          <w:highlight w:val="none"/>
          <w:shd w:val="clear" w:color="auto" w:fill="FFFFFF"/>
        </w:rPr>
        <w:t>守护绿水青山。推动环境公益诉讼，开展环保法制宣传，引导全社会共同参与保护生态环境。</w:t>
      </w:r>
    </w:p>
    <w:p>
      <w:pPr>
        <w:pStyle w:val="8"/>
        <w:keepNext w:val="0"/>
        <w:keepLines w:val="0"/>
        <w:pageBreakBefore w:val="0"/>
        <w:widowControl/>
        <w:shd w:val="clear" w:color="auto"/>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shd w:val="clear" w:color="auto" w:fill="FFFFFF"/>
        </w:rPr>
        <w:t>4.平等保护民事权益。保障群众学有所教、劳有所得、病有所医、住有所居、弱有所扶。规范契约关系，促进社会诚信集约高效审理借贷、保险、证券等金融案件，防范化解金融风险，服务大众创业创新。</w:t>
      </w:r>
    </w:p>
    <w:p>
      <w:pPr>
        <w:pStyle w:val="8"/>
        <w:keepNext w:val="0"/>
        <w:keepLines w:val="0"/>
        <w:pageBreakBefore w:val="0"/>
        <w:widowControl/>
        <w:shd w:val="clear" w:color="auto"/>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shd w:val="clear" w:color="auto" w:fill="FFFFFF"/>
        </w:rPr>
      </w:pPr>
      <w:r>
        <w:rPr>
          <w:rFonts w:hint="eastAsia" w:ascii="仿宋_GB2312" w:hAnsi="仿宋_GB2312" w:eastAsia="仿宋_GB2312" w:cs="仿宋_GB2312"/>
          <w:color w:val="000000"/>
          <w:sz w:val="32"/>
          <w:szCs w:val="32"/>
          <w:highlight w:val="none"/>
          <w:shd w:val="clear" w:color="auto" w:fill="FFFFFF"/>
        </w:rPr>
        <w:t>5.执行攻坚保障民利。巩固“三年基本解决执行难”工作成果</w:t>
      </w:r>
      <w:r>
        <w:rPr>
          <w:rFonts w:hint="eastAsia" w:ascii="仿宋_GB2312" w:hAnsi="仿宋_GB2312" w:eastAsia="仿宋_GB2312" w:cs="仿宋_GB2312"/>
          <w:color w:val="000000"/>
          <w:sz w:val="32"/>
          <w:szCs w:val="32"/>
          <w:highlight w:val="none"/>
          <w:shd w:val="clear" w:color="auto" w:fill="FFFFFF"/>
          <w:lang w:eastAsia="zh-CN"/>
        </w:rPr>
        <w:t>，</w:t>
      </w:r>
      <w:r>
        <w:rPr>
          <w:rFonts w:hint="eastAsia" w:ascii="仿宋_GB2312" w:hAnsi="仿宋_GB2312" w:eastAsia="仿宋_GB2312" w:cs="仿宋_GB2312"/>
          <w:color w:val="000000"/>
          <w:sz w:val="32"/>
          <w:szCs w:val="32"/>
          <w:highlight w:val="none"/>
          <w:shd w:val="clear" w:color="auto" w:fill="FFFFFF"/>
        </w:rPr>
        <w:t>开展集中执行专项行动</w:t>
      </w:r>
      <w:r>
        <w:rPr>
          <w:rFonts w:hint="eastAsia" w:ascii="仿宋_GB2312" w:hAnsi="仿宋_GB2312" w:eastAsia="仿宋_GB2312" w:cs="仿宋_GB2312"/>
          <w:color w:val="000000"/>
          <w:sz w:val="32"/>
          <w:szCs w:val="32"/>
          <w:highlight w:val="none"/>
          <w:shd w:val="clear" w:color="auto" w:fill="FFFFFF"/>
          <w:lang w:eastAsia="zh-CN"/>
        </w:rPr>
        <w:t>，</w:t>
      </w:r>
      <w:r>
        <w:rPr>
          <w:rFonts w:hint="eastAsia" w:ascii="仿宋_GB2312" w:hAnsi="仿宋_GB2312" w:eastAsia="仿宋_GB2312" w:cs="仿宋_GB2312"/>
          <w:color w:val="000000"/>
          <w:sz w:val="32"/>
          <w:szCs w:val="32"/>
          <w:highlight w:val="none"/>
          <w:shd w:val="clear" w:color="auto" w:fill="FFFFFF"/>
        </w:rPr>
        <w:t>加大执行强制性措施运用力度</w:t>
      </w:r>
      <w:r>
        <w:rPr>
          <w:rFonts w:hint="eastAsia" w:ascii="仿宋_GB2312" w:hAnsi="仿宋_GB2312" w:eastAsia="仿宋_GB2312" w:cs="仿宋_GB2312"/>
          <w:color w:val="000000"/>
          <w:sz w:val="32"/>
          <w:szCs w:val="32"/>
          <w:highlight w:val="none"/>
          <w:shd w:val="clear" w:color="auto" w:fill="FFFFFF"/>
          <w:lang w:eastAsia="zh-CN"/>
        </w:rPr>
        <w:t>，</w:t>
      </w:r>
      <w:r>
        <w:rPr>
          <w:rFonts w:hint="eastAsia" w:ascii="仿宋_GB2312" w:hAnsi="仿宋_GB2312" w:eastAsia="仿宋_GB2312" w:cs="仿宋_GB2312"/>
          <w:color w:val="000000"/>
          <w:sz w:val="32"/>
          <w:szCs w:val="32"/>
          <w:highlight w:val="none"/>
          <w:shd w:val="clear" w:color="auto" w:fill="FFFFFF"/>
        </w:rPr>
        <w:t>探索执行案件繁简分流、裁执分离、团队合作的办案模式，建立健全“基本解决执行难”工作长效机制。</w:t>
      </w:r>
    </w:p>
    <w:p>
      <w:pPr>
        <w:pStyle w:val="8"/>
        <w:keepNext w:val="0"/>
        <w:keepLines w:val="0"/>
        <w:pageBreakBefore w:val="0"/>
        <w:widowControl/>
        <w:shd w:val="clear" w:color="auto"/>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lang w:val="en-US" w:eastAsia="zh-CN"/>
        </w:rPr>
      </w:pPr>
      <w:bookmarkStart w:id="4" w:name="_Toc7840"/>
      <w:r>
        <w:rPr>
          <w:rFonts w:hint="eastAsia" w:ascii="黑体" w:hAnsi="黑体" w:eastAsia="黑体" w:cs="黑体"/>
          <w:sz w:val="32"/>
          <w:szCs w:val="32"/>
          <w:highlight w:val="none"/>
          <w:lang w:val="en-US" w:eastAsia="zh-CN"/>
        </w:rPr>
        <w:t>二、部门预算单位构成</w:t>
      </w:r>
      <w:bookmarkEnd w:id="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广元市昭化区人民法院属一级预算单位，无下属二级预算单位。</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rPr>
      </w:pPr>
      <w:bookmarkStart w:id="5" w:name="_Toc1195"/>
      <w:r>
        <w:rPr>
          <w:rFonts w:hint="eastAsia" w:ascii="黑体" w:hAnsi="黑体" w:eastAsia="黑体" w:cs="黑体"/>
          <w:sz w:val="32"/>
          <w:szCs w:val="32"/>
          <w:highlight w:val="none"/>
          <w:lang w:val="en-US" w:eastAsia="zh-CN"/>
        </w:rPr>
        <w:t>三、收支预算情况说明</w:t>
      </w:r>
      <w:bookmarkEnd w:id="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highlight w:val="none"/>
          <w:lang w:val="en-US"/>
        </w:rPr>
      </w:pPr>
      <w:r>
        <w:rPr>
          <w:rFonts w:hint="eastAsia" w:ascii="仿宋_GB2312" w:hAnsi="仿宋_GB2312" w:eastAsia="仿宋_GB2312" w:cs="仿宋_GB2312"/>
          <w:sz w:val="32"/>
          <w:szCs w:val="32"/>
          <w:highlight w:val="none"/>
          <w:lang w:val="en-US" w:eastAsia="zh-CN"/>
        </w:rPr>
        <w:t>按照综合预算的原则，广元市昭化区人民法院所有收入和支出均纳入部门预算管理。收入包括：一般公共预算拨款收入；支出包括：公共安全支出、社会保障和就业支出、卫生健康支出、住房保障支出。广元市昭化区人民法院2024年收支预算总数1274.87万元，比2023年收支预算总数减少90.53万元，主要原因是有人员调出及人员退休，人员经费减少。</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6" w:name="_Toc16600"/>
      <w:r>
        <w:rPr>
          <w:rFonts w:hint="eastAsia" w:ascii="楷体_GB2312" w:hAnsi="楷体_GB2312" w:eastAsia="楷体_GB2312" w:cs="楷体_GB2312"/>
          <w:sz w:val="32"/>
          <w:szCs w:val="32"/>
          <w:highlight w:val="none"/>
          <w:lang w:val="en-US" w:eastAsia="zh-CN"/>
        </w:rPr>
        <w:t>（一）收入预算情况</w:t>
      </w:r>
      <w:bookmarkEnd w:id="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FF0000"/>
          <w:sz w:val="32"/>
          <w:szCs w:val="32"/>
          <w:highlight w:val="none"/>
          <w:lang w:val="en-US" w:eastAsia="zh-CN"/>
        </w:rPr>
      </w:pPr>
      <w:r>
        <w:rPr>
          <w:rFonts w:hint="eastAsia" w:ascii="仿宋_GB2312" w:hAnsi="仿宋_GB2312" w:eastAsia="仿宋_GB2312" w:cs="仿宋_GB2312"/>
          <w:sz w:val="32"/>
          <w:szCs w:val="32"/>
          <w:highlight w:val="none"/>
          <w:lang w:val="en-US" w:eastAsia="zh-CN"/>
        </w:rPr>
        <w:t>广元市昭化区人民法院2024年收入预算1274.87万元，其中：一般公共预算拨款收入1274.87万元，占100%。</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7" w:name="_Toc9686"/>
      <w:r>
        <w:rPr>
          <w:rFonts w:hint="eastAsia" w:ascii="楷体_GB2312" w:hAnsi="楷体_GB2312" w:eastAsia="楷体_GB2312" w:cs="楷体_GB2312"/>
          <w:sz w:val="32"/>
          <w:szCs w:val="32"/>
          <w:highlight w:val="none"/>
          <w:lang w:val="en-US" w:eastAsia="zh-CN"/>
        </w:rPr>
        <w:t>（二）支出预算情况</w:t>
      </w:r>
      <w:bookmarkEnd w:id="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FF0000"/>
          <w:sz w:val="32"/>
          <w:szCs w:val="32"/>
          <w:highlight w:val="none"/>
          <w:lang w:val="en-US" w:eastAsia="zh-CN"/>
        </w:rPr>
      </w:pPr>
      <w:r>
        <w:rPr>
          <w:rFonts w:hint="eastAsia" w:ascii="仿宋_GB2312" w:hAnsi="仿宋_GB2312" w:eastAsia="仿宋_GB2312" w:cs="仿宋_GB2312"/>
          <w:sz w:val="32"/>
          <w:szCs w:val="32"/>
          <w:highlight w:val="none"/>
          <w:lang w:val="en-US" w:eastAsia="zh-CN"/>
        </w:rPr>
        <w:t>广元市昭化区人民法院2024年支出预算1274.87万元，其中：基本支出988.35万元，占77.52%；项目支出286.52万元，占22.48%</w:t>
      </w:r>
      <w:r>
        <w:rPr>
          <w:rFonts w:hint="eastAsia" w:ascii="仿宋_GB2312" w:hAnsi="仿宋_GB2312" w:eastAsia="仿宋_GB2312" w:cs="仿宋_GB2312"/>
          <w:b w:val="0"/>
          <w:bCs w:val="0"/>
          <w:sz w:val="32"/>
          <w:szCs w:val="32"/>
          <w:highlight w:val="none"/>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rPr>
      </w:pPr>
      <w:bookmarkStart w:id="8" w:name="_Toc15613"/>
      <w:r>
        <w:rPr>
          <w:rFonts w:hint="eastAsia" w:ascii="黑体" w:hAnsi="黑体" w:eastAsia="黑体" w:cs="黑体"/>
          <w:sz w:val="32"/>
          <w:szCs w:val="32"/>
          <w:highlight w:val="none"/>
          <w:lang w:val="en-US" w:eastAsia="zh-CN"/>
        </w:rPr>
        <w:t>四、财政拨款收支预算情况说明</w:t>
      </w:r>
      <w:bookmarkEnd w:id="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广元市昭化区人民法院2024年财政拨款收支预算总数1274.87万元，比2023年财政拨款收支预算总数减少90.53万元，主要原因是有人员调出及人员退休，人员经费减少。</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收入包括：本年一般公共预算拨款收入1274.87万元；支出包括：公共安全支出1107.28万元、社会保障和就业支出73.13万元、卫生健康支出34.38万元、住房保障支出60.08万元。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lang w:val="en-US" w:eastAsia="zh-CN"/>
        </w:rPr>
      </w:pPr>
      <w:bookmarkStart w:id="9" w:name="_Toc11541"/>
      <w:r>
        <w:rPr>
          <w:rFonts w:hint="eastAsia" w:ascii="黑体" w:hAnsi="黑体" w:eastAsia="黑体" w:cs="黑体"/>
          <w:sz w:val="32"/>
          <w:szCs w:val="32"/>
          <w:highlight w:val="none"/>
          <w:lang w:val="en-US" w:eastAsia="zh-CN"/>
        </w:rPr>
        <w:t>五、一般公共预算当年拨款情况说明</w:t>
      </w:r>
      <w:bookmarkEnd w:id="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10" w:name="_Toc25686"/>
      <w:r>
        <w:rPr>
          <w:rFonts w:hint="eastAsia" w:ascii="楷体_GB2312" w:hAnsi="楷体_GB2312" w:eastAsia="楷体_GB2312" w:cs="楷体_GB2312"/>
          <w:sz w:val="32"/>
          <w:szCs w:val="32"/>
          <w:highlight w:val="none"/>
          <w:lang w:val="en-US" w:eastAsia="zh-CN"/>
        </w:rPr>
        <w:t>（一）一般公共预算当年拨款规模变化情况</w:t>
      </w:r>
      <w:bookmarkEnd w:id="1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广元市昭化区人民法院2024年一般公共预算当年拨款1274.87万元，比2023年预算数减少90.53万元，主要原因是有人员调出及人员退休，人员经费减少。</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11" w:name="_Toc28515"/>
      <w:r>
        <w:rPr>
          <w:rFonts w:hint="eastAsia" w:ascii="楷体_GB2312" w:hAnsi="楷体_GB2312" w:eastAsia="楷体_GB2312" w:cs="楷体_GB2312"/>
          <w:sz w:val="32"/>
          <w:szCs w:val="32"/>
          <w:highlight w:val="none"/>
          <w:lang w:val="en-US" w:eastAsia="zh-CN"/>
        </w:rPr>
        <w:t>（二）一般公共预算当年拨款结构情况</w:t>
      </w:r>
      <w:bookmarkEnd w:id="1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公共安全支出1107.28万元，占86.85%；社会保障和就业支出73.13万元，占5.74%；卫生健康支出34.38万元，占2.70%；住房保障支出60.08万元，占4.71%。</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12" w:name="_Toc9601"/>
      <w:r>
        <w:rPr>
          <w:rFonts w:hint="eastAsia" w:ascii="楷体_GB2312" w:hAnsi="楷体_GB2312" w:eastAsia="楷体_GB2312" w:cs="楷体_GB2312"/>
          <w:sz w:val="32"/>
          <w:szCs w:val="32"/>
          <w:highlight w:val="none"/>
          <w:lang w:val="en-US" w:eastAsia="zh-CN"/>
        </w:rPr>
        <w:t>（三）一般公共预算当年拨款具体使用情况</w:t>
      </w:r>
      <w:bookmarkEnd w:id="12"/>
    </w:p>
    <w:p>
      <w:pPr>
        <w:keepNext w:val="0"/>
        <w:keepLines w:val="0"/>
        <w:pageBreakBefore w:val="0"/>
        <w:widowControl/>
        <w:numPr>
          <w:ilvl w:val="0"/>
          <w:numId w:val="2"/>
        </w:numPr>
        <w:pBdr>
          <w:bottom w:val="single" w:color="FFFFFF" w:sz="8" w:space="31"/>
        </w:pBdr>
        <w:shd w:val="clear" w:color="auto"/>
        <w:kinsoku/>
        <w:wordWrap/>
        <w:overflowPunct/>
        <w:topLinePunct w:val="0"/>
        <w:autoSpaceDE/>
        <w:autoSpaceDN/>
        <w:bidi w:val="0"/>
        <w:adjustRightInd/>
        <w:snapToGrid/>
        <w:spacing w:line="576" w:lineRule="exact"/>
        <w:ind w:left="0" w:leftChars="0" w:firstLine="400" w:firstLineChars="0"/>
        <w:textAlignment w:val="auto"/>
        <w:rPr>
          <w:rFonts w:hint="eastAsia" w:ascii="仿宋_GB2312" w:hAnsi="仿宋_GB2312" w:eastAsia="仿宋_GB2312" w:cs="仿宋_GB2312"/>
          <w:sz w:val="32"/>
          <w:szCs w:val="32"/>
          <w:highlight w:val="none"/>
          <w:shd w:val="clear" w:color="auto" w:fill="FFFFFF"/>
        </w:rPr>
      </w:pPr>
      <w:r>
        <w:rPr>
          <w:rFonts w:hint="eastAsia" w:ascii="仿宋_GB2312" w:hAnsi="仿宋_GB2312" w:eastAsia="仿宋_GB2312" w:cs="仿宋_GB2312"/>
          <w:kern w:val="0"/>
          <w:sz w:val="32"/>
          <w:szCs w:val="32"/>
          <w:highlight w:val="none"/>
          <w:shd w:val="clear" w:color="auto" w:fill="FFFFFF"/>
          <w:lang w:bidi="ar"/>
        </w:rPr>
        <w:t>公共安全（类）法院（款）行政运行（项）202</w:t>
      </w:r>
      <w:r>
        <w:rPr>
          <w:rFonts w:hint="eastAsia" w:ascii="仿宋_GB2312" w:hAnsi="仿宋_GB2312" w:eastAsia="仿宋_GB2312" w:cs="仿宋_GB2312"/>
          <w:kern w:val="0"/>
          <w:sz w:val="32"/>
          <w:szCs w:val="32"/>
          <w:highlight w:val="none"/>
          <w:shd w:val="clear" w:color="auto" w:fill="FFFFFF"/>
          <w:lang w:val="en-US" w:eastAsia="zh-CN" w:bidi="ar"/>
        </w:rPr>
        <w:t>4</w:t>
      </w:r>
      <w:r>
        <w:rPr>
          <w:rFonts w:hint="eastAsia" w:ascii="仿宋_GB2312" w:hAnsi="仿宋_GB2312" w:eastAsia="仿宋_GB2312" w:cs="仿宋_GB2312"/>
          <w:kern w:val="0"/>
          <w:sz w:val="32"/>
          <w:szCs w:val="32"/>
          <w:highlight w:val="none"/>
          <w:shd w:val="clear" w:color="auto" w:fill="FFFFFF"/>
          <w:lang w:bidi="ar"/>
        </w:rPr>
        <w:t>年预算数为</w:t>
      </w:r>
      <w:r>
        <w:rPr>
          <w:rFonts w:hint="eastAsia" w:ascii="仿宋_GB2312" w:hAnsi="仿宋_GB2312" w:eastAsia="仿宋_GB2312" w:cs="仿宋_GB2312"/>
          <w:kern w:val="0"/>
          <w:sz w:val="32"/>
          <w:szCs w:val="32"/>
          <w:highlight w:val="none"/>
          <w:shd w:val="clear" w:color="auto" w:fill="FFFFFF"/>
          <w:lang w:val="en-US" w:eastAsia="zh-CN" w:bidi="ar"/>
        </w:rPr>
        <w:t>760.36</w:t>
      </w:r>
      <w:r>
        <w:rPr>
          <w:rFonts w:hint="eastAsia" w:ascii="仿宋_GB2312" w:hAnsi="仿宋_GB2312" w:eastAsia="仿宋_GB2312" w:cs="仿宋_GB2312"/>
          <w:kern w:val="0"/>
          <w:sz w:val="32"/>
          <w:szCs w:val="32"/>
          <w:highlight w:val="none"/>
          <w:shd w:val="clear" w:color="auto" w:fill="FFFFFF"/>
          <w:lang w:bidi="ar"/>
        </w:rPr>
        <w:t>万元，主要用于：</w:t>
      </w:r>
      <w:r>
        <w:rPr>
          <w:rFonts w:hint="eastAsia" w:ascii="仿宋_GB2312" w:hAnsi="仿宋_GB2312" w:eastAsia="仿宋_GB2312" w:cs="仿宋_GB2312"/>
          <w:sz w:val="32"/>
          <w:szCs w:val="32"/>
          <w:highlight w:val="none"/>
          <w:shd w:val="clear" w:color="auto" w:fill="FFFFFF"/>
        </w:rPr>
        <w:t>机关及基层法庭正常运转的基本支出，包括基本工资、津贴补贴等人员经费以及办公费、印刷费、水电费、差旅费等日常公用经费</w:t>
      </w:r>
      <w:r>
        <w:rPr>
          <w:rFonts w:hint="eastAsia" w:ascii="仿宋_GB2312" w:hAnsi="仿宋_GB2312" w:eastAsia="仿宋_GB2312" w:cs="仿宋_GB2312"/>
          <w:sz w:val="32"/>
          <w:szCs w:val="32"/>
          <w:highlight w:val="none"/>
          <w:shd w:val="clear" w:color="auto" w:fill="FFFFFF"/>
          <w:lang w:eastAsia="zh-CN"/>
        </w:rPr>
        <w:t>，</w:t>
      </w:r>
      <w:r>
        <w:rPr>
          <w:rFonts w:hint="eastAsia" w:ascii="仿宋_GB2312" w:hAnsi="仿宋_GB2312" w:eastAsia="仿宋_GB2312" w:cs="仿宋_GB2312"/>
          <w:sz w:val="32"/>
          <w:szCs w:val="32"/>
          <w:highlight w:val="none"/>
          <w:shd w:val="clear" w:color="auto" w:fill="FFFFFF"/>
        </w:rPr>
        <w:t>保障部门正常运转。</w:t>
      </w:r>
    </w:p>
    <w:p>
      <w:pPr>
        <w:keepNext w:val="0"/>
        <w:keepLines w:val="0"/>
        <w:pageBreakBefore w:val="0"/>
        <w:widowControl/>
        <w:numPr>
          <w:ilvl w:val="0"/>
          <w:numId w:val="2"/>
        </w:numPr>
        <w:pBdr>
          <w:bottom w:val="single" w:color="FFFFFF" w:sz="8" w:space="31"/>
        </w:pBdr>
        <w:shd w:val="clear" w:color="auto"/>
        <w:kinsoku/>
        <w:wordWrap/>
        <w:overflowPunct/>
        <w:topLinePunct w:val="0"/>
        <w:autoSpaceDE/>
        <w:autoSpaceDN/>
        <w:bidi w:val="0"/>
        <w:adjustRightInd/>
        <w:snapToGrid/>
        <w:spacing w:line="576" w:lineRule="exact"/>
        <w:ind w:left="0" w:leftChars="0" w:firstLine="400" w:firstLine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公共安全（类）法院（款）一般行政管理事务（项）2024年预算数为216</w:t>
      </w:r>
      <w:r>
        <w:rPr>
          <w:rFonts w:hint="eastAsia" w:ascii="仿宋_GB2312" w:hAnsi="仿宋_GB2312" w:eastAsia="仿宋_GB2312" w:cs="仿宋_GB2312"/>
          <w:color w:val="auto"/>
          <w:sz w:val="32"/>
          <w:szCs w:val="32"/>
          <w:highlight w:val="none"/>
          <w:lang w:val="en-US" w:eastAsia="zh-CN"/>
        </w:rPr>
        <w:t>.52万元</w:t>
      </w:r>
      <w:r>
        <w:rPr>
          <w:rFonts w:hint="eastAsia" w:ascii="仿宋_GB2312" w:hAnsi="仿宋_GB2312" w:eastAsia="仿宋_GB2312" w:cs="仿宋_GB2312"/>
          <w:sz w:val="32"/>
          <w:szCs w:val="32"/>
          <w:highlight w:val="none"/>
          <w:lang w:val="en-US" w:eastAsia="zh-CN"/>
        </w:rPr>
        <w:t>，主要用于：机关及基层法庭一般行政管理事务支出，包括人民陪审员经费、聘用制书记员经费、购买社会化服务等项目支出。</w:t>
      </w:r>
    </w:p>
    <w:p>
      <w:pPr>
        <w:keepNext w:val="0"/>
        <w:keepLines w:val="0"/>
        <w:pageBreakBefore w:val="0"/>
        <w:widowControl/>
        <w:numPr>
          <w:ilvl w:val="0"/>
          <w:numId w:val="2"/>
        </w:numPr>
        <w:pBdr>
          <w:bottom w:val="single" w:color="FFFFFF" w:sz="8" w:space="31"/>
        </w:pBdr>
        <w:shd w:val="clear" w:color="auto"/>
        <w:kinsoku/>
        <w:wordWrap/>
        <w:overflowPunct/>
        <w:topLinePunct w:val="0"/>
        <w:autoSpaceDE/>
        <w:autoSpaceDN/>
        <w:bidi w:val="0"/>
        <w:adjustRightInd/>
        <w:snapToGrid/>
        <w:spacing w:line="576" w:lineRule="exact"/>
        <w:ind w:left="0" w:leftChars="0" w:firstLine="400" w:firstLine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公共安全（类）法院（款）案件执行（项）2024年预算数为70万元，主要用于：案件办理及执行支出，主要包括差旅费和办公费。</w:t>
      </w:r>
    </w:p>
    <w:p>
      <w:pPr>
        <w:keepNext w:val="0"/>
        <w:keepLines w:val="0"/>
        <w:pageBreakBefore w:val="0"/>
        <w:widowControl/>
        <w:numPr>
          <w:ilvl w:val="0"/>
          <w:numId w:val="2"/>
        </w:numPr>
        <w:pBdr>
          <w:bottom w:val="single" w:color="FFFFFF" w:sz="8" w:space="31"/>
        </w:pBdr>
        <w:shd w:val="clear" w:color="auto"/>
        <w:kinsoku/>
        <w:wordWrap/>
        <w:overflowPunct/>
        <w:topLinePunct w:val="0"/>
        <w:autoSpaceDE/>
        <w:autoSpaceDN/>
        <w:bidi w:val="0"/>
        <w:adjustRightInd/>
        <w:snapToGrid/>
        <w:spacing w:line="576" w:lineRule="exact"/>
        <w:ind w:left="0" w:leftChars="0" w:firstLine="400" w:firstLineChars="0"/>
        <w:textAlignment w:val="auto"/>
        <w:rPr>
          <w:rFonts w:hint="eastAsia" w:ascii="仿宋_GB2312" w:hAnsi="仿宋_GB2312" w:eastAsia="仿宋_GB2312" w:cs="仿宋_GB2312"/>
          <w:sz w:val="32"/>
          <w:szCs w:val="32"/>
          <w:highlight w:val="none"/>
          <w:shd w:val="clear" w:color="auto" w:fill="FFFFFF"/>
        </w:rPr>
      </w:pPr>
      <w:r>
        <w:rPr>
          <w:rFonts w:hint="eastAsia" w:ascii="仿宋_GB2312" w:hAnsi="仿宋_GB2312" w:eastAsia="仿宋_GB2312" w:cs="仿宋_GB2312"/>
          <w:sz w:val="32"/>
          <w:szCs w:val="32"/>
          <w:highlight w:val="none"/>
          <w:lang w:val="en-US" w:eastAsia="zh-CN"/>
        </w:rPr>
        <w:t>公共安全（类）法院（款）事业运行（项）2024年预算数为60.4万元，主要用于：机关事业人员的基本支出，包括基</w:t>
      </w:r>
      <w:r>
        <w:rPr>
          <w:rFonts w:hint="eastAsia" w:ascii="仿宋_GB2312" w:hAnsi="仿宋_GB2312" w:eastAsia="仿宋_GB2312" w:cs="仿宋_GB2312"/>
          <w:sz w:val="32"/>
          <w:szCs w:val="32"/>
          <w:highlight w:val="none"/>
          <w:shd w:val="clear" w:color="auto" w:fill="FFFFFF"/>
        </w:rPr>
        <w:t>本工资、</w:t>
      </w:r>
      <w:r>
        <w:rPr>
          <w:rFonts w:hint="eastAsia" w:ascii="仿宋_GB2312" w:hAnsi="仿宋_GB2312" w:eastAsia="仿宋_GB2312" w:cs="仿宋_GB2312"/>
          <w:sz w:val="32"/>
          <w:szCs w:val="32"/>
          <w:highlight w:val="none"/>
          <w:shd w:val="clear" w:color="auto" w:fill="FFFFFF"/>
          <w:lang w:val="en-US" w:eastAsia="zh-CN"/>
        </w:rPr>
        <w:t>绩效工资</w:t>
      </w:r>
      <w:r>
        <w:rPr>
          <w:rFonts w:hint="eastAsia" w:ascii="仿宋_GB2312" w:hAnsi="仿宋_GB2312" w:eastAsia="仿宋_GB2312" w:cs="仿宋_GB2312"/>
          <w:sz w:val="32"/>
          <w:szCs w:val="32"/>
          <w:highlight w:val="none"/>
          <w:shd w:val="clear" w:color="auto" w:fill="FFFFFF"/>
        </w:rPr>
        <w:t>等人员经费以及办公费、</w:t>
      </w:r>
      <w:r>
        <w:rPr>
          <w:rFonts w:hint="eastAsia" w:ascii="仿宋_GB2312" w:hAnsi="仿宋_GB2312" w:eastAsia="仿宋_GB2312" w:cs="仿宋_GB2312"/>
          <w:sz w:val="32"/>
          <w:szCs w:val="32"/>
          <w:highlight w:val="none"/>
          <w:shd w:val="clear" w:color="auto" w:fill="FFFFFF"/>
          <w:lang w:val="en-US" w:eastAsia="zh-CN"/>
        </w:rPr>
        <w:t>邮</w:t>
      </w:r>
      <w:r>
        <w:rPr>
          <w:rFonts w:hint="eastAsia" w:ascii="仿宋_GB2312" w:hAnsi="仿宋_GB2312" w:eastAsia="仿宋_GB2312" w:cs="仿宋_GB2312"/>
          <w:sz w:val="32"/>
          <w:szCs w:val="32"/>
          <w:highlight w:val="none"/>
          <w:shd w:val="clear" w:color="auto" w:fill="FFFFFF"/>
        </w:rPr>
        <w:t>电费、差旅费等日常公用经费</w:t>
      </w:r>
      <w:r>
        <w:rPr>
          <w:rFonts w:hint="eastAsia" w:ascii="仿宋_GB2312" w:hAnsi="仿宋_GB2312" w:eastAsia="仿宋_GB2312" w:cs="仿宋_GB2312"/>
          <w:sz w:val="32"/>
          <w:szCs w:val="32"/>
          <w:highlight w:val="none"/>
          <w:shd w:val="clear" w:color="auto" w:fill="FFFFFF"/>
          <w:lang w:eastAsia="zh-CN"/>
        </w:rPr>
        <w:t>，</w:t>
      </w:r>
      <w:r>
        <w:rPr>
          <w:rFonts w:hint="eastAsia" w:ascii="仿宋_GB2312" w:hAnsi="仿宋_GB2312" w:eastAsia="仿宋_GB2312" w:cs="仿宋_GB2312"/>
          <w:sz w:val="32"/>
          <w:szCs w:val="32"/>
          <w:highlight w:val="none"/>
          <w:shd w:val="clear" w:color="auto" w:fill="FFFFFF"/>
        </w:rPr>
        <w:t>保障部门正常运转。</w:t>
      </w:r>
    </w:p>
    <w:p>
      <w:pPr>
        <w:keepNext w:val="0"/>
        <w:keepLines w:val="0"/>
        <w:pageBreakBefore w:val="0"/>
        <w:widowControl/>
        <w:numPr>
          <w:ilvl w:val="0"/>
          <w:numId w:val="2"/>
        </w:numPr>
        <w:pBdr>
          <w:bottom w:val="single" w:color="FFFFFF" w:sz="8" w:space="31"/>
        </w:pBdr>
        <w:shd w:val="clear" w:color="auto"/>
        <w:kinsoku/>
        <w:wordWrap/>
        <w:overflowPunct/>
        <w:topLinePunct w:val="0"/>
        <w:autoSpaceDE/>
        <w:autoSpaceDN/>
        <w:bidi w:val="0"/>
        <w:adjustRightInd/>
        <w:snapToGrid/>
        <w:spacing w:line="576" w:lineRule="exact"/>
        <w:ind w:left="0" w:leftChars="0" w:firstLine="400" w:firstLineChars="0"/>
        <w:textAlignment w:val="auto"/>
        <w:rPr>
          <w:rFonts w:hint="eastAsia" w:ascii="仿宋_GB2312" w:hAnsi="仿宋_GB2312" w:eastAsia="仿宋_GB2312" w:cs="仿宋_GB2312"/>
          <w:kern w:val="0"/>
          <w:sz w:val="32"/>
          <w:szCs w:val="32"/>
          <w:highlight w:val="none"/>
          <w:shd w:val="clear" w:color="auto" w:fill="FFFFFF"/>
          <w:lang w:bidi="ar"/>
        </w:rPr>
      </w:pPr>
      <w:r>
        <w:rPr>
          <w:rFonts w:hint="eastAsia" w:ascii="仿宋_GB2312" w:hAnsi="仿宋_GB2312" w:eastAsia="仿宋_GB2312" w:cs="仿宋_GB2312"/>
          <w:kern w:val="0"/>
          <w:sz w:val="32"/>
          <w:szCs w:val="32"/>
          <w:highlight w:val="none"/>
          <w:shd w:val="clear" w:color="auto" w:fill="FFFFFF"/>
          <w:lang w:bidi="ar"/>
        </w:rPr>
        <w:t>社会保障和就业（类）行政事业单位养老支出（款）机关事业单位基本养老保险缴费支出（项）202</w:t>
      </w:r>
      <w:r>
        <w:rPr>
          <w:rFonts w:hint="eastAsia" w:ascii="仿宋_GB2312" w:hAnsi="仿宋_GB2312" w:eastAsia="仿宋_GB2312" w:cs="仿宋_GB2312"/>
          <w:kern w:val="0"/>
          <w:sz w:val="32"/>
          <w:szCs w:val="32"/>
          <w:highlight w:val="none"/>
          <w:shd w:val="clear" w:color="auto" w:fill="FFFFFF"/>
          <w:lang w:val="en-US" w:eastAsia="zh-CN" w:bidi="ar"/>
        </w:rPr>
        <w:t>4</w:t>
      </w:r>
      <w:r>
        <w:rPr>
          <w:rFonts w:hint="eastAsia" w:ascii="仿宋_GB2312" w:hAnsi="仿宋_GB2312" w:eastAsia="仿宋_GB2312" w:cs="仿宋_GB2312"/>
          <w:kern w:val="0"/>
          <w:sz w:val="32"/>
          <w:szCs w:val="32"/>
          <w:highlight w:val="none"/>
          <w:shd w:val="clear" w:color="auto" w:fill="FFFFFF"/>
          <w:lang w:bidi="ar"/>
        </w:rPr>
        <w:t>年预算数为</w:t>
      </w:r>
      <w:r>
        <w:rPr>
          <w:rFonts w:hint="eastAsia" w:ascii="仿宋_GB2312" w:hAnsi="仿宋_GB2312" w:eastAsia="仿宋_GB2312" w:cs="仿宋_GB2312"/>
          <w:kern w:val="0"/>
          <w:sz w:val="32"/>
          <w:szCs w:val="32"/>
          <w:highlight w:val="none"/>
          <w:shd w:val="clear" w:color="auto" w:fill="FFFFFF"/>
          <w:lang w:val="en-US" w:eastAsia="zh-CN" w:bidi="ar"/>
        </w:rPr>
        <w:t>72.16</w:t>
      </w:r>
      <w:r>
        <w:rPr>
          <w:rFonts w:hint="eastAsia" w:ascii="仿宋_GB2312" w:hAnsi="仿宋_GB2312" w:eastAsia="仿宋_GB2312" w:cs="仿宋_GB2312"/>
          <w:kern w:val="0"/>
          <w:sz w:val="32"/>
          <w:szCs w:val="32"/>
          <w:highlight w:val="none"/>
          <w:shd w:val="clear" w:color="auto" w:fill="FFFFFF"/>
          <w:lang w:bidi="ar"/>
        </w:rPr>
        <w:t>万元，主要用于：实施养老保险制度由单位缴纳的基本养老保险支出。</w:t>
      </w:r>
    </w:p>
    <w:p>
      <w:pPr>
        <w:keepNext w:val="0"/>
        <w:keepLines w:val="0"/>
        <w:pageBreakBefore w:val="0"/>
        <w:widowControl/>
        <w:numPr>
          <w:ilvl w:val="0"/>
          <w:numId w:val="2"/>
        </w:numPr>
        <w:pBdr>
          <w:bottom w:val="single" w:color="FFFFFF" w:sz="8" w:space="31"/>
        </w:pBdr>
        <w:shd w:val="clear" w:color="auto"/>
        <w:kinsoku/>
        <w:wordWrap/>
        <w:overflowPunct/>
        <w:topLinePunct w:val="0"/>
        <w:autoSpaceDE/>
        <w:autoSpaceDN/>
        <w:bidi w:val="0"/>
        <w:adjustRightInd/>
        <w:snapToGrid/>
        <w:spacing w:line="576" w:lineRule="exact"/>
        <w:ind w:left="0" w:leftChars="0" w:firstLine="400" w:firstLineChars="0"/>
        <w:textAlignment w:val="auto"/>
        <w:rPr>
          <w:rFonts w:hint="eastAsia" w:ascii="仿宋_GB2312" w:hAnsi="仿宋_GB2312" w:eastAsia="仿宋_GB2312" w:cs="仿宋_GB2312"/>
          <w:sz w:val="32"/>
          <w:szCs w:val="32"/>
          <w:highlight w:val="none"/>
          <w:shd w:val="clear" w:color="auto" w:fill="FFFFFF"/>
        </w:rPr>
      </w:pPr>
      <w:r>
        <w:rPr>
          <w:rFonts w:hint="eastAsia" w:ascii="仿宋_GB2312" w:hAnsi="仿宋_GB2312" w:eastAsia="仿宋_GB2312" w:cs="仿宋_GB2312"/>
          <w:sz w:val="32"/>
          <w:szCs w:val="32"/>
          <w:highlight w:val="none"/>
          <w:shd w:val="clear" w:color="auto" w:fill="FFFFFF"/>
        </w:rPr>
        <w:t>社会保障和就业（类）其他社会保障和就业支出（款）其他社会保障和就业支出（项）202</w:t>
      </w:r>
      <w:r>
        <w:rPr>
          <w:rFonts w:hint="eastAsia" w:ascii="仿宋_GB2312" w:hAnsi="仿宋_GB2312" w:eastAsia="仿宋_GB2312" w:cs="仿宋_GB2312"/>
          <w:sz w:val="32"/>
          <w:szCs w:val="32"/>
          <w:highlight w:val="none"/>
          <w:shd w:val="clear" w:color="auto" w:fill="FFFFFF"/>
          <w:lang w:val="en-US" w:eastAsia="zh-CN"/>
        </w:rPr>
        <w:t>4</w:t>
      </w:r>
      <w:r>
        <w:rPr>
          <w:rFonts w:hint="eastAsia" w:ascii="仿宋_GB2312" w:hAnsi="仿宋_GB2312" w:eastAsia="仿宋_GB2312" w:cs="仿宋_GB2312"/>
          <w:sz w:val="32"/>
          <w:szCs w:val="32"/>
          <w:highlight w:val="none"/>
          <w:shd w:val="clear" w:color="auto" w:fill="FFFFFF"/>
        </w:rPr>
        <w:t>年预算数为</w:t>
      </w:r>
      <w:r>
        <w:rPr>
          <w:rFonts w:hint="eastAsia" w:ascii="仿宋_GB2312" w:hAnsi="仿宋_GB2312" w:eastAsia="仿宋_GB2312" w:cs="仿宋_GB2312"/>
          <w:color w:val="auto"/>
          <w:sz w:val="32"/>
          <w:szCs w:val="32"/>
          <w:highlight w:val="none"/>
          <w:shd w:val="clear" w:color="auto" w:fill="FFFFFF"/>
          <w:lang w:val="en-US" w:eastAsia="zh-CN"/>
        </w:rPr>
        <w:t>0.98万</w:t>
      </w:r>
      <w:r>
        <w:rPr>
          <w:rFonts w:hint="eastAsia" w:ascii="仿宋_GB2312" w:hAnsi="仿宋_GB2312" w:eastAsia="仿宋_GB2312" w:cs="仿宋_GB2312"/>
          <w:color w:val="auto"/>
          <w:sz w:val="32"/>
          <w:szCs w:val="32"/>
          <w:highlight w:val="none"/>
          <w:shd w:val="clear" w:color="auto" w:fill="FFFFFF"/>
        </w:rPr>
        <w:t>元</w:t>
      </w:r>
      <w:r>
        <w:rPr>
          <w:rFonts w:hint="eastAsia" w:ascii="仿宋_GB2312" w:hAnsi="仿宋_GB2312" w:eastAsia="仿宋_GB2312" w:cs="仿宋_GB2312"/>
          <w:sz w:val="32"/>
          <w:szCs w:val="32"/>
          <w:highlight w:val="none"/>
          <w:shd w:val="clear" w:color="auto" w:fill="FFFFFF"/>
        </w:rPr>
        <w:t>，主要用于：集中缴纳工伤、失业等保险支出。</w:t>
      </w:r>
    </w:p>
    <w:p>
      <w:pPr>
        <w:keepNext w:val="0"/>
        <w:keepLines w:val="0"/>
        <w:pageBreakBefore w:val="0"/>
        <w:widowControl/>
        <w:numPr>
          <w:ilvl w:val="0"/>
          <w:numId w:val="2"/>
        </w:numPr>
        <w:pBdr>
          <w:bottom w:val="single" w:color="FFFFFF" w:sz="8" w:space="31"/>
        </w:pBdr>
        <w:shd w:val="clear" w:color="auto"/>
        <w:kinsoku/>
        <w:wordWrap/>
        <w:overflowPunct/>
        <w:topLinePunct w:val="0"/>
        <w:autoSpaceDE/>
        <w:autoSpaceDN/>
        <w:bidi w:val="0"/>
        <w:adjustRightInd/>
        <w:snapToGrid/>
        <w:spacing w:line="576" w:lineRule="exact"/>
        <w:ind w:left="0" w:leftChars="0" w:firstLine="400" w:firstLineChars="0"/>
        <w:textAlignment w:val="auto"/>
        <w:rPr>
          <w:rFonts w:hint="eastAsia" w:ascii="仿宋_GB2312" w:hAnsi="仿宋_GB2312" w:eastAsia="仿宋_GB2312" w:cs="仿宋_GB2312"/>
          <w:kern w:val="0"/>
          <w:sz w:val="32"/>
          <w:szCs w:val="32"/>
          <w:highlight w:val="none"/>
          <w:shd w:val="clear" w:color="auto" w:fill="FFFFFF"/>
          <w:lang w:bidi="ar"/>
        </w:rPr>
      </w:pPr>
      <w:r>
        <w:rPr>
          <w:rFonts w:hint="eastAsia" w:ascii="仿宋_GB2312" w:hAnsi="仿宋_GB2312" w:eastAsia="仿宋_GB2312" w:cs="仿宋_GB2312"/>
          <w:kern w:val="0"/>
          <w:sz w:val="32"/>
          <w:szCs w:val="32"/>
          <w:highlight w:val="none"/>
          <w:shd w:val="clear" w:color="auto" w:fill="FFFFFF"/>
          <w:lang w:bidi="ar"/>
        </w:rPr>
        <w:t>卫生健康（类）行政事业单位医疗（款）行政单位医疗（项）202</w:t>
      </w:r>
      <w:r>
        <w:rPr>
          <w:rFonts w:hint="eastAsia" w:ascii="仿宋_GB2312" w:hAnsi="仿宋_GB2312" w:eastAsia="仿宋_GB2312" w:cs="仿宋_GB2312"/>
          <w:kern w:val="0"/>
          <w:sz w:val="32"/>
          <w:szCs w:val="32"/>
          <w:highlight w:val="none"/>
          <w:shd w:val="clear" w:color="auto" w:fill="FFFFFF"/>
          <w:lang w:val="en-US" w:eastAsia="zh-CN" w:bidi="ar"/>
        </w:rPr>
        <w:t>4</w:t>
      </w:r>
      <w:r>
        <w:rPr>
          <w:rFonts w:hint="eastAsia" w:ascii="仿宋_GB2312" w:hAnsi="仿宋_GB2312" w:eastAsia="仿宋_GB2312" w:cs="仿宋_GB2312"/>
          <w:kern w:val="0"/>
          <w:sz w:val="32"/>
          <w:szCs w:val="32"/>
          <w:highlight w:val="none"/>
          <w:shd w:val="clear" w:color="auto" w:fill="FFFFFF"/>
          <w:lang w:bidi="ar"/>
        </w:rPr>
        <w:t>年预算数为</w:t>
      </w:r>
      <w:r>
        <w:rPr>
          <w:rFonts w:hint="eastAsia" w:ascii="仿宋_GB2312" w:hAnsi="仿宋_GB2312" w:eastAsia="仿宋_GB2312" w:cs="仿宋_GB2312"/>
          <w:kern w:val="0"/>
          <w:sz w:val="32"/>
          <w:szCs w:val="32"/>
          <w:highlight w:val="none"/>
          <w:shd w:val="clear" w:color="auto" w:fill="FFFFFF"/>
          <w:lang w:val="en-US" w:eastAsia="zh-CN" w:bidi="ar"/>
        </w:rPr>
        <w:t>34.38</w:t>
      </w:r>
      <w:r>
        <w:rPr>
          <w:rFonts w:hint="eastAsia" w:ascii="仿宋_GB2312" w:hAnsi="仿宋_GB2312" w:eastAsia="仿宋_GB2312" w:cs="仿宋_GB2312"/>
          <w:kern w:val="0"/>
          <w:sz w:val="32"/>
          <w:szCs w:val="32"/>
          <w:highlight w:val="none"/>
          <w:shd w:val="clear" w:color="auto" w:fill="FFFFFF"/>
          <w:lang w:bidi="ar"/>
        </w:rPr>
        <w:t>万元，主要用于：按规定由单位缴纳的基本医疗保险支出。</w:t>
      </w:r>
    </w:p>
    <w:p>
      <w:pPr>
        <w:keepNext w:val="0"/>
        <w:keepLines w:val="0"/>
        <w:pageBreakBefore w:val="0"/>
        <w:widowControl/>
        <w:numPr>
          <w:ilvl w:val="0"/>
          <w:numId w:val="2"/>
        </w:numPr>
        <w:pBdr>
          <w:bottom w:val="single" w:color="FFFFFF" w:sz="8" w:space="31"/>
        </w:pBdr>
        <w:shd w:val="clear" w:color="auto"/>
        <w:kinsoku/>
        <w:wordWrap/>
        <w:overflowPunct/>
        <w:topLinePunct w:val="0"/>
        <w:autoSpaceDE/>
        <w:autoSpaceDN/>
        <w:bidi w:val="0"/>
        <w:adjustRightInd/>
        <w:snapToGrid/>
        <w:spacing w:line="576" w:lineRule="exact"/>
        <w:ind w:left="0" w:leftChars="0" w:firstLine="400" w:firstLineChars="0"/>
        <w:textAlignment w:val="auto"/>
        <w:rPr>
          <w:rFonts w:hint="eastAsia" w:ascii="仿宋_GB2312" w:hAnsi="仿宋_GB2312" w:eastAsia="仿宋_GB2312" w:cs="仿宋_GB2312"/>
          <w:kern w:val="0"/>
          <w:sz w:val="32"/>
          <w:szCs w:val="32"/>
          <w:highlight w:val="none"/>
          <w:shd w:val="clear" w:color="auto" w:fill="FFFFFF"/>
          <w:lang w:bidi="ar"/>
        </w:rPr>
      </w:pPr>
      <w:r>
        <w:rPr>
          <w:rFonts w:hint="eastAsia" w:ascii="仿宋_GB2312" w:hAnsi="仿宋_GB2312" w:eastAsia="仿宋_GB2312" w:cs="仿宋_GB2312"/>
          <w:kern w:val="0"/>
          <w:sz w:val="32"/>
          <w:szCs w:val="32"/>
          <w:highlight w:val="none"/>
          <w:shd w:val="clear" w:color="auto" w:fill="FFFFFF"/>
          <w:lang w:bidi="ar"/>
        </w:rPr>
        <w:t>住房保障（类）住房改革支出（款）住房公积金（项）202</w:t>
      </w:r>
      <w:r>
        <w:rPr>
          <w:rFonts w:hint="eastAsia" w:ascii="仿宋_GB2312" w:hAnsi="仿宋_GB2312" w:eastAsia="仿宋_GB2312" w:cs="仿宋_GB2312"/>
          <w:kern w:val="0"/>
          <w:sz w:val="32"/>
          <w:szCs w:val="32"/>
          <w:highlight w:val="none"/>
          <w:shd w:val="clear" w:color="auto" w:fill="FFFFFF"/>
          <w:lang w:val="en-US" w:eastAsia="zh-CN" w:bidi="ar"/>
        </w:rPr>
        <w:t>4</w:t>
      </w:r>
      <w:r>
        <w:rPr>
          <w:rFonts w:hint="eastAsia" w:ascii="仿宋_GB2312" w:hAnsi="仿宋_GB2312" w:eastAsia="仿宋_GB2312" w:cs="仿宋_GB2312"/>
          <w:kern w:val="0"/>
          <w:sz w:val="32"/>
          <w:szCs w:val="32"/>
          <w:highlight w:val="none"/>
          <w:shd w:val="clear" w:color="auto" w:fill="FFFFFF"/>
          <w:lang w:bidi="ar"/>
        </w:rPr>
        <w:t>年预算数为</w:t>
      </w:r>
      <w:r>
        <w:rPr>
          <w:rFonts w:hint="eastAsia" w:ascii="仿宋_GB2312" w:hAnsi="仿宋_GB2312" w:eastAsia="仿宋_GB2312" w:cs="仿宋_GB2312"/>
          <w:kern w:val="0"/>
          <w:sz w:val="32"/>
          <w:szCs w:val="32"/>
          <w:highlight w:val="none"/>
          <w:shd w:val="clear" w:color="auto" w:fill="FFFFFF"/>
          <w:lang w:val="en-US" w:eastAsia="zh-CN" w:bidi="ar"/>
        </w:rPr>
        <w:t>60.08</w:t>
      </w:r>
      <w:r>
        <w:rPr>
          <w:rFonts w:hint="eastAsia" w:ascii="仿宋_GB2312" w:hAnsi="仿宋_GB2312" w:eastAsia="仿宋_GB2312" w:cs="仿宋_GB2312"/>
          <w:kern w:val="0"/>
          <w:sz w:val="32"/>
          <w:szCs w:val="32"/>
          <w:highlight w:val="none"/>
          <w:shd w:val="clear" w:color="auto" w:fill="FFFFFF"/>
          <w:lang w:bidi="ar"/>
        </w:rPr>
        <w:t>万元，主要用于：按规定为职工缴纳的住房公积金支出。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rPr>
      </w:pPr>
      <w:bookmarkStart w:id="13" w:name="_Toc75"/>
      <w:r>
        <w:rPr>
          <w:rFonts w:hint="eastAsia" w:ascii="黑体" w:hAnsi="黑体" w:eastAsia="黑体" w:cs="黑体"/>
          <w:sz w:val="32"/>
          <w:szCs w:val="32"/>
          <w:highlight w:val="none"/>
          <w:lang w:val="en-US" w:eastAsia="zh-CN"/>
        </w:rPr>
        <w:t>六、一般公共预算基本支出情况说明</w:t>
      </w:r>
      <w:bookmarkEnd w:id="1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广元市昭化区人民法院2024年一般公共预算基本支出988.35万元，其中：</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FF0000"/>
          <w:sz w:val="32"/>
          <w:szCs w:val="32"/>
          <w:highlight w:val="none"/>
        </w:rPr>
      </w:pPr>
      <w:r>
        <w:rPr>
          <w:rFonts w:hint="eastAsia" w:ascii="仿宋_GB2312" w:hAnsi="仿宋_GB2312" w:eastAsia="仿宋_GB2312" w:cs="仿宋_GB2312"/>
          <w:sz w:val="32"/>
          <w:szCs w:val="32"/>
          <w:highlight w:val="none"/>
          <w:lang w:val="en-US" w:eastAsia="zh-CN"/>
        </w:rPr>
        <w:t>人员经费840.07万元，主要包括：</w:t>
      </w:r>
      <w:r>
        <w:rPr>
          <w:rFonts w:hint="eastAsia" w:ascii="仿宋_GB2312" w:hAnsi="仿宋_GB2312" w:eastAsia="仿宋_GB2312" w:cs="仿宋_GB2312"/>
          <w:color w:val="333333"/>
          <w:kern w:val="0"/>
          <w:sz w:val="32"/>
          <w:szCs w:val="32"/>
          <w:highlight w:val="none"/>
          <w:shd w:val="clear" w:color="auto" w:fill="FFFFFF"/>
          <w:lang w:bidi="ar"/>
        </w:rPr>
        <w:t>基本工资、津贴补贴、</w:t>
      </w:r>
      <w:r>
        <w:rPr>
          <w:rFonts w:hint="eastAsia" w:ascii="仿宋_GB2312" w:hAnsi="仿宋_GB2312" w:eastAsia="仿宋_GB2312" w:cs="仿宋_GB2312"/>
          <w:color w:val="333333"/>
          <w:kern w:val="0"/>
          <w:sz w:val="32"/>
          <w:szCs w:val="32"/>
          <w:highlight w:val="none"/>
          <w:shd w:val="clear" w:color="auto" w:fill="FFFFFF"/>
          <w:lang w:val="en-US" w:eastAsia="zh-CN" w:bidi="ar"/>
        </w:rPr>
        <w:t>奖金</w:t>
      </w:r>
      <w:r>
        <w:rPr>
          <w:rFonts w:hint="eastAsia" w:ascii="仿宋_GB2312" w:hAnsi="仿宋_GB2312" w:eastAsia="仿宋_GB2312" w:cs="仿宋_GB2312"/>
          <w:color w:val="333333"/>
          <w:kern w:val="0"/>
          <w:sz w:val="32"/>
          <w:szCs w:val="32"/>
          <w:highlight w:val="none"/>
          <w:shd w:val="clear" w:color="auto" w:fill="FFFFFF"/>
          <w:lang w:bidi="ar"/>
        </w:rPr>
        <w:t>、</w:t>
      </w:r>
      <w:r>
        <w:rPr>
          <w:rFonts w:hint="eastAsia" w:ascii="仿宋_GB2312" w:hAnsi="仿宋_GB2312" w:eastAsia="仿宋_GB2312" w:cs="仿宋_GB2312"/>
          <w:color w:val="333333"/>
          <w:kern w:val="0"/>
          <w:sz w:val="32"/>
          <w:szCs w:val="32"/>
          <w:highlight w:val="none"/>
          <w:shd w:val="clear" w:color="auto" w:fill="FFFFFF"/>
          <w:lang w:val="en-US" w:eastAsia="zh-CN" w:bidi="ar"/>
        </w:rPr>
        <w:t>绩效工资</w:t>
      </w:r>
      <w:r>
        <w:rPr>
          <w:rFonts w:hint="eastAsia" w:ascii="仿宋_GB2312" w:hAnsi="仿宋_GB2312" w:eastAsia="仿宋_GB2312" w:cs="仿宋_GB2312"/>
          <w:color w:val="333333"/>
          <w:kern w:val="0"/>
          <w:sz w:val="32"/>
          <w:szCs w:val="32"/>
          <w:highlight w:val="none"/>
          <w:shd w:val="clear" w:color="auto" w:fill="FFFFFF"/>
          <w:lang w:bidi="ar"/>
        </w:rPr>
        <w:t>、</w:t>
      </w:r>
      <w:r>
        <w:rPr>
          <w:rFonts w:hint="eastAsia" w:ascii="仿宋_GB2312" w:hAnsi="仿宋_GB2312" w:eastAsia="仿宋_GB2312" w:cs="仿宋_GB2312"/>
          <w:color w:val="auto"/>
          <w:kern w:val="0"/>
          <w:sz w:val="32"/>
          <w:szCs w:val="32"/>
          <w:highlight w:val="none"/>
          <w:shd w:val="clear" w:color="auto" w:fill="FFFFFF"/>
          <w:lang w:val="en-US" w:eastAsia="zh-CN" w:bidi="ar"/>
        </w:rPr>
        <w:t>机关事业单位基本养老保险缴费</w:t>
      </w:r>
      <w:r>
        <w:rPr>
          <w:rFonts w:hint="eastAsia" w:ascii="仿宋_GB2312" w:hAnsi="仿宋_GB2312" w:eastAsia="仿宋_GB2312" w:cs="仿宋_GB2312"/>
          <w:color w:val="auto"/>
          <w:kern w:val="0"/>
          <w:sz w:val="32"/>
          <w:szCs w:val="32"/>
          <w:highlight w:val="none"/>
          <w:shd w:val="clear" w:color="auto" w:fill="FFFFFF"/>
          <w:lang w:bidi="ar"/>
        </w:rPr>
        <w:t>、</w:t>
      </w:r>
      <w:r>
        <w:rPr>
          <w:rFonts w:hint="eastAsia" w:ascii="仿宋_GB2312" w:hAnsi="仿宋_GB2312" w:eastAsia="仿宋_GB2312" w:cs="仿宋_GB2312"/>
          <w:color w:val="auto"/>
          <w:kern w:val="0"/>
          <w:sz w:val="32"/>
          <w:szCs w:val="32"/>
          <w:highlight w:val="none"/>
          <w:shd w:val="clear" w:color="auto" w:fill="FFFFFF"/>
          <w:lang w:val="en-US" w:eastAsia="zh-CN" w:bidi="ar"/>
        </w:rPr>
        <w:t>职工基本医疗保险缴费、其他社会保障缴费、</w:t>
      </w:r>
      <w:r>
        <w:rPr>
          <w:rFonts w:hint="eastAsia" w:ascii="仿宋_GB2312" w:hAnsi="仿宋_GB2312" w:eastAsia="仿宋_GB2312" w:cs="仿宋_GB2312"/>
          <w:color w:val="auto"/>
          <w:kern w:val="0"/>
          <w:sz w:val="32"/>
          <w:szCs w:val="32"/>
          <w:highlight w:val="none"/>
          <w:shd w:val="clear" w:color="auto" w:fill="FFFFFF"/>
          <w:lang w:bidi="ar"/>
        </w:rPr>
        <w:t>住房公积金、</w:t>
      </w:r>
      <w:r>
        <w:rPr>
          <w:rFonts w:hint="eastAsia" w:ascii="仿宋_GB2312" w:hAnsi="仿宋_GB2312" w:eastAsia="仿宋_GB2312" w:cs="仿宋_GB2312"/>
          <w:color w:val="333333"/>
          <w:kern w:val="0"/>
          <w:sz w:val="32"/>
          <w:szCs w:val="32"/>
          <w:highlight w:val="none"/>
          <w:shd w:val="clear" w:color="auto" w:fill="FFFFFF"/>
          <w:lang w:bidi="ar"/>
        </w:rPr>
        <w:t>其他工资福利支出、</w:t>
      </w:r>
      <w:r>
        <w:rPr>
          <w:rFonts w:hint="eastAsia" w:ascii="仿宋_GB2312" w:hAnsi="仿宋_GB2312" w:eastAsia="仿宋_GB2312" w:cs="仿宋_GB2312"/>
          <w:color w:val="auto"/>
          <w:kern w:val="0"/>
          <w:sz w:val="32"/>
          <w:szCs w:val="32"/>
          <w:highlight w:val="none"/>
          <w:shd w:val="clear" w:color="auto" w:fill="FFFFFF"/>
          <w:lang w:val="en-US" w:eastAsia="zh-CN" w:bidi="ar"/>
        </w:rPr>
        <w:t>生活</w:t>
      </w:r>
      <w:r>
        <w:rPr>
          <w:rFonts w:hint="eastAsia" w:ascii="仿宋_GB2312" w:hAnsi="仿宋_GB2312" w:eastAsia="仿宋_GB2312" w:cs="仿宋_GB2312"/>
          <w:color w:val="auto"/>
          <w:kern w:val="0"/>
          <w:sz w:val="32"/>
          <w:szCs w:val="32"/>
          <w:highlight w:val="none"/>
          <w:shd w:val="clear" w:color="auto" w:fill="FFFFFF"/>
          <w:lang w:bidi="ar"/>
        </w:rPr>
        <w:t>补助</w:t>
      </w:r>
      <w:r>
        <w:rPr>
          <w:rFonts w:hint="eastAsia" w:ascii="仿宋_GB2312" w:hAnsi="仿宋_GB2312" w:eastAsia="仿宋_GB2312" w:cs="仿宋_GB2312"/>
          <w:color w:val="auto"/>
          <w:sz w:val="32"/>
          <w:szCs w:val="32"/>
          <w:highlight w:val="none"/>
          <w:lang w:val="en-US" w:eastAsia="zh-CN"/>
        </w:rPr>
        <w:t>等支出。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公用经费148.28万元，主要包括：办公费、水费、电费、邮电费、物业管理费、差旅费、会议费、培训费、公务接待费、工会经费、福利费、公务用车运行维护费、其他交通费用、其他商品和服务支出</w:t>
      </w:r>
      <w:r>
        <w:rPr>
          <w:rFonts w:hint="eastAsia" w:ascii="仿宋_GB2312" w:hAnsi="仿宋_GB2312" w:eastAsia="仿宋_GB2312" w:cs="仿宋_GB2312"/>
          <w:color w:val="auto"/>
          <w:sz w:val="32"/>
          <w:szCs w:val="32"/>
          <w:highlight w:val="none"/>
          <w:lang w:val="en-US" w:eastAsia="zh-CN"/>
        </w:rPr>
        <w:t>等支出</w:t>
      </w:r>
      <w:r>
        <w:rPr>
          <w:rFonts w:hint="eastAsia" w:ascii="仿宋_GB2312" w:hAnsi="仿宋_GB2312" w:eastAsia="仿宋_GB2312" w:cs="仿宋_GB2312"/>
          <w:sz w:val="32"/>
          <w:szCs w:val="32"/>
          <w:highlight w:val="none"/>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rPr>
      </w:pPr>
      <w:bookmarkStart w:id="14" w:name="_Toc12209"/>
      <w:r>
        <w:rPr>
          <w:rFonts w:hint="eastAsia" w:ascii="黑体" w:hAnsi="黑体" w:eastAsia="黑体" w:cs="黑体"/>
          <w:sz w:val="32"/>
          <w:szCs w:val="32"/>
          <w:highlight w:val="none"/>
          <w:lang w:val="en-US" w:eastAsia="zh-CN"/>
        </w:rPr>
        <w:t>七、“三公”经费财政拨款预算安排情况说明</w:t>
      </w:r>
      <w:bookmarkEnd w:id="1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广元市昭化区人民法院2024年“三公”经费财政拨款预算数10.4万元，其中：公务接待费2.4万元，公务用车购置及运行维护费8万元，因公出国（境）经费0万元。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15" w:name="_Toc31908"/>
      <w:r>
        <w:rPr>
          <w:rFonts w:hint="eastAsia" w:ascii="楷体_GB2312" w:hAnsi="楷体_GB2312" w:eastAsia="楷体_GB2312" w:cs="楷体_GB2312"/>
          <w:sz w:val="32"/>
          <w:szCs w:val="32"/>
          <w:highlight w:val="none"/>
          <w:lang w:val="en-US" w:eastAsia="zh-CN"/>
        </w:rPr>
        <w:t>（一）公务接待费</w:t>
      </w:r>
      <w:bookmarkEnd w:id="1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公务接待费与2023年预算相比持平。</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FF0000"/>
          <w:sz w:val="32"/>
          <w:szCs w:val="32"/>
          <w:highlight w:val="none"/>
        </w:rPr>
      </w:pPr>
      <w:r>
        <w:rPr>
          <w:rFonts w:hint="eastAsia" w:ascii="仿宋_GB2312" w:hAnsi="仿宋_GB2312" w:eastAsia="仿宋_GB2312" w:cs="仿宋_GB2312"/>
          <w:sz w:val="32"/>
          <w:szCs w:val="32"/>
          <w:highlight w:val="none"/>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3"/>
        </w:numPr>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16" w:name="_Toc29965"/>
      <w:r>
        <w:rPr>
          <w:rFonts w:hint="eastAsia" w:ascii="楷体_GB2312" w:hAnsi="楷体_GB2312" w:eastAsia="楷体_GB2312" w:cs="楷体_GB2312"/>
          <w:sz w:val="32"/>
          <w:szCs w:val="32"/>
          <w:highlight w:val="none"/>
          <w:lang w:val="en-US" w:eastAsia="zh-CN"/>
        </w:rPr>
        <w:t>公务用车购置及运行维护费</w:t>
      </w:r>
      <w:bookmarkEnd w:id="16"/>
    </w:p>
    <w:p>
      <w:pPr>
        <w:keepNext w:val="0"/>
        <w:keepLines w:val="0"/>
        <w:pageBreakBefore w:val="0"/>
        <w:widowControl w:val="0"/>
        <w:numPr>
          <w:ilvl w:val="0"/>
          <w:numId w:val="0"/>
        </w:numPr>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bCs/>
          <w:color w:val="FF0000"/>
          <w:sz w:val="32"/>
          <w:szCs w:val="32"/>
          <w:highlight w:val="none"/>
          <w:lang w:val="en-US"/>
        </w:rPr>
      </w:pPr>
      <w:r>
        <w:rPr>
          <w:rFonts w:hint="eastAsia" w:ascii="仿宋_GB2312" w:hAnsi="仿宋_GB2312" w:eastAsia="仿宋_GB2312" w:cs="仿宋_GB2312"/>
          <w:sz w:val="32"/>
          <w:szCs w:val="32"/>
          <w:highlight w:val="none"/>
          <w:lang w:val="en-US" w:eastAsia="zh-CN"/>
        </w:rPr>
        <w:t>公务用车购置及运行维护费与2023年预算相比持平。</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FF0000"/>
          <w:sz w:val="32"/>
          <w:szCs w:val="32"/>
          <w:highlight w:val="none"/>
          <w:lang w:val="en-US" w:eastAsia="zh-CN"/>
        </w:rPr>
      </w:pPr>
      <w:r>
        <w:rPr>
          <w:rFonts w:hint="eastAsia" w:ascii="仿宋_GB2312" w:hAnsi="仿宋_GB2312" w:eastAsia="仿宋_GB2312" w:cs="仿宋_GB2312"/>
          <w:sz w:val="32"/>
          <w:szCs w:val="32"/>
          <w:highlight w:val="none"/>
          <w:lang w:val="en-US" w:eastAsia="zh-CN"/>
        </w:rPr>
        <w:t>单位现有公务用车12辆，其中：轿车9辆，旅行车（含商务车）1辆，越野车2辆。</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2024年未安排公务用车购置费。</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2024年安排公务用车运行维护费8万元，用于12辆公务用车燃油、过路（桥）、维修、保险等方面支出，主要保障</w:t>
      </w:r>
      <w:r>
        <w:rPr>
          <w:rFonts w:hint="eastAsia" w:ascii="仿宋_GB2312" w:hAnsi="仿宋_GB2312" w:eastAsia="仿宋_GB2312" w:cs="仿宋_GB2312"/>
          <w:color w:val="000000"/>
          <w:sz w:val="32"/>
          <w:szCs w:val="32"/>
          <w:highlight w:val="none"/>
          <w:shd w:val="clear" w:color="auto" w:fill="FFFFFF"/>
        </w:rPr>
        <w:t>案件执行及送达、法律援助、普法宣传、依法治区、乡村振兴、行政执法监督检查等工作开展</w:t>
      </w:r>
      <w:r>
        <w:rPr>
          <w:rFonts w:hint="eastAsia" w:ascii="仿宋_GB2312" w:hAnsi="仿宋_GB2312" w:eastAsia="仿宋_GB2312" w:cs="仿宋_GB2312"/>
          <w:sz w:val="32"/>
          <w:szCs w:val="32"/>
          <w:highlight w:val="none"/>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    </w:t>
      </w:r>
      <w:bookmarkStart w:id="17" w:name="_Toc23545"/>
      <w:r>
        <w:rPr>
          <w:rFonts w:hint="eastAsia" w:ascii="仿宋_GB2312" w:hAnsi="仿宋_GB2312" w:eastAsia="仿宋_GB2312" w:cs="仿宋_GB2312"/>
          <w:sz w:val="32"/>
          <w:szCs w:val="32"/>
          <w:highlight w:val="none"/>
          <w:lang w:val="en-US" w:eastAsia="zh-CN"/>
        </w:rPr>
        <w:t>（</w:t>
      </w:r>
      <w:r>
        <w:rPr>
          <w:rFonts w:hint="eastAsia" w:ascii="楷体_GB2312" w:hAnsi="楷体_GB2312" w:eastAsia="楷体_GB2312" w:cs="楷体_GB2312"/>
          <w:sz w:val="32"/>
          <w:szCs w:val="32"/>
          <w:highlight w:val="none"/>
          <w:lang w:val="en-US" w:eastAsia="zh-CN"/>
        </w:rPr>
        <w:t>三）因公出国（境）经费</w:t>
      </w:r>
      <w:bookmarkEnd w:id="1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FF0000"/>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2024年未安排因公出国（境）经</w:t>
      </w:r>
      <w:r>
        <w:rPr>
          <w:rFonts w:hint="eastAsia" w:ascii="仿宋_GB2312" w:hAnsi="仿宋_GB2312" w:eastAsia="仿宋_GB2312" w:cs="仿宋_GB2312"/>
          <w:color w:val="auto"/>
          <w:sz w:val="32"/>
          <w:szCs w:val="32"/>
          <w:highlight w:val="none"/>
          <w:lang w:val="en-US" w:eastAsia="zh-CN"/>
        </w:rPr>
        <w:t>费</w:t>
      </w:r>
      <w:r>
        <w:rPr>
          <w:rFonts w:hint="eastAsia" w:ascii="仿宋_GB2312" w:hAnsi="仿宋_GB2312" w:eastAsia="仿宋_GB2312" w:cs="仿宋_GB2312"/>
          <w:sz w:val="32"/>
          <w:szCs w:val="32"/>
          <w:highlight w:val="none"/>
          <w:lang w:val="en-US" w:eastAsia="zh-CN"/>
        </w:rPr>
        <w:t>，因公出国（境）经</w:t>
      </w:r>
      <w:r>
        <w:rPr>
          <w:rFonts w:hint="eastAsia" w:ascii="仿宋_GB2312" w:hAnsi="仿宋_GB2312" w:eastAsia="仿宋_GB2312" w:cs="仿宋_GB2312"/>
          <w:color w:val="auto"/>
          <w:sz w:val="32"/>
          <w:szCs w:val="32"/>
          <w:highlight w:val="none"/>
          <w:lang w:val="en-US" w:eastAsia="zh-CN"/>
        </w:rPr>
        <w:t>费与2023年预算相比持平。</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lang w:val="en-US" w:eastAsia="zh-CN"/>
        </w:rPr>
      </w:pPr>
      <w:bookmarkStart w:id="18" w:name="_Toc11503"/>
      <w:r>
        <w:rPr>
          <w:rFonts w:hint="eastAsia" w:ascii="黑体" w:hAnsi="黑体" w:eastAsia="黑体" w:cs="黑体"/>
          <w:sz w:val="32"/>
          <w:szCs w:val="32"/>
          <w:highlight w:val="none"/>
          <w:lang w:val="en-US" w:eastAsia="zh-CN"/>
        </w:rPr>
        <w:t>八、政府性基金预算支出情况说明</w:t>
      </w:r>
      <w:bookmarkEnd w:id="1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广元市昭化区人民法院2024年无政府性基金预算拨款安排的支出。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lang w:val="en-US" w:eastAsia="zh-CN"/>
        </w:rPr>
      </w:pPr>
      <w:bookmarkStart w:id="19" w:name="_Toc1618"/>
      <w:r>
        <w:rPr>
          <w:rFonts w:hint="eastAsia" w:ascii="黑体" w:hAnsi="黑体" w:eastAsia="黑体" w:cs="黑体"/>
          <w:sz w:val="32"/>
          <w:szCs w:val="32"/>
          <w:highlight w:val="none"/>
          <w:lang w:val="en-US" w:eastAsia="zh-CN"/>
        </w:rPr>
        <w:t>九、国有资本经营预算支出情况说明</w:t>
      </w:r>
      <w:bookmarkEnd w:id="1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广元市昭化区人民法院2024年无国有资本经营预算拨款安排的支出。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rPr>
      </w:pPr>
      <w:bookmarkStart w:id="20" w:name="_Toc15621"/>
      <w:r>
        <w:rPr>
          <w:rFonts w:hint="eastAsia" w:ascii="黑体" w:hAnsi="黑体" w:eastAsia="黑体" w:cs="黑体"/>
          <w:sz w:val="32"/>
          <w:szCs w:val="32"/>
          <w:highlight w:val="none"/>
          <w:lang w:val="en-US" w:eastAsia="zh-CN"/>
        </w:rPr>
        <w:t>十、其他重要事项的情况说明</w:t>
      </w:r>
      <w:bookmarkEnd w:id="2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21" w:name="_Toc6470"/>
      <w:r>
        <w:rPr>
          <w:rFonts w:hint="eastAsia" w:ascii="楷体_GB2312" w:hAnsi="楷体_GB2312" w:eastAsia="楷体_GB2312" w:cs="楷体_GB2312"/>
          <w:sz w:val="32"/>
          <w:szCs w:val="32"/>
          <w:highlight w:val="none"/>
          <w:lang w:val="en-US" w:eastAsia="zh-CN"/>
        </w:rPr>
        <w:t>（一）机关运行经费</w:t>
      </w:r>
      <w:bookmarkEnd w:id="2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2024年，广元市昭化区人民法院机关运行经费财政拨款预算</w:t>
      </w:r>
      <w:r>
        <w:rPr>
          <w:rFonts w:hint="eastAsia" w:ascii="仿宋_GB2312" w:hAnsi="仿宋_GB2312" w:eastAsia="仿宋_GB2312" w:cs="仿宋_GB2312"/>
          <w:color w:val="auto"/>
          <w:sz w:val="32"/>
          <w:szCs w:val="32"/>
          <w:highlight w:val="none"/>
          <w:lang w:val="en-US" w:eastAsia="zh-CN"/>
        </w:rPr>
        <w:t>为148.28</w:t>
      </w:r>
      <w:r>
        <w:rPr>
          <w:rFonts w:hint="eastAsia" w:ascii="仿宋_GB2312" w:hAnsi="仿宋_GB2312" w:eastAsia="仿宋_GB2312" w:cs="仿宋_GB2312"/>
          <w:sz w:val="32"/>
          <w:szCs w:val="32"/>
          <w:highlight w:val="none"/>
          <w:lang w:val="en-US" w:eastAsia="zh-CN"/>
        </w:rPr>
        <w:t>万元，比2023年预算减少15.91万元，下降9.7%。主要原因</w:t>
      </w:r>
      <w:r>
        <w:rPr>
          <w:rFonts w:hint="eastAsia" w:ascii="仿宋_GB2312" w:hAnsi="仿宋_GB2312" w:eastAsia="仿宋_GB2312" w:cs="仿宋_GB2312"/>
          <w:color w:val="333333"/>
          <w:kern w:val="0"/>
          <w:sz w:val="32"/>
          <w:szCs w:val="32"/>
          <w:highlight w:val="none"/>
          <w:shd w:val="clear" w:color="auto" w:fill="FFFFFF"/>
          <w:lang w:bidi="ar"/>
        </w:rPr>
        <w:t>人员减少，机关日常运行经费相应减少</w:t>
      </w:r>
      <w:r>
        <w:rPr>
          <w:rFonts w:hint="eastAsia" w:ascii="仿宋_GB2312" w:hAnsi="仿宋_GB2312" w:eastAsia="仿宋_GB2312" w:cs="仿宋_GB2312"/>
          <w:sz w:val="32"/>
          <w:szCs w:val="32"/>
          <w:highlight w:val="none"/>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22" w:name="_Toc26796"/>
      <w:r>
        <w:rPr>
          <w:rFonts w:hint="eastAsia" w:ascii="楷体_GB2312" w:hAnsi="楷体_GB2312" w:eastAsia="楷体_GB2312" w:cs="楷体_GB2312"/>
          <w:sz w:val="32"/>
          <w:szCs w:val="32"/>
          <w:highlight w:val="none"/>
          <w:lang w:val="en-US" w:eastAsia="zh-CN"/>
        </w:rPr>
        <w:t>（二）政府采购情况</w:t>
      </w:r>
      <w:bookmarkEnd w:id="2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FF0000"/>
          <w:sz w:val="32"/>
          <w:szCs w:val="32"/>
          <w:highlight w:val="none"/>
        </w:rPr>
      </w:pPr>
      <w:r>
        <w:rPr>
          <w:rFonts w:hint="eastAsia" w:ascii="仿宋_GB2312" w:hAnsi="仿宋_GB2312" w:eastAsia="仿宋_GB2312" w:cs="仿宋_GB2312"/>
          <w:sz w:val="32"/>
          <w:szCs w:val="32"/>
          <w:highlight w:val="none"/>
          <w:lang w:val="en-US" w:eastAsia="zh-CN"/>
        </w:rPr>
        <w:t>2024年，广元市昭化区人民法院未安排政府采购预算。</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23" w:name="_Toc24172"/>
      <w:r>
        <w:rPr>
          <w:rFonts w:hint="eastAsia" w:ascii="楷体_GB2312" w:hAnsi="楷体_GB2312" w:eastAsia="楷体_GB2312" w:cs="楷体_GB2312"/>
          <w:sz w:val="32"/>
          <w:szCs w:val="32"/>
          <w:highlight w:val="none"/>
          <w:lang w:val="en-US" w:eastAsia="zh-CN"/>
        </w:rPr>
        <w:t>（三）国有资产占有使用情况</w:t>
      </w:r>
      <w:bookmarkEnd w:id="2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截至2023年底，广元市昭化区人民法院共有车辆12辆，其中，执法执勤用车12辆。单位无价值200万元以上的大型设备。</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2024年部门预算未安排购置车辆及单位价值200万元以上大型设备。</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rPr>
      </w:pPr>
      <w:bookmarkStart w:id="24" w:name="_Toc24577"/>
      <w:r>
        <w:rPr>
          <w:rFonts w:hint="eastAsia" w:ascii="楷体_GB2312" w:hAnsi="楷体_GB2312" w:eastAsia="楷体_GB2312" w:cs="楷体_GB2312"/>
          <w:sz w:val="32"/>
          <w:szCs w:val="32"/>
          <w:highlight w:val="none"/>
          <w:lang w:val="en-US" w:eastAsia="zh-CN"/>
        </w:rPr>
        <w:t>（四）绩效目标设置情况</w:t>
      </w:r>
      <w:bookmarkEnd w:id="2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2024年广元市昭化区人民法院开展绩效目标管理的项目15个，涉及预算1274.87万元。其中：人员类项目5个，涉及预算 840.07万元；运转类项目4个，涉及预算148.28万元；特定目标类项目6个，涉及预算286.52万元。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rPr>
      </w:pPr>
      <w:bookmarkStart w:id="25" w:name="_Toc18102"/>
      <w:r>
        <w:rPr>
          <w:rFonts w:hint="eastAsia" w:ascii="黑体" w:hAnsi="黑体" w:eastAsia="黑体" w:cs="黑体"/>
          <w:sz w:val="32"/>
          <w:szCs w:val="32"/>
          <w:highlight w:val="none"/>
          <w:lang w:val="en-US" w:eastAsia="zh-CN"/>
        </w:rPr>
        <w:t>十一、名词解释</w:t>
      </w:r>
      <w:bookmarkEnd w:id="25"/>
    </w:p>
    <w:p>
      <w:pPr>
        <w:keepNext w:val="0"/>
        <w:keepLines w:val="0"/>
        <w:pageBreakBefore w:val="0"/>
        <w:widowControl w:val="0"/>
        <w:numPr>
          <w:ilvl w:val="0"/>
          <w:numId w:val="4"/>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财政拨款收入：指市财政当年安排的财政预算收入。按现行管理制度，部门预算中反映的财政拨款包括一般公共预算拨款。</w:t>
      </w:r>
    </w:p>
    <w:p>
      <w:pPr>
        <w:keepNext w:val="0"/>
        <w:keepLines w:val="0"/>
        <w:pageBreakBefore w:val="0"/>
        <w:widowControl w:val="0"/>
        <w:numPr>
          <w:ilvl w:val="0"/>
          <w:numId w:val="4"/>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color w:val="333333"/>
          <w:kern w:val="0"/>
          <w:sz w:val="32"/>
          <w:szCs w:val="32"/>
          <w:highlight w:val="none"/>
          <w:shd w:val="clear" w:color="auto" w:fill="FFFFFF"/>
          <w:lang w:bidi="ar"/>
        </w:rPr>
      </w:pPr>
      <w:r>
        <w:rPr>
          <w:rFonts w:hint="eastAsia" w:ascii="仿宋_GB2312" w:hAnsi="仿宋_GB2312" w:eastAsia="仿宋_GB2312" w:cs="仿宋_GB2312"/>
          <w:i w:val="0"/>
          <w:caps w:val="0"/>
          <w:color w:val="333333"/>
          <w:spacing w:val="0"/>
          <w:kern w:val="0"/>
          <w:sz w:val="32"/>
          <w:szCs w:val="32"/>
          <w:highlight w:val="none"/>
          <w:shd w:val="clear" w:color="auto" w:fill="FFFFFF"/>
          <w:lang w:val="en-US" w:eastAsia="zh-CN" w:bidi="ar"/>
        </w:rPr>
        <w:t>公共安全（类）法院（款）行政运行（项）：指机关单位用于保障机构正常运行、开展日常工作的基本支出。</w:t>
      </w:r>
    </w:p>
    <w:p>
      <w:pPr>
        <w:keepNext w:val="0"/>
        <w:keepLines w:val="0"/>
        <w:pageBreakBefore w:val="0"/>
        <w:widowControl/>
        <w:numPr>
          <w:ilvl w:val="0"/>
          <w:numId w:val="4"/>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Autospacing="0" w:after="0" w:afterAutospacing="0" w:line="576" w:lineRule="exact"/>
        <w:ind w:left="0" w:leftChars="0" w:right="0" w:rightChars="0" w:firstLine="420" w:firstLineChars="0"/>
        <w:jc w:val="both"/>
        <w:textAlignment w:val="auto"/>
        <w:rPr>
          <w:rFonts w:hint="eastAsia" w:ascii="仿宋_GB2312" w:hAnsi="仿宋_GB2312" w:eastAsia="仿宋_GB2312" w:cs="仿宋_GB2312"/>
          <w:color w:val="333333"/>
          <w:kern w:val="0"/>
          <w:sz w:val="32"/>
          <w:szCs w:val="32"/>
          <w:highlight w:val="none"/>
          <w:shd w:val="clear" w:color="auto" w:fill="FFFFFF"/>
          <w:lang w:val="en-US" w:eastAsia="zh-CN" w:bidi="ar"/>
        </w:rPr>
      </w:pPr>
      <w:r>
        <w:rPr>
          <w:rFonts w:hint="eastAsia" w:ascii="仿宋_GB2312" w:hAnsi="仿宋_GB2312" w:eastAsia="仿宋_GB2312" w:cs="仿宋_GB2312"/>
          <w:color w:val="333333"/>
          <w:kern w:val="0"/>
          <w:sz w:val="32"/>
          <w:szCs w:val="32"/>
          <w:highlight w:val="none"/>
          <w:shd w:val="clear" w:color="auto" w:fill="FFFFFF"/>
          <w:lang w:bidi="ar"/>
        </w:rPr>
        <w:t>公共安全（类）法院（款）</w:t>
      </w:r>
      <w:r>
        <w:rPr>
          <w:rFonts w:hint="eastAsia" w:ascii="仿宋_GB2312" w:hAnsi="仿宋_GB2312" w:eastAsia="仿宋_GB2312" w:cs="仿宋_GB2312"/>
          <w:color w:val="333333"/>
          <w:kern w:val="0"/>
          <w:sz w:val="32"/>
          <w:szCs w:val="32"/>
          <w:highlight w:val="none"/>
          <w:shd w:val="clear" w:color="auto" w:fill="FFFFFF"/>
          <w:lang w:val="en-US" w:eastAsia="zh-CN" w:bidi="ar"/>
        </w:rPr>
        <w:t>一般行政管理事务</w:t>
      </w:r>
      <w:r>
        <w:rPr>
          <w:rFonts w:hint="eastAsia" w:ascii="仿宋_GB2312" w:hAnsi="仿宋_GB2312" w:eastAsia="仿宋_GB2312" w:cs="仿宋_GB2312"/>
          <w:color w:val="333333"/>
          <w:kern w:val="0"/>
          <w:sz w:val="32"/>
          <w:szCs w:val="32"/>
          <w:highlight w:val="none"/>
          <w:shd w:val="clear" w:color="auto" w:fill="FFFFFF"/>
          <w:lang w:bidi="ar"/>
        </w:rPr>
        <w:t>（项）</w:t>
      </w:r>
      <w:r>
        <w:rPr>
          <w:rFonts w:hint="eastAsia" w:ascii="仿宋_GB2312" w:hAnsi="仿宋_GB2312" w:eastAsia="仿宋_GB2312" w:cs="仿宋_GB2312"/>
          <w:color w:val="333333"/>
          <w:kern w:val="0"/>
          <w:sz w:val="32"/>
          <w:szCs w:val="32"/>
          <w:highlight w:val="none"/>
          <w:shd w:val="clear" w:color="auto" w:fill="FFFFFF"/>
          <w:lang w:eastAsia="zh-CN" w:bidi="ar"/>
        </w:rPr>
        <w:t>：</w:t>
      </w:r>
      <w:r>
        <w:rPr>
          <w:rFonts w:hint="eastAsia" w:ascii="仿宋_GB2312" w:hAnsi="仿宋_GB2312" w:eastAsia="仿宋_GB2312" w:cs="仿宋_GB2312"/>
          <w:color w:val="333333"/>
          <w:kern w:val="0"/>
          <w:sz w:val="32"/>
          <w:szCs w:val="32"/>
          <w:highlight w:val="none"/>
          <w:shd w:val="clear" w:color="auto" w:fill="FFFFFF"/>
          <w:lang w:val="en-US" w:eastAsia="zh-CN" w:bidi="ar"/>
        </w:rPr>
        <w:t>指行政单位未单独设置项级科目的其他项目支出。</w:t>
      </w:r>
    </w:p>
    <w:p>
      <w:pPr>
        <w:keepNext w:val="0"/>
        <w:keepLines w:val="0"/>
        <w:pageBreakBefore w:val="0"/>
        <w:widowControl/>
        <w:numPr>
          <w:ilvl w:val="0"/>
          <w:numId w:val="4"/>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Autospacing="0" w:after="0" w:afterAutospacing="0" w:line="576" w:lineRule="exact"/>
        <w:ind w:left="0" w:leftChars="0" w:right="0" w:rightChars="0" w:firstLine="420" w:firstLineChars="0"/>
        <w:jc w:val="both"/>
        <w:textAlignment w:val="auto"/>
        <w:rPr>
          <w:rFonts w:hint="eastAsia" w:ascii="仿宋_GB2312" w:hAnsi="仿宋_GB2312" w:eastAsia="仿宋_GB2312" w:cs="仿宋_GB2312"/>
          <w:color w:val="333333"/>
          <w:kern w:val="0"/>
          <w:sz w:val="32"/>
          <w:szCs w:val="32"/>
          <w:highlight w:val="none"/>
          <w:shd w:val="clear" w:color="auto" w:fill="FFFFFF"/>
          <w:lang w:val="en-US" w:eastAsia="zh-CN" w:bidi="ar"/>
        </w:rPr>
      </w:pPr>
      <w:r>
        <w:rPr>
          <w:rFonts w:hint="eastAsia" w:ascii="仿宋_GB2312" w:hAnsi="仿宋_GB2312" w:eastAsia="仿宋_GB2312" w:cs="仿宋_GB2312"/>
          <w:color w:val="333333"/>
          <w:kern w:val="0"/>
          <w:sz w:val="32"/>
          <w:szCs w:val="32"/>
          <w:highlight w:val="none"/>
          <w:shd w:val="clear" w:color="auto" w:fill="FFFFFF"/>
          <w:lang w:bidi="ar"/>
        </w:rPr>
        <w:t>公共安全（类）法院（款）</w:t>
      </w:r>
      <w:r>
        <w:rPr>
          <w:rFonts w:hint="eastAsia" w:ascii="仿宋_GB2312" w:hAnsi="仿宋_GB2312" w:eastAsia="仿宋_GB2312" w:cs="仿宋_GB2312"/>
          <w:color w:val="333333"/>
          <w:kern w:val="0"/>
          <w:sz w:val="32"/>
          <w:szCs w:val="32"/>
          <w:highlight w:val="none"/>
          <w:shd w:val="clear" w:color="auto" w:fill="FFFFFF"/>
          <w:lang w:val="en-US" w:eastAsia="zh-CN" w:bidi="ar"/>
        </w:rPr>
        <w:t>案件执行</w:t>
      </w:r>
      <w:r>
        <w:rPr>
          <w:rFonts w:hint="eastAsia" w:ascii="仿宋_GB2312" w:hAnsi="仿宋_GB2312" w:eastAsia="仿宋_GB2312" w:cs="仿宋_GB2312"/>
          <w:color w:val="333333"/>
          <w:kern w:val="0"/>
          <w:sz w:val="32"/>
          <w:szCs w:val="32"/>
          <w:highlight w:val="none"/>
          <w:shd w:val="clear" w:color="auto" w:fill="FFFFFF"/>
          <w:lang w:bidi="ar"/>
        </w:rPr>
        <w:t>（项）</w:t>
      </w:r>
      <w:r>
        <w:rPr>
          <w:rFonts w:hint="eastAsia" w:ascii="仿宋_GB2312" w:hAnsi="仿宋_GB2312" w:eastAsia="仿宋_GB2312" w:cs="仿宋_GB2312"/>
          <w:color w:val="333333"/>
          <w:kern w:val="0"/>
          <w:sz w:val="32"/>
          <w:szCs w:val="32"/>
          <w:highlight w:val="none"/>
          <w:shd w:val="clear" w:color="auto" w:fill="FFFFFF"/>
          <w:lang w:eastAsia="zh-CN" w:bidi="ar"/>
        </w:rPr>
        <w:t>：</w:t>
      </w:r>
      <w:r>
        <w:rPr>
          <w:rFonts w:hint="eastAsia" w:ascii="仿宋_GB2312" w:hAnsi="仿宋_GB2312" w:eastAsia="仿宋_GB2312" w:cs="仿宋_GB2312"/>
          <w:color w:val="333333"/>
          <w:kern w:val="0"/>
          <w:sz w:val="32"/>
          <w:szCs w:val="32"/>
          <w:highlight w:val="none"/>
          <w:shd w:val="clear" w:color="auto" w:fill="FFFFFF"/>
          <w:lang w:val="en-US" w:eastAsia="zh-CN" w:bidi="ar"/>
        </w:rPr>
        <w:t>指人民法院对刑事、民事、行政、涉外等案件执行活动和对各种非诉执行活动的支出。</w:t>
      </w:r>
    </w:p>
    <w:p>
      <w:pPr>
        <w:keepNext w:val="0"/>
        <w:keepLines w:val="0"/>
        <w:pageBreakBefore w:val="0"/>
        <w:widowControl/>
        <w:numPr>
          <w:ilvl w:val="0"/>
          <w:numId w:val="4"/>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Autospacing="0" w:after="0" w:afterAutospacing="0" w:line="576" w:lineRule="exact"/>
        <w:ind w:left="0" w:leftChars="0" w:right="0" w:rightChars="0" w:firstLine="420" w:firstLineChars="0"/>
        <w:jc w:val="both"/>
        <w:textAlignment w:val="auto"/>
        <w:rPr>
          <w:rFonts w:hint="eastAsia" w:ascii="仿宋_GB2312" w:hAnsi="仿宋_GB2312" w:eastAsia="仿宋_GB2312" w:cs="仿宋_GB2312"/>
          <w:color w:val="333333"/>
          <w:kern w:val="0"/>
          <w:sz w:val="32"/>
          <w:szCs w:val="32"/>
          <w:highlight w:val="none"/>
          <w:shd w:val="clear" w:color="auto" w:fill="FFFFFF"/>
          <w:lang w:bidi="ar"/>
        </w:rPr>
      </w:pPr>
      <w:r>
        <w:rPr>
          <w:rFonts w:hint="eastAsia" w:ascii="仿宋_GB2312" w:hAnsi="仿宋_GB2312" w:eastAsia="仿宋_GB2312" w:cs="仿宋_GB2312"/>
          <w:color w:val="333333"/>
          <w:kern w:val="0"/>
          <w:sz w:val="32"/>
          <w:szCs w:val="32"/>
          <w:highlight w:val="none"/>
          <w:shd w:val="clear" w:color="auto" w:fill="FFFFFF"/>
          <w:lang w:bidi="ar"/>
        </w:rPr>
        <w:t>公共安全（类）法院（款）事业运行（项）：指</w:t>
      </w:r>
      <w:r>
        <w:rPr>
          <w:rFonts w:hint="eastAsia" w:ascii="仿宋_GB2312" w:hAnsi="仿宋_GB2312" w:eastAsia="仿宋_GB2312" w:cs="仿宋_GB2312"/>
          <w:color w:val="333333"/>
          <w:kern w:val="0"/>
          <w:sz w:val="32"/>
          <w:szCs w:val="32"/>
          <w:highlight w:val="none"/>
          <w:shd w:val="clear" w:color="auto" w:fill="FFFFFF"/>
          <w:lang w:val="en-US" w:eastAsia="zh-CN" w:bidi="ar"/>
        </w:rPr>
        <w:t>事业</w:t>
      </w:r>
      <w:r>
        <w:rPr>
          <w:rFonts w:hint="eastAsia" w:ascii="仿宋_GB2312" w:hAnsi="仿宋_GB2312" w:eastAsia="仿宋_GB2312" w:cs="仿宋_GB2312"/>
          <w:color w:val="333333"/>
          <w:kern w:val="0"/>
          <w:sz w:val="32"/>
          <w:szCs w:val="32"/>
          <w:highlight w:val="none"/>
          <w:shd w:val="clear" w:color="auto" w:fill="FFFFFF"/>
          <w:lang w:bidi="ar"/>
        </w:rPr>
        <w:t>单位用于保障机构正常运行、开展日常工作的基本支出。</w:t>
      </w:r>
    </w:p>
    <w:p>
      <w:pPr>
        <w:keepNext w:val="0"/>
        <w:keepLines w:val="0"/>
        <w:pageBreakBefore w:val="0"/>
        <w:widowControl/>
        <w:numPr>
          <w:ilvl w:val="0"/>
          <w:numId w:val="4"/>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Autospacing="0" w:after="0" w:afterAutospacing="0" w:line="576" w:lineRule="exact"/>
        <w:ind w:left="0" w:leftChars="0" w:right="0" w:rightChars="0" w:firstLine="420" w:firstLineChars="0"/>
        <w:jc w:val="both"/>
        <w:textAlignment w:val="auto"/>
        <w:rPr>
          <w:rFonts w:hint="eastAsia" w:ascii="仿宋_GB2312" w:hAnsi="仿宋_GB2312" w:eastAsia="仿宋_GB2312" w:cs="仿宋_GB2312"/>
          <w:i w:val="0"/>
          <w:caps w:val="0"/>
          <w:color w:val="333333"/>
          <w:spacing w:val="0"/>
          <w:kern w:val="0"/>
          <w:sz w:val="32"/>
          <w:szCs w:val="32"/>
          <w:highlight w:val="none"/>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highlight w:val="none"/>
          <w:shd w:val="clear" w:color="auto" w:fill="FFFFFF"/>
          <w:lang w:val="en-US" w:eastAsia="zh-CN" w:bidi="ar"/>
        </w:rPr>
        <w:t>社会保障和就业（类）行政事业单位养老支出（款）机关事业单位基本养老保险缴费支出（项）：</w:t>
      </w:r>
      <w:r>
        <w:rPr>
          <w:rFonts w:hint="eastAsia" w:ascii="仿宋_GB2312" w:hAnsi="仿宋_GB2312" w:eastAsia="仿宋_GB2312" w:cs="仿宋_GB2312"/>
          <w:sz w:val="32"/>
          <w:szCs w:val="32"/>
          <w:highlight w:val="none"/>
          <w:lang w:val="en-US" w:eastAsia="zh-CN"/>
        </w:rPr>
        <w:t>指部门实施养老保险制度由单位缴纳的养老保险的支出</w:t>
      </w:r>
      <w:r>
        <w:rPr>
          <w:rFonts w:hint="eastAsia" w:ascii="仿宋_GB2312" w:hAnsi="仿宋_GB2312" w:eastAsia="仿宋_GB2312" w:cs="仿宋_GB2312"/>
          <w:i w:val="0"/>
          <w:caps w:val="0"/>
          <w:color w:val="333333"/>
          <w:spacing w:val="0"/>
          <w:kern w:val="0"/>
          <w:sz w:val="32"/>
          <w:szCs w:val="32"/>
          <w:highlight w:val="none"/>
          <w:shd w:val="clear" w:color="auto" w:fill="FFFFFF"/>
          <w:lang w:val="en-US" w:eastAsia="zh-CN" w:bidi="ar"/>
        </w:rPr>
        <w:t>。</w:t>
      </w:r>
    </w:p>
    <w:p>
      <w:pPr>
        <w:keepNext w:val="0"/>
        <w:keepLines w:val="0"/>
        <w:pageBreakBefore w:val="0"/>
        <w:widowControl/>
        <w:numPr>
          <w:ilvl w:val="0"/>
          <w:numId w:val="4"/>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Autospacing="0" w:after="0" w:afterAutospacing="0" w:line="576" w:lineRule="exact"/>
        <w:ind w:left="0" w:leftChars="0" w:right="0" w:rightChars="0" w:firstLine="420" w:firstLineChars="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i w:val="0"/>
          <w:caps w:val="0"/>
          <w:color w:val="333333"/>
          <w:spacing w:val="0"/>
          <w:kern w:val="0"/>
          <w:sz w:val="32"/>
          <w:szCs w:val="32"/>
          <w:highlight w:val="none"/>
          <w:shd w:val="clear" w:color="auto" w:fill="FFFFFF"/>
          <w:lang w:val="en-US" w:eastAsia="zh-CN" w:bidi="ar"/>
        </w:rPr>
        <w:t>社会保障和就业（类）其他社会保障和就业支出（款）其他社会保障和就业支出（项）：指其他用于社会保障和就业方面的支出。</w:t>
      </w:r>
    </w:p>
    <w:p>
      <w:pPr>
        <w:keepNext w:val="0"/>
        <w:keepLines w:val="0"/>
        <w:pageBreakBefore w:val="0"/>
        <w:widowControl/>
        <w:numPr>
          <w:ilvl w:val="0"/>
          <w:numId w:val="4"/>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Autospacing="0" w:after="0" w:afterAutospacing="0" w:line="576" w:lineRule="exact"/>
        <w:ind w:left="0" w:leftChars="0" w:right="0" w:rightChars="0" w:firstLine="420" w:firstLineChars="0"/>
        <w:jc w:val="both"/>
        <w:textAlignment w:val="auto"/>
        <w:rPr>
          <w:rFonts w:hint="eastAsia" w:ascii="仿宋_GB2312" w:hAnsi="仿宋_GB2312" w:eastAsia="仿宋_GB2312" w:cs="仿宋_GB2312"/>
          <w:i w:val="0"/>
          <w:caps w:val="0"/>
          <w:color w:val="333333"/>
          <w:spacing w:val="0"/>
          <w:kern w:val="0"/>
          <w:sz w:val="32"/>
          <w:szCs w:val="32"/>
          <w:highlight w:val="none"/>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highlight w:val="none"/>
          <w:shd w:val="clear" w:color="auto" w:fill="FFFFFF"/>
          <w:lang w:val="en-US" w:eastAsia="zh-CN" w:bidi="ar"/>
        </w:rPr>
        <w:t>卫生健康（类）行政事业单位医疗（款）行政单位医疗（项）：</w:t>
      </w:r>
      <w:r>
        <w:rPr>
          <w:rFonts w:hint="eastAsia" w:ascii="仿宋_GB2312" w:hAnsi="仿宋_GB2312" w:eastAsia="仿宋_GB2312" w:cs="仿宋_GB2312"/>
          <w:sz w:val="32"/>
          <w:szCs w:val="32"/>
          <w:highlight w:val="none"/>
          <w:lang w:val="en-US" w:eastAsia="zh-CN"/>
        </w:rPr>
        <w:t>指机关及参公管理事业单位用于单位应缴纳基本医疗保险支出。</w:t>
      </w:r>
    </w:p>
    <w:p>
      <w:pPr>
        <w:keepNext w:val="0"/>
        <w:keepLines w:val="0"/>
        <w:pageBreakBefore w:val="0"/>
        <w:widowControl/>
        <w:numPr>
          <w:ilvl w:val="0"/>
          <w:numId w:val="4"/>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Autospacing="0" w:after="0" w:afterAutospacing="0" w:line="576" w:lineRule="exact"/>
        <w:ind w:left="0" w:leftChars="0" w:right="0" w:rightChars="0" w:firstLine="420" w:firstLineChars="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i w:val="0"/>
          <w:caps w:val="0"/>
          <w:color w:val="333333"/>
          <w:spacing w:val="0"/>
          <w:kern w:val="0"/>
          <w:sz w:val="32"/>
          <w:szCs w:val="32"/>
          <w:highlight w:val="none"/>
          <w:shd w:val="clear" w:color="auto" w:fill="FFFFFF"/>
          <w:lang w:val="en-US" w:eastAsia="zh-CN" w:bidi="ar"/>
        </w:rPr>
        <w:t>住房保障（类）住房改革支出（款）住房公积金（项）：指行政事业单位按人力资源和社会保障部、财政部规定的基本工资和津贴补贴以及规定比例为职工缴纳的住房公积金。</w:t>
      </w:r>
    </w:p>
    <w:p>
      <w:pPr>
        <w:keepNext w:val="0"/>
        <w:keepLines w:val="0"/>
        <w:pageBreakBefore w:val="0"/>
        <w:widowControl/>
        <w:numPr>
          <w:ilvl w:val="0"/>
          <w:numId w:val="4"/>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Autospacing="0" w:after="0" w:afterAutospacing="0" w:line="576" w:lineRule="exact"/>
        <w:ind w:left="0" w:leftChars="0" w:right="0" w:rightChars="0" w:firstLine="420" w:firstLineChars="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基本支出：指为保证机构正常运转，完成日常工作任务而发生的人员支出和公用支出。</w:t>
      </w:r>
    </w:p>
    <w:p>
      <w:pPr>
        <w:keepNext w:val="0"/>
        <w:keepLines w:val="0"/>
        <w:pageBreakBefore w:val="0"/>
        <w:widowControl/>
        <w:numPr>
          <w:ilvl w:val="0"/>
          <w:numId w:val="4"/>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Autospacing="0" w:after="0" w:afterAutospacing="0" w:line="576" w:lineRule="exact"/>
        <w:ind w:left="0" w:leftChars="0" w:right="0" w:rightChars="0" w:firstLine="420" w:firstLineChars="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项目支出：指在基本支出之外为完成特定行政任务和事业发展目标所发生的支出。</w:t>
      </w:r>
    </w:p>
    <w:p>
      <w:pPr>
        <w:keepNext w:val="0"/>
        <w:keepLines w:val="0"/>
        <w:pageBreakBefore w:val="0"/>
        <w:widowControl/>
        <w:numPr>
          <w:ilvl w:val="0"/>
          <w:numId w:val="4"/>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Autospacing="0" w:after="0" w:afterAutospacing="0" w:line="576" w:lineRule="exact"/>
        <w:ind w:left="0" w:leftChars="0" w:right="0" w:rightChars="0" w:firstLine="420" w:firstLineChars="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三公”经费：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highlight w:val="none"/>
          <w:lang w:val="en-US" w:eastAsia="zh-CN"/>
        </w:rPr>
        <w:br w:type="textWrapping"/>
      </w:r>
      <w:r>
        <w:rPr>
          <w:rFonts w:hint="eastAsia" w:ascii="仿宋_GB2312" w:hAnsi="仿宋_GB2312" w:eastAsia="仿宋_GB2312" w:cs="仿宋_GB2312"/>
          <w:sz w:val="32"/>
          <w:szCs w:val="32"/>
          <w:highlight w:val="none"/>
          <w:lang w:val="en-US" w:eastAsia="zh-CN"/>
        </w:rPr>
        <w:t xml:space="preserve">    （十三）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附件：部门预算公开表</w:t>
      </w: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highlight w:val="none"/>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color w:val="FF0000"/>
          <w:sz w:val="32"/>
          <w:szCs w:val="32"/>
          <w:highlight w:val="none"/>
          <w:lang w:eastAsia="zh-CN"/>
        </w:rPr>
      </w:pPr>
    </w:p>
    <w:sectPr>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E4B9571-31FF-4EB6-8935-EBC65B6A677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embedRegular r:id="rId2" w:fontKey="{041E679C-89AA-4015-82A0-59474EB61554}"/>
  </w:font>
  <w:font w:name="Liberation Sans">
    <w:altName w:val="Arial"/>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00000" w:usb2="00000000" w:usb3="00000000" w:csb0="00040000" w:csb1="00000000"/>
    <w:embedRegular r:id="rId3" w:fontKey="{1185991E-4AC8-48DF-B9E6-B8AD4A8394A9}"/>
  </w:font>
  <w:font w:name="楷体_GB2312">
    <w:altName w:val="楷体"/>
    <w:panose1 w:val="02010609030101010101"/>
    <w:charset w:val="86"/>
    <w:family w:val="auto"/>
    <w:pitch w:val="default"/>
    <w:sig w:usb0="00000000" w:usb1="00000000" w:usb2="00000000" w:usb3="00000000" w:csb0="00040000" w:csb1="00000000"/>
    <w:embedRegular r:id="rId4" w:fontKey="{3C12371E-6E33-49D9-B640-D31268140D46}"/>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3C5682"/>
    <w:multiLevelType w:val="singleLevel"/>
    <w:tmpl w:val="053C5682"/>
    <w:lvl w:ilvl="0" w:tentative="0">
      <w:start w:val="1"/>
      <w:numFmt w:val="decimal"/>
      <w:suff w:val="nothing"/>
      <w:lvlText w:val="%1．"/>
      <w:lvlJc w:val="left"/>
      <w:pPr>
        <w:ind w:left="0" w:firstLine="400"/>
      </w:pPr>
      <w:rPr>
        <w:rFonts w:hint="default"/>
      </w:rPr>
    </w:lvl>
  </w:abstractNum>
  <w:abstractNum w:abstractNumId="1">
    <w:nsid w:val="3F1541CF"/>
    <w:multiLevelType w:val="singleLevel"/>
    <w:tmpl w:val="3F1541CF"/>
    <w:lvl w:ilvl="0" w:tentative="0">
      <w:start w:val="1"/>
      <w:numFmt w:val="chineseCounting"/>
      <w:suff w:val="nothing"/>
      <w:lvlText w:val="（%1）"/>
      <w:lvlJc w:val="left"/>
      <w:pPr>
        <w:ind w:left="0" w:firstLine="420"/>
      </w:pPr>
      <w:rPr>
        <w:rFonts w:hint="eastAsia"/>
      </w:rPr>
    </w:lvl>
  </w:abstractNum>
  <w:abstractNum w:abstractNumId="2">
    <w:nsid w:val="522A17C1"/>
    <w:multiLevelType w:val="singleLevel"/>
    <w:tmpl w:val="522A17C1"/>
    <w:lvl w:ilvl="0" w:tentative="0">
      <w:start w:val="2"/>
      <w:numFmt w:val="chineseCounting"/>
      <w:suff w:val="nothing"/>
      <w:lvlText w:val="（%1）"/>
      <w:lvlJc w:val="left"/>
      <w:rPr>
        <w:rFonts w:hint="eastAsia"/>
      </w:rPr>
    </w:lvl>
  </w:abstractNum>
  <w:abstractNum w:abstractNumId="3">
    <w:nsid w:val="5BFCE1D6"/>
    <w:multiLevelType w:val="singleLevel"/>
    <w:tmpl w:val="5BFCE1D6"/>
    <w:lvl w:ilvl="0" w:tentative="0">
      <w:start w:val="2"/>
      <w:numFmt w:val="chineseCounting"/>
      <w:suff w:val="nothing"/>
      <w:lvlText w:val="（%1）"/>
      <w:lvlJc w:val="left"/>
      <w:rPr>
        <w:rFonts w:hint="eastAsia"/>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000000"/>
    <w:rsid w:val="012352D1"/>
    <w:rsid w:val="01451073"/>
    <w:rsid w:val="016B703A"/>
    <w:rsid w:val="01FF651F"/>
    <w:rsid w:val="02095BC8"/>
    <w:rsid w:val="032B7499"/>
    <w:rsid w:val="033C63BE"/>
    <w:rsid w:val="047E71D6"/>
    <w:rsid w:val="05C645FE"/>
    <w:rsid w:val="05E76E52"/>
    <w:rsid w:val="0667569D"/>
    <w:rsid w:val="06A0604E"/>
    <w:rsid w:val="06B404F7"/>
    <w:rsid w:val="072B18DC"/>
    <w:rsid w:val="07F01E8F"/>
    <w:rsid w:val="087D2F8D"/>
    <w:rsid w:val="08807AF8"/>
    <w:rsid w:val="089C3C79"/>
    <w:rsid w:val="09475F86"/>
    <w:rsid w:val="09807E19"/>
    <w:rsid w:val="09C07FEC"/>
    <w:rsid w:val="09CE1CFB"/>
    <w:rsid w:val="09DB736C"/>
    <w:rsid w:val="0A0E47DE"/>
    <w:rsid w:val="0A4129F1"/>
    <w:rsid w:val="0B980A9E"/>
    <w:rsid w:val="0C3B4B4A"/>
    <w:rsid w:val="0C576557"/>
    <w:rsid w:val="0C8E5CF3"/>
    <w:rsid w:val="0D5E239C"/>
    <w:rsid w:val="0DC66EBE"/>
    <w:rsid w:val="0EDB5173"/>
    <w:rsid w:val="0FB46121"/>
    <w:rsid w:val="0FC94486"/>
    <w:rsid w:val="10830E0D"/>
    <w:rsid w:val="113A307C"/>
    <w:rsid w:val="123F553A"/>
    <w:rsid w:val="1300132C"/>
    <w:rsid w:val="138D68EE"/>
    <w:rsid w:val="145D203E"/>
    <w:rsid w:val="14774465"/>
    <w:rsid w:val="14CD5ABC"/>
    <w:rsid w:val="153E63BD"/>
    <w:rsid w:val="15B458C1"/>
    <w:rsid w:val="15DF6341"/>
    <w:rsid w:val="162E6F78"/>
    <w:rsid w:val="162F053E"/>
    <w:rsid w:val="168442E8"/>
    <w:rsid w:val="172E6F50"/>
    <w:rsid w:val="178E509B"/>
    <w:rsid w:val="17B943BB"/>
    <w:rsid w:val="18405D87"/>
    <w:rsid w:val="18726C27"/>
    <w:rsid w:val="18A35FC2"/>
    <w:rsid w:val="18E23701"/>
    <w:rsid w:val="18E64877"/>
    <w:rsid w:val="19765E8D"/>
    <w:rsid w:val="19B71D83"/>
    <w:rsid w:val="19C504E6"/>
    <w:rsid w:val="19EA079C"/>
    <w:rsid w:val="19FC2B22"/>
    <w:rsid w:val="1A0B362A"/>
    <w:rsid w:val="1A2E2B86"/>
    <w:rsid w:val="1A393E05"/>
    <w:rsid w:val="1A491528"/>
    <w:rsid w:val="1A5D0A45"/>
    <w:rsid w:val="1A9A49AF"/>
    <w:rsid w:val="1AE42609"/>
    <w:rsid w:val="1B0D1345"/>
    <w:rsid w:val="1C6F12AE"/>
    <w:rsid w:val="1CAE746B"/>
    <w:rsid w:val="1D591078"/>
    <w:rsid w:val="1E703A4E"/>
    <w:rsid w:val="1E917EDA"/>
    <w:rsid w:val="1EE91DB6"/>
    <w:rsid w:val="1F7BF06F"/>
    <w:rsid w:val="1FEE4B73"/>
    <w:rsid w:val="20CD5F47"/>
    <w:rsid w:val="21F827EC"/>
    <w:rsid w:val="2269717D"/>
    <w:rsid w:val="22A83594"/>
    <w:rsid w:val="22F31833"/>
    <w:rsid w:val="23011EB1"/>
    <w:rsid w:val="23CE9849"/>
    <w:rsid w:val="23D35ED8"/>
    <w:rsid w:val="245D00C6"/>
    <w:rsid w:val="251C10C2"/>
    <w:rsid w:val="265B4FB2"/>
    <w:rsid w:val="26BE01F5"/>
    <w:rsid w:val="282D60D2"/>
    <w:rsid w:val="283B1749"/>
    <w:rsid w:val="28606207"/>
    <w:rsid w:val="290A5972"/>
    <w:rsid w:val="29A145CE"/>
    <w:rsid w:val="29EE36D7"/>
    <w:rsid w:val="2A236440"/>
    <w:rsid w:val="2AC36CA5"/>
    <w:rsid w:val="2B286FC7"/>
    <w:rsid w:val="2B5B3D07"/>
    <w:rsid w:val="2C736493"/>
    <w:rsid w:val="2CFE131E"/>
    <w:rsid w:val="2DB809C8"/>
    <w:rsid w:val="2E1C0BFB"/>
    <w:rsid w:val="2ED91112"/>
    <w:rsid w:val="2F324D51"/>
    <w:rsid w:val="2F9F019C"/>
    <w:rsid w:val="2FB3469D"/>
    <w:rsid w:val="301802BC"/>
    <w:rsid w:val="306B60D4"/>
    <w:rsid w:val="307953DC"/>
    <w:rsid w:val="30EA3DDC"/>
    <w:rsid w:val="31E70BEF"/>
    <w:rsid w:val="328B7BEA"/>
    <w:rsid w:val="32F73361"/>
    <w:rsid w:val="354B73EA"/>
    <w:rsid w:val="35647397"/>
    <w:rsid w:val="360B06F9"/>
    <w:rsid w:val="36513BDA"/>
    <w:rsid w:val="36555B10"/>
    <w:rsid w:val="37C2516E"/>
    <w:rsid w:val="38131F00"/>
    <w:rsid w:val="381812A1"/>
    <w:rsid w:val="382F58ED"/>
    <w:rsid w:val="386465D5"/>
    <w:rsid w:val="39D7729B"/>
    <w:rsid w:val="39F304DD"/>
    <w:rsid w:val="3ACD4FC7"/>
    <w:rsid w:val="3C00501E"/>
    <w:rsid w:val="3C033C0B"/>
    <w:rsid w:val="3CCD56CB"/>
    <w:rsid w:val="3CFB7B9F"/>
    <w:rsid w:val="3D0231F4"/>
    <w:rsid w:val="3DFD6F32"/>
    <w:rsid w:val="3EE5719B"/>
    <w:rsid w:val="3F201EB3"/>
    <w:rsid w:val="3F75300A"/>
    <w:rsid w:val="407815A0"/>
    <w:rsid w:val="4160601A"/>
    <w:rsid w:val="424D201B"/>
    <w:rsid w:val="43207E93"/>
    <w:rsid w:val="45085B68"/>
    <w:rsid w:val="46352448"/>
    <w:rsid w:val="4760034D"/>
    <w:rsid w:val="47876CEC"/>
    <w:rsid w:val="47A771F3"/>
    <w:rsid w:val="48C30746"/>
    <w:rsid w:val="49D151D5"/>
    <w:rsid w:val="4A0A4CCA"/>
    <w:rsid w:val="4A3B36D6"/>
    <w:rsid w:val="4A3F6E59"/>
    <w:rsid w:val="4A5E729B"/>
    <w:rsid w:val="4AD41B44"/>
    <w:rsid w:val="4AE271F1"/>
    <w:rsid w:val="4D0E2A8B"/>
    <w:rsid w:val="4E074D26"/>
    <w:rsid w:val="4E0D3965"/>
    <w:rsid w:val="4E7A37EE"/>
    <w:rsid w:val="4E9F50C8"/>
    <w:rsid w:val="4EDDC789"/>
    <w:rsid w:val="4F7D6002"/>
    <w:rsid w:val="4FA979A4"/>
    <w:rsid w:val="4FB906AB"/>
    <w:rsid w:val="524036DB"/>
    <w:rsid w:val="525767BB"/>
    <w:rsid w:val="526A2026"/>
    <w:rsid w:val="52AB46FB"/>
    <w:rsid w:val="533838E7"/>
    <w:rsid w:val="53E87674"/>
    <w:rsid w:val="54150FF8"/>
    <w:rsid w:val="54244390"/>
    <w:rsid w:val="543764B3"/>
    <w:rsid w:val="5458741B"/>
    <w:rsid w:val="54662A63"/>
    <w:rsid w:val="55942C40"/>
    <w:rsid w:val="55B94716"/>
    <w:rsid w:val="569304B5"/>
    <w:rsid w:val="56E10E6F"/>
    <w:rsid w:val="57703304"/>
    <w:rsid w:val="57BA3EB6"/>
    <w:rsid w:val="57EB711E"/>
    <w:rsid w:val="58064E12"/>
    <w:rsid w:val="58335B3B"/>
    <w:rsid w:val="594A2ABA"/>
    <w:rsid w:val="5AE73688"/>
    <w:rsid w:val="5B745D36"/>
    <w:rsid w:val="5BB903CA"/>
    <w:rsid w:val="5BFEE015"/>
    <w:rsid w:val="5C192527"/>
    <w:rsid w:val="5C475AE7"/>
    <w:rsid w:val="5C58738B"/>
    <w:rsid w:val="5E366964"/>
    <w:rsid w:val="619763D7"/>
    <w:rsid w:val="62ED0B22"/>
    <w:rsid w:val="639A7078"/>
    <w:rsid w:val="63EDCF55"/>
    <w:rsid w:val="63FBFBCF"/>
    <w:rsid w:val="63FC3186"/>
    <w:rsid w:val="64963588"/>
    <w:rsid w:val="65934772"/>
    <w:rsid w:val="66897C66"/>
    <w:rsid w:val="669360FD"/>
    <w:rsid w:val="672B2900"/>
    <w:rsid w:val="67827A36"/>
    <w:rsid w:val="67936D17"/>
    <w:rsid w:val="67B5013C"/>
    <w:rsid w:val="67DA5DDB"/>
    <w:rsid w:val="686F1D62"/>
    <w:rsid w:val="68FF6A83"/>
    <w:rsid w:val="69974CE6"/>
    <w:rsid w:val="6AF240AB"/>
    <w:rsid w:val="6C2404C4"/>
    <w:rsid w:val="6C8F14DA"/>
    <w:rsid w:val="6D1005D2"/>
    <w:rsid w:val="6D7E3A63"/>
    <w:rsid w:val="6DBB6F13"/>
    <w:rsid w:val="6E077900"/>
    <w:rsid w:val="6E1F1D3F"/>
    <w:rsid w:val="6E4744E1"/>
    <w:rsid w:val="6E521B2A"/>
    <w:rsid w:val="6FBBC9CF"/>
    <w:rsid w:val="711E0526"/>
    <w:rsid w:val="71D266CF"/>
    <w:rsid w:val="72501BDF"/>
    <w:rsid w:val="72BDE561"/>
    <w:rsid w:val="72C761E7"/>
    <w:rsid w:val="72CB4178"/>
    <w:rsid w:val="735A0CB2"/>
    <w:rsid w:val="73B315E0"/>
    <w:rsid w:val="74397C50"/>
    <w:rsid w:val="74F06607"/>
    <w:rsid w:val="772532E1"/>
    <w:rsid w:val="77AC75FE"/>
    <w:rsid w:val="78462278"/>
    <w:rsid w:val="786E12E6"/>
    <w:rsid w:val="788B48E6"/>
    <w:rsid w:val="78C3360C"/>
    <w:rsid w:val="79306C47"/>
    <w:rsid w:val="79597470"/>
    <w:rsid w:val="798C65E6"/>
    <w:rsid w:val="7997EA6C"/>
    <w:rsid w:val="79A60E07"/>
    <w:rsid w:val="7A406088"/>
    <w:rsid w:val="7AAA7E9F"/>
    <w:rsid w:val="7AB64BBA"/>
    <w:rsid w:val="7AEAE675"/>
    <w:rsid w:val="7B262A41"/>
    <w:rsid w:val="7B7050B4"/>
    <w:rsid w:val="7BAFCE5D"/>
    <w:rsid w:val="7D46598C"/>
    <w:rsid w:val="7D79764C"/>
    <w:rsid w:val="7D827D13"/>
    <w:rsid w:val="7DB206E4"/>
    <w:rsid w:val="7DFB240B"/>
    <w:rsid w:val="7E0935ED"/>
    <w:rsid w:val="7F4631B4"/>
    <w:rsid w:val="7FC93E65"/>
    <w:rsid w:val="7FCF2AF7"/>
    <w:rsid w:val="7FEA1100"/>
    <w:rsid w:val="9FEF033D"/>
    <w:rsid w:val="A27FF1E5"/>
    <w:rsid w:val="AFDEB5A7"/>
    <w:rsid w:val="AFEA7FBF"/>
    <w:rsid w:val="B83F4767"/>
    <w:rsid w:val="BF930F07"/>
    <w:rsid w:val="BFCE8436"/>
    <w:rsid w:val="C3F7EB7A"/>
    <w:rsid w:val="CFF5FEEC"/>
    <w:rsid w:val="D3DD9064"/>
    <w:rsid w:val="D6F76A0C"/>
    <w:rsid w:val="D7ECE8D2"/>
    <w:rsid w:val="DFDD4FB5"/>
    <w:rsid w:val="E7F748B5"/>
    <w:rsid w:val="E93F268C"/>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0">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able of figures"/>
    <w:basedOn w:val="1"/>
    <w:next w:val="1"/>
    <w:semiHidden/>
    <w:qFormat/>
    <w:uiPriority w:val="99"/>
    <w:pPr>
      <w:ind w:left="200" w:leftChars="200" w:hanging="200" w:hangingChars="200"/>
    </w:pPr>
  </w:style>
  <w:style w:type="paragraph" w:styleId="3">
    <w:name w:val="caption"/>
    <w:basedOn w:val="1"/>
    <w:next w:val="1"/>
    <w:qFormat/>
    <w:uiPriority w:val="0"/>
    <w:pPr>
      <w:widowControl w:val="0"/>
      <w:suppressLineNumbers/>
      <w:suppressAutoHyphens/>
      <w:spacing w:before="120" w:after="120"/>
    </w:pPr>
    <w:rPr>
      <w:i/>
      <w:iCs/>
      <w:sz w:val="24"/>
      <w:szCs w:val="24"/>
    </w:rPr>
  </w:style>
  <w:style w:type="paragraph" w:styleId="4">
    <w:name w:val="Body Text"/>
    <w:basedOn w:val="1"/>
    <w:qFormat/>
    <w:uiPriority w:val="0"/>
    <w:pPr>
      <w:spacing w:before="0" w:after="140" w:line="276" w:lineRule="auto"/>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w:basedOn w:val="4"/>
    <w:qFormat/>
    <w:uiPriority w:val="0"/>
  </w:style>
  <w:style w:type="paragraph" w:styleId="8">
    <w:name w:val="Normal (Web)"/>
    <w:basedOn w:val="1"/>
    <w:qFormat/>
    <w:uiPriority w:val="0"/>
    <w:rPr>
      <w:sz w:val="24"/>
    </w:rPr>
  </w:style>
  <w:style w:type="character" w:customStyle="1" w:styleId="11">
    <w:name w:val="默认段落字体1"/>
    <w:qFormat/>
    <w:uiPriority w:val="0"/>
  </w:style>
  <w:style w:type="paragraph" w:customStyle="1" w:styleId="12">
    <w:name w:val="Heading"/>
    <w:basedOn w:val="1"/>
    <w:next w:val="4"/>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3">
    <w:name w:val="Index"/>
    <w:basedOn w:val="1"/>
    <w:qFormat/>
    <w:uiPriority w:val="0"/>
    <w:pPr>
      <w:widowControl w:val="0"/>
      <w:suppressLineNumbers/>
      <w:suppressAutoHyphens/>
    </w:pPr>
  </w:style>
  <w:style w:type="paragraph" w:customStyle="1" w:styleId="14">
    <w:name w:val="WPSOffice手动目录 1"/>
    <w:uiPriority w:val="0"/>
    <w:pPr>
      <w:ind w:leftChars="0"/>
    </w:pPr>
    <w:rPr>
      <w:sz w:val="20"/>
      <w:szCs w:val="20"/>
    </w:rPr>
  </w:style>
  <w:style w:type="paragraph" w:customStyle="1" w:styleId="15">
    <w:name w:val="WPSOffice手动目录 2"/>
    <w:uiPriority w:val="0"/>
    <w:pPr>
      <w:ind w:leftChars="200"/>
    </w:pPr>
    <w:rPr>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Office_12.1.0.16250_F1E327BC-269C-435d-A152-05C5408002CA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2018-11-30T01:47:00Z</dcterms:created>
  <dc:creator>admin</dc:creator>
  <cp:lastModifiedBy>玖千余为春秋</cp:lastModifiedBy>
  <dcterms:modified xsi:type="dcterms:W3CDTF">2024-02-02T14:56:41Z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96081F72B7444D3C8C1C7DDAED24732C_13</vt:lpwstr>
  </property>
</Properties>
</file>