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13629"/>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广元市政务服务和公共资源交易中心</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71641"/>
        <w15:color w:val="DBDBDB"/>
        <w:docPartObj>
          <w:docPartGallery w:val="Table of Contents"/>
          <w:docPartUnique/>
        </w:docPartObj>
      </w:sdtPr>
      <w:sdtEndPr>
        <w:rPr>
          <w:rFonts w:hint="eastAsia" w:ascii="方正小标宋简体" w:hAnsi="方正小标宋简体" w:eastAsia="方正小标宋简体" w:cs="方正小标宋简体"/>
          <w:b/>
          <w:bCs w:val="0"/>
          <w:i w:val="0"/>
          <w:caps w:val="0"/>
          <w:color w:val="000000" w:themeColor="text1"/>
          <w:spacing w:val="0"/>
          <w:kern w:val="0"/>
          <w:sz w:val="21"/>
          <w:szCs w:val="44"/>
          <w:highlight w:val="none"/>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3"/>
            <w:tabs>
              <w:tab w:val="right" w:leader="dot" w:pos="8845"/>
            </w:tabs>
            <w:spacing w:line="360" w:lineRule="auto"/>
            <w:rPr>
              <w:b/>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instrText xml:space="preserve">TOC \o "1-2" \h \u </w:instrText>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separate"/>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_Toc31624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_Toc31624 \h </w:instrText>
          </w:r>
          <w:r>
            <w:rPr>
              <w:b/>
            </w:rPr>
            <w:fldChar w:fldCharType="separate"/>
          </w:r>
          <w:r>
            <w:rPr>
              <w:b/>
            </w:rPr>
            <w:t>3</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_Toc24462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rPr>
            <w:t>（一）广元市政务和公共资源交易中心职能简介</w:t>
          </w:r>
          <w:r>
            <w:tab/>
          </w:r>
          <w:r>
            <w:fldChar w:fldCharType="begin"/>
          </w:r>
          <w:r>
            <w:instrText xml:space="preserve"> PAGEREF _Toc24462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_Toc25979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rPr>
            <w:t>（二） 广元市政务和公共资源交易中心</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_Toc25979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_Toc31144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_Toc31144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_Toc22386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_Toc22386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_Toc2708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_Toc2708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_Toc31071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_Toc31071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_Toc2907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_Toc2907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_Toc5504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_Toc5504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_Toc25911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_Toc25911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_Toc24656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_Toc24656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_Toc21047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_Toc21047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_Toc11552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_Toc11552 \h </w:instrText>
          </w:r>
          <w:r>
            <w:rPr>
              <w:b/>
            </w:rPr>
            <w:fldChar w:fldCharType="separate"/>
          </w:r>
          <w:r>
            <w:rPr>
              <w:b/>
            </w:rPr>
            <w:t>10</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_Toc15356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_Toc15356 \h </w:instrText>
          </w:r>
          <w:r>
            <w:rPr>
              <w:b/>
            </w:rPr>
            <w:fldChar w:fldCharType="separate"/>
          </w:r>
          <w:r>
            <w:rPr>
              <w:b/>
            </w:rPr>
            <w:t>10</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_Toc23632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_Toc23632 \h </w:instrText>
          </w:r>
          <w:r>
            <w:fldChar w:fldCharType="separate"/>
          </w:r>
          <w:r>
            <w:t>11</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_Toc20869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_Toc20869 \h </w:instrText>
          </w:r>
          <w:r>
            <w:fldChar w:fldCharType="separate"/>
          </w:r>
          <w:r>
            <w:t>11</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_Toc30853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_Toc30853 \h </w:instrText>
          </w:r>
          <w:r>
            <w:fldChar w:fldCharType="separate"/>
          </w:r>
          <w:r>
            <w:t>11</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_Toc5147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_Toc5147 \h </w:instrText>
          </w:r>
          <w:r>
            <w:rPr>
              <w:b/>
            </w:rPr>
            <w:fldChar w:fldCharType="separate"/>
          </w:r>
          <w:r>
            <w:rPr>
              <w:b/>
            </w:rPr>
            <w:t>11</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_Toc25161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_Toc25161 \h </w:instrText>
          </w:r>
          <w:r>
            <w:rPr>
              <w:b/>
            </w:rPr>
            <w:fldChar w:fldCharType="separate"/>
          </w:r>
          <w:r>
            <w:rPr>
              <w:b/>
            </w:rPr>
            <w:t>11</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_Toc23773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_Toc23773 \h </w:instrText>
          </w:r>
          <w:r>
            <w:rPr>
              <w:b/>
            </w:rPr>
            <w:fldChar w:fldCharType="separate"/>
          </w:r>
          <w:r>
            <w:rPr>
              <w:b/>
            </w:rPr>
            <w:t>11</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_Toc9722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_Toc9722 \h </w:instrText>
          </w:r>
          <w:r>
            <w:fldChar w:fldCharType="separate"/>
          </w:r>
          <w:r>
            <w:t>11</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_Toc10115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_Toc10115 \h </w:instrText>
          </w:r>
          <w:r>
            <w:fldChar w:fldCharType="separate"/>
          </w:r>
          <w:r>
            <w:t>12</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_Toc13819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_Toc13819 \h </w:instrText>
          </w:r>
          <w:r>
            <w:fldChar w:fldCharType="separate"/>
          </w:r>
          <w:r>
            <w:t>12</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_Toc5191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_Toc5191 \h </w:instrText>
          </w:r>
          <w:r>
            <w:fldChar w:fldCharType="separate"/>
          </w:r>
          <w:r>
            <w:t>12</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_Toc21366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_Toc21366 \h </w:instrText>
          </w:r>
          <w:r>
            <w:rPr>
              <w:b/>
            </w:rPr>
            <w:fldChar w:fldCharType="separate"/>
          </w:r>
          <w:r>
            <w:rPr>
              <w:b/>
            </w:rPr>
            <w:t>12</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360" w:lineRule="auto"/>
            <w:ind w:left="0" w:right="0" w:firstLine="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sdtContent>
    </w:sdt>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31624"/>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4462"/>
      <w:r>
        <w:rPr>
          <w:rFonts w:hint="eastAsia" w:ascii="楷体_GB2312" w:hAnsi="楷体_GB2312" w:eastAsia="楷体_GB2312" w:cs="楷体_GB2312"/>
          <w:sz w:val="32"/>
          <w:szCs w:val="32"/>
        </w:rPr>
        <w:t>（一）广元市政务和公共资源交易中心职能简介</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政务服务和公共资源交易中心是广元市人民政府直属事业单位（参公管理），为正县级机构。主要职责：1.贯彻实施政务服务和公共资源交易服务相关法律、法规和政策，为政务服务和公共资源交易活动提供场所、设施和服务。2.负责对进入市政务服务和公共资源交易中心的所有事项办理情况的指导监督和入驻单位窗口工作人员的日常管理。3.负责实施市本级政务服务大厅标准化、规范化、便民化的建设和服务工作。负责入驻单位窗口服务事项清理、办事材料精简、服务流程优化、办事指南规范更新的指导和管理；负责入驻单位窗口为企业和群众开展全程代办、协办和上门服务、延时服务、预约服务；负责入驻单位窗口审批服务事项“一网办”“一门办”“一次办”的工作协调，开展优质服务。4.负责一体化政务服务平台的运维工作。5.负责广元市公共资源交易信息中心的建设和管理。6.负责全市12345政务服务热线的日常运行和管理。7.负责对各县区、经济技术开发区政务服务和公共资源交易中心的业务指导。8.负责全市重大投资项目联合审批的相关服务工作。9.完成市委、市政府交办的其他任务。</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25979"/>
      <w:r>
        <w:rPr>
          <w:rFonts w:hint="eastAsia" w:ascii="楷体_GB2312" w:hAnsi="楷体_GB2312" w:eastAsia="楷体_GB2312" w:cs="楷体_GB2312"/>
          <w:sz w:val="32"/>
          <w:szCs w:val="32"/>
        </w:rPr>
        <w:t>广元市政务和公共资源交易中心</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市政务服务和公共资源交易中心将认真贯彻落实市委八届八次全会精神，充分发挥统筹协调和指导职能，持续推进政务服务标准化规范化便利化，推动政务服务城乡融合发展，为全市经济社会高质量发展、建设川陕甘结合部现代化中心城市提供坚强服务保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全面加强政务服务渠道建设。完善集约高效的线下政务服务体系，合理设置综合服务窗口和专业服务窗口，做深做实统一受理和一站式办理。推进乡镇（街道）便民服务中心和村（社区）便民服务站标准化建设。探索利用集成式自助终端提供“24小时不打烊”服务。推动更多高频事项网上办、掌上办、一次办。推动办件信息实时共享，实现办事申请“一次提交”、办理结果“多端获取”。不断提升12345热线接办效率，高效受理政务服务咨询、投诉、求助、建议等诉求。持续落实安全隐患“随手拍”，完善执法监督协作机制。</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全面深化政务服务模式创新。从企业和群众视角出发，为企业和群众提供“一件事一次办”“一类事一站办”服务，落实申请表单多表合一、线上一网申请、材料一次提交。强化线上线下联动，开展并联审批、联合评审、联合验收等，大幅压减办理时长和办事成本。推行“告知承诺+容缺办理”审批服务模式。持续推动更多政务服务事项省内通办、跨省通办，做到就近办、异地办。建立收件、办理两地窗口协同联动工作机制，为企业和群众提供异地办事服务。以数据分析为支撑，精准匹配符合条件的企业，推动实现惠企政策“免申即享”“精准直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全面强化政务服务数字赋能。完善政务数据共享责任清单机制，持续提升政务数据质量，从源头加强数据治理。深化电子证照数据共享应用，推动电子证照跨地区跨部门互通互认和扩大应用领域。依法依规共享开放政务数据，加强全流程安全管理。创新大数据、区块链、人工智能等新技术在办事服务具体场景中的应用。优化智能问答、智能搜索、智能导办等服务，更好引导企业和群众高效便利办事。</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全面推动政务服务扩面增效。健全线上线下帮办代办体系，提升帮办代办响应率、解决率和满意度。为老年人、残疾人等特殊群体提供陪同办、代理办、优先办等服务。加强项目全流程帮办代办，落实专班服务、专员跟进等机制，及时解决项目审批过程中的难点问题。依托线上线下政务服务渠道，打造定制化、套餐式、模块化的涉企服务“一类事”场景。探索统筹涉企服务资源，建立涉企服务中心，提供政策、法律、金融、人才、科创、贸易等一站式服务。</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全面夯实政务服务工作基础。以市、县、乡机构改革为契机，深化政务服务体制改革，厘清职能职责边界，建立健全“管”“办”分离且有效衔接的工作体制机制，为有序推进政务服务标准化规范化便利化提供坚强、科学的体制保障。持续深化政务服务标杆大厅、星级便民服务中心、园区示范政务服务中心创建，加强各级政务服务窗口从业人员配备、管理、培训和考核，持续提升干部队伍法治思维、服务意识和数字素养，提升窗口服务专业化素养，全面提高各级政务服务大厅服务企业群众能力和水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全面保障公共资源阳光交易。优化交易办事资料、环节、办理时限，落实工程招投标、政府采购等服务标准。加强省市公共资源交易一体化平台建设，提升市级公共资源交易电子化平台服务功能，推行公共资源交易全过程信息公开。加强对中介机构、专家、投标人、监督人员等主体的现场管理和服务，规范进场交易行为。规范管理交易过程数据档案，确保交易原始数据安全。排查交易风险点，落实“清单制+责任制”，持续加强交易风险防控。</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全面加强党的建设。加强和规范党内政治生活，严肃党的政治纪律和政治规矩。加强干部思想教育，不断提高政治领悟力、政治判断力、政治执行力，切实增强“四个意识”、坚定“四个自信”、做到“两个维护”。落实好干部标准，严把选人用人政治关、品行关、能力关、作风关、廉洁关。加强干部日常管理监督，立足于小、立足于早，及时解决存在的苗头性问题。推进清廉“窗口”建设，以零容忍态度大力纠治各级政务服务窗口冷硬横推等不良作风问题，推动窗口服务效能有效提升、工作作风明显转变。</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31144"/>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广元市政务服务和公共资源交易中心下属二级预算单位2个，其中参照公务员法管理的事业单位1个，其他事业单位1个。主要包括：</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1.广元市政务服务和公共资源交易中心（本级）</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2.广元市公共资源交易信息中心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22386"/>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广元市政务服务和公共资源交易中心所有收入和支出均纳入部门预算管理。收入包括：一般公共预算拨款收入；支出包括：一般公共服务支出、社会保障和就业支出、卫生健康支出、住房保障支出、</w:t>
      </w:r>
      <w:r>
        <w:rPr>
          <w:rFonts w:hint="eastAsia" w:ascii="仿宋_GB2312" w:hAnsi="Times New Roman" w:eastAsia="仿宋_GB2312" w:cs="仿宋_GB2312"/>
          <w:color w:val="333333"/>
          <w:kern w:val="0"/>
          <w:sz w:val="32"/>
          <w:szCs w:val="32"/>
          <w:shd w:val="clear" w:color="auto" w:fill="FFFFFF"/>
          <w:lang w:bidi="ar"/>
        </w:rPr>
        <w:t>农林水支出</w:t>
      </w:r>
      <w:r>
        <w:rPr>
          <w:rFonts w:hint="eastAsia" w:ascii="仿宋_GB2312" w:hAnsi="仿宋_GB2312" w:eastAsia="仿宋_GB2312" w:cs="仿宋_GB2312"/>
          <w:sz w:val="32"/>
          <w:szCs w:val="32"/>
          <w:lang w:val="en-US" w:eastAsia="zh-CN"/>
        </w:rPr>
        <w:t>。广元市政务服务和公共资源交易中心2024年收支预算总数1640.48万元，比2023年收支预算总数增加114.49万元，主要原因是：1.预算编制人数比上年度增加3名导致人员经费和公用经费增加90.49万元；2.12345政务服务热线运行经费项目支出预算比上年度增加24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708"/>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广元市政务服务和公共资源交易中心2024年收入预算1640.48万元，其中：一般公共预算拨款收入1640.48万元，占100%。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31071"/>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广元市政务服务和公共资源交易中心2024年支出预算1640.48万元，其中：基本支出710.10万元，占43.29%；项目支出930.38万元，占56.71%</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2907"/>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政务服务和公共资源交易中心2024年财政拨款收支预算总数1640.48万元，比2023年财政拨款收支预算总数增加114.49万元，主要原因是1.预算编制人数比上年度增加3名导致人员经费和公用经费增加90.49万元；2.12345政务服务热线运行经费项目支出预算比上年度增加24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收入包括：本年一般公共预算拨款收入1640.48万元；支出包括：一般公共服务支出1491.04万元、社会保障和就业支出67.31万元、卫生健康支出21.54万元、农林水支出3.64万元、住房保障支出56.95万。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5504"/>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5911"/>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政务服务和公共资源交易中心2024年一般公共预算当年拨款1640.48万元，比2023年预算数增加114.49万元，主要原因是：1.预算编制人数比上年度增加3名导致人员经费和公用经费增加90.49万元；2.12345政务服务热线运行经费项目支出预算比上年度增加24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4656"/>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一般公共服务支出1491.04万元，占90.89%；社会保障和就业支出，67.31万元，占4.10%；卫生健康支出21.54万元，占1.31%；农林水支出3.64万元，占0.22%；住房保障支出56.95万元，占3.48%。</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1047"/>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一般公共服务（类） 政府办公厅（室）及相关机构事务（款）行政运行（项）2024年预算数为262.24万元，主要用于：行政单位（包括实行公务员管理的事业单位）工资奖金津补贴、其他工资福利支出、办公经费、会议费、培训费、委托业务费、公务接待费、维修（护）费、其他商品和服务支出、社会福利和救助。</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一般公共服务（类） 政府办公厅（室）及相关机构事务（款）一般行政管理事务（项）2024年预算数为831.51万元，主要用于：行政单位（包括实行公务员管理的事业单位）未单独设置项级科目的其他项目支出。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类）政府办公厅（室）及相关机构事务（款）事业运行（项）2024年预算数为302.06万元，主要用于：事业单位工资奖金津补贴、其他工资福利支出、办公经费、会议费、培训费、委托业务费、公务接待费、维修（护）费、其他商品和服务支出、社会福利和救助。</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一般公共服务（类）政府办公厅（室）及相关机构事务（款） 其他政府办公厅（室）及相关机构事务支出（项）2024年预算数为95.23万元，主要用于：事业单位未单独设置项级科目的其他项目支出。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社会保障和就业（类）行政事业单位养老支出（款）机关事业单位基本养老保险缴费支出（项）2024年预算数为67.31万元，主要用于：实施养老保险制度由单位缴纳的基本养老保险支出。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卫生健康（类）行政事业单位医疗（款）行政单位医疗（项）2024年预算数为9.67万元，主要用于：机关及参公管理事业单位按规定由单位缴纳的基本医疗保险支出。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卫生健康支出（类）行政事业单位医疗（款）事业单位医疗（项）2023年预算数为11.87万元，主要用于：事业单位按规定由单位缴纳的基本医疗保险支出。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类）巩固脱贫攻坚成果衔接乡村振兴（款）其他巩固脱贫攻坚成果衔接乡村振兴支出（项）2024年预算数为3.64万元，主要用于：机关及参公管理事业单位为开展乡村振兴工作对驻村第一书记及工作队员的生活补助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住房保障（类）住房改革支出（款）住房公积金（项）2024年预算数为56.95万元，主要用于：部门按规定为职工缴纳的住房公积金支出。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3" w:name="_Toc11552"/>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广元市政务服务和公共资源交易中心2024年一般公共预算基本支出710.10万元，其中：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人员经费621.66万元，主要包括：基本工资、津贴补贴、奖金、机关事业单位基本养老保险缴费、职工基本医疗保险缴费、其他社会保障缴费、住房公积金、生活补助等支出。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公用经费88.44万元，主要包括：办公费、差旅费、会议费、培训费、公务接待费、委托业务费、工会经费、福利费、其他交通费、其他商品和服务支出等支出。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5356"/>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广元市政务服务和公共资源交易中心2024年“三公”经费财政拨款预算数2.40万元，其中：公务接待费2.40万元，公务用车购置及运行维护费0万元，因公出国（境）经费0万元。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3632"/>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20869"/>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公务用车购置及运行维护费与2023年预算相比持平，均为0万元。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单位现有公务用车0辆，2024年度无公务用车购置费及公务用车运行维护费预算安排。</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3085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因公出国（境）经费与2023年预算相比持平，均为0万元。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5147"/>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广元市政务服务和公共资源交易中心2024年无政府性基金预算拨款安排的支出。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25161"/>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广元市政务服务和公共资源交易中心2024年无国有资本经营预算拨款安排的支出。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23773"/>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9722"/>
      <w:r>
        <w:rPr>
          <w:rFonts w:hint="eastAsia" w:ascii="楷体_GB2312" w:hAnsi="楷体_GB2312" w:eastAsia="楷体_GB2312" w:cs="楷体_GB2312"/>
          <w:sz w:val="32"/>
          <w:szCs w:val="32"/>
          <w:lang w:val="en-US" w:eastAsia="zh-CN"/>
        </w:rPr>
        <w:t>（一）机关运行经费</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2024年，广元市政务服务和公共资源交易中心机关运行经费财政拨款预算为45.74万元，比2023年预算增加6.81万元，增长17.49%。主要原因是2024年预算编制人数比上年度增加2名。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0115"/>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2024年，广元市政务服务和公共资源交易中心安排政府采购预算95.10万元，其中：政府采购服务预算95.10万元。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3819"/>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截至2023年底，广元市政务服务和公共资源交易中心共有车辆0辆，部门无价值200万元以上的大型设备。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bookmarkStart w:id="26" w:name="_GoBack"/>
      <w:bookmarkEnd w:id="26"/>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5191"/>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2024年广元市政务服务和公共资源交易中心开展绩效目标管理的项目27个，涉及预算1640.48万元。其中：人员类项目11个，涉及预算 621.66万元；运转类项目6个，涉及预算88.44万元；特定目标类项目10个，涉及预算930.38万元。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21366"/>
      <w:r>
        <w:rPr>
          <w:rFonts w:hint="eastAsia" w:ascii="黑体" w:hAnsi="黑体" w:eastAsia="黑体" w:cs="黑体"/>
          <w:sz w:val="32"/>
          <w:szCs w:val="32"/>
          <w:lang w:val="en-US" w:eastAsia="zh-CN"/>
        </w:rPr>
        <w:t>十一、名词解释</w:t>
      </w:r>
      <w:bookmarkEnd w:id="25"/>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一般公共服务（类）政府办公厅（室）及相关机构事务（款）行政运行（项）：</w:t>
      </w:r>
      <w:r>
        <w:rPr>
          <w:rFonts w:hint="eastAsia" w:ascii="仿宋_GB2312" w:hAnsi="仿宋_GB2312" w:eastAsia="仿宋_GB2312" w:cs="仿宋_GB2312"/>
          <w:sz w:val="32"/>
          <w:szCs w:val="32"/>
          <w:lang w:val="en-US" w:eastAsia="zh-CN"/>
        </w:rPr>
        <w:t>指机关单位用于保障机构正常运行、开展日常工作的基本支出。</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一般公共服务（类）政府办公厅（室）及相关机构事务（款）一般行政管理事务（项）：</w:t>
      </w:r>
      <w:r>
        <w:rPr>
          <w:rFonts w:hint="eastAsia" w:ascii="仿宋_GB2312" w:hAnsi="仿宋_GB2312" w:eastAsia="仿宋_GB2312" w:cs="仿宋_GB2312"/>
          <w:sz w:val="32"/>
          <w:szCs w:val="32"/>
          <w:lang w:val="en-US" w:eastAsia="zh-CN"/>
        </w:rPr>
        <w:t>指机关单位开展专项管理工作的项目支出。</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一般公共服务（类）政府办公厅（室）及相关机构事务（款）事业运行（项）：</w:t>
      </w:r>
      <w:r>
        <w:rPr>
          <w:rFonts w:hint="eastAsia" w:ascii="仿宋_GB2312" w:hAnsi="仿宋_GB2312" w:eastAsia="仿宋_GB2312" w:cs="仿宋_GB2312"/>
          <w:sz w:val="32"/>
          <w:szCs w:val="32"/>
          <w:lang w:val="en-US" w:eastAsia="zh-CN"/>
        </w:rPr>
        <w:t>指事业单位用于保障机构正常运行、开展日常工作的基本支出。</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一般公共服务（类）政府办公厅（室）及相关机构事务（款）其他政府办公厅（室）及相关机构事务（项）：</w:t>
      </w:r>
      <w:r>
        <w:rPr>
          <w:rFonts w:hint="eastAsia" w:ascii="仿宋_GB2312" w:hAnsi="仿宋_GB2312" w:eastAsia="仿宋_GB2312" w:cs="仿宋_GB2312"/>
          <w:sz w:val="32"/>
          <w:szCs w:val="32"/>
          <w:lang w:val="en-US" w:eastAsia="zh-CN"/>
        </w:rPr>
        <w:t>指事业单位开展其他政府办公厅（室）及相关机构事务管理工作的项目支出。</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卫生健康（类）行政事业单位医疗（款）行政单位医疗（项）：</w:t>
      </w:r>
      <w:r>
        <w:rPr>
          <w:rFonts w:hint="eastAsia" w:ascii="仿宋_GB2312" w:hAnsi="仿宋_GB2312" w:eastAsia="仿宋_GB2312" w:cs="仿宋_GB2312"/>
          <w:sz w:val="32"/>
          <w:szCs w:val="32"/>
          <w:lang w:val="en-US" w:eastAsia="zh-CN"/>
        </w:rPr>
        <w:t>指机关及参公管理事业单位用于单位应缴纳基本医疗保险支出。</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农林水（类）巩固脱贫攻坚成果衔接乡村振兴（款）其他巩固脱贫攻坚成果衔接乡村振兴支出（项）：指：</w:t>
      </w:r>
      <w:r>
        <w:rPr>
          <w:rFonts w:hint="eastAsia" w:ascii="仿宋_GB2312" w:hAnsi="仿宋_GB2312" w:eastAsia="仿宋_GB2312" w:cs="仿宋_GB2312"/>
          <w:sz w:val="32"/>
          <w:szCs w:val="32"/>
          <w:lang w:val="en-US" w:eastAsia="zh-CN"/>
        </w:rPr>
        <w:t>机关及参公管理事业单位为开展乡村振兴工作对驻村第一书记及工作队员的生活补助支出。</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w:t>
      </w: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937F32"/>
    <w:multiLevelType w:val="singleLevel"/>
    <w:tmpl w:val="1C937F32"/>
    <w:lvl w:ilvl="0" w:tentative="0">
      <w:start w:val="2"/>
      <w:numFmt w:val="chineseCounting"/>
      <w:suff w:val="nothing"/>
      <w:lvlText w:val="（%1）"/>
      <w:lvlJc w:val="left"/>
      <w:rPr>
        <w:rFonts w:hint="eastAsia"/>
      </w:rPr>
    </w:lvl>
  </w:abstractNum>
  <w:abstractNum w:abstractNumId="1">
    <w:nsid w:val="47CFEBEE"/>
    <w:multiLevelType w:val="singleLevel"/>
    <w:tmpl w:val="47CFEBEE"/>
    <w:lvl w:ilvl="0" w:tentative="0">
      <w:start w:val="1"/>
      <w:numFmt w:val="chineseCounting"/>
      <w:suff w:val="nothing"/>
      <w:lvlText w:val="（%1）"/>
      <w:lvlJc w:val="left"/>
      <w:pPr>
        <w:ind w:left="0" w:firstLine="420"/>
      </w:pPr>
      <w:rPr>
        <w:rFonts w:hint="eastAsia"/>
        <w:b/>
        <w:bCs/>
      </w:rPr>
    </w:lvl>
  </w:abstractNum>
  <w:abstractNum w:abstractNumId="2">
    <w:nsid w:val="59B1F8A5"/>
    <w:multiLevelType w:val="singleLevel"/>
    <w:tmpl w:val="59B1F8A5"/>
    <w:lvl w:ilvl="0" w:tentative="0">
      <w:start w:val="1"/>
      <w:numFmt w:val="decimal"/>
      <w:suff w:val="nothing"/>
      <w:lvlText w:val="%1．"/>
      <w:lvlJc w:val="left"/>
      <w:pPr>
        <w:ind w:left="0" w:firstLine="400"/>
      </w:pPr>
      <w:rPr>
        <w:rFonts w:hint="default"/>
      </w:rPr>
    </w:lvl>
  </w:abstractNum>
  <w:abstractNum w:abstractNumId="3">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06A4D8A"/>
    <w:rsid w:val="012352D1"/>
    <w:rsid w:val="024C492F"/>
    <w:rsid w:val="02F80DAA"/>
    <w:rsid w:val="033B50CF"/>
    <w:rsid w:val="03682A2B"/>
    <w:rsid w:val="03AC61B2"/>
    <w:rsid w:val="03B44E81"/>
    <w:rsid w:val="03B64756"/>
    <w:rsid w:val="03B86720"/>
    <w:rsid w:val="04B74C29"/>
    <w:rsid w:val="04CE5ACF"/>
    <w:rsid w:val="081C6516"/>
    <w:rsid w:val="088F37C7"/>
    <w:rsid w:val="08DD4BAE"/>
    <w:rsid w:val="099077F7"/>
    <w:rsid w:val="09AD7A3C"/>
    <w:rsid w:val="0A4F320E"/>
    <w:rsid w:val="0B8D2240"/>
    <w:rsid w:val="0D2D1379"/>
    <w:rsid w:val="0DBE0603"/>
    <w:rsid w:val="0E43308A"/>
    <w:rsid w:val="0F6C03BE"/>
    <w:rsid w:val="0F987405"/>
    <w:rsid w:val="127001C5"/>
    <w:rsid w:val="14681A9C"/>
    <w:rsid w:val="147F6DE6"/>
    <w:rsid w:val="15E71DCE"/>
    <w:rsid w:val="176F4EEF"/>
    <w:rsid w:val="1AE74DDB"/>
    <w:rsid w:val="1CE67A02"/>
    <w:rsid w:val="1DBC4C07"/>
    <w:rsid w:val="1EF06916"/>
    <w:rsid w:val="1F7BF06F"/>
    <w:rsid w:val="1FEE4B73"/>
    <w:rsid w:val="20030C96"/>
    <w:rsid w:val="228C4BA7"/>
    <w:rsid w:val="229B4DEB"/>
    <w:rsid w:val="230C7A96"/>
    <w:rsid w:val="239C706C"/>
    <w:rsid w:val="23CE9849"/>
    <w:rsid w:val="23DE7685"/>
    <w:rsid w:val="250824DF"/>
    <w:rsid w:val="25EF3B92"/>
    <w:rsid w:val="27174C5C"/>
    <w:rsid w:val="27457A1B"/>
    <w:rsid w:val="276D893E"/>
    <w:rsid w:val="278E4F1E"/>
    <w:rsid w:val="295E4DC4"/>
    <w:rsid w:val="296323DA"/>
    <w:rsid w:val="2A7AFDF5"/>
    <w:rsid w:val="2ABB0832"/>
    <w:rsid w:val="2AE9690F"/>
    <w:rsid w:val="2B795EE5"/>
    <w:rsid w:val="2DA21723"/>
    <w:rsid w:val="2DC25921"/>
    <w:rsid w:val="2E400F3C"/>
    <w:rsid w:val="2EA94D33"/>
    <w:rsid w:val="2FDE27BA"/>
    <w:rsid w:val="31E56082"/>
    <w:rsid w:val="31F84007"/>
    <w:rsid w:val="32F3657D"/>
    <w:rsid w:val="33F407FF"/>
    <w:rsid w:val="34D643A8"/>
    <w:rsid w:val="35FF078D"/>
    <w:rsid w:val="36B349A1"/>
    <w:rsid w:val="37A442EA"/>
    <w:rsid w:val="37D2AAAB"/>
    <w:rsid w:val="37FE83D7"/>
    <w:rsid w:val="39F304DD"/>
    <w:rsid w:val="3A59050C"/>
    <w:rsid w:val="3C221C81"/>
    <w:rsid w:val="3C5502A8"/>
    <w:rsid w:val="3D695DB9"/>
    <w:rsid w:val="3DBFC5FF"/>
    <w:rsid w:val="3E1D6BA4"/>
    <w:rsid w:val="3E5D51F2"/>
    <w:rsid w:val="3F21FA96"/>
    <w:rsid w:val="3F5B7984"/>
    <w:rsid w:val="3F7153F9"/>
    <w:rsid w:val="3FE060DB"/>
    <w:rsid w:val="3FF30FF2"/>
    <w:rsid w:val="3FFB246D"/>
    <w:rsid w:val="3FFFAA06"/>
    <w:rsid w:val="40C714B2"/>
    <w:rsid w:val="42C6780A"/>
    <w:rsid w:val="446472DA"/>
    <w:rsid w:val="449556E6"/>
    <w:rsid w:val="4597723C"/>
    <w:rsid w:val="45E30A9E"/>
    <w:rsid w:val="46D56DD1"/>
    <w:rsid w:val="47C25A11"/>
    <w:rsid w:val="492928A1"/>
    <w:rsid w:val="492B486B"/>
    <w:rsid w:val="49D722FD"/>
    <w:rsid w:val="4A6A4F1F"/>
    <w:rsid w:val="4B0709C0"/>
    <w:rsid w:val="4B3D03E8"/>
    <w:rsid w:val="4C7793AC"/>
    <w:rsid w:val="4D1B69A4"/>
    <w:rsid w:val="4E19422A"/>
    <w:rsid w:val="4F0C0C9A"/>
    <w:rsid w:val="4F6208BA"/>
    <w:rsid w:val="51F0618D"/>
    <w:rsid w:val="5280194B"/>
    <w:rsid w:val="52DF1960"/>
    <w:rsid w:val="53527D53"/>
    <w:rsid w:val="54244390"/>
    <w:rsid w:val="54662A63"/>
    <w:rsid w:val="54EB24A7"/>
    <w:rsid w:val="55665B65"/>
    <w:rsid w:val="56FA3F2D"/>
    <w:rsid w:val="57C52DF8"/>
    <w:rsid w:val="57E36310"/>
    <w:rsid w:val="58064E12"/>
    <w:rsid w:val="583D0117"/>
    <w:rsid w:val="59F34F31"/>
    <w:rsid w:val="5B3752F1"/>
    <w:rsid w:val="5B6F05E7"/>
    <w:rsid w:val="5BBA7BA3"/>
    <w:rsid w:val="5BFEE015"/>
    <w:rsid w:val="5CF05758"/>
    <w:rsid w:val="5D276C9F"/>
    <w:rsid w:val="5DFBC02A"/>
    <w:rsid w:val="5EED28CC"/>
    <w:rsid w:val="5F7E4EC8"/>
    <w:rsid w:val="5FAE5456"/>
    <w:rsid w:val="5FCB6196"/>
    <w:rsid w:val="602C4CF9"/>
    <w:rsid w:val="638F19F3"/>
    <w:rsid w:val="63EDCF55"/>
    <w:rsid w:val="63F0428F"/>
    <w:rsid w:val="63FBFBCF"/>
    <w:rsid w:val="657607C4"/>
    <w:rsid w:val="65BD4645"/>
    <w:rsid w:val="65C46F6B"/>
    <w:rsid w:val="669360FD"/>
    <w:rsid w:val="66DF2FF5"/>
    <w:rsid w:val="66F62E36"/>
    <w:rsid w:val="67ADC279"/>
    <w:rsid w:val="6870599E"/>
    <w:rsid w:val="688B6030"/>
    <w:rsid w:val="68FF6A83"/>
    <w:rsid w:val="693E02AE"/>
    <w:rsid w:val="6A0445F0"/>
    <w:rsid w:val="6A1D3904"/>
    <w:rsid w:val="6A8F4802"/>
    <w:rsid w:val="6AA162E3"/>
    <w:rsid w:val="6AB78088"/>
    <w:rsid w:val="6B7F3412"/>
    <w:rsid w:val="6BCD0FEC"/>
    <w:rsid w:val="6C3F4006"/>
    <w:rsid w:val="6C711CE5"/>
    <w:rsid w:val="6C8B2DA7"/>
    <w:rsid w:val="6F5E3229"/>
    <w:rsid w:val="6F7FBF22"/>
    <w:rsid w:val="6FBBC9CF"/>
    <w:rsid w:val="7040755D"/>
    <w:rsid w:val="705D4A5A"/>
    <w:rsid w:val="71771B4C"/>
    <w:rsid w:val="71F96A05"/>
    <w:rsid w:val="726E19F7"/>
    <w:rsid w:val="72BDE561"/>
    <w:rsid w:val="73BFE907"/>
    <w:rsid w:val="73FA7E6A"/>
    <w:rsid w:val="754206C3"/>
    <w:rsid w:val="75E672A0"/>
    <w:rsid w:val="75FF0362"/>
    <w:rsid w:val="76A827A7"/>
    <w:rsid w:val="776B2153"/>
    <w:rsid w:val="77D36E4B"/>
    <w:rsid w:val="78462278"/>
    <w:rsid w:val="78AA0A59"/>
    <w:rsid w:val="78CE2999"/>
    <w:rsid w:val="78D25AC9"/>
    <w:rsid w:val="7997EA6C"/>
    <w:rsid w:val="79FF0143"/>
    <w:rsid w:val="7A01151E"/>
    <w:rsid w:val="7AEAE675"/>
    <w:rsid w:val="7B1462BD"/>
    <w:rsid w:val="7BAFCE5D"/>
    <w:rsid w:val="7CB97D86"/>
    <w:rsid w:val="7CBE2D25"/>
    <w:rsid w:val="7D3F42E2"/>
    <w:rsid w:val="7D46598C"/>
    <w:rsid w:val="7DFB240B"/>
    <w:rsid w:val="7E0935ED"/>
    <w:rsid w:val="7EDFDAF7"/>
    <w:rsid w:val="7F0C2BFC"/>
    <w:rsid w:val="7FB9D8F9"/>
    <w:rsid w:val="7FCF2AF7"/>
    <w:rsid w:val="7FF16F6D"/>
    <w:rsid w:val="7FFA2CAD"/>
    <w:rsid w:val="7FFB7825"/>
    <w:rsid w:val="7FFBD227"/>
    <w:rsid w:val="91E314D0"/>
    <w:rsid w:val="9F4FCEF5"/>
    <w:rsid w:val="9FEF033D"/>
    <w:rsid w:val="A27FF1E5"/>
    <w:rsid w:val="AFAFD231"/>
    <w:rsid w:val="AFDEB5A7"/>
    <w:rsid w:val="AFEA7FBF"/>
    <w:rsid w:val="B83F4767"/>
    <w:rsid w:val="BF930F07"/>
    <w:rsid w:val="BFCE8436"/>
    <w:rsid w:val="BFD23085"/>
    <w:rsid w:val="C3F7EB7A"/>
    <w:rsid w:val="CD9D6DBA"/>
    <w:rsid w:val="CFF5FEEC"/>
    <w:rsid w:val="D3DD9064"/>
    <w:rsid w:val="D6F76A0C"/>
    <w:rsid w:val="D7B7B30A"/>
    <w:rsid w:val="D7ECE8D2"/>
    <w:rsid w:val="DBFF045F"/>
    <w:rsid w:val="DDD73BCF"/>
    <w:rsid w:val="DDDAD3B1"/>
    <w:rsid w:val="DEED1B74"/>
    <w:rsid w:val="DFAD0C20"/>
    <w:rsid w:val="DFDD4FB5"/>
    <w:rsid w:val="DFF79322"/>
    <w:rsid w:val="E7F748B5"/>
    <w:rsid w:val="EE5F3713"/>
    <w:rsid w:val="EFC9D62C"/>
    <w:rsid w:val="EFE4A022"/>
    <w:rsid w:val="F16FD12E"/>
    <w:rsid w:val="F4F56F3B"/>
    <w:rsid w:val="F5AF0DD3"/>
    <w:rsid w:val="F5FF8683"/>
    <w:rsid w:val="F6BE9755"/>
    <w:rsid w:val="F6FFA89B"/>
    <w:rsid w:val="F77FD097"/>
    <w:rsid w:val="F7FE4458"/>
    <w:rsid w:val="F97F53C7"/>
    <w:rsid w:val="F9BDFB5A"/>
    <w:rsid w:val="FAE4EFE1"/>
    <w:rsid w:val="FB9B6F12"/>
    <w:rsid w:val="FBB66A4A"/>
    <w:rsid w:val="FBFF01C1"/>
    <w:rsid w:val="FDDE125F"/>
    <w:rsid w:val="FDEE6989"/>
    <w:rsid w:val="FDFF7D17"/>
    <w:rsid w:val="FDFF9F0C"/>
    <w:rsid w:val="FDFFD99B"/>
    <w:rsid w:val="FEA71E66"/>
    <w:rsid w:val="FEB5B51A"/>
    <w:rsid w:val="FF5E7DB8"/>
    <w:rsid w:val="FF77E367"/>
    <w:rsid w:val="FFD576EB"/>
    <w:rsid w:val="FFDFC028"/>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WPSOffice手动目录 1"/>
    <w:uiPriority w:val="0"/>
    <w:pPr>
      <w:ind w:leftChars="0"/>
    </w:pPr>
    <w:rPr>
      <w:rFonts w:ascii="Times New Roman" w:hAnsi="Times New Roman" w:eastAsia="宋体" w:cs="Times New Roman"/>
      <w:sz w:val="20"/>
      <w:szCs w:val="20"/>
    </w:rPr>
  </w:style>
  <w:style w:type="paragraph" w:customStyle="1" w:styleId="14">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 </cp:lastModifiedBy>
  <dcterms:modified xsi:type="dcterms:W3CDTF">2024-02-18T11:59:08Z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