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广元市红十字会</w:t>
      </w:r>
    </w:p>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2024年部门预算编制说明</w:t>
      </w:r>
    </w:p>
    <w:p>
      <w:pPr>
        <w:widowControl/>
        <w:shd w:val="clear" w:color="auto"/>
        <w:spacing w:line="600" w:lineRule="exac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sectPr>
          <w:footerReference r:id="rId3" w:type="default"/>
          <w:pgSz w:w="11906" w:h="16838"/>
          <w:pgMar w:top="2098" w:right="1474" w:bottom="1984" w:left="1587" w:header="720" w:footer="1559" w:gutter="0"/>
          <w:cols w:space="720" w:num="1"/>
          <w:docGrid w:type="lines" w:linePitch="312" w:charSpace="0"/>
        </w:sectPr>
      </w:pPr>
    </w:p>
    <w:sdt>
      <w:sdtPr>
        <w:rPr>
          <w:rFonts w:ascii="宋体" w:hAnsi="宋体" w:eastAsia="宋体" w:cs="Times New Roman"/>
          <w:kern w:val="2"/>
          <w:sz w:val="21"/>
          <w:szCs w:val="24"/>
          <w:lang w:val="en-US" w:eastAsia="zh-CN" w:bidi="ar-SA"/>
        </w:rPr>
        <w:id w:val="147465231"/>
        <w15:color w:val="DBDBDB"/>
        <w:docPartObj>
          <w:docPartGallery w:val="Table of Contents"/>
          <w:docPartUnique/>
        </w:docPartObj>
      </w:sdtPr>
      <w:sdtEndPr>
        <w:rPr>
          <w:rFonts w:hint="eastAsia" w:ascii="方正小标宋简体" w:hAnsi="方正小标宋简体" w:eastAsia="方正小标宋简体" w:cs="方正小标宋简体"/>
          <w:b/>
          <w:color w:val="000000" w:themeColor="text1"/>
          <w:kern w:val="0"/>
          <w:sz w:val="21"/>
          <w:szCs w:val="44"/>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7"/>
            <w:tabs>
              <w:tab w:val="right" w:leader="dot" w:pos="8845"/>
            </w:tabs>
            <w:spacing w:line="360" w:lineRule="auto"/>
            <w:rPr>
              <w:b/>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fldChar w:fldCharType="separate"/>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_Toc16643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_Toc16643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_Toc16907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（一）广元市红十字会职能简介</w:t>
          </w:r>
          <w:r>
            <w:tab/>
          </w:r>
          <w:r>
            <w:fldChar w:fldCharType="begin"/>
          </w:r>
          <w:r>
            <w:instrText xml:space="preserve"> PAGEREF _Toc16907 \h </w:instrText>
          </w:r>
          <w:r>
            <w:fldChar w:fldCharType="separate"/>
          </w:r>
          <w:r>
            <w:t>3</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_Toc13833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（二）广元市红十字会2024年重点工作</w:t>
          </w:r>
          <w:r>
            <w:tab/>
          </w:r>
          <w:r>
            <w:fldChar w:fldCharType="begin"/>
          </w:r>
          <w:r>
            <w:instrText xml:space="preserve"> PAGEREF _Toc13833 \h </w:instrText>
          </w:r>
          <w:r>
            <w:fldChar w:fldCharType="separate"/>
          </w:r>
          <w:r>
            <w:t>3</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_Toc11644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_Toc11644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_Toc25294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_Toc25294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_Toc28169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_Toc28169 \h </w:instrText>
          </w:r>
          <w:r>
            <w:fldChar w:fldCharType="separate"/>
          </w:r>
          <w:r>
            <w:t>5</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_Toc4145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_Toc4145 \h </w:instrText>
          </w:r>
          <w:r>
            <w:fldChar w:fldCharType="separate"/>
          </w:r>
          <w:r>
            <w:t>5</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_Toc19937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_Toc19937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_Toc6472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五、一般公共预算当年拨款情况说明</w:t>
          </w:r>
          <w:r>
            <w:rPr>
              <w:b/>
            </w:rPr>
            <w:tab/>
          </w:r>
          <w:r>
            <w:rPr>
              <w:b/>
            </w:rPr>
            <w:fldChar w:fldCharType="begin"/>
          </w:r>
          <w:r>
            <w:rPr>
              <w:b/>
            </w:rPr>
            <w:instrText xml:space="preserve"> PAGEREF _Toc6472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_Toc5847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_Toc5847 \h </w:instrText>
          </w:r>
          <w:r>
            <w:fldChar w:fldCharType="separate"/>
          </w:r>
          <w:r>
            <w:t>5</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_Toc30546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_Toc30546 \h </w:instrText>
          </w:r>
          <w:r>
            <w:fldChar w:fldCharType="separate"/>
          </w:r>
          <w:r>
            <w:t>5</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_Toc8479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_Toc8479 \h </w:instrText>
          </w:r>
          <w:r>
            <w:fldChar w:fldCharType="separate"/>
          </w:r>
          <w:r>
            <w:t>6</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_Toc32236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六、一般公共预算基本支出情况说明</w:t>
          </w:r>
          <w:r>
            <w:rPr>
              <w:b/>
            </w:rPr>
            <w:tab/>
          </w:r>
          <w:r>
            <w:rPr>
              <w:b/>
            </w:rPr>
            <w:fldChar w:fldCharType="begin"/>
          </w:r>
          <w:r>
            <w:rPr>
              <w:b/>
            </w:rPr>
            <w:instrText xml:space="preserve"> PAGEREF _Toc32236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_Toc25878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_Toc25878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_Toc21079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_Toc21079 \h </w:instrText>
          </w:r>
          <w:r>
            <w:fldChar w:fldCharType="separate"/>
          </w:r>
          <w:r>
            <w:t>7</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_Toc4103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（二）公务用车购置及运行维护费</w:t>
          </w:r>
          <w:r>
            <w:tab/>
          </w:r>
          <w:r>
            <w:fldChar w:fldCharType="begin"/>
          </w:r>
          <w:r>
            <w:instrText xml:space="preserve"> PAGEREF _Toc4103 \h </w:instrText>
          </w:r>
          <w:r>
            <w:fldChar w:fldCharType="separate"/>
          </w:r>
          <w:r>
            <w:t>7</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_Toc15764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_Toc15764 \h </w:instrText>
          </w:r>
          <w:r>
            <w:fldChar w:fldCharType="separate"/>
          </w:r>
          <w:r>
            <w:t>7</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_Toc23622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_Toc23622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_Toc14485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_Toc14485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_Toc12071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十、其他重要事项的情况说明</w:t>
          </w:r>
          <w:r>
            <w:rPr>
              <w:b/>
            </w:rPr>
            <w:tab/>
          </w:r>
          <w:r>
            <w:rPr>
              <w:b/>
            </w:rPr>
            <w:fldChar w:fldCharType="begin"/>
          </w:r>
          <w:r>
            <w:rPr>
              <w:b/>
            </w:rPr>
            <w:instrText xml:space="preserve"> PAGEREF _Toc12071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_Toc19168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_Toc19168 \h </w:instrText>
          </w:r>
          <w:r>
            <w:fldChar w:fldCharType="separate"/>
          </w:r>
          <w:r>
            <w:t>8</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_Toc21396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_Toc21396 \h </w:instrText>
          </w:r>
          <w:r>
            <w:fldChar w:fldCharType="separate"/>
          </w:r>
          <w:r>
            <w:t>8</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_Toc22353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_Toc22353 \h </w:instrText>
          </w:r>
          <w:r>
            <w:fldChar w:fldCharType="separate"/>
          </w:r>
          <w:r>
            <w:t>8</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8"/>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lang w:bidi="ar"/>
            </w:rPr>
            <w:instrText xml:space="preserve"> HYPERLINK \l _Toc7748 </w:instrText>
          </w:r>
          <w:r>
            <w:rPr>
              <w:rFonts w:hint="eastAsia" w:ascii="方正小标宋简体" w:hAnsi="方正小标宋简体" w:eastAsia="方正小标宋简体" w:cs="方正小标宋简体"/>
              <w:kern w:val="0"/>
              <w:szCs w:val="44"/>
              <w:shd w:val="clear" w:color="auto" w:fill="FFFFFF"/>
              <w:lang w:bidi="ar"/>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_Toc7748 \h </w:instrText>
          </w:r>
          <w:r>
            <w:fldChar w:fldCharType="separate"/>
          </w:r>
          <w:r>
            <w:t>8</w:t>
          </w:r>
          <w:r>
            <w:fldChar w:fldCharType="end"/>
          </w:r>
          <w:r>
            <w:rPr>
              <w:rFonts w:hint="eastAsia" w:ascii="方正小标宋简体" w:hAnsi="方正小标宋简体" w:eastAsia="方正小标宋简体" w:cs="方正小标宋简体"/>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sectPr>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lang w:bidi="ar"/>
            </w:rPr>
            <w:instrText xml:space="preserve"> HYPERLINK \l _Toc4059 </w:instrText>
          </w:r>
          <w:r>
            <w:rPr>
              <w:rFonts w:hint="eastAsia" w:ascii="方正小标宋简体" w:hAnsi="方正小标宋简体" w:eastAsia="方正小标宋简体" w:cs="方正小标宋简体"/>
              <w:b/>
              <w:kern w:val="0"/>
              <w:szCs w:val="44"/>
              <w:shd w:val="clear" w:color="auto" w:fill="FFFFFF"/>
              <w:lang w:bidi="ar"/>
            </w:rPr>
            <w:fldChar w:fldCharType="separate"/>
          </w:r>
          <w:r>
            <w:rPr>
              <w:rFonts w:hint="eastAsia" w:ascii="黑体" w:hAnsi="黑体" w:eastAsia="黑体" w:cs="黑体"/>
              <w:b/>
              <w:szCs w:val="32"/>
            </w:rPr>
            <w:t>十一、名词解释</w:t>
          </w:r>
          <w:r>
            <w:rPr>
              <w:b/>
            </w:rPr>
            <w:tab/>
          </w:r>
          <w:r>
            <w:rPr>
              <w:b/>
            </w:rPr>
            <w:fldChar w:fldCharType="begin"/>
          </w:r>
          <w:r>
            <w:rPr>
              <w:b/>
            </w:rPr>
            <w:instrText xml:space="preserve"> PAGEREF _Toc4059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p>
          <w:pPr>
            <w:pStyle w:val="17"/>
            <w:tabs>
              <w:tab w:val="right" w:leader="dot" w:pos="8845"/>
            </w:tabs>
            <w:spacing w:line="360" w:lineRule="auto"/>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pPr>
        </w:p>
        <w:p>
          <w:pPr>
            <w:widowControl/>
            <w:shd w:val="clear" w:color="auto"/>
            <w:spacing w:line="360" w:lineRule="auto"/>
            <w:jc w:val="both"/>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b/>
              <w:color w:val="000000" w:themeColor="text1"/>
              <w:kern w:val="0"/>
              <w:szCs w:val="44"/>
              <w:shd w:val="clear" w:color="auto" w:fill="FFFFFF"/>
              <w:lang w:bidi="ar"/>
              <w14:textFill>
                <w14:solidFill>
                  <w14:schemeClr w14:val="tx1"/>
                </w14:solidFill>
              </w14:textFill>
            </w:rPr>
            <w:fldChar w:fldCharType="end"/>
          </w:r>
        </w:p>
      </w:sdtContent>
    </w:sdt>
    <w:p>
      <w:pPr>
        <w:shd w:val="clear"/>
        <w:spacing w:line="576" w:lineRule="exact"/>
        <w:ind w:firstLine="640" w:firstLineChars="200"/>
        <w:outlineLvl w:val="0"/>
        <w:rPr>
          <w:rFonts w:ascii="黑体" w:hAnsi="黑体" w:eastAsia="黑体" w:cs="黑体"/>
          <w:sz w:val="32"/>
          <w:szCs w:val="32"/>
        </w:rPr>
      </w:pPr>
      <w:bookmarkStart w:id="0" w:name="_Toc16643"/>
      <w:r>
        <w:rPr>
          <w:rFonts w:hint="eastAsia" w:ascii="黑体" w:hAnsi="黑体" w:eastAsia="黑体" w:cs="黑体"/>
          <w:sz w:val="32"/>
          <w:szCs w:val="32"/>
        </w:rPr>
        <w:t>一、基本职能及主要工作</w:t>
      </w:r>
      <w:bookmarkEnd w:id="0"/>
    </w:p>
    <w:p>
      <w:pPr>
        <w:shd w:val="clear"/>
        <w:spacing w:line="576" w:lineRule="exact"/>
        <w:ind w:firstLine="640" w:firstLineChars="200"/>
        <w:outlineLvl w:val="1"/>
        <w:rPr>
          <w:rFonts w:ascii="楷体_GB2312" w:hAnsi="楷体_GB2312" w:eastAsia="楷体_GB2312" w:cs="楷体_GB2312"/>
          <w:sz w:val="32"/>
          <w:szCs w:val="32"/>
        </w:rPr>
      </w:pPr>
      <w:bookmarkStart w:id="1" w:name="_Toc16907"/>
      <w:r>
        <w:rPr>
          <w:rFonts w:hint="eastAsia" w:ascii="楷体_GB2312" w:hAnsi="楷体_GB2312" w:eastAsia="楷体_GB2312" w:cs="楷体_GB2312"/>
          <w:sz w:val="32"/>
          <w:szCs w:val="32"/>
        </w:rPr>
        <w:t>（一）广元市红十字会职能简介</w:t>
      </w:r>
      <w:bookmarkEnd w:id="1"/>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、传播国际红十字运动知识和国际人道法；宣传、执行《中华人民共和国红十字会法》和《四川省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中华人民共和国红十字会法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实施办法》等法律、法规，遵循《中国红十字会章程》，依法建会、治会、兴会。</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、开展备灾救灾工作，兴建和管理备灾救灾设施，在自然灾害和突发事件中，开展对受害者的救护和救助。</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、开展人道领域的社会公益服务活动和卫生救护、防病常识的宣传普及，组织社会捐助，进行初级卫生救护培训，组织群众参加现场救护，推动无偿献血和非血缘关系造血干细胞移植工作。</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、组织对公民特别是青少年进行人道主义和社会精神文明教育活动。</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、参与艾滋病防治、吸毒危害等宣传教育工作，提高公民自我防护的意识和能力。</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6、完成上级部门委托的其他事务。</w:t>
      </w:r>
    </w:p>
    <w:p>
      <w:pPr>
        <w:shd w:val="clear"/>
        <w:spacing w:line="576" w:lineRule="exact"/>
        <w:ind w:firstLine="640" w:firstLineChars="200"/>
        <w:outlineLvl w:val="1"/>
        <w:rPr>
          <w:rFonts w:ascii="楷体_GB2312" w:hAnsi="楷体_GB2312" w:eastAsia="楷体_GB2312" w:cs="楷体_GB2312"/>
          <w:sz w:val="32"/>
          <w:szCs w:val="32"/>
        </w:rPr>
      </w:pPr>
      <w:bookmarkStart w:id="2" w:name="_Toc13833"/>
      <w:r>
        <w:rPr>
          <w:rFonts w:hint="eastAsia" w:ascii="楷体_GB2312" w:hAnsi="楷体_GB2312" w:eastAsia="楷体_GB2312" w:cs="楷体_GB2312"/>
          <w:sz w:val="32"/>
          <w:szCs w:val="32"/>
        </w:rPr>
        <w:t>（二）广元市红十字会2024年重点工作</w:t>
      </w:r>
      <w:bookmarkEnd w:id="2"/>
    </w:p>
    <w:p>
      <w:pPr>
        <w:pStyle w:val="9"/>
        <w:shd w:val="clear"/>
        <w:spacing w:line="560" w:lineRule="exact"/>
        <w:ind w:left="0" w:leftChars="0" w:firstLine="64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紧盯核心业务，推动红十字事业高质量发展。依托全市红十字文化传播师资队伍，大力组织开展红十字文化宣讲传播活动，弘扬正能量、引领新风尚。加强“三献”宣传动员，持续推动无偿献血和造血干细胞捐献、遗体器官捐献，常态化关怀慰问造血干细胞和遗体器官捐献者（家属）。推进基层组织建设和个人会员、团体会员发展，完成救护员培训</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千人次，普及性救护培训</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万人次。组织开展好志愿服务活动，做好红十字青少年工作。</w:t>
      </w:r>
    </w:p>
    <w:p>
      <w:pPr>
        <w:pStyle w:val="9"/>
        <w:shd w:val="clear"/>
        <w:spacing w:line="560" w:lineRule="exact"/>
        <w:ind w:left="0" w:leftChars="0" w:firstLine="64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、依法治会从严治理，提高红十字社会公信力。保持严的基调，强化正风肃纪，维护风清气正良好生态。大力弘扬红十字精神，推动红</w:t>
      </w:r>
      <w:r>
        <w:rPr>
          <w:rFonts w:hint="eastAsia" w:ascii="仿宋_GB2312" w:hAnsi="仿宋_GB2312" w:eastAsia="仿宋_GB2312" w:cs="仿宋_GB2312"/>
          <w:sz w:val="32"/>
          <w:szCs w:val="32"/>
          <w:lang w:eastAsia="zh-CN"/>
        </w:rPr>
        <w:t>会指</w:t>
      </w:r>
      <w:r>
        <w:rPr>
          <w:rFonts w:hint="eastAsia" w:ascii="仿宋_GB2312" w:hAnsi="仿宋_GB2312" w:eastAsia="仿宋_GB2312" w:cs="仿宋_GB2312"/>
          <w:sz w:val="32"/>
          <w:szCs w:val="32"/>
        </w:rPr>
        <w:t>数建设，加强监事会内部监督，聘请第三方审计机构对年度捐赠款物进行审计并公开，接受社会监督。</w:t>
      </w:r>
    </w:p>
    <w:p>
      <w:pPr>
        <w:pStyle w:val="9"/>
        <w:shd w:val="clear"/>
        <w:spacing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3、积极做好项目资金争取工作。定期到京到省汇报工作，积极争取项目和资金支持，加强双边交流互动，积极组织编制帮扶项目并推动落地落实。持续加强项目绩效管理。</w:t>
      </w:r>
    </w:p>
    <w:p>
      <w:pPr>
        <w:shd w:val="clear"/>
        <w:spacing w:line="576" w:lineRule="exact"/>
        <w:ind w:firstLine="640" w:firstLineChars="200"/>
        <w:outlineLvl w:val="0"/>
        <w:rPr>
          <w:rFonts w:ascii="黑体" w:hAnsi="黑体" w:eastAsia="黑体" w:cs="黑体"/>
          <w:sz w:val="32"/>
          <w:szCs w:val="32"/>
        </w:rPr>
      </w:pPr>
      <w:bookmarkStart w:id="3" w:name="_Toc11644"/>
      <w:r>
        <w:rPr>
          <w:rFonts w:hint="eastAsia" w:ascii="黑体" w:hAnsi="黑体" w:eastAsia="黑体" w:cs="黑体"/>
          <w:sz w:val="32"/>
          <w:szCs w:val="32"/>
        </w:rPr>
        <w:t>二、部门预算单位构成</w:t>
      </w:r>
      <w:bookmarkEnd w:id="3"/>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广元市红十字会无下属二级预算单位，属于参照公务员法管理的事业单位。</w:t>
      </w:r>
    </w:p>
    <w:p>
      <w:pPr>
        <w:shd w:val="clear"/>
        <w:spacing w:line="576" w:lineRule="exact"/>
        <w:ind w:firstLine="640" w:firstLineChars="200"/>
        <w:outlineLvl w:val="0"/>
        <w:rPr>
          <w:rFonts w:ascii="黑体" w:hAnsi="黑体" w:eastAsia="黑体" w:cs="黑体"/>
          <w:sz w:val="32"/>
          <w:szCs w:val="32"/>
        </w:rPr>
      </w:pPr>
      <w:bookmarkStart w:id="4" w:name="_Toc25294"/>
      <w:r>
        <w:rPr>
          <w:rFonts w:hint="eastAsia" w:ascii="黑体" w:hAnsi="黑体" w:eastAsia="黑体" w:cs="黑体"/>
          <w:sz w:val="32"/>
          <w:szCs w:val="32"/>
        </w:rPr>
        <w:t>三、收支预算情况说明</w:t>
      </w:r>
      <w:bookmarkEnd w:id="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红十字会所有收入和支出均纳入部门预算管理。收入包括：一般公共预算拨款收入；支出包括：社会保障和就业支出、卫生健康支出、住房保障支出。广元市红十字会2024年收支预算总数</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比2023年收支预算总数减少</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万元，主要原因是厉行节约，减少预算开支。</w:t>
      </w:r>
    </w:p>
    <w:p>
      <w:pPr>
        <w:shd w:val="clear"/>
        <w:spacing w:line="576" w:lineRule="exact"/>
        <w:ind w:firstLine="640" w:firstLineChars="200"/>
        <w:outlineLvl w:val="1"/>
        <w:rPr>
          <w:rFonts w:ascii="楷体_GB2312" w:hAnsi="楷体_GB2312" w:eastAsia="楷体_GB2312" w:cs="楷体_GB2312"/>
          <w:sz w:val="32"/>
          <w:szCs w:val="32"/>
        </w:rPr>
      </w:pPr>
      <w:bookmarkStart w:id="5" w:name="_Toc28169"/>
      <w:r>
        <w:rPr>
          <w:rFonts w:hint="eastAsia" w:ascii="楷体_GB2312" w:hAnsi="楷体_GB2312" w:eastAsia="楷体_GB2312" w:cs="楷体_GB2312"/>
          <w:sz w:val="32"/>
          <w:szCs w:val="32"/>
        </w:rPr>
        <w:t>（一）收入预算情况</w:t>
      </w:r>
      <w:bookmarkEnd w:id="5"/>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广元市红十字会2024年收入预算2</w:t>
      </w:r>
      <w:r>
        <w:rPr>
          <w:rFonts w:ascii="仿宋_GB2312" w:hAnsi="仿宋_GB2312" w:eastAsia="仿宋_GB2312" w:cs="仿宋_GB2312"/>
          <w:sz w:val="32"/>
          <w:szCs w:val="32"/>
        </w:rPr>
        <w:t>35.54</w:t>
      </w:r>
      <w:r>
        <w:rPr>
          <w:rFonts w:hint="eastAsia" w:ascii="仿宋_GB2312" w:hAnsi="仿宋_GB2312" w:eastAsia="仿宋_GB2312" w:cs="仿宋_GB2312"/>
          <w:sz w:val="32"/>
          <w:szCs w:val="32"/>
        </w:rPr>
        <w:t>万元，其中：一般公共预算拨款收入</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hd w:val="clear"/>
        <w:spacing w:line="576" w:lineRule="exact"/>
        <w:ind w:firstLine="640" w:firstLineChars="200"/>
        <w:outlineLvl w:val="1"/>
        <w:rPr>
          <w:rFonts w:ascii="楷体_GB2312" w:hAnsi="楷体_GB2312" w:eastAsia="楷体_GB2312" w:cs="楷体_GB2312"/>
          <w:sz w:val="32"/>
          <w:szCs w:val="32"/>
        </w:rPr>
      </w:pPr>
      <w:bookmarkStart w:id="6" w:name="_Toc4145"/>
      <w:r>
        <w:rPr>
          <w:rFonts w:hint="eastAsia" w:ascii="楷体_GB2312" w:hAnsi="楷体_GB2312" w:eastAsia="楷体_GB2312" w:cs="楷体_GB2312"/>
          <w:sz w:val="32"/>
          <w:szCs w:val="32"/>
        </w:rPr>
        <w:t>（二）支出预算情况</w:t>
      </w:r>
      <w:bookmarkEnd w:id="6"/>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广元市红十字会2024年支出2</w:t>
      </w:r>
      <w:r>
        <w:rPr>
          <w:rFonts w:ascii="仿宋_GB2312" w:hAnsi="仿宋_GB2312" w:eastAsia="仿宋_GB2312" w:cs="仿宋_GB2312"/>
          <w:sz w:val="32"/>
          <w:szCs w:val="32"/>
        </w:rPr>
        <w:t>35.54</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210.46</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89.35</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25.08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10.65</w:t>
      </w:r>
      <w:r>
        <w:rPr>
          <w:rFonts w:hint="eastAsia" w:ascii="仿宋_GB2312" w:hAnsi="仿宋_GB2312" w:eastAsia="仿宋_GB2312" w:cs="仿宋_GB2312"/>
          <w:sz w:val="32"/>
          <w:szCs w:val="32"/>
        </w:rPr>
        <w:t>%。</w:t>
      </w:r>
    </w:p>
    <w:p>
      <w:pPr>
        <w:shd w:val="clear"/>
        <w:spacing w:line="576" w:lineRule="exact"/>
        <w:ind w:firstLine="640" w:firstLineChars="200"/>
        <w:outlineLvl w:val="0"/>
        <w:rPr>
          <w:rFonts w:ascii="黑体" w:hAnsi="黑体" w:eastAsia="黑体" w:cs="黑体"/>
          <w:sz w:val="32"/>
          <w:szCs w:val="32"/>
        </w:rPr>
      </w:pPr>
      <w:bookmarkStart w:id="7" w:name="_Toc19937"/>
      <w:r>
        <w:rPr>
          <w:rFonts w:hint="eastAsia" w:ascii="黑体" w:hAnsi="黑体" w:eastAsia="黑体" w:cs="黑体"/>
          <w:sz w:val="32"/>
          <w:szCs w:val="32"/>
        </w:rPr>
        <w:t>四、财政拨款收支预算情况说明</w:t>
      </w:r>
      <w:bookmarkEnd w:id="7"/>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广元市红十字会2024年财政拨款收支预算总数</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比2023年财政拨款收支预算总数减少</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万元，主要原因是厉行节约，减少预算开支。</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万元；支出包括：社会保障和就业支出</w:t>
      </w:r>
      <w:r>
        <w:rPr>
          <w:rFonts w:ascii="仿宋_GB2312" w:hAnsi="仿宋_GB2312" w:eastAsia="仿宋_GB2312" w:cs="仿宋_GB2312"/>
          <w:sz w:val="32"/>
          <w:szCs w:val="32"/>
        </w:rPr>
        <w:t>213.20</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6.17</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16.17</w:t>
      </w:r>
      <w:r>
        <w:rPr>
          <w:rFonts w:hint="eastAsia" w:ascii="仿宋_GB2312" w:hAnsi="仿宋_GB2312" w:eastAsia="仿宋_GB2312" w:cs="仿宋_GB2312"/>
          <w:sz w:val="32"/>
          <w:szCs w:val="32"/>
        </w:rPr>
        <w:t>万元。</w:t>
      </w:r>
    </w:p>
    <w:p>
      <w:pPr>
        <w:shd w:val="clear"/>
        <w:spacing w:line="576" w:lineRule="exact"/>
        <w:ind w:firstLine="640" w:firstLineChars="200"/>
        <w:outlineLvl w:val="0"/>
        <w:rPr>
          <w:rFonts w:ascii="黑体" w:hAnsi="黑体" w:eastAsia="黑体" w:cs="黑体"/>
          <w:sz w:val="32"/>
          <w:szCs w:val="32"/>
        </w:rPr>
      </w:pPr>
      <w:bookmarkStart w:id="8" w:name="_Toc6472"/>
      <w:r>
        <w:rPr>
          <w:rFonts w:hint="eastAsia" w:ascii="黑体" w:hAnsi="黑体" w:eastAsia="黑体" w:cs="黑体"/>
          <w:sz w:val="32"/>
          <w:szCs w:val="32"/>
        </w:rPr>
        <w:t>五、一般公共预算当年拨款情况说明</w:t>
      </w:r>
      <w:bookmarkEnd w:id="8"/>
    </w:p>
    <w:p>
      <w:pPr>
        <w:shd w:val="clear"/>
        <w:spacing w:line="576" w:lineRule="exact"/>
        <w:ind w:firstLine="640" w:firstLineChars="200"/>
        <w:outlineLvl w:val="1"/>
        <w:rPr>
          <w:rFonts w:ascii="楷体_GB2312" w:hAnsi="楷体_GB2312" w:eastAsia="楷体_GB2312" w:cs="楷体_GB2312"/>
          <w:sz w:val="32"/>
          <w:szCs w:val="32"/>
        </w:rPr>
      </w:pPr>
      <w:bookmarkStart w:id="9" w:name="_Toc5847"/>
      <w:r>
        <w:rPr>
          <w:rFonts w:hint="eastAsia" w:ascii="楷体_GB2312" w:hAnsi="楷体_GB2312" w:eastAsia="楷体_GB2312" w:cs="楷体_GB2312"/>
          <w:sz w:val="32"/>
          <w:szCs w:val="32"/>
        </w:rPr>
        <w:t>（一）一般公共预算当年拨款规模变化情况</w:t>
      </w:r>
      <w:bookmarkEnd w:id="9"/>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广元市红十字会2024年一般公共预算当年拨款</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万元，比2023年预算数减少2</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lang w:eastAsia="zh-CN"/>
        </w:rPr>
        <w:t>原因是</w:t>
      </w:r>
      <w:r>
        <w:rPr>
          <w:rFonts w:hint="eastAsia" w:ascii="仿宋_GB2312" w:hAnsi="仿宋_GB2312" w:eastAsia="仿宋_GB2312" w:cs="仿宋_GB2312"/>
          <w:sz w:val="32"/>
          <w:szCs w:val="32"/>
        </w:rPr>
        <w:t>厉行节约，减少预算开支。</w:t>
      </w:r>
    </w:p>
    <w:p>
      <w:pPr>
        <w:shd w:val="clear"/>
        <w:spacing w:line="576" w:lineRule="exact"/>
        <w:ind w:firstLine="640" w:firstLineChars="200"/>
        <w:outlineLvl w:val="1"/>
        <w:rPr>
          <w:rFonts w:ascii="楷体_GB2312" w:hAnsi="楷体_GB2312" w:eastAsia="楷体_GB2312" w:cs="楷体_GB2312"/>
          <w:sz w:val="32"/>
          <w:szCs w:val="32"/>
        </w:rPr>
      </w:pPr>
      <w:bookmarkStart w:id="10" w:name="_Toc30546"/>
      <w:r>
        <w:rPr>
          <w:rFonts w:hint="eastAsia" w:ascii="楷体_GB2312" w:hAnsi="楷体_GB2312" w:eastAsia="楷体_GB2312" w:cs="楷体_GB2312"/>
          <w:sz w:val="32"/>
          <w:szCs w:val="32"/>
        </w:rPr>
        <w:t>（二）一般公共预算当年拨款结构情况</w:t>
      </w:r>
      <w:bookmarkEnd w:id="10"/>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213.20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90.51</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6.17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2.62</w:t>
      </w:r>
      <w:r>
        <w:rPr>
          <w:rFonts w:hint="eastAsia" w:ascii="仿宋_GB2312" w:hAnsi="仿宋_GB2312" w:eastAsia="仿宋_GB2312" w:cs="仿宋_GB2312"/>
          <w:sz w:val="32"/>
          <w:szCs w:val="32"/>
        </w:rPr>
        <w:t>%；住房保障支出</w:t>
      </w:r>
      <w:r>
        <w:rPr>
          <w:rFonts w:ascii="仿宋_GB2312" w:hAnsi="仿宋_GB2312" w:eastAsia="仿宋_GB2312" w:cs="仿宋_GB2312"/>
          <w:sz w:val="32"/>
          <w:szCs w:val="32"/>
        </w:rPr>
        <w:t>16.17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6.87</w:t>
      </w:r>
      <w:r>
        <w:rPr>
          <w:rFonts w:hint="eastAsia" w:ascii="仿宋_GB2312" w:hAnsi="仿宋_GB2312" w:eastAsia="仿宋_GB2312" w:cs="仿宋_GB2312"/>
          <w:sz w:val="32"/>
          <w:szCs w:val="32"/>
        </w:rPr>
        <w:t>%。</w:t>
      </w:r>
    </w:p>
    <w:p>
      <w:pPr>
        <w:shd w:val="clear"/>
        <w:spacing w:line="576" w:lineRule="exact"/>
        <w:ind w:firstLine="640" w:firstLineChars="200"/>
        <w:outlineLvl w:val="1"/>
        <w:rPr>
          <w:rFonts w:ascii="楷体_GB2312" w:hAnsi="楷体_GB2312" w:eastAsia="楷体_GB2312" w:cs="楷体_GB2312"/>
          <w:sz w:val="32"/>
          <w:szCs w:val="32"/>
        </w:rPr>
      </w:pPr>
      <w:bookmarkStart w:id="11" w:name="_Toc8479"/>
      <w:r>
        <w:rPr>
          <w:rFonts w:hint="eastAsia" w:ascii="楷体_GB2312" w:hAnsi="楷体_GB2312" w:eastAsia="楷体_GB2312" w:cs="楷体_GB2312"/>
          <w:sz w:val="32"/>
          <w:szCs w:val="32"/>
        </w:rPr>
        <w:t>（三）一般公共预算当年拨款具体使用情况</w:t>
      </w:r>
      <w:bookmarkEnd w:id="11"/>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.社会保障和就业（类）行政事业单位养老支出（款）机关事业单位基本养老保险缴费支出（项）2024年预算数为</w:t>
      </w:r>
      <w:r>
        <w:rPr>
          <w:rFonts w:ascii="仿宋_GB2312" w:hAnsi="仿宋_GB2312" w:eastAsia="仿宋_GB2312" w:cs="仿宋_GB2312"/>
          <w:sz w:val="32"/>
          <w:szCs w:val="32"/>
        </w:rPr>
        <w:t>19.27</w:t>
      </w:r>
      <w:r>
        <w:rPr>
          <w:rFonts w:hint="eastAsia" w:ascii="仿宋_GB2312" w:hAnsi="仿宋_GB2312" w:eastAsia="仿宋_GB2312" w:cs="仿宋_GB2312"/>
          <w:sz w:val="32"/>
          <w:szCs w:val="32"/>
        </w:rPr>
        <w:t>万元，主要用于：实施养老保险制度由单位缴纳的基本养老保险支出。</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.社会保障和就业（类）红十字事业（款）行政运行（项）2024年预算数为1</w:t>
      </w:r>
      <w:r>
        <w:rPr>
          <w:rFonts w:ascii="仿宋_GB2312" w:hAnsi="仿宋_GB2312" w:eastAsia="仿宋_GB2312" w:cs="仿宋_GB2312"/>
          <w:sz w:val="32"/>
          <w:szCs w:val="32"/>
        </w:rPr>
        <w:t>68.84</w:t>
      </w:r>
      <w:r>
        <w:rPr>
          <w:rFonts w:hint="eastAsia" w:ascii="仿宋_GB2312" w:hAnsi="仿宋_GB2312" w:eastAsia="仿宋_GB2312" w:cs="仿宋_GB2312"/>
          <w:sz w:val="32"/>
          <w:szCs w:val="32"/>
        </w:rPr>
        <w:t>万元，主要用于行政单位（包括实行公务员管理的事业单位）的基本支出。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社会保障和就业（类）红十字事业（款）其他红十字事业支出（项）2024年预算数为</w:t>
      </w:r>
      <w:r>
        <w:rPr>
          <w:rFonts w:ascii="仿宋_GB2312" w:hAnsi="仿宋_GB2312" w:eastAsia="仿宋_GB2312" w:cs="仿宋_GB2312"/>
          <w:sz w:val="32"/>
          <w:szCs w:val="32"/>
        </w:rPr>
        <w:t>25.08</w:t>
      </w:r>
      <w:r>
        <w:rPr>
          <w:rFonts w:hint="eastAsia" w:ascii="仿宋_GB2312" w:hAnsi="仿宋_GB2312" w:eastAsia="仿宋_GB2312" w:cs="仿宋_GB2312"/>
          <w:sz w:val="32"/>
          <w:szCs w:val="32"/>
        </w:rPr>
        <w:t>万元，主要用于除上述项目以外其他用于红十字事业方面的支出。</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.卫生健康（类）行政事业单位医疗（款）行政单位医疗（项）2024年预算数为</w:t>
      </w:r>
      <w:r>
        <w:rPr>
          <w:rFonts w:ascii="仿宋_GB2312" w:hAnsi="仿宋_GB2312" w:eastAsia="仿宋_GB2312" w:cs="仿宋_GB2312"/>
          <w:sz w:val="32"/>
          <w:szCs w:val="32"/>
        </w:rPr>
        <w:t>6.17</w:t>
      </w:r>
      <w:r>
        <w:rPr>
          <w:rFonts w:hint="eastAsia" w:ascii="仿宋_GB2312" w:hAnsi="仿宋_GB2312" w:eastAsia="仿宋_GB2312" w:cs="仿宋_GB2312"/>
          <w:sz w:val="32"/>
          <w:szCs w:val="32"/>
        </w:rPr>
        <w:t>万元，主要用于：机关及参公管理事业单位按规定由单位缴纳的基本医疗保险支出。</w:t>
      </w:r>
    </w:p>
    <w:p>
      <w:pPr>
        <w:shd w:val="clea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.住房保障（类）住房改革支出（款）住房公积金（项）2024年预算数为</w:t>
      </w:r>
      <w:r>
        <w:rPr>
          <w:rFonts w:ascii="仿宋_GB2312" w:hAnsi="仿宋_GB2312" w:eastAsia="仿宋_GB2312" w:cs="仿宋_GB2312"/>
          <w:sz w:val="32"/>
          <w:szCs w:val="32"/>
        </w:rPr>
        <w:t>16.17</w:t>
      </w:r>
      <w:r>
        <w:rPr>
          <w:rFonts w:hint="eastAsia" w:ascii="仿宋_GB2312" w:hAnsi="仿宋_GB2312" w:eastAsia="仿宋_GB2312" w:cs="仿宋_GB2312"/>
          <w:sz w:val="32"/>
          <w:szCs w:val="32"/>
        </w:rPr>
        <w:t>万元，主要用于：部门按规定为职工缴纳的住房公积金支出。</w:t>
      </w:r>
    </w:p>
    <w:p>
      <w:pPr>
        <w:shd w:val="clear"/>
        <w:spacing w:line="576" w:lineRule="exact"/>
        <w:ind w:firstLine="640" w:firstLineChars="200"/>
        <w:outlineLvl w:val="0"/>
        <w:rPr>
          <w:rFonts w:ascii="黑体" w:hAnsi="黑体" w:eastAsia="黑体" w:cs="黑体"/>
          <w:sz w:val="32"/>
          <w:szCs w:val="32"/>
        </w:rPr>
      </w:pPr>
      <w:bookmarkStart w:id="12" w:name="_Toc32236"/>
      <w:r>
        <w:rPr>
          <w:rFonts w:hint="eastAsia" w:ascii="黑体" w:hAnsi="黑体" w:eastAsia="黑体" w:cs="黑体"/>
          <w:sz w:val="32"/>
          <w:szCs w:val="32"/>
        </w:rPr>
        <w:t>六、一般公共预算基本支出情况说明</w:t>
      </w:r>
      <w:bookmarkEnd w:id="1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广元市红十字会2024年一般公共预算基本支出</w:t>
      </w:r>
      <w:r>
        <w:rPr>
          <w:rFonts w:ascii="仿宋_GB2312" w:hAnsi="仿宋_GB2312" w:eastAsia="仿宋_GB2312" w:cs="仿宋_GB2312"/>
          <w:sz w:val="32"/>
          <w:szCs w:val="32"/>
        </w:rPr>
        <w:t>210.46</w:t>
      </w:r>
      <w:r>
        <w:rPr>
          <w:rFonts w:hint="eastAsia" w:ascii="仿宋_GB2312" w:hAnsi="仿宋_GB2312" w:eastAsia="仿宋_GB2312" w:cs="仿宋_GB2312"/>
          <w:sz w:val="32"/>
          <w:szCs w:val="32"/>
        </w:rPr>
        <w:t>万元，其中：</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ascii="仿宋_GB2312" w:hAnsi="仿宋_GB2312" w:eastAsia="仿宋_GB2312" w:cs="仿宋_GB2312"/>
          <w:sz w:val="32"/>
          <w:szCs w:val="32"/>
        </w:rPr>
        <w:t>181.37</w:t>
      </w:r>
      <w:r>
        <w:rPr>
          <w:rFonts w:hint="eastAsia" w:ascii="仿宋_GB2312" w:hAnsi="仿宋_GB2312" w:eastAsia="仿宋_GB2312" w:cs="仿宋_GB2312"/>
          <w:sz w:val="32"/>
          <w:szCs w:val="32"/>
        </w:rPr>
        <w:t>万元，主要包括：基本工资、津贴补贴、奖金、机关事业单位基本养老保险缴费、职工基本医疗保险缴费</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rPr>
        <w:t>住房公积金、生活补助等支出。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ascii="仿宋_GB2312" w:hAnsi="仿宋_GB2312" w:eastAsia="仿宋_GB2312" w:cs="仿宋_GB2312"/>
          <w:sz w:val="32"/>
          <w:szCs w:val="32"/>
        </w:rPr>
        <w:t>29.09</w:t>
      </w:r>
      <w:r>
        <w:rPr>
          <w:rFonts w:hint="eastAsia" w:ascii="仿宋_GB2312" w:hAnsi="仿宋_GB2312" w:eastAsia="仿宋_GB2312" w:cs="仿宋_GB2312"/>
          <w:sz w:val="32"/>
          <w:szCs w:val="32"/>
        </w:rPr>
        <w:t>万元，主要包括：办公费、水费、物业管理费、差旅费、</w:t>
      </w:r>
      <w:r>
        <w:rPr>
          <w:rFonts w:hint="eastAsia" w:ascii="仿宋_GB2312" w:hAnsi="仿宋_GB2312" w:eastAsia="仿宋_GB2312" w:cs="仿宋_GB2312"/>
          <w:sz w:val="32"/>
          <w:szCs w:val="32"/>
          <w:lang w:eastAsia="zh-CN"/>
        </w:rPr>
        <w:t>租赁费</w:t>
      </w:r>
      <w:r>
        <w:rPr>
          <w:rFonts w:hint="eastAsia" w:ascii="仿宋_GB2312" w:hAnsi="仿宋_GB2312" w:eastAsia="仿宋_GB2312" w:cs="仿宋_GB2312"/>
          <w:sz w:val="32"/>
          <w:szCs w:val="32"/>
        </w:rPr>
        <w:t>、公务接待费、工会经费、福利费、公务用车运行维护费、其他交通费用</w:t>
      </w:r>
      <w:r>
        <w:rPr>
          <w:rFonts w:hint="eastAsia"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rPr>
        <w:t>等支出。</w:t>
      </w:r>
    </w:p>
    <w:p>
      <w:pPr>
        <w:shd w:val="clear"/>
        <w:spacing w:line="576" w:lineRule="exact"/>
        <w:ind w:firstLine="640" w:firstLineChars="200"/>
        <w:outlineLvl w:val="0"/>
        <w:rPr>
          <w:rFonts w:ascii="黑体" w:hAnsi="黑体" w:eastAsia="黑体" w:cs="黑体"/>
          <w:sz w:val="32"/>
          <w:szCs w:val="32"/>
        </w:rPr>
      </w:pPr>
      <w:bookmarkStart w:id="13" w:name="_Toc25878"/>
      <w:r>
        <w:rPr>
          <w:rFonts w:hint="eastAsia" w:ascii="黑体" w:hAnsi="黑体" w:eastAsia="黑体" w:cs="黑体"/>
          <w:sz w:val="32"/>
          <w:szCs w:val="32"/>
        </w:rPr>
        <w:t>七、“三公”经费财政拨款预算安排情况说明</w:t>
      </w:r>
      <w:bookmarkEnd w:id="13"/>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广元市红十字会2024年“三公”经费财政拨款预算数</w:t>
      </w:r>
      <w:r>
        <w:rPr>
          <w:rFonts w:ascii="仿宋_GB2312" w:hAnsi="仿宋_GB2312" w:eastAsia="仿宋_GB2312" w:cs="仿宋_GB2312"/>
          <w:sz w:val="32"/>
          <w:szCs w:val="32"/>
        </w:rPr>
        <w:t>2.74</w:t>
      </w:r>
      <w:r>
        <w:rPr>
          <w:rFonts w:hint="eastAsia" w:ascii="仿宋_GB2312" w:hAnsi="仿宋_GB2312" w:eastAsia="仿宋_GB2312" w:cs="仿宋_GB2312"/>
          <w:sz w:val="32"/>
          <w:szCs w:val="32"/>
        </w:rPr>
        <w:t>万元，其中：公务接待费</w:t>
      </w:r>
      <w:r>
        <w:rPr>
          <w:rFonts w:ascii="仿宋_GB2312" w:hAnsi="仿宋_GB2312" w:eastAsia="仿宋_GB2312" w:cs="仿宋_GB2312"/>
          <w:sz w:val="32"/>
          <w:szCs w:val="32"/>
        </w:rPr>
        <w:t>0.24</w:t>
      </w:r>
      <w:r>
        <w:rPr>
          <w:rFonts w:hint="eastAsia" w:ascii="仿宋_GB2312" w:hAnsi="仿宋_GB2312" w:eastAsia="仿宋_GB2312" w:cs="仿宋_GB2312"/>
          <w:sz w:val="32"/>
          <w:szCs w:val="32"/>
        </w:rPr>
        <w:t>万元，公务用车购置及运行维护费</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万元，因公出国（境）经费</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hd w:val="clear"/>
        <w:spacing w:line="576" w:lineRule="exact"/>
        <w:ind w:firstLine="640" w:firstLineChars="200"/>
        <w:outlineLvl w:val="1"/>
        <w:rPr>
          <w:rFonts w:ascii="楷体_GB2312" w:hAnsi="楷体_GB2312" w:eastAsia="楷体_GB2312" w:cs="楷体_GB2312"/>
          <w:sz w:val="32"/>
          <w:szCs w:val="32"/>
        </w:rPr>
      </w:pPr>
      <w:bookmarkStart w:id="14" w:name="_Toc21079"/>
      <w:r>
        <w:rPr>
          <w:rFonts w:hint="eastAsia" w:ascii="楷体_GB2312" w:hAnsi="楷体_GB2312" w:eastAsia="楷体_GB2312" w:cs="楷体_GB2312"/>
          <w:sz w:val="32"/>
          <w:szCs w:val="32"/>
        </w:rPr>
        <w:t>（一）公务接待费</w:t>
      </w:r>
      <w:bookmarkEnd w:id="1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公务接待费0.24万元与2023年预算相比持平。</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shd w:val="clear"/>
        <w:spacing w:line="576" w:lineRule="exact"/>
        <w:ind w:firstLine="640" w:firstLineChars="200"/>
        <w:outlineLvl w:val="1"/>
        <w:rPr>
          <w:rFonts w:ascii="楷体_GB2312" w:hAnsi="楷体_GB2312" w:eastAsia="楷体_GB2312" w:cs="楷体_GB2312"/>
          <w:sz w:val="32"/>
          <w:szCs w:val="32"/>
        </w:rPr>
      </w:pPr>
      <w:bookmarkStart w:id="15" w:name="_Toc4103"/>
      <w:r>
        <w:rPr>
          <w:rFonts w:hint="eastAsia" w:ascii="楷体_GB2312" w:hAnsi="楷体_GB2312" w:eastAsia="楷体_GB2312" w:cs="楷体_GB2312"/>
          <w:sz w:val="32"/>
          <w:szCs w:val="32"/>
        </w:rPr>
        <w:t>（二）公务用车购置及运行维护费</w:t>
      </w:r>
      <w:bookmarkEnd w:id="15"/>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公务用车购置及运行维护费2.5万元与2023年预算相比持平。</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辆，其中：定向保障用车一辆。</w:t>
      </w:r>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2024年未安排公务用车购置费。</w:t>
      </w:r>
      <w:r>
        <w:rPr>
          <w:rFonts w:ascii="仿宋_GB2312" w:hAnsi="仿宋_GB2312" w:eastAsia="仿宋_GB2312" w:cs="仿宋_GB2312"/>
          <w:b/>
          <w:bCs/>
          <w:sz w:val="32"/>
          <w:szCs w:val="32"/>
        </w:rPr>
        <w:t xml:space="preserve"> </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万元，用于</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辆公务用车燃油、过路（桥）、维修、保险等方面支出，主要保障救灾救助救济等工作的顺利开展。</w:t>
      </w:r>
    </w:p>
    <w:p>
      <w:pPr>
        <w:shd w:val="clea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6" w:name="_Toc15764"/>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年预算相比持平。</w:t>
      </w:r>
    </w:p>
    <w:p>
      <w:pPr>
        <w:shd w:val="clear"/>
        <w:spacing w:line="576" w:lineRule="exact"/>
        <w:ind w:firstLine="640" w:firstLineChars="200"/>
        <w:outlineLvl w:val="0"/>
        <w:rPr>
          <w:rFonts w:ascii="黑体" w:hAnsi="黑体" w:eastAsia="黑体" w:cs="黑体"/>
          <w:sz w:val="32"/>
          <w:szCs w:val="32"/>
        </w:rPr>
      </w:pPr>
      <w:bookmarkStart w:id="17" w:name="_Toc23622"/>
      <w:r>
        <w:rPr>
          <w:rFonts w:hint="eastAsia" w:ascii="黑体" w:hAnsi="黑体" w:eastAsia="黑体" w:cs="黑体"/>
          <w:sz w:val="32"/>
          <w:szCs w:val="32"/>
        </w:rPr>
        <w:t>八、政府性基金预算支出情况说明</w:t>
      </w:r>
      <w:bookmarkEnd w:id="17"/>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广元市红十字会2024年无政府性基金预算拨款安排的支出。</w:t>
      </w:r>
    </w:p>
    <w:p>
      <w:pPr>
        <w:shd w:val="clear"/>
        <w:spacing w:line="576" w:lineRule="exact"/>
        <w:ind w:firstLine="640" w:firstLineChars="200"/>
        <w:outlineLvl w:val="0"/>
        <w:rPr>
          <w:rFonts w:ascii="黑体" w:hAnsi="黑体" w:eastAsia="黑体" w:cs="黑体"/>
          <w:sz w:val="32"/>
          <w:szCs w:val="32"/>
        </w:rPr>
      </w:pPr>
      <w:bookmarkStart w:id="18" w:name="_Toc14485"/>
      <w:r>
        <w:rPr>
          <w:rFonts w:hint="eastAsia" w:ascii="黑体" w:hAnsi="黑体" w:eastAsia="黑体" w:cs="黑体"/>
          <w:sz w:val="32"/>
          <w:szCs w:val="32"/>
        </w:rPr>
        <w:t>九、国有资本经营预算支出情况说明</w:t>
      </w:r>
      <w:bookmarkEnd w:id="18"/>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广元市红十字会2024年无国有资本经营预算拨款安排的支出。</w:t>
      </w:r>
    </w:p>
    <w:p>
      <w:pPr>
        <w:shd w:val="clear"/>
        <w:spacing w:line="576" w:lineRule="exact"/>
        <w:ind w:firstLine="640" w:firstLineChars="200"/>
        <w:outlineLvl w:val="0"/>
        <w:rPr>
          <w:rFonts w:ascii="黑体" w:hAnsi="黑体" w:eastAsia="黑体" w:cs="黑体"/>
          <w:sz w:val="32"/>
          <w:szCs w:val="32"/>
        </w:rPr>
      </w:pPr>
      <w:bookmarkStart w:id="19" w:name="_Toc12071"/>
      <w:r>
        <w:rPr>
          <w:rFonts w:hint="eastAsia" w:ascii="黑体" w:hAnsi="黑体" w:eastAsia="黑体" w:cs="黑体"/>
          <w:sz w:val="32"/>
          <w:szCs w:val="32"/>
        </w:rPr>
        <w:t>十、其他重要事项的情况说明</w:t>
      </w:r>
      <w:bookmarkEnd w:id="19"/>
    </w:p>
    <w:p>
      <w:pPr>
        <w:shd w:val="clear"/>
        <w:spacing w:line="576" w:lineRule="exact"/>
        <w:ind w:firstLine="640" w:firstLineChars="200"/>
        <w:outlineLvl w:val="1"/>
        <w:rPr>
          <w:rFonts w:ascii="楷体_GB2312" w:hAnsi="楷体_GB2312" w:eastAsia="楷体_GB2312" w:cs="楷体_GB2312"/>
          <w:sz w:val="32"/>
          <w:szCs w:val="32"/>
        </w:rPr>
      </w:pPr>
      <w:bookmarkStart w:id="20" w:name="_Toc19168"/>
      <w:r>
        <w:rPr>
          <w:rFonts w:hint="eastAsia" w:ascii="楷体_GB2312" w:hAnsi="楷体_GB2312" w:eastAsia="楷体_GB2312" w:cs="楷体_GB2312"/>
          <w:sz w:val="32"/>
          <w:szCs w:val="32"/>
        </w:rPr>
        <w:t>（一）机关运行经费</w:t>
      </w:r>
      <w:bookmarkEnd w:id="20"/>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2024年，广元市红十字会机关运行经费财政拨款预算为</w:t>
      </w:r>
      <w:r>
        <w:rPr>
          <w:rFonts w:ascii="仿宋_GB2312" w:hAnsi="仿宋_GB2312" w:eastAsia="仿宋_GB2312" w:cs="仿宋_GB2312"/>
          <w:sz w:val="32"/>
          <w:szCs w:val="32"/>
        </w:rPr>
        <w:t>29.09</w:t>
      </w:r>
      <w:r>
        <w:rPr>
          <w:rFonts w:hint="eastAsia" w:ascii="仿宋_GB2312" w:hAnsi="仿宋_GB2312" w:eastAsia="仿宋_GB2312" w:cs="仿宋_GB2312"/>
          <w:sz w:val="32"/>
          <w:szCs w:val="32"/>
        </w:rPr>
        <w:t>万元，比2023年预算增加0</w:t>
      </w:r>
      <w:r>
        <w:rPr>
          <w:rFonts w:ascii="仿宋_GB2312" w:hAnsi="仿宋_GB2312" w:eastAsia="仿宋_GB2312" w:cs="仿宋_GB2312"/>
          <w:sz w:val="32"/>
          <w:szCs w:val="32"/>
        </w:rPr>
        <w:t>.09</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0.31</w:t>
      </w:r>
      <w:r>
        <w:rPr>
          <w:rFonts w:hint="eastAsia" w:ascii="仿宋_GB2312" w:hAnsi="仿宋_GB2312" w:eastAsia="仿宋_GB2312" w:cs="仿宋_GB2312"/>
          <w:sz w:val="32"/>
          <w:szCs w:val="32"/>
        </w:rPr>
        <w:t>%。主要原因公用经费预算增加。</w:t>
      </w:r>
    </w:p>
    <w:p>
      <w:pPr>
        <w:shd w:val="clear"/>
        <w:spacing w:line="576" w:lineRule="exact"/>
        <w:ind w:firstLine="640" w:firstLineChars="200"/>
        <w:outlineLvl w:val="1"/>
        <w:rPr>
          <w:rFonts w:ascii="楷体_GB2312" w:hAnsi="楷体_GB2312" w:eastAsia="楷体_GB2312" w:cs="楷体_GB2312"/>
          <w:sz w:val="32"/>
          <w:szCs w:val="32"/>
        </w:rPr>
      </w:pPr>
      <w:bookmarkStart w:id="21" w:name="_Toc21396"/>
      <w:r>
        <w:rPr>
          <w:rFonts w:hint="eastAsia" w:ascii="楷体_GB2312" w:hAnsi="楷体_GB2312" w:eastAsia="楷体_GB2312" w:cs="楷体_GB2312"/>
          <w:sz w:val="32"/>
          <w:szCs w:val="32"/>
        </w:rPr>
        <w:t>（二）政府采购情况</w:t>
      </w:r>
      <w:bookmarkEnd w:id="21"/>
    </w:p>
    <w:p>
      <w:pPr>
        <w:shd w:val="clea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2024年，广元市红十字会安排政府采购预算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hd w:val="clear"/>
        <w:spacing w:line="576" w:lineRule="exact"/>
        <w:ind w:firstLine="640" w:firstLineChars="200"/>
        <w:outlineLvl w:val="1"/>
        <w:rPr>
          <w:rFonts w:ascii="楷体_GB2312" w:hAnsi="楷体_GB2312" w:eastAsia="楷体_GB2312" w:cs="楷体_GB2312"/>
          <w:sz w:val="32"/>
          <w:szCs w:val="32"/>
        </w:rPr>
      </w:pPr>
      <w:bookmarkStart w:id="22" w:name="_Toc22353"/>
      <w:r>
        <w:rPr>
          <w:rFonts w:hint="eastAsia" w:ascii="楷体_GB2312" w:hAnsi="楷体_GB2312" w:eastAsia="楷体_GB2312" w:cs="楷体_GB2312"/>
          <w:sz w:val="32"/>
          <w:szCs w:val="32"/>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rPr>
        <w:t>截至2023年底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广元市红十字会共有车辆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辆，是上级红十字会捐赠车辆，为定向保障用车。</w:t>
      </w:r>
      <w:r>
        <w:rPr>
          <w:rFonts w:hint="eastAsia" w:ascii="仿宋_GB2312" w:hAnsi="仿宋_GB2312" w:eastAsia="仿宋_GB2312" w:cs="仿宋_GB2312"/>
          <w:i w:val="0"/>
          <w:iCs w:val="0"/>
          <w:caps w:val="0"/>
          <w:color w:val="auto"/>
          <w:spacing w:val="0"/>
          <w:sz w:val="32"/>
          <w:szCs w:val="32"/>
          <w:shd w:val="clear" w:color="auto" w:fill="FFFFFF"/>
          <w:lang w:val="en-US" w:eastAsia="zh-CN"/>
        </w:rPr>
        <w:t>单位价值200万元以上大型设备0台（套）。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sz w:val="32"/>
          <w:szCs w:val="32"/>
        </w:rPr>
      </w:pPr>
      <w:bookmarkStart w:id="25" w:name="_GoBack"/>
      <w:bookmarkEnd w:id="25"/>
      <w:r>
        <w:rPr>
          <w:rFonts w:hint="eastAsia" w:ascii="仿宋_GB2312" w:hAnsi="仿宋_GB2312" w:eastAsia="仿宋_GB2312" w:cs="仿宋_GB2312"/>
          <w:i w:val="0"/>
          <w:iCs w:val="0"/>
          <w:caps w:val="0"/>
          <w:color w:val="auto"/>
          <w:spacing w:val="0"/>
          <w:sz w:val="32"/>
          <w:szCs w:val="32"/>
          <w:shd w:val="clear" w:color="auto" w:fill="FFFFFF"/>
          <w:lang w:val="en-US" w:eastAsia="zh-CN"/>
        </w:rPr>
        <w:t>2024年部门预算未安排购置车辆及单位价值200万元以上大型设备。</w:t>
      </w:r>
    </w:p>
    <w:p>
      <w:pPr>
        <w:shd w:val="clear"/>
        <w:spacing w:line="576" w:lineRule="exact"/>
        <w:ind w:firstLine="640" w:firstLineChars="200"/>
        <w:outlineLvl w:val="1"/>
        <w:rPr>
          <w:rFonts w:ascii="楷体_GB2312" w:hAnsi="楷体_GB2312" w:eastAsia="楷体_GB2312" w:cs="楷体_GB2312"/>
          <w:sz w:val="32"/>
          <w:szCs w:val="32"/>
        </w:rPr>
      </w:pPr>
      <w:bookmarkStart w:id="23" w:name="_Toc7748"/>
      <w:r>
        <w:rPr>
          <w:rFonts w:hint="eastAsia" w:ascii="楷体_GB2312" w:hAnsi="楷体_GB2312" w:eastAsia="楷体_GB2312" w:cs="楷体_GB2312"/>
          <w:sz w:val="32"/>
          <w:szCs w:val="32"/>
        </w:rPr>
        <w:t>（四）绩效目标设置情况</w:t>
      </w:r>
      <w:bookmarkEnd w:id="23"/>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2024年广元市红十字会开展绩效目标管理的项目</w:t>
      </w:r>
      <w:r>
        <w:rPr>
          <w:rFonts w:ascii="仿宋_GB2312" w:hAnsi="仿宋_GB2312" w:eastAsia="仿宋_GB2312" w:cs="仿宋_GB2312"/>
          <w:sz w:val="32"/>
          <w:szCs w:val="32"/>
        </w:rPr>
        <w:t>14</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235.54</w:t>
      </w:r>
      <w:r>
        <w:rPr>
          <w:rFonts w:hint="eastAsia" w:ascii="仿宋_GB2312" w:hAnsi="仿宋_GB2312" w:eastAsia="仿宋_GB2312" w:cs="仿宋_GB2312"/>
          <w:sz w:val="32"/>
          <w:szCs w:val="32"/>
        </w:rPr>
        <w:t>万元。其中：人员类项目</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 xml:space="preserve">个，涉及预算 </w:t>
      </w:r>
      <w:r>
        <w:rPr>
          <w:rFonts w:ascii="仿宋_GB2312" w:hAnsi="仿宋_GB2312" w:eastAsia="仿宋_GB2312" w:cs="仿宋_GB2312"/>
          <w:sz w:val="32"/>
          <w:szCs w:val="32"/>
        </w:rPr>
        <w:t>181.37</w:t>
      </w:r>
      <w:r>
        <w:rPr>
          <w:rFonts w:hint="eastAsia" w:ascii="仿宋_GB2312" w:hAnsi="仿宋_GB2312" w:eastAsia="仿宋_GB2312" w:cs="仿宋_GB2312"/>
          <w:sz w:val="32"/>
          <w:szCs w:val="32"/>
        </w:rPr>
        <w:t>万元；运转类项目</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29.09</w:t>
      </w:r>
      <w:r>
        <w:rPr>
          <w:rFonts w:hint="eastAsia" w:ascii="仿宋_GB2312" w:hAnsi="仿宋_GB2312" w:eastAsia="仿宋_GB2312" w:cs="仿宋_GB2312"/>
          <w:sz w:val="32"/>
          <w:szCs w:val="32"/>
        </w:rPr>
        <w:t>万元；特定目标类项目</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25.08</w:t>
      </w:r>
      <w:r>
        <w:rPr>
          <w:rFonts w:hint="eastAsia" w:ascii="仿宋_GB2312" w:hAnsi="仿宋_GB2312" w:eastAsia="仿宋_GB2312" w:cs="仿宋_GB2312"/>
          <w:sz w:val="32"/>
          <w:szCs w:val="32"/>
        </w:rPr>
        <w:t>万元。</w:t>
      </w:r>
    </w:p>
    <w:p>
      <w:pPr>
        <w:shd w:val="clear"/>
        <w:spacing w:line="576" w:lineRule="exact"/>
        <w:ind w:firstLine="640" w:firstLineChars="200"/>
        <w:outlineLvl w:val="0"/>
        <w:rPr>
          <w:rFonts w:ascii="黑体" w:hAnsi="黑体" w:eastAsia="黑体" w:cs="黑体"/>
          <w:sz w:val="32"/>
          <w:szCs w:val="32"/>
        </w:rPr>
      </w:pPr>
      <w:bookmarkStart w:id="24" w:name="_Toc4059"/>
      <w:r>
        <w:rPr>
          <w:rFonts w:hint="eastAsia" w:ascii="黑体" w:hAnsi="黑体" w:eastAsia="黑体" w:cs="黑体"/>
          <w:sz w:val="32"/>
          <w:szCs w:val="32"/>
        </w:rPr>
        <w:t>十一、名词解释</w:t>
      </w:r>
      <w:bookmarkEnd w:id="24"/>
    </w:p>
    <w:p>
      <w:pPr>
        <w:numPr>
          <w:ilvl w:val="0"/>
          <w:numId w:val="1"/>
        </w:numPr>
        <w:shd w:val="clear"/>
        <w:spacing w:line="576"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numPr>
          <w:ilvl w:val="0"/>
          <w:numId w:val="1"/>
        </w:numPr>
        <w:shd w:val="clear"/>
        <w:spacing w:line="576"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p>
    <w:p>
      <w:pPr>
        <w:numPr>
          <w:ilvl w:val="0"/>
          <w:numId w:val="1"/>
        </w:numPr>
        <w:shd w:val="clear"/>
        <w:spacing w:line="576"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社会保障和就业（类）红十字事业（款）行政运行（项）</w:t>
      </w:r>
      <w:r>
        <w:rPr>
          <w:rFonts w:hint="eastAsia" w:ascii="仿宋_GB2312" w:hAnsi="仿宋_GB2312" w:eastAsia="仿宋_GB2312" w:cs="仿宋_GB2312"/>
          <w:sz w:val="32"/>
          <w:szCs w:val="32"/>
        </w:rPr>
        <w:t>：指用于行政单位（包括实行公务员管理的事业单位）的基本支出。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社会保障和就业支出（类）红十字事业（款）其他红十字事业支出（项）：</w:t>
      </w:r>
      <w:r>
        <w:rPr>
          <w:rFonts w:hint="eastAsia" w:ascii="仿宋_GB2312" w:hAnsi="仿宋_GB2312" w:eastAsia="仿宋_GB2312" w:cs="仿宋_GB2312"/>
          <w:sz w:val="32"/>
          <w:szCs w:val="32"/>
        </w:rPr>
        <w:t>指反映除上述项目以外其他用于红十字事业方面的支出。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卫生健康（类）行政事业单位医疗（款）行政单位医疗（项）：</w:t>
      </w:r>
      <w:r>
        <w:rPr>
          <w:rFonts w:hint="eastAsia" w:ascii="仿宋_GB2312" w:hAnsi="仿宋_GB2312" w:eastAsia="仿宋_GB2312" w:cs="仿宋_GB2312"/>
          <w:sz w:val="32"/>
          <w:szCs w:val="32"/>
        </w:rPr>
        <w:t>指机关及参公管理事业单位用于单位应缴纳基本医疗保险支出。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基本支出：</w:t>
      </w:r>
      <w:r>
        <w:rPr>
          <w:rFonts w:hint="eastAsia" w:ascii="仿宋_GB2312" w:hAnsi="仿宋_GB2312" w:eastAsia="仿宋_GB2312" w:cs="仿宋_GB2312"/>
          <w:sz w:val="32"/>
          <w:szCs w:val="32"/>
        </w:rPr>
        <w:t>指为保证机构正常运转，完成日常工作任务而发生的人员支出和公用支出。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numPr>
          <w:ilvl w:val="0"/>
          <w:numId w:val="1"/>
        </w:numPr>
        <w:shd w:val="clear" w:color="auto"/>
        <w:spacing w:before="100" w:beforeAutospacing="1" w:after="100" w:afterAutospacing="1" w:line="574" w:lineRule="exac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76" w:lineRule="exact"/>
        <w:ind w:firstLine="640" w:firstLineChars="200"/>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hd w:val="clear"/>
        <w:spacing w:line="576" w:lineRule="exact"/>
        <w:rPr>
          <w:rFonts w:ascii="仿宋_GB2312" w:hAnsi="仿宋_GB2312" w:eastAsia="仿宋_GB2312" w:cs="仿宋_GB2312"/>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q2OabWAQAAsg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zpywdOGXH98vP39ffn1jy2RPH6CiqrtAdTi89kMqnfJAyaR6aKNNf9LDaJ/MPV/NVQMy&#10;mQ6tV+t1SVuS9uYF4RT3x0MEfKu8ZSmoeaTby6aK03vAsXQuSd2cv9XGUF5Uxv2VIMyUKRL3kWOK&#10;cNgPE/G9b86kh54B9el8/MpZT0NQc0czz5l558jjNC9zEOdgPwfCSTpYc+RsDN9gnqtEBMKrIxK7&#10;TDq1HvtNjOgqs+xp7NKsPFznqvunt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zql5uc8AAAAF&#10;AQAADwAAAAAAAAABACAAAAA4AAAAZHJzL2Rvd25yZXYueG1sUEsBAhQAFAAAAAgAh07iQOq2OabW&#10;AQAAsgMAAA4AAAAAAAAAAQAgAAAANAEAAGRycy9lMm9Eb2MueG1sUEsFBgAAAAAGAAYAWQEAAHwF&#10;AAAAAA==&#10;">
              <v:fill on="f" focussize="0,0"/>
              <v:stroke on="f"/>
              <v:imagedata o:title=""/>
              <o:lock v:ext="edit" aspectratio="f"/>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4E6C8C"/>
    <w:multiLevelType w:val="singleLevel"/>
    <w:tmpl w:val="F34E6C8C"/>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23503C"/>
    <w:rsid w:val="0000215A"/>
    <w:rsid w:val="000140A1"/>
    <w:rsid w:val="00025F06"/>
    <w:rsid w:val="00030402"/>
    <w:rsid w:val="00036A7D"/>
    <w:rsid w:val="0003749E"/>
    <w:rsid w:val="000567AE"/>
    <w:rsid w:val="000D0E7F"/>
    <w:rsid w:val="000D478D"/>
    <w:rsid w:val="000F0531"/>
    <w:rsid w:val="000F6CDE"/>
    <w:rsid w:val="00176888"/>
    <w:rsid w:val="001F04BB"/>
    <w:rsid w:val="00202346"/>
    <w:rsid w:val="002052BA"/>
    <w:rsid w:val="00230E3C"/>
    <w:rsid w:val="0023503C"/>
    <w:rsid w:val="00237473"/>
    <w:rsid w:val="002A12C2"/>
    <w:rsid w:val="002A4960"/>
    <w:rsid w:val="002F139D"/>
    <w:rsid w:val="00312DC0"/>
    <w:rsid w:val="00377D74"/>
    <w:rsid w:val="00404382"/>
    <w:rsid w:val="00420379"/>
    <w:rsid w:val="00450FCE"/>
    <w:rsid w:val="00462336"/>
    <w:rsid w:val="004725A3"/>
    <w:rsid w:val="0049531D"/>
    <w:rsid w:val="004D3373"/>
    <w:rsid w:val="004E0221"/>
    <w:rsid w:val="00521D07"/>
    <w:rsid w:val="005B74E3"/>
    <w:rsid w:val="005D610D"/>
    <w:rsid w:val="00647182"/>
    <w:rsid w:val="006527CB"/>
    <w:rsid w:val="00684DBA"/>
    <w:rsid w:val="006C0592"/>
    <w:rsid w:val="006F5550"/>
    <w:rsid w:val="00705350"/>
    <w:rsid w:val="00720C75"/>
    <w:rsid w:val="0075254D"/>
    <w:rsid w:val="007760A8"/>
    <w:rsid w:val="00776470"/>
    <w:rsid w:val="007E62CC"/>
    <w:rsid w:val="008B6487"/>
    <w:rsid w:val="008C15B2"/>
    <w:rsid w:val="008F55C8"/>
    <w:rsid w:val="008F579F"/>
    <w:rsid w:val="009900C1"/>
    <w:rsid w:val="009A77B6"/>
    <w:rsid w:val="009B68E4"/>
    <w:rsid w:val="009C68D0"/>
    <w:rsid w:val="00A06271"/>
    <w:rsid w:val="00A94907"/>
    <w:rsid w:val="00AC6EBC"/>
    <w:rsid w:val="00AD086C"/>
    <w:rsid w:val="00AD1B6F"/>
    <w:rsid w:val="00B01727"/>
    <w:rsid w:val="00B27E44"/>
    <w:rsid w:val="00BA6343"/>
    <w:rsid w:val="00BD3F04"/>
    <w:rsid w:val="00C06A4D"/>
    <w:rsid w:val="00C37782"/>
    <w:rsid w:val="00C47DB4"/>
    <w:rsid w:val="00CD75D2"/>
    <w:rsid w:val="00D35A6A"/>
    <w:rsid w:val="00D546F8"/>
    <w:rsid w:val="00D5663D"/>
    <w:rsid w:val="00D64D87"/>
    <w:rsid w:val="00DC09E9"/>
    <w:rsid w:val="00E13F19"/>
    <w:rsid w:val="00E31DA9"/>
    <w:rsid w:val="00E365A3"/>
    <w:rsid w:val="00E5178B"/>
    <w:rsid w:val="00E52EC9"/>
    <w:rsid w:val="00E5417D"/>
    <w:rsid w:val="00E71310"/>
    <w:rsid w:val="00EE2172"/>
    <w:rsid w:val="00EF243C"/>
    <w:rsid w:val="00F4775D"/>
    <w:rsid w:val="00F66068"/>
    <w:rsid w:val="00F7453D"/>
    <w:rsid w:val="00FA2CC8"/>
    <w:rsid w:val="00FC5DD0"/>
    <w:rsid w:val="00FD2A73"/>
    <w:rsid w:val="00FF01FA"/>
    <w:rsid w:val="012352D1"/>
    <w:rsid w:val="1C6074FD"/>
    <w:rsid w:val="1F7BF06F"/>
    <w:rsid w:val="1FEE4B73"/>
    <w:rsid w:val="23CE9849"/>
    <w:rsid w:val="36CE5337"/>
    <w:rsid w:val="39F304DD"/>
    <w:rsid w:val="50DE3B82"/>
    <w:rsid w:val="54244390"/>
    <w:rsid w:val="54662A63"/>
    <w:rsid w:val="58064E12"/>
    <w:rsid w:val="5902026F"/>
    <w:rsid w:val="5BFEE015"/>
    <w:rsid w:val="63EDCF55"/>
    <w:rsid w:val="63FBFBCF"/>
    <w:rsid w:val="669360FD"/>
    <w:rsid w:val="68FF6A83"/>
    <w:rsid w:val="6B5F0C95"/>
    <w:rsid w:val="6FBBC9CF"/>
    <w:rsid w:val="701317AE"/>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Body Text Indent"/>
    <w:basedOn w:val="1"/>
    <w:link w:val="15"/>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w:basedOn w:val="3"/>
    <w:qFormat/>
    <w:uiPriority w:val="0"/>
  </w:style>
  <w:style w:type="paragraph" w:styleId="8">
    <w:name w:val="Normal (Web)"/>
    <w:basedOn w:val="1"/>
    <w:qFormat/>
    <w:uiPriority w:val="0"/>
    <w:rPr>
      <w:sz w:val="24"/>
    </w:rPr>
  </w:style>
  <w:style w:type="paragraph" w:styleId="9">
    <w:name w:val="Body Text First Indent 2"/>
    <w:basedOn w:val="4"/>
    <w:link w:val="16"/>
    <w:qFormat/>
    <w:uiPriority w:val="0"/>
    <w:pPr>
      <w:ind w:firstLine="420" w:firstLineChars="200"/>
    </w:pPr>
  </w:style>
  <w:style w:type="character" w:customStyle="1" w:styleId="12">
    <w:name w:val="默认段落字体1"/>
    <w:qFormat/>
    <w:uiPriority w:val="0"/>
  </w:style>
  <w:style w:type="paragraph" w:customStyle="1" w:styleId="13">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4">
    <w:name w:val="Index"/>
    <w:basedOn w:val="1"/>
    <w:qFormat/>
    <w:uiPriority w:val="0"/>
    <w:pPr>
      <w:suppressLineNumbers/>
    </w:pPr>
  </w:style>
  <w:style w:type="character" w:customStyle="1" w:styleId="15">
    <w:name w:val="正文文本缩进 字符"/>
    <w:basedOn w:val="11"/>
    <w:link w:val="4"/>
    <w:qFormat/>
    <w:uiPriority w:val="0"/>
    <w:rPr>
      <w:rFonts w:ascii="Calibri" w:hAnsi="Calibri"/>
      <w:kern w:val="2"/>
      <w:sz w:val="21"/>
      <w:szCs w:val="24"/>
    </w:rPr>
  </w:style>
  <w:style w:type="character" w:customStyle="1" w:styleId="16">
    <w:name w:val="正文文本首行缩进 2 字符"/>
    <w:basedOn w:val="15"/>
    <w:link w:val="9"/>
    <w:qFormat/>
    <w:uiPriority w:val="0"/>
    <w:rPr>
      <w:rFonts w:ascii="Calibri" w:hAnsi="Calibri"/>
      <w:kern w:val="2"/>
      <w:sz w:val="21"/>
      <w:szCs w:val="24"/>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660</Words>
  <Characters>3768</Characters>
  <Lines>31</Lines>
  <Paragraphs>8</Paragraphs>
  <TotalTime>1</TotalTime>
  <ScaleCrop>false</ScaleCrop>
  <LinksUpToDate>false</LinksUpToDate>
  <CharactersWithSpaces>4420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dcterms:modified xsi:type="dcterms:W3CDTF">2024-02-06T15:15:44Z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