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580" w:lineRule="atLeast"/>
        <w:jc w:val="center"/>
        <w:outlineLvl w:val="0"/>
        <w:rPr>
          <w:rFonts w:ascii="方正小标宋简体" w:hAnsi="方正小标宋简体" w:eastAsia="方正小标宋简体" w:cs="方正小标宋简体"/>
          <w:color w:val="000000" w:themeColor="text1"/>
          <w:kern w:val="0"/>
          <w:sz w:val="44"/>
          <w:szCs w:val="44"/>
          <w:shd w:val="clear" w:color="auto" w:fill="FFFFFF"/>
        </w:rPr>
      </w:pPr>
      <w:bookmarkStart w:id="0" w:name="_Toc8709"/>
      <w:r>
        <w:rPr>
          <w:rFonts w:hint="eastAsia" w:ascii="方正小标宋简体" w:hAnsi="方正小标宋简体" w:eastAsia="方正小标宋简体" w:cs="方正小标宋简体"/>
          <w:color w:val="000000" w:themeColor="text1"/>
          <w:kern w:val="0"/>
          <w:sz w:val="44"/>
          <w:szCs w:val="44"/>
          <w:shd w:val="clear" w:color="auto" w:fill="FFFFFF"/>
        </w:rPr>
        <w:t>广元市朝天区人民法院</w:t>
      </w:r>
      <w:bookmarkEnd w:id="0"/>
    </w:p>
    <w:p>
      <w:pPr>
        <w:widowControl/>
        <w:shd w:val="clear" w:color="auto"/>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rPr>
        <w:sectPr>
          <w:footerReference r:id="rId3" w:type="default"/>
          <w:pgSz w:w="11906" w:h="16838"/>
          <w:pgMar w:top="2098" w:right="1474" w:bottom="1984" w:left="1587" w:header="720" w:footer="1559" w:gutter="0"/>
          <w:cols w:space="720" w:num="1"/>
          <w:docGrid w:type="lines" w:linePitch="312" w:charSpace="0"/>
        </w:sectPr>
      </w:pPr>
      <w:r>
        <w:rPr>
          <w:rFonts w:hint="eastAsia" w:ascii="方正小标宋简体" w:hAnsi="方正小标宋简体" w:eastAsia="方正小标宋简体" w:cs="方正小标宋简体"/>
          <w:color w:val="000000" w:themeColor="text1"/>
          <w:kern w:val="0"/>
          <w:sz w:val="44"/>
          <w:szCs w:val="44"/>
          <w:shd w:val="clear" w:color="auto" w:fill="FFFFFF"/>
        </w:rPr>
        <w:t>2024年部门预算编制说明</w:t>
      </w:r>
    </w:p>
    <w:sdt>
      <w:sdtPr>
        <w:rPr>
          <w:rFonts w:ascii="宋体" w:hAnsi="宋体" w:eastAsia="宋体" w:cs="Times New Roman"/>
          <w:kern w:val="2"/>
          <w:sz w:val="21"/>
          <w:szCs w:val="24"/>
          <w:lang w:val="en-US" w:eastAsia="zh-CN" w:bidi="ar-SA"/>
        </w:rPr>
        <w:id w:val="147479173"/>
        <w15:color w:val="DBDBDB"/>
        <w:docPartObj>
          <w:docPartGallery w:val="Table of Contents"/>
          <w:docPartUnique/>
        </w:docPartObj>
      </w:sdtPr>
      <w:sdtEndPr>
        <w:rPr>
          <w:rFonts w:hint="eastAsia" w:ascii="黑体" w:hAnsi="黑体" w:eastAsia="黑体" w:cs="黑体"/>
          <w:b/>
          <w:kern w:val="2"/>
          <w:sz w:val="21"/>
          <w:szCs w:val="32"/>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4"/>
            <w:tabs>
              <w:tab w:val="right" w:leader="dot" w:pos="8845"/>
            </w:tabs>
            <w:spacing w:line="360" w:lineRule="auto"/>
            <w:rPr>
              <w:b/>
            </w:rPr>
          </w:pP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TOC \o "1-2" \h \u </w:instrText>
          </w:r>
          <w:r>
            <w:rPr>
              <w:rFonts w:hint="eastAsia" w:ascii="黑体" w:hAnsi="黑体" w:eastAsia="黑体" w:cs="黑体"/>
              <w:sz w:val="32"/>
              <w:szCs w:val="32"/>
            </w:rPr>
            <w:fldChar w:fldCharType="separate"/>
          </w: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_Toc20200 </w:instrText>
          </w:r>
          <w:r>
            <w:rPr>
              <w:rFonts w:hint="eastAsia" w:ascii="黑体" w:hAnsi="黑体" w:eastAsia="黑体" w:cs="黑体"/>
              <w:b/>
              <w:szCs w:val="32"/>
            </w:rPr>
            <w:fldChar w:fldCharType="separate"/>
          </w:r>
          <w:r>
            <w:rPr>
              <w:rFonts w:hint="eastAsia" w:ascii="黑体" w:hAnsi="黑体" w:eastAsia="黑体" w:cs="黑体"/>
              <w:b/>
              <w:szCs w:val="32"/>
            </w:rPr>
            <w:t>一、基本职能及主要工作</w:t>
          </w:r>
          <w:r>
            <w:rPr>
              <w:b/>
            </w:rPr>
            <w:tab/>
          </w:r>
          <w:r>
            <w:rPr>
              <w:b/>
            </w:rPr>
            <w:fldChar w:fldCharType="begin"/>
          </w:r>
          <w:r>
            <w:rPr>
              <w:b/>
            </w:rPr>
            <w:instrText xml:space="preserve"> PAGEREF _Toc20200 \h </w:instrText>
          </w:r>
          <w:r>
            <w:rPr>
              <w:b/>
            </w:rPr>
            <w:fldChar w:fldCharType="separate"/>
          </w:r>
          <w:r>
            <w:rPr>
              <w:b/>
            </w:rPr>
            <w:t>3</w:t>
          </w:r>
          <w:r>
            <w:rPr>
              <w:b/>
            </w:rPr>
            <w:fldChar w:fldCharType="end"/>
          </w:r>
          <w:r>
            <w:rPr>
              <w:rFonts w:hint="eastAsia" w:ascii="黑体" w:hAnsi="黑体" w:eastAsia="黑体" w:cs="黑体"/>
              <w:b/>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_Toc20718 </w:instrText>
          </w:r>
          <w:r>
            <w:rPr>
              <w:rFonts w:hint="eastAsia" w:ascii="黑体" w:hAnsi="黑体" w:eastAsia="黑体" w:cs="黑体"/>
              <w:szCs w:val="32"/>
            </w:rPr>
            <w:fldChar w:fldCharType="separate"/>
          </w:r>
          <w:r>
            <w:rPr>
              <w:rFonts w:hint="eastAsia" w:ascii="楷体_GB2312" w:hAnsi="楷体_GB2312" w:eastAsia="楷体_GB2312" w:cs="楷体_GB2312"/>
              <w:szCs w:val="32"/>
            </w:rPr>
            <w:t>（一）</w:t>
          </w:r>
          <w:r>
            <w:rPr>
              <w:rFonts w:hint="eastAsia" w:ascii="楷体_GB2312" w:eastAsia="楷体_GB2312" w:cs="楷体_GB2312"/>
              <w:szCs w:val="32"/>
              <w:shd w:val="clear" w:color="auto" w:fill="FFFFFF"/>
            </w:rPr>
            <w:t>广元市朝天区人民法院职能简介</w:t>
          </w:r>
          <w:r>
            <w:tab/>
          </w:r>
          <w:r>
            <w:fldChar w:fldCharType="begin"/>
          </w:r>
          <w:r>
            <w:instrText xml:space="preserve"> PAGEREF _Toc20718 \h </w:instrText>
          </w:r>
          <w:r>
            <w:fldChar w:fldCharType="separate"/>
          </w:r>
          <w:r>
            <w:t>3</w:t>
          </w:r>
          <w:r>
            <w:fldChar w:fldCharType="end"/>
          </w:r>
          <w:r>
            <w:rPr>
              <w:rFonts w:hint="eastAsia" w:ascii="黑体" w:hAnsi="黑体" w:eastAsia="黑体" w:cs="黑体"/>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_Toc9469 </w:instrText>
          </w:r>
          <w:r>
            <w:rPr>
              <w:rFonts w:hint="eastAsia" w:ascii="黑体" w:hAnsi="黑体" w:eastAsia="黑体" w:cs="黑体"/>
              <w:szCs w:val="32"/>
            </w:rPr>
            <w:fldChar w:fldCharType="separate"/>
          </w:r>
          <w:r>
            <w:rPr>
              <w:rFonts w:hint="eastAsia" w:ascii="楷体_GB2312" w:hAnsi="楷体_GB2312" w:eastAsia="楷体_GB2312" w:cs="楷体_GB2312"/>
              <w:szCs w:val="32"/>
            </w:rPr>
            <w:t>（二）广元市朝天区人民法院2024年重点工作</w:t>
          </w:r>
          <w:r>
            <w:tab/>
          </w:r>
          <w:r>
            <w:fldChar w:fldCharType="begin"/>
          </w:r>
          <w:r>
            <w:instrText xml:space="preserve"> PAGEREF _Toc9469 \h </w:instrText>
          </w:r>
          <w:r>
            <w:fldChar w:fldCharType="separate"/>
          </w:r>
          <w:r>
            <w:t>3</w:t>
          </w:r>
          <w:r>
            <w:fldChar w:fldCharType="end"/>
          </w:r>
          <w:r>
            <w:rPr>
              <w:rFonts w:hint="eastAsia" w:ascii="黑体" w:hAnsi="黑体" w:eastAsia="黑体" w:cs="黑体"/>
              <w:szCs w:val="32"/>
            </w:rPr>
            <w:fldChar w:fldCharType="end"/>
          </w:r>
        </w:p>
        <w:p>
          <w:pPr>
            <w:pStyle w:val="14"/>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_Toc32219 </w:instrText>
          </w:r>
          <w:r>
            <w:rPr>
              <w:rFonts w:hint="eastAsia" w:ascii="黑体" w:hAnsi="黑体" w:eastAsia="黑体" w:cs="黑体"/>
              <w:b/>
              <w:szCs w:val="32"/>
            </w:rPr>
            <w:fldChar w:fldCharType="separate"/>
          </w:r>
          <w:r>
            <w:rPr>
              <w:rFonts w:hint="eastAsia" w:ascii="黑体" w:hAnsi="黑体" w:eastAsia="黑体" w:cs="黑体"/>
              <w:b/>
              <w:szCs w:val="32"/>
            </w:rPr>
            <w:t>二、部门预算单位构成</w:t>
          </w:r>
          <w:r>
            <w:rPr>
              <w:b/>
            </w:rPr>
            <w:tab/>
          </w:r>
          <w:r>
            <w:rPr>
              <w:b/>
            </w:rPr>
            <w:fldChar w:fldCharType="begin"/>
          </w:r>
          <w:r>
            <w:rPr>
              <w:b/>
            </w:rPr>
            <w:instrText xml:space="preserve"> PAGEREF _Toc32219 \h </w:instrText>
          </w:r>
          <w:r>
            <w:rPr>
              <w:b/>
            </w:rPr>
            <w:fldChar w:fldCharType="separate"/>
          </w:r>
          <w:r>
            <w:rPr>
              <w:b/>
            </w:rPr>
            <w:t>5</w:t>
          </w:r>
          <w:r>
            <w:rPr>
              <w:b/>
            </w:rPr>
            <w:fldChar w:fldCharType="end"/>
          </w:r>
          <w:r>
            <w:rPr>
              <w:rFonts w:hint="eastAsia" w:ascii="黑体" w:hAnsi="黑体" w:eastAsia="黑体" w:cs="黑体"/>
              <w:b/>
              <w:szCs w:val="32"/>
            </w:rPr>
            <w:fldChar w:fldCharType="end"/>
          </w:r>
        </w:p>
        <w:p>
          <w:pPr>
            <w:pStyle w:val="14"/>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_Toc2515 </w:instrText>
          </w:r>
          <w:r>
            <w:rPr>
              <w:rFonts w:hint="eastAsia" w:ascii="黑体" w:hAnsi="黑体" w:eastAsia="黑体" w:cs="黑体"/>
              <w:b/>
              <w:szCs w:val="32"/>
            </w:rPr>
            <w:fldChar w:fldCharType="separate"/>
          </w:r>
          <w:r>
            <w:rPr>
              <w:rFonts w:hint="eastAsia" w:ascii="黑体" w:hAnsi="黑体" w:eastAsia="黑体" w:cs="黑体"/>
              <w:b/>
              <w:szCs w:val="32"/>
            </w:rPr>
            <w:t>三、收支预算情况说明</w:t>
          </w:r>
          <w:r>
            <w:rPr>
              <w:b/>
            </w:rPr>
            <w:tab/>
          </w:r>
          <w:r>
            <w:rPr>
              <w:b/>
            </w:rPr>
            <w:fldChar w:fldCharType="begin"/>
          </w:r>
          <w:r>
            <w:rPr>
              <w:b/>
            </w:rPr>
            <w:instrText xml:space="preserve"> PAGEREF _Toc2515 \h </w:instrText>
          </w:r>
          <w:r>
            <w:rPr>
              <w:b/>
            </w:rPr>
            <w:fldChar w:fldCharType="separate"/>
          </w:r>
          <w:r>
            <w:rPr>
              <w:b/>
            </w:rPr>
            <w:t>5</w:t>
          </w:r>
          <w:r>
            <w:rPr>
              <w:b/>
            </w:rPr>
            <w:fldChar w:fldCharType="end"/>
          </w:r>
          <w:r>
            <w:rPr>
              <w:rFonts w:hint="eastAsia" w:ascii="黑体" w:hAnsi="黑体" w:eastAsia="黑体" w:cs="黑体"/>
              <w:b/>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_Toc8481 </w:instrText>
          </w:r>
          <w:r>
            <w:rPr>
              <w:rFonts w:hint="eastAsia" w:ascii="黑体" w:hAnsi="黑体" w:eastAsia="黑体" w:cs="黑体"/>
              <w:szCs w:val="32"/>
            </w:rPr>
            <w:fldChar w:fldCharType="separate"/>
          </w:r>
          <w:r>
            <w:rPr>
              <w:rFonts w:hint="eastAsia" w:ascii="楷体_GB2312" w:hAnsi="楷体_GB2312" w:eastAsia="楷体_GB2312" w:cs="楷体_GB2312"/>
              <w:kern w:val="0"/>
              <w:szCs w:val="32"/>
              <w:shd w:val="clear" w:fill="FFFFFF"/>
            </w:rPr>
            <w:t xml:space="preserve">（一） </w:t>
          </w:r>
          <w:r>
            <w:rPr>
              <w:rFonts w:hint="eastAsia" w:ascii="楷体_GB2312" w:hAnsi="楷体_GB2312" w:eastAsia="楷体_GB2312" w:cs="楷体_GB2312"/>
              <w:kern w:val="0"/>
              <w:szCs w:val="32"/>
              <w:shd w:val="clear" w:color="auto" w:fill="FFFFFF"/>
            </w:rPr>
            <w:t>收入预算情况</w:t>
          </w:r>
          <w:r>
            <w:tab/>
          </w:r>
          <w:r>
            <w:fldChar w:fldCharType="begin"/>
          </w:r>
          <w:r>
            <w:instrText xml:space="preserve"> PAGEREF _Toc8481 \h </w:instrText>
          </w:r>
          <w:r>
            <w:fldChar w:fldCharType="separate"/>
          </w:r>
          <w:r>
            <w:t>5</w:t>
          </w:r>
          <w:r>
            <w:fldChar w:fldCharType="end"/>
          </w:r>
          <w:r>
            <w:rPr>
              <w:rFonts w:hint="eastAsia" w:ascii="黑体" w:hAnsi="黑体" w:eastAsia="黑体" w:cs="黑体"/>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_Toc27843 </w:instrText>
          </w:r>
          <w:r>
            <w:rPr>
              <w:rFonts w:hint="eastAsia" w:ascii="黑体" w:hAnsi="黑体" w:eastAsia="黑体" w:cs="黑体"/>
              <w:szCs w:val="32"/>
            </w:rPr>
            <w:fldChar w:fldCharType="separate"/>
          </w:r>
          <w:r>
            <w:rPr>
              <w:rFonts w:hint="eastAsia" w:ascii="楷体_GB2312" w:hAnsi="楷体_GB2312" w:eastAsia="楷体_GB2312" w:cs="楷体_GB2312"/>
              <w:kern w:val="0"/>
              <w:szCs w:val="32"/>
              <w:shd w:val="clear" w:fill="FFFFFF"/>
            </w:rPr>
            <w:t xml:space="preserve">（二） </w:t>
          </w:r>
          <w:r>
            <w:rPr>
              <w:rFonts w:hint="eastAsia" w:ascii="楷体_GB2312" w:hAnsi="楷体_GB2312" w:eastAsia="楷体_GB2312" w:cs="楷体_GB2312"/>
              <w:kern w:val="0"/>
              <w:szCs w:val="32"/>
              <w:shd w:val="clear" w:color="auto" w:fill="FFFFFF"/>
            </w:rPr>
            <w:t>支出预算情况</w:t>
          </w:r>
          <w:r>
            <w:tab/>
          </w:r>
          <w:r>
            <w:fldChar w:fldCharType="begin"/>
          </w:r>
          <w:r>
            <w:instrText xml:space="preserve"> PAGEREF _Toc27843 \h </w:instrText>
          </w:r>
          <w:r>
            <w:fldChar w:fldCharType="separate"/>
          </w:r>
          <w:r>
            <w:t>5</w:t>
          </w:r>
          <w:r>
            <w:fldChar w:fldCharType="end"/>
          </w:r>
          <w:r>
            <w:rPr>
              <w:rFonts w:hint="eastAsia" w:ascii="黑体" w:hAnsi="黑体" w:eastAsia="黑体" w:cs="黑体"/>
              <w:szCs w:val="32"/>
            </w:rPr>
            <w:fldChar w:fldCharType="end"/>
          </w:r>
        </w:p>
        <w:p>
          <w:pPr>
            <w:pStyle w:val="14"/>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_Toc19374 </w:instrText>
          </w:r>
          <w:r>
            <w:rPr>
              <w:rFonts w:hint="eastAsia" w:ascii="黑体" w:hAnsi="黑体" w:eastAsia="黑体" w:cs="黑体"/>
              <w:b/>
              <w:szCs w:val="32"/>
            </w:rPr>
            <w:fldChar w:fldCharType="separate"/>
          </w:r>
          <w:r>
            <w:rPr>
              <w:rFonts w:hint="eastAsia" w:ascii="黑体" w:hAnsi="黑体" w:eastAsia="黑体" w:cs="黑体"/>
              <w:b/>
              <w:szCs w:val="32"/>
            </w:rPr>
            <w:t>四、财政拨款收支预算情况说明</w:t>
          </w:r>
          <w:r>
            <w:rPr>
              <w:b/>
            </w:rPr>
            <w:tab/>
          </w:r>
          <w:r>
            <w:rPr>
              <w:b/>
            </w:rPr>
            <w:fldChar w:fldCharType="begin"/>
          </w:r>
          <w:r>
            <w:rPr>
              <w:b/>
            </w:rPr>
            <w:instrText xml:space="preserve"> PAGEREF _Toc19374 \h </w:instrText>
          </w:r>
          <w:r>
            <w:rPr>
              <w:b/>
            </w:rPr>
            <w:fldChar w:fldCharType="separate"/>
          </w:r>
          <w:r>
            <w:rPr>
              <w:b/>
            </w:rPr>
            <w:t>5</w:t>
          </w:r>
          <w:r>
            <w:rPr>
              <w:b/>
            </w:rPr>
            <w:fldChar w:fldCharType="end"/>
          </w:r>
          <w:r>
            <w:rPr>
              <w:rFonts w:hint="eastAsia" w:ascii="黑体" w:hAnsi="黑体" w:eastAsia="黑体" w:cs="黑体"/>
              <w:b/>
              <w:szCs w:val="32"/>
            </w:rPr>
            <w:fldChar w:fldCharType="end"/>
          </w:r>
        </w:p>
        <w:p>
          <w:pPr>
            <w:pStyle w:val="14"/>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_Toc17966 </w:instrText>
          </w:r>
          <w:r>
            <w:rPr>
              <w:rFonts w:hint="eastAsia" w:ascii="黑体" w:hAnsi="黑体" w:eastAsia="黑体" w:cs="黑体"/>
              <w:b/>
              <w:szCs w:val="32"/>
            </w:rPr>
            <w:fldChar w:fldCharType="separate"/>
          </w:r>
          <w:r>
            <w:rPr>
              <w:rFonts w:hint="eastAsia" w:ascii="黑体" w:hAnsi="黑体" w:eastAsia="黑体" w:cs="黑体"/>
              <w:b/>
              <w:szCs w:val="32"/>
            </w:rPr>
            <w:t>五、一般公共预算当年拨款情况说明</w:t>
          </w:r>
          <w:r>
            <w:rPr>
              <w:b/>
            </w:rPr>
            <w:tab/>
          </w:r>
          <w:r>
            <w:rPr>
              <w:b/>
            </w:rPr>
            <w:fldChar w:fldCharType="begin"/>
          </w:r>
          <w:r>
            <w:rPr>
              <w:b/>
            </w:rPr>
            <w:instrText xml:space="preserve"> PAGEREF _Toc17966 \h </w:instrText>
          </w:r>
          <w:r>
            <w:rPr>
              <w:b/>
            </w:rPr>
            <w:fldChar w:fldCharType="separate"/>
          </w:r>
          <w:r>
            <w:rPr>
              <w:b/>
            </w:rPr>
            <w:t>6</w:t>
          </w:r>
          <w:r>
            <w:rPr>
              <w:b/>
            </w:rPr>
            <w:fldChar w:fldCharType="end"/>
          </w:r>
          <w:r>
            <w:rPr>
              <w:rFonts w:hint="eastAsia" w:ascii="黑体" w:hAnsi="黑体" w:eastAsia="黑体" w:cs="黑体"/>
              <w:b/>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_Toc15063 </w:instrText>
          </w:r>
          <w:r>
            <w:rPr>
              <w:rFonts w:hint="eastAsia" w:ascii="黑体" w:hAnsi="黑体" w:eastAsia="黑体" w:cs="黑体"/>
              <w:szCs w:val="32"/>
            </w:rPr>
            <w:fldChar w:fldCharType="separate"/>
          </w:r>
          <w:r>
            <w:rPr>
              <w:rFonts w:hint="eastAsia" w:ascii="楷体_GB2312" w:hAnsi="楷体_GB2312" w:eastAsia="楷体_GB2312" w:cs="楷体_GB2312"/>
              <w:kern w:val="0"/>
              <w:szCs w:val="32"/>
              <w:shd w:val="clear" w:color="auto" w:fill="FFFFFF"/>
            </w:rPr>
            <w:t>（一）一般公共预算当年拨款规模变化情况</w:t>
          </w:r>
          <w:r>
            <w:tab/>
          </w:r>
          <w:r>
            <w:fldChar w:fldCharType="begin"/>
          </w:r>
          <w:r>
            <w:instrText xml:space="preserve"> PAGEREF _Toc15063 \h </w:instrText>
          </w:r>
          <w:r>
            <w:fldChar w:fldCharType="separate"/>
          </w:r>
          <w:r>
            <w:t>6</w:t>
          </w:r>
          <w:r>
            <w:fldChar w:fldCharType="end"/>
          </w:r>
          <w:r>
            <w:rPr>
              <w:rFonts w:hint="eastAsia" w:ascii="黑体" w:hAnsi="黑体" w:eastAsia="黑体" w:cs="黑体"/>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_Toc29324 </w:instrText>
          </w:r>
          <w:r>
            <w:rPr>
              <w:rFonts w:hint="eastAsia" w:ascii="黑体" w:hAnsi="黑体" w:eastAsia="黑体" w:cs="黑体"/>
              <w:szCs w:val="32"/>
            </w:rPr>
            <w:fldChar w:fldCharType="separate"/>
          </w:r>
          <w:r>
            <w:rPr>
              <w:rFonts w:hint="eastAsia" w:ascii="楷体_GB2312" w:hAnsi="楷体_GB2312" w:eastAsia="楷体_GB2312" w:cs="楷体_GB2312"/>
              <w:kern w:val="0"/>
              <w:szCs w:val="32"/>
              <w:shd w:val="clear" w:color="auto" w:fill="FFFFFF"/>
            </w:rPr>
            <w:t>（二）一般公共预算当年拨款结构情况</w:t>
          </w:r>
          <w:r>
            <w:tab/>
          </w:r>
          <w:r>
            <w:fldChar w:fldCharType="begin"/>
          </w:r>
          <w:r>
            <w:instrText xml:space="preserve"> PAGEREF _Toc29324 \h </w:instrText>
          </w:r>
          <w:r>
            <w:fldChar w:fldCharType="separate"/>
          </w:r>
          <w:r>
            <w:t>6</w:t>
          </w:r>
          <w:r>
            <w:fldChar w:fldCharType="end"/>
          </w:r>
          <w:r>
            <w:rPr>
              <w:rFonts w:hint="eastAsia" w:ascii="黑体" w:hAnsi="黑体" w:eastAsia="黑体" w:cs="黑体"/>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_Toc976 </w:instrText>
          </w:r>
          <w:r>
            <w:rPr>
              <w:rFonts w:hint="eastAsia" w:ascii="黑体" w:hAnsi="黑体" w:eastAsia="黑体" w:cs="黑体"/>
              <w:szCs w:val="32"/>
            </w:rPr>
            <w:fldChar w:fldCharType="separate"/>
          </w:r>
          <w:r>
            <w:rPr>
              <w:rFonts w:hint="eastAsia" w:ascii="楷体_GB2312" w:hAnsi="楷体_GB2312" w:eastAsia="楷体_GB2312" w:cs="楷体_GB2312"/>
              <w:kern w:val="0"/>
              <w:szCs w:val="32"/>
              <w:shd w:val="clear" w:color="auto" w:fill="FFFFFF"/>
            </w:rPr>
            <w:t>（三）一般公共预算当年拨款具体使用情况</w:t>
          </w:r>
          <w:r>
            <w:tab/>
          </w:r>
          <w:r>
            <w:fldChar w:fldCharType="begin"/>
          </w:r>
          <w:r>
            <w:instrText xml:space="preserve"> PAGEREF _Toc976 \h </w:instrText>
          </w:r>
          <w:r>
            <w:fldChar w:fldCharType="separate"/>
          </w:r>
          <w:r>
            <w:t>6</w:t>
          </w:r>
          <w:r>
            <w:fldChar w:fldCharType="end"/>
          </w:r>
          <w:r>
            <w:rPr>
              <w:rFonts w:hint="eastAsia" w:ascii="黑体" w:hAnsi="黑体" w:eastAsia="黑体" w:cs="黑体"/>
              <w:szCs w:val="32"/>
            </w:rPr>
            <w:fldChar w:fldCharType="end"/>
          </w:r>
        </w:p>
        <w:p>
          <w:pPr>
            <w:pStyle w:val="14"/>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_Toc31376 </w:instrText>
          </w:r>
          <w:r>
            <w:rPr>
              <w:rFonts w:hint="eastAsia" w:ascii="黑体" w:hAnsi="黑体" w:eastAsia="黑体" w:cs="黑体"/>
              <w:b/>
              <w:szCs w:val="32"/>
            </w:rPr>
            <w:fldChar w:fldCharType="separate"/>
          </w:r>
          <w:r>
            <w:rPr>
              <w:rFonts w:hint="eastAsia" w:ascii="黑体" w:hAnsi="黑体" w:eastAsia="黑体" w:cs="黑体"/>
              <w:b/>
              <w:szCs w:val="32"/>
            </w:rPr>
            <w:t>六、一般公共预算基本支出情况说明</w:t>
          </w:r>
          <w:r>
            <w:rPr>
              <w:b/>
            </w:rPr>
            <w:tab/>
          </w:r>
          <w:r>
            <w:rPr>
              <w:b/>
            </w:rPr>
            <w:fldChar w:fldCharType="begin"/>
          </w:r>
          <w:r>
            <w:rPr>
              <w:b/>
            </w:rPr>
            <w:instrText xml:space="preserve"> PAGEREF _Toc31376 \h </w:instrText>
          </w:r>
          <w:r>
            <w:rPr>
              <w:b/>
            </w:rPr>
            <w:fldChar w:fldCharType="separate"/>
          </w:r>
          <w:r>
            <w:rPr>
              <w:b/>
            </w:rPr>
            <w:t>7</w:t>
          </w:r>
          <w:r>
            <w:rPr>
              <w:b/>
            </w:rPr>
            <w:fldChar w:fldCharType="end"/>
          </w:r>
          <w:r>
            <w:rPr>
              <w:rFonts w:hint="eastAsia" w:ascii="黑体" w:hAnsi="黑体" w:eastAsia="黑体" w:cs="黑体"/>
              <w:b/>
              <w:szCs w:val="32"/>
            </w:rPr>
            <w:fldChar w:fldCharType="end"/>
          </w:r>
        </w:p>
        <w:p>
          <w:pPr>
            <w:pStyle w:val="14"/>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_Toc23448 </w:instrText>
          </w:r>
          <w:r>
            <w:rPr>
              <w:rFonts w:hint="eastAsia" w:ascii="黑体" w:hAnsi="黑体" w:eastAsia="黑体" w:cs="黑体"/>
              <w:b/>
              <w:szCs w:val="32"/>
            </w:rPr>
            <w:fldChar w:fldCharType="separate"/>
          </w:r>
          <w:r>
            <w:rPr>
              <w:rFonts w:hint="eastAsia" w:ascii="黑体" w:hAnsi="黑体" w:eastAsia="黑体" w:cs="黑体"/>
              <w:b/>
              <w:szCs w:val="32"/>
            </w:rPr>
            <w:t>七、“三公”经费财政拨款预算安排情况说明</w:t>
          </w:r>
          <w:r>
            <w:rPr>
              <w:b/>
            </w:rPr>
            <w:tab/>
          </w:r>
          <w:r>
            <w:rPr>
              <w:b/>
            </w:rPr>
            <w:fldChar w:fldCharType="begin"/>
          </w:r>
          <w:r>
            <w:rPr>
              <w:b/>
            </w:rPr>
            <w:instrText xml:space="preserve"> PAGEREF _Toc23448 \h </w:instrText>
          </w:r>
          <w:r>
            <w:rPr>
              <w:b/>
            </w:rPr>
            <w:fldChar w:fldCharType="separate"/>
          </w:r>
          <w:r>
            <w:rPr>
              <w:b/>
            </w:rPr>
            <w:t>8</w:t>
          </w:r>
          <w:r>
            <w:rPr>
              <w:b/>
            </w:rPr>
            <w:fldChar w:fldCharType="end"/>
          </w:r>
          <w:r>
            <w:rPr>
              <w:rFonts w:hint="eastAsia" w:ascii="黑体" w:hAnsi="黑体" w:eastAsia="黑体" w:cs="黑体"/>
              <w:b/>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_Toc22993 </w:instrText>
          </w:r>
          <w:r>
            <w:rPr>
              <w:rFonts w:hint="eastAsia" w:ascii="黑体" w:hAnsi="黑体" w:eastAsia="黑体" w:cs="黑体"/>
              <w:szCs w:val="32"/>
            </w:rPr>
            <w:fldChar w:fldCharType="separate"/>
          </w:r>
          <w:r>
            <w:rPr>
              <w:rFonts w:hint="eastAsia" w:ascii="楷体_GB2312" w:hAnsi="楷体_GB2312" w:eastAsia="楷体_GB2312" w:cs="楷体_GB2312"/>
              <w:kern w:val="0"/>
              <w:szCs w:val="32"/>
              <w:shd w:val="clear" w:color="auto" w:fill="FFFFFF"/>
              <w:lang w:eastAsia="zh-CN"/>
            </w:rPr>
            <w:t>（</w:t>
          </w:r>
          <w:r>
            <w:rPr>
              <w:rFonts w:hint="eastAsia" w:ascii="楷体_GB2312" w:hAnsi="楷体_GB2312" w:eastAsia="楷体_GB2312" w:cs="楷体_GB2312"/>
              <w:kern w:val="0"/>
              <w:szCs w:val="32"/>
              <w:shd w:val="clear" w:color="auto" w:fill="FFFFFF"/>
            </w:rPr>
            <w:t>一)公务接待费</w:t>
          </w:r>
          <w:r>
            <w:tab/>
          </w:r>
          <w:r>
            <w:fldChar w:fldCharType="begin"/>
          </w:r>
          <w:r>
            <w:instrText xml:space="preserve"> PAGEREF _Toc22993 \h </w:instrText>
          </w:r>
          <w:r>
            <w:fldChar w:fldCharType="separate"/>
          </w:r>
          <w:r>
            <w:t>8</w:t>
          </w:r>
          <w:r>
            <w:fldChar w:fldCharType="end"/>
          </w:r>
          <w:r>
            <w:rPr>
              <w:rFonts w:hint="eastAsia" w:ascii="黑体" w:hAnsi="黑体" w:eastAsia="黑体" w:cs="黑体"/>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_Toc26535 </w:instrText>
          </w:r>
          <w:r>
            <w:rPr>
              <w:rFonts w:hint="eastAsia" w:ascii="黑体" w:hAnsi="黑体" w:eastAsia="黑体" w:cs="黑体"/>
              <w:szCs w:val="32"/>
            </w:rPr>
            <w:fldChar w:fldCharType="separate"/>
          </w:r>
          <w:r>
            <w:rPr>
              <w:rFonts w:hint="eastAsia" w:ascii="楷体_GB2312" w:hAnsi="楷体_GB2312" w:eastAsia="楷体_GB2312" w:cs="楷体_GB2312"/>
              <w:kern w:val="0"/>
              <w:szCs w:val="32"/>
              <w:shd w:val="clear" w:color="auto" w:fill="FFFFFF"/>
              <w:lang w:eastAsia="zh-CN"/>
            </w:rPr>
            <w:t>（</w:t>
          </w:r>
          <w:r>
            <w:rPr>
              <w:rFonts w:hint="eastAsia" w:ascii="楷体_GB2312" w:hAnsi="楷体_GB2312" w:eastAsia="楷体_GB2312" w:cs="楷体_GB2312"/>
              <w:kern w:val="0"/>
              <w:szCs w:val="32"/>
              <w:shd w:val="clear" w:color="auto" w:fill="FFFFFF"/>
            </w:rPr>
            <w:t>二)公务用车购置及运行维护费</w:t>
          </w:r>
          <w:r>
            <w:tab/>
          </w:r>
          <w:r>
            <w:fldChar w:fldCharType="begin"/>
          </w:r>
          <w:r>
            <w:instrText xml:space="preserve"> PAGEREF _Toc26535 \h </w:instrText>
          </w:r>
          <w:r>
            <w:fldChar w:fldCharType="separate"/>
          </w:r>
          <w:r>
            <w:t>8</w:t>
          </w:r>
          <w:r>
            <w:fldChar w:fldCharType="end"/>
          </w:r>
          <w:r>
            <w:rPr>
              <w:rFonts w:hint="eastAsia" w:ascii="黑体" w:hAnsi="黑体" w:eastAsia="黑体" w:cs="黑体"/>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_Toc8024 </w:instrText>
          </w:r>
          <w:r>
            <w:rPr>
              <w:rFonts w:hint="eastAsia" w:ascii="黑体" w:hAnsi="黑体" w:eastAsia="黑体" w:cs="黑体"/>
              <w:szCs w:val="32"/>
            </w:rPr>
            <w:fldChar w:fldCharType="separate"/>
          </w:r>
          <w:r>
            <w:rPr>
              <w:rFonts w:hint="eastAsia" w:ascii="楷体_GB2312" w:hAnsi="楷体_GB2312" w:eastAsia="楷体_GB2312" w:cs="楷体_GB2312"/>
              <w:kern w:val="0"/>
              <w:szCs w:val="32"/>
              <w:shd w:val="clear" w:color="auto" w:fill="FFFFFF"/>
              <w:lang w:eastAsia="zh-CN"/>
            </w:rPr>
            <w:t>（</w:t>
          </w:r>
          <w:r>
            <w:rPr>
              <w:rFonts w:hint="eastAsia" w:ascii="楷体_GB2312" w:hAnsi="楷体_GB2312" w:eastAsia="楷体_GB2312" w:cs="楷体_GB2312"/>
              <w:kern w:val="0"/>
              <w:szCs w:val="32"/>
              <w:shd w:val="clear" w:color="auto" w:fill="FFFFFF"/>
            </w:rPr>
            <w:t>三)因公出国（境）经费</w:t>
          </w:r>
          <w:r>
            <w:tab/>
          </w:r>
          <w:r>
            <w:fldChar w:fldCharType="begin"/>
          </w:r>
          <w:r>
            <w:instrText xml:space="preserve"> PAGEREF _Toc8024 \h </w:instrText>
          </w:r>
          <w:r>
            <w:fldChar w:fldCharType="separate"/>
          </w:r>
          <w:r>
            <w:t>9</w:t>
          </w:r>
          <w:r>
            <w:fldChar w:fldCharType="end"/>
          </w:r>
          <w:r>
            <w:rPr>
              <w:rFonts w:hint="eastAsia" w:ascii="黑体" w:hAnsi="黑体" w:eastAsia="黑体" w:cs="黑体"/>
              <w:szCs w:val="32"/>
            </w:rPr>
            <w:fldChar w:fldCharType="end"/>
          </w:r>
        </w:p>
        <w:p>
          <w:pPr>
            <w:pStyle w:val="14"/>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_Toc9370 </w:instrText>
          </w:r>
          <w:r>
            <w:rPr>
              <w:rFonts w:hint="eastAsia" w:ascii="黑体" w:hAnsi="黑体" w:eastAsia="黑体" w:cs="黑体"/>
              <w:b/>
              <w:szCs w:val="32"/>
            </w:rPr>
            <w:fldChar w:fldCharType="separate"/>
          </w:r>
          <w:r>
            <w:rPr>
              <w:rFonts w:hint="eastAsia" w:ascii="黑体" w:hAnsi="黑体" w:eastAsia="黑体" w:cs="黑体"/>
              <w:b/>
              <w:szCs w:val="32"/>
            </w:rPr>
            <w:t>八、政府性基金预算支出情况说明</w:t>
          </w:r>
          <w:r>
            <w:rPr>
              <w:b/>
            </w:rPr>
            <w:tab/>
          </w:r>
          <w:r>
            <w:rPr>
              <w:b/>
            </w:rPr>
            <w:fldChar w:fldCharType="begin"/>
          </w:r>
          <w:r>
            <w:rPr>
              <w:b/>
            </w:rPr>
            <w:instrText xml:space="preserve"> PAGEREF _Toc9370 \h </w:instrText>
          </w:r>
          <w:r>
            <w:rPr>
              <w:b/>
            </w:rPr>
            <w:fldChar w:fldCharType="separate"/>
          </w:r>
          <w:r>
            <w:rPr>
              <w:b/>
            </w:rPr>
            <w:t>9</w:t>
          </w:r>
          <w:r>
            <w:rPr>
              <w:b/>
            </w:rPr>
            <w:fldChar w:fldCharType="end"/>
          </w:r>
          <w:r>
            <w:rPr>
              <w:rFonts w:hint="eastAsia" w:ascii="黑体" w:hAnsi="黑体" w:eastAsia="黑体" w:cs="黑体"/>
              <w:b/>
              <w:szCs w:val="32"/>
            </w:rPr>
            <w:fldChar w:fldCharType="end"/>
          </w:r>
        </w:p>
        <w:p>
          <w:pPr>
            <w:pStyle w:val="14"/>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_Toc24579 </w:instrText>
          </w:r>
          <w:r>
            <w:rPr>
              <w:rFonts w:hint="eastAsia" w:ascii="黑体" w:hAnsi="黑体" w:eastAsia="黑体" w:cs="黑体"/>
              <w:b/>
              <w:szCs w:val="32"/>
            </w:rPr>
            <w:fldChar w:fldCharType="separate"/>
          </w:r>
          <w:r>
            <w:rPr>
              <w:rFonts w:hint="eastAsia" w:ascii="黑体" w:hAnsi="黑体" w:eastAsia="黑体" w:cs="黑体"/>
              <w:b/>
              <w:szCs w:val="32"/>
            </w:rPr>
            <w:t>九、国有资本经营预算支出情况说明</w:t>
          </w:r>
          <w:r>
            <w:rPr>
              <w:b/>
            </w:rPr>
            <w:tab/>
          </w:r>
          <w:r>
            <w:rPr>
              <w:b/>
            </w:rPr>
            <w:fldChar w:fldCharType="begin"/>
          </w:r>
          <w:r>
            <w:rPr>
              <w:b/>
            </w:rPr>
            <w:instrText xml:space="preserve"> PAGEREF _Toc24579 \h </w:instrText>
          </w:r>
          <w:r>
            <w:rPr>
              <w:b/>
            </w:rPr>
            <w:fldChar w:fldCharType="separate"/>
          </w:r>
          <w:r>
            <w:rPr>
              <w:b/>
            </w:rPr>
            <w:t>9</w:t>
          </w:r>
          <w:r>
            <w:rPr>
              <w:b/>
            </w:rPr>
            <w:fldChar w:fldCharType="end"/>
          </w:r>
          <w:r>
            <w:rPr>
              <w:rFonts w:hint="eastAsia" w:ascii="黑体" w:hAnsi="黑体" w:eastAsia="黑体" w:cs="黑体"/>
              <w:b/>
              <w:szCs w:val="32"/>
            </w:rPr>
            <w:fldChar w:fldCharType="end"/>
          </w:r>
        </w:p>
        <w:p>
          <w:pPr>
            <w:pStyle w:val="14"/>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_Toc7088 </w:instrText>
          </w:r>
          <w:r>
            <w:rPr>
              <w:rFonts w:hint="eastAsia" w:ascii="黑体" w:hAnsi="黑体" w:eastAsia="黑体" w:cs="黑体"/>
              <w:b/>
              <w:szCs w:val="32"/>
            </w:rPr>
            <w:fldChar w:fldCharType="separate"/>
          </w:r>
          <w:r>
            <w:rPr>
              <w:rFonts w:hint="eastAsia" w:ascii="黑体" w:hAnsi="黑体" w:eastAsia="黑体" w:cs="黑体"/>
              <w:b/>
              <w:szCs w:val="32"/>
            </w:rPr>
            <w:t>十、其他重要事项的情况说明</w:t>
          </w:r>
          <w:r>
            <w:rPr>
              <w:b/>
            </w:rPr>
            <w:tab/>
          </w:r>
          <w:r>
            <w:rPr>
              <w:b/>
            </w:rPr>
            <w:fldChar w:fldCharType="begin"/>
          </w:r>
          <w:r>
            <w:rPr>
              <w:b/>
            </w:rPr>
            <w:instrText xml:space="preserve"> PAGEREF _Toc7088 \h </w:instrText>
          </w:r>
          <w:r>
            <w:rPr>
              <w:b/>
            </w:rPr>
            <w:fldChar w:fldCharType="separate"/>
          </w:r>
          <w:r>
            <w:rPr>
              <w:b/>
            </w:rPr>
            <w:t>9</w:t>
          </w:r>
          <w:r>
            <w:rPr>
              <w:b/>
            </w:rPr>
            <w:fldChar w:fldCharType="end"/>
          </w:r>
          <w:r>
            <w:rPr>
              <w:rFonts w:hint="eastAsia" w:ascii="黑体" w:hAnsi="黑体" w:eastAsia="黑体" w:cs="黑体"/>
              <w:b/>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_Toc28830 </w:instrText>
          </w:r>
          <w:r>
            <w:rPr>
              <w:rFonts w:hint="eastAsia" w:ascii="黑体" w:hAnsi="黑体" w:eastAsia="黑体" w:cs="黑体"/>
              <w:szCs w:val="32"/>
            </w:rPr>
            <w:fldChar w:fldCharType="separate"/>
          </w:r>
          <w:r>
            <w:rPr>
              <w:rFonts w:hint="eastAsia" w:ascii="楷体_GB2312" w:hAnsi="楷体_GB2312" w:eastAsia="楷体_GB2312" w:cs="楷体_GB2312"/>
              <w:kern w:val="0"/>
              <w:szCs w:val="32"/>
              <w:shd w:val="clear" w:color="auto" w:fill="FFFFFF"/>
            </w:rPr>
            <w:t>（一）机关运行经费</w:t>
          </w:r>
          <w:r>
            <w:tab/>
          </w:r>
          <w:r>
            <w:fldChar w:fldCharType="begin"/>
          </w:r>
          <w:r>
            <w:instrText xml:space="preserve"> PAGEREF _Toc28830 \h </w:instrText>
          </w:r>
          <w:r>
            <w:fldChar w:fldCharType="separate"/>
          </w:r>
          <w:r>
            <w:t>9</w:t>
          </w:r>
          <w:r>
            <w:fldChar w:fldCharType="end"/>
          </w:r>
          <w:r>
            <w:rPr>
              <w:rFonts w:hint="eastAsia" w:ascii="黑体" w:hAnsi="黑体" w:eastAsia="黑体" w:cs="黑体"/>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_Toc9441 </w:instrText>
          </w:r>
          <w:r>
            <w:rPr>
              <w:rFonts w:hint="eastAsia" w:ascii="黑体" w:hAnsi="黑体" w:eastAsia="黑体" w:cs="黑体"/>
              <w:szCs w:val="32"/>
            </w:rPr>
            <w:fldChar w:fldCharType="separate"/>
          </w:r>
          <w:r>
            <w:rPr>
              <w:rFonts w:hint="eastAsia" w:ascii="楷体_GB2312" w:hAnsi="楷体_GB2312" w:eastAsia="楷体_GB2312" w:cs="楷体_GB2312"/>
              <w:kern w:val="0"/>
              <w:szCs w:val="32"/>
              <w:shd w:val="clear" w:color="auto" w:fill="FFFFFF"/>
            </w:rPr>
            <w:t>（二）政府采购情况</w:t>
          </w:r>
          <w:r>
            <w:tab/>
          </w:r>
          <w:r>
            <w:fldChar w:fldCharType="begin"/>
          </w:r>
          <w:r>
            <w:instrText xml:space="preserve"> PAGEREF _Toc9441 \h </w:instrText>
          </w:r>
          <w:r>
            <w:fldChar w:fldCharType="separate"/>
          </w:r>
          <w:r>
            <w:t>9</w:t>
          </w:r>
          <w:r>
            <w:fldChar w:fldCharType="end"/>
          </w:r>
          <w:r>
            <w:rPr>
              <w:rFonts w:hint="eastAsia" w:ascii="黑体" w:hAnsi="黑体" w:eastAsia="黑体" w:cs="黑体"/>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_Toc19999 </w:instrText>
          </w:r>
          <w:r>
            <w:rPr>
              <w:rFonts w:hint="eastAsia" w:ascii="黑体" w:hAnsi="黑体" w:eastAsia="黑体" w:cs="黑体"/>
              <w:szCs w:val="32"/>
            </w:rPr>
            <w:fldChar w:fldCharType="separate"/>
          </w:r>
          <w:r>
            <w:rPr>
              <w:rFonts w:hint="eastAsia" w:ascii="楷体_GB2312" w:hAnsi="楷体_GB2312" w:eastAsia="楷体_GB2312" w:cs="楷体_GB2312"/>
              <w:kern w:val="0"/>
              <w:szCs w:val="32"/>
              <w:shd w:val="clear" w:color="auto" w:fill="FFFFFF"/>
            </w:rPr>
            <w:t>（三）国有资产占有使用情况</w:t>
          </w:r>
          <w:r>
            <w:tab/>
          </w:r>
          <w:r>
            <w:fldChar w:fldCharType="begin"/>
          </w:r>
          <w:r>
            <w:instrText xml:space="preserve"> PAGEREF _Toc19999 \h </w:instrText>
          </w:r>
          <w:r>
            <w:fldChar w:fldCharType="separate"/>
          </w:r>
          <w:r>
            <w:t>10</w:t>
          </w:r>
          <w:r>
            <w:fldChar w:fldCharType="end"/>
          </w:r>
          <w:r>
            <w:rPr>
              <w:rFonts w:hint="eastAsia" w:ascii="黑体" w:hAnsi="黑体" w:eastAsia="黑体" w:cs="黑体"/>
              <w:szCs w:val="32"/>
            </w:rPr>
            <w:fldChar w:fldCharType="end"/>
          </w:r>
        </w:p>
        <w:p>
          <w:pPr>
            <w:pStyle w:val="15"/>
            <w:tabs>
              <w:tab w:val="right" w:leader="dot" w:pos="8845"/>
            </w:tabs>
            <w:spacing w:line="360" w:lineRule="auto"/>
          </w:pPr>
          <w:r>
            <w:rPr>
              <w:rFonts w:hint="eastAsia" w:ascii="黑体" w:hAnsi="黑体" w:eastAsia="黑体" w:cs="黑体"/>
              <w:szCs w:val="32"/>
            </w:rPr>
            <w:fldChar w:fldCharType="begin"/>
          </w:r>
          <w:r>
            <w:rPr>
              <w:rFonts w:hint="eastAsia" w:ascii="黑体" w:hAnsi="黑体" w:eastAsia="黑体" w:cs="黑体"/>
              <w:szCs w:val="32"/>
            </w:rPr>
            <w:instrText xml:space="preserve"> HYPERLINK \l _Toc8900 </w:instrText>
          </w:r>
          <w:r>
            <w:rPr>
              <w:rFonts w:hint="eastAsia" w:ascii="黑体" w:hAnsi="黑体" w:eastAsia="黑体" w:cs="黑体"/>
              <w:szCs w:val="32"/>
            </w:rPr>
            <w:fldChar w:fldCharType="separate"/>
          </w:r>
          <w:r>
            <w:rPr>
              <w:rFonts w:hint="eastAsia" w:ascii="楷体_GB2312" w:hAnsi="楷体_GB2312" w:eastAsia="楷体_GB2312" w:cs="楷体_GB2312"/>
              <w:kern w:val="0"/>
              <w:szCs w:val="32"/>
              <w:shd w:val="clear" w:color="auto" w:fill="FFFFFF"/>
            </w:rPr>
            <w:t>（四）绩效目标设置情况</w:t>
          </w:r>
          <w:r>
            <w:tab/>
          </w:r>
          <w:r>
            <w:fldChar w:fldCharType="begin"/>
          </w:r>
          <w:r>
            <w:instrText xml:space="preserve"> PAGEREF _Toc8900 \h </w:instrText>
          </w:r>
          <w:r>
            <w:fldChar w:fldCharType="separate"/>
          </w:r>
          <w:r>
            <w:t>10</w:t>
          </w:r>
          <w:r>
            <w:fldChar w:fldCharType="end"/>
          </w:r>
          <w:r>
            <w:rPr>
              <w:rFonts w:hint="eastAsia" w:ascii="黑体" w:hAnsi="黑体" w:eastAsia="黑体" w:cs="黑体"/>
              <w:szCs w:val="32"/>
            </w:rPr>
            <w:fldChar w:fldCharType="end"/>
          </w:r>
        </w:p>
        <w:p>
          <w:pPr>
            <w:pStyle w:val="14"/>
            <w:tabs>
              <w:tab w:val="right" w:leader="dot" w:pos="8845"/>
            </w:tabs>
            <w:spacing w:line="360" w:lineRule="auto"/>
            <w:rPr>
              <w:b/>
            </w:rPr>
          </w:pPr>
          <w:r>
            <w:rPr>
              <w:rFonts w:hint="eastAsia" w:ascii="黑体" w:hAnsi="黑体" w:eastAsia="黑体" w:cs="黑体"/>
              <w:b/>
              <w:szCs w:val="32"/>
            </w:rPr>
            <w:fldChar w:fldCharType="begin"/>
          </w:r>
          <w:r>
            <w:rPr>
              <w:rFonts w:hint="eastAsia" w:ascii="黑体" w:hAnsi="黑体" w:eastAsia="黑体" w:cs="黑体"/>
              <w:b/>
              <w:szCs w:val="32"/>
            </w:rPr>
            <w:instrText xml:space="preserve"> HYPERLINK \l _Toc3178 </w:instrText>
          </w:r>
          <w:r>
            <w:rPr>
              <w:rFonts w:hint="eastAsia" w:ascii="黑体" w:hAnsi="黑体" w:eastAsia="黑体" w:cs="黑体"/>
              <w:b/>
              <w:szCs w:val="32"/>
            </w:rPr>
            <w:fldChar w:fldCharType="separate"/>
          </w:r>
          <w:r>
            <w:rPr>
              <w:rFonts w:hint="eastAsia" w:ascii="黑体" w:hAnsi="黑体" w:eastAsia="黑体" w:cs="黑体"/>
              <w:b/>
              <w:szCs w:val="32"/>
            </w:rPr>
            <w:t>十一、名词解释</w:t>
          </w:r>
          <w:r>
            <w:rPr>
              <w:b/>
            </w:rPr>
            <w:tab/>
          </w:r>
          <w:r>
            <w:rPr>
              <w:b/>
            </w:rPr>
            <w:fldChar w:fldCharType="begin"/>
          </w:r>
          <w:r>
            <w:rPr>
              <w:b/>
            </w:rPr>
            <w:instrText xml:space="preserve"> PAGEREF _Toc3178 \h </w:instrText>
          </w:r>
          <w:r>
            <w:rPr>
              <w:b/>
            </w:rPr>
            <w:fldChar w:fldCharType="separate"/>
          </w:r>
          <w:r>
            <w:rPr>
              <w:b/>
            </w:rPr>
            <w:t>10</w:t>
          </w:r>
          <w:r>
            <w:rPr>
              <w:b/>
            </w:rPr>
            <w:fldChar w:fldCharType="end"/>
          </w:r>
          <w:r>
            <w:rPr>
              <w:rFonts w:hint="eastAsia" w:ascii="黑体" w:hAnsi="黑体" w:eastAsia="黑体" w:cs="黑体"/>
              <w:b/>
              <w:szCs w:val="32"/>
            </w:rPr>
            <w:fldChar w:fldCharType="end"/>
          </w:r>
        </w:p>
        <w:p>
          <w:pPr>
            <w:shd w:val="clear"/>
            <w:spacing w:line="360" w:lineRule="auto"/>
            <w:rPr>
              <w:rFonts w:hint="eastAsia" w:ascii="黑体" w:hAnsi="黑体" w:eastAsia="黑体" w:cs="黑体"/>
              <w:sz w:val="32"/>
              <w:szCs w:val="32"/>
            </w:rPr>
            <w:sectPr>
              <w:pgSz w:w="11906" w:h="16838"/>
              <w:pgMar w:top="2098" w:right="1474" w:bottom="1984" w:left="1587" w:header="720" w:footer="1559" w:gutter="0"/>
              <w:cols w:space="720" w:num="1"/>
              <w:docGrid w:type="lines" w:linePitch="312" w:charSpace="0"/>
            </w:sectPr>
          </w:pPr>
          <w:r>
            <w:rPr>
              <w:rFonts w:hint="eastAsia" w:ascii="黑体" w:hAnsi="黑体" w:eastAsia="黑体" w:cs="黑体"/>
              <w:b/>
              <w:szCs w:val="32"/>
            </w:rPr>
            <w:fldChar w:fldCharType="end"/>
          </w:r>
        </w:p>
      </w:sdtContent>
    </w:sdt>
    <w:p>
      <w:pPr>
        <w:shd w:val="clear"/>
        <w:spacing w:line="576" w:lineRule="exact"/>
        <w:ind w:firstLine="640" w:firstLineChars="200"/>
        <w:outlineLvl w:val="0"/>
        <w:rPr>
          <w:rFonts w:ascii="黑体" w:hAnsi="黑体" w:eastAsia="黑体" w:cs="黑体"/>
          <w:sz w:val="32"/>
          <w:szCs w:val="32"/>
        </w:rPr>
      </w:pPr>
      <w:bookmarkStart w:id="1" w:name="_Toc20200"/>
      <w:r>
        <w:rPr>
          <w:rFonts w:hint="eastAsia" w:ascii="黑体" w:hAnsi="黑体" w:eastAsia="黑体" w:cs="黑体"/>
          <w:sz w:val="32"/>
          <w:szCs w:val="32"/>
        </w:rPr>
        <w:t>一、基本职能及主要工作</w:t>
      </w:r>
      <w:bookmarkEnd w:id="1"/>
    </w:p>
    <w:p>
      <w:pPr>
        <w:pStyle w:val="7"/>
        <w:widowControl/>
        <w:shd w:val="clear" w:color="auto"/>
        <w:spacing w:line="576" w:lineRule="exact"/>
        <w:ind w:firstLine="674"/>
        <w:outlineLvl w:val="1"/>
        <w:rPr>
          <w:rFonts w:ascii="楷体_GB2312" w:eastAsia="楷体_GB2312" w:cs="楷体_GB2312"/>
          <w:b/>
          <w:color w:val="333333"/>
          <w:sz w:val="32"/>
          <w:szCs w:val="32"/>
          <w:shd w:val="clear" w:color="auto" w:fill="FFFFFF"/>
        </w:rPr>
      </w:pPr>
      <w:bookmarkStart w:id="2" w:name="_Toc20718"/>
      <w:r>
        <w:rPr>
          <w:rFonts w:hint="eastAsia" w:ascii="楷体_GB2312" w:hAnsi="楷体_GB2312" w:eastAsia="楷体_GB2312" w:cs="楷体_GB2312"/>
          <w:sz w:val="32"/>
          <w:szCs w:val="32"/>
        </w:rPr>
        <w:t>（一）</w:t>
      </w:r>
      <w:r>
        <w:rPr>
          <w:rFonts w:hint="eastAsia" w:ascii="楷体_GB2312" w:eastAsia="楷体_GB2312" w:cs="楷体_GB2312"/>
          <w:b/>
          <w:color w:val="333333"/>
          <w:sz w:val="32"/>
          <w:szCs w:val="32"/>
          <w:shd w:val="clear" w:color="auto" w:fill="FFFFFF"/>
        </w:rPr>
        <w:t>广元市朝天区人民法院职能简介</w:t>
      </w:r>
      <w:bookmarkEnd w:id="2"/>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1、依法审理法律规定由基层人民法院管辖刑事、民事、行政、执行等一审案件。</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2、依法审理由上级人民法院指令再审的案件。受理不服本院发生法律效力的判决、裁定的各类申诉和再审，对其中确有错误并已发生法律效力的判决、裁定依法再审。</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3、依法行使执行权和司法决定权。</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4、对法律规定、规章等草案提出意见，对案件审理中发现的问题提出司法建议。</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5、指导基层法庭工作。</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6、负责全院的思想政治、教育培训工作和干部管理工作。</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7、负责全院财务、专项投资的计划管理及分配。</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8、负责全院的监察工作。</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9、管理人民法院司法警察工作。</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10、做好本院行政、后勤事业管理和服务工作。</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11、宣传法制，教育公民忠于社会主义祖国，自觉遵守宪法、法律和社会公德。</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12、积极参与社会治安综合治理。</w:t>
      </w:r>
    </w:p>
    <w:p>
      <w:pPr>
        <w:pStyle w:val="7"/>
        <w:widowControl/>
        <w:shd w:val="clear" w:color="auto"/>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13、承办</w:t>
      </w:r>
      <w:r>
        <w:rPr>
          <w:rFonts w:hint="eastAsia" w:ascii="仿宋_GB2312" w:hAnsi="仿宋_GB2312" w:eastAsia="仿宋_GB2312" w:cs="仿宋_GB2312"/>
          <w:sz w:val="32"/>
          <w:szCs w:val="32"/>
          <w:lang w:eastAsia="zh-CN"/>
        </w:rPr>
        <w:t>其他</w:t>
      </w:r>
      <w:r>
        <w:rPr>
          <w:rFonts w:hint="eastAsia" w:ascii="仿宋_GB2312" w:hAnsi="仿宋_GB2312" w:eastAsia="仿宋_GB2312" w:cs="仿宋_GB2312"/>
          <w:sz w:val="32"/>
          <w:szCs w:val="32"/>
        </w:rPr>
        <w:t>应由基层人民法院负责的工作。</w:t>
      </w:r>
    </w:p>
    <w:p>
      <w:pPr>
        <w:pStyle w:val="7"/>
        <w:widowControl/>
        <w:shd w:val="clear" w:color="auto"/>
        <w:spacing w:line="576" w:lineRule="exact"/>
        <w:ind w:firstLine="674"/>
        <w:outlineLvl w:val="1"/>
        <w:rPr>
          <w:rFonts w:ascii="楷体_GB2312" w:eastAsia="楷体_GB2312" w:cs="楷体_GB2312"/>
          <w:b/>
          <w:color w:val="333333"/>
          <w:sz w:val="32"/>
          <w:szCs w:val="32"/>
          <w:shd w:val="clear" w:color="auto" w:fill="FFFFFF"/>
        </w:rPr>
      </w:pPr>
      <w:bookmarkStart w:id="3" w:name="_Toc9469"/>
      <w:r>
        <w:rPr>
          <w:rFonts w:hint="eastAsia" w:ascii="楷体_GB2312" w:hAnsi="楷体_GB2312" w:eastAsia="楷体_GB2312" w:cs="楷体_GB2312"/>
          <w:sz w:val="32"/>
          <w:szCs w:val="32"/>
        </w:rPr>
        <w:t>（二）广元市朝天区人民法院2024年重点工作</w:t>
      </w:r>
      <w:bookmarkEnd w:id="3"/>
    </w:p>
    <w:p>
      <w:pPr>
        <w:shd w:val="clear"/>
        <w:spacing w:line="576" w:lineRule="exact"/>
        <w:ind w:firstLine="640" w:firstLineChars="200"/>
        <w:rPr>
          <w:rFonts w:ascii="仿宋_GB2312" w:hAnsi="仿宋_GB2312" w:eastAsia="仿宋_GB2312" w:cs="仿宋_GB2312"/>
          <w:color w:val="000000"/>
          <w:spacing w:val="6"/>
          <w:kern w:val="0"/>
          <w:sz w:val="32"/>
          <w:szCs w:val="32"/>
        </w:rPr>
      </w:pPr>
      <w:r>
        <w:rPr>
          <w:rFonts w:hint="eastAsia" w:ascii="仿宋_GB2312" w:hAnsi="仿宋_GB2312" w:eastAsia="仿宋_GB2312" w:cs="仿宋_GB2312"/>
          <w:color w:val="000000"/>
          <w:sz w:val="32"/>
          <w:szCs w:val="32"/>
        </w:rPr>
        <w:t>一是</w:t>
      </w:r>
      <w:r>
        <w:rPr>
          <w:rFonts w:hint="eastAsia" w:ascii="仿宋_GB2312" w:hAnsi="仿宋_GB2312" w:eastAsia="仿宋_GB2312" w:cs="仿宋_GB2312"/>
          <w:color w:val="000000"/>
          <w:spacing w:val="6"/>
          <w:sz w:val="32"/>
          <w:szCs w:val="32"/>
        </w:rPr>
        <w:t>筑牢政治忠诚，确保法院工作正确的政治方向。坚持不懈强化习近平新时代中国特色社会主义思想理论武装，学深悟透做实习近平法治思想，深刻领会“两个确立”的决定性意义，不断增强“四个意识”，坚定“四个自信”，做到“两个维护”。深入贯彻《中国共产党政法工作条例》，坚持重大事项、重要工作及时向区委、区委政法委请示报告，确保法院工作坚定正确的政治方向。</w:t>
      </w:r>
      <w:r>
        <w:rPr>
          <w:rFonts w:hint="eastAsia" w:ascii="仿宋_GB2312" w:hAnsi="仿宋_GB2312" w:eastAsia="仿宋_GB2312" w:cs="仿宋_GB2312"/>
          <w:color w:val="000000"/>
          <w:spacing w:val="6"/>
          <w:kern w:val="0"/>
          <w:sz w:val="32"/>
          <w:szCs w:val="32"/>
        </w:rPr>
        <w:t>深入开展“两个确立”主题教育，扎实开展习近平法治思想、习近平总书记来川视察重要指示精神等大学习大讨论。掀起学习贯彻党的二十大精神热潮。</w:t>
      </w:r>
    </w:p>
    <w:p>
      <w:pPr>
        <w:shd w:val="clear" w:color="auto"/>
        <w:spacing w:line="576" w:lineRule="exact"/>
        <w:ind w:firstLine="632"/>
        <w:rPr>
          <w:rFonts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二是发挥审判职能，全力维护社会大局持续和谐稳定。深入</w:t>
      </w:r>
      <w:r>
        <w:rPr>
          <w:rFonts w:hint="eastAsia" w:ascii="仿宋_GB2312" w:hAnsi="仿宋_GB2312" w:eastAsia="仿宋_GB2312" w:cs="仿宋_GB2312"/>
          <w:color w:val="000000"/>
          <w:spacing w:val="6"/>
          <w:kern w:val="0"/>
          <w:sz w:val="32"/>
          <w:szCs w:val="32"/>
        </w:rPr>
        <w:t>推进平</w:t>
      </w:r>
      <w:r>
        <w:rPr>
          <w:rFonts w:hint="eastAsia" w:ascii="仿宋_GB2312" w:hAnsi="仿宋_GB2312" w:eastAsia="仿宋_GB2312" w:cs="仿宋_GB2312"/>
          <w:color w:val="000000"/>
          <w:kern w:val="0"/>
          <w:sz w:val="32"/>
          <w:szCs w:val="32"/>
          <w:shd w:val="clear" w:color="auto" w:fill="FFFFFF"/>
        </w:rPr>
        <w:t>安朝天建设。服务保障经济社会发展。积极助力法治政府建设。持续服务保障乡村振兴。主动融入基层社会治理。</w:t>
      </w:r>
    </w:p>
    <w:p>
      <w:pPr>
        <w:shd w:val="clear" w:color="auto"/>
        <w:spacing w:line="576" w:lineRule="exact"/>
        <w:ind w:firstLine="632"/>
        <w:rPr>
          <w:rFonts w:ascii="仿宋_GB2312" w:hAnsi="仿宋_GB2312" w:eastAsia="仿宋_GB2312" w:cs="仿宋_GB2312"/>
          <w:color w:val="000000"/>
          <w:spacing w:val="6"/>
          <w:sz w:val="32"/>
          <w:szCs w:val="32"/>
        </w:rPr>
      </w:pPr>
      <w:r>
        <w:rPr>
          <w:rFonts w:hint="eastAsia" w:ascii="仿宋_GB2312" w:hAnsi="仿宋_GB2312" w:eastAsia="仿宋_GB2312" w:cs="仿宋_GB2312"/>
          <w:color w:val="000000"/>
          <w:kern w:val="0"/>
          <w:sz w:val="32"/>
          <w:szCs w:val="32"/>
          <w:shd w:val="clear" w:color="auto" w:fill="FFFFFF"/>
        </w:rPr>
        <w:t>三是践行司法为民，深入推进“我为群众办实事”活动。不断优化在线诉讼服务。全力兑现群众胜诉权益。切实加强民生司法保障。主动服务助力疫情防控。</w:t>
      </w:r>
    </w:p>
    <w:p>
      <w:pPr>
        <w:shd w:val="clear"/>
        <w:spacing w:line="576" w:lineRule="exact"/>
        <w:ind w:firstLine="640" w:firstLineChars="200"/>
        <w:rPr>
          <w:rFonts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kern w:val="0"/>
          <w:sz w:val="32"/>
          <w:szCs w:val="32"/>
          <w:shd w:val="clear" w:color="auto" w:fill="FFFFFF"/>
        </w:rPr>
        <w:t>四是深化司法改革，全面促进和提升</w:t>
      </w:r>
      <w:r>
        <w:rPr>
          <w:rFonts w:hint="eastAsia" w:ascii="仿宋_GB2312" w:hAnsi="仿宋_GB2312" w:eastAsia="仿宋_GB2312" w:cs="仿宋_GB2312"/>
          <w:color w:val="000000"/>
          <w:sz w:val="32"/>
          <w:szCs w:val="32"/>
        </w:rPr>
        <w:t>审判能力现代化。</w:t>
      </w:r>
      <w:r>
        <w:rPr>
          <w:rFonts w:hint="eastAsia" w:ascii="仿宋_GB2312" w:hAnsi="仿宋_GB2312" w:eastAsia="仿宋_GB2312" w:cs="仿宋_GB2312"/>
          <w:color w:val="000000"/>
          <w:spacing w:val="4"/>
          <w:sz w:val="32"/>
          <w:szCs w:val="32"/>
        </w:rPr>
        <w:t>全面落实司法责任制。</w:t>
      </w:r>
      <w:r>
        <w:rPr>
          <w:rFonts w:hint="eastAsia" w:ascii="仿宋_GB2312" w:hAnsi="仿宋_GB2312" w:eastAsia="仿宋_GB2312" w:cs="仿宋_GB2312"/>
          <w:color w:val="000000"/>
          <w:sz w:val="32"/>
          <w:szCs w:val="32"/>
        </w:rPr>
        <w:t>深化刑事诉讼制度改革。</w:t>
      </w:r>
      <w:r>
        <w:rPr>
          <w:rFonts w:hint="eastAsia" w:ascii="仿宋_GB2312" w:hAnsi="仿宋_GB2312" w:eastAsia="仿宋_GB2312" w:cs="仿宋_GB2312"/>
          <w:color w:val="000000"/>
          <w:spacing w:val="4"/>
          <w:sz w:val="32"/>
          <w:szCs w:val="32"/>
        </w:rPr>
        <w:t>有序</w:t>
      </w:r>
      <w:r>
        <w:rPr>
          <w:rFonts w:hint="eastAsia" w:ascii="仿宋_GB2312" w:hAnsi="仿宋_GB2312" w:eastAsia="仿宋_GB2312" w:cs="仿宋_GB2312"/>
          <w:color w:val="000000"/>
          <w:kern w:val="0"/>
          <w:sz w:val="32"/>
          <w:szCs w:val="32"/>
          <w:shd w:val="clear" w:color="auto" w:fill="FFFFFF"/>
        </w:rPr>
        <w:t>推动财物统管改革。</w:t>
      </w:r>
    </w:p>
    <w:p>
      <w:pPr>
        <w:shd w:val="clear"/>
        <w:spacing w:line="576" w:lineRule="exact"/>
        <w:ind w:firstLine="640" w:firstLineChars="200"/>
        <w:rPr>
          <w:rFonts w:ascii="仿宋_GB2312" w:hAnsi="仿宋_GB2312" w:eastAsia="仿宋_GB2312" w:cs="仿宋_GB2312"/>
          <w:color w:val="000000"/>
          <w:kern w:val="0"/>
          <w:sz w:val="32"/>
          <w:szCs w:val="32"/>
          <w:shd w:val="clear" w:color="auto" w:fill="FFFFFF"/>
        </w:rPr>
      </w:pPr>
      <w:r>
        <w:rPr>
          <w:rFonts w:hint="eastAsia" w:ascii="仿宋_GB2312" w:hAnsi="仿宋_GB2312" w:eastAsia="仿宋_GB2312" w:cs="仿宋_GB2312"/>
          <w:color w:val="000000"/>
          <w:sz w:val="32"/>
          <w:szCs w:val="32"/>
        </w:rPr>
        <w:t>五是坚持从严治院，努力锻造忠诚干净担当法院铁军。</w:t>
      </w:r>
      <w:r>
        <w:rPr>
          <w:rFonts w:hint="eastAsia" w:ascii="仿宋_GB2312" w:hAnsi="仿宋_GB2312" w:eastAsia="仿宋_GB2312" w:cs="仿宋_GB2312"/>
          <w:color w:val="000000"/>
          <w:kern w:val="0"/>
          <w:sz w:val="32"/>
          <w:szCs w:val="32"/>
          <w:shd w:val="clear" w:color="auto" w:fill="FFFFFF"/>
        </w:rPr>
        <w:t>高站位加强党的组织建设。高标准推进清廉法院建设。高质量抓好青年干警培养。</w:t>
      </w:r>
    </w:p>
    <w:p>
      <w:pPr>
        <w:shd w:val="clear"/>
        <w:spacing w:line="576" w:lineRule="exact"/>
        <w:ind w:firstLine="640" w:firstLineChars="200"/>
        <w:rPr>
          <w:rFonts w:ascii="仿宋_GB2312" w:hAnsi="仿宋_GB2312" w:eastAsia="仿宋_GB2312" w:cs="仿宋_GB2312"/>
          <w:color w:val="000000"/>
          <w:spacing w:val="4"/>
          <w:sz w:val="32"/>
          <w:szCs w:val="32"/>
        </w:rPr>
      </w:pPr>
      <w:r>
        <w:rPr>
          <w:rFonts w:hint="eastAsia" w:ascii="仿宋_GB2312" w:hAnsi="仿宋_GB2312" w:eastAsia="仿宋_GB2312" w:cs="仿宋_GB2312"/>
          <w:color w:val="000000"/>
          <w:sz w:val="32"/>
          <w:szCs w:val="32"/>
        </w:rPr>
        <w:t>六是践行人民民主，不断加强改进人民法院各项工作。</w:t>
      </w:r>
      <w:r>
        <w:rPr>
          <w:rFonts w:hint="eastAsia" w:ascii="仿宋_GB2312" w:hAnsi="仿宋_GB2312" w:eastAsia="仿宋_GB2312" w:cs="仿宋_GB2312"/>
          <w:color w:val="000000"/>
          <w:kern w:val="0"/>
          <w:sz w:val="32"/>
          <w:szCs w:val="32"/>
          <w:shd w:val="clear" w:color="auto" w:fill="FFFFFF"/>
        </w:rPr>
        <w:t>主动接受人大、政协监督。全面接受法律和社会监督。</w:t>
      </w:r>
    </w:p>
    <w:p>
      <w:pPr>
        <w:shd w:val="clear"/>
        <w:spacing w:line="576" w:lineRule="exact"/>
        <w:ind w:firstLine="640" w:firstLineChars="200"/>
        <w:outlineLvl w:val="0"/>
        <w:rPr>
          <w:rFonts w:ascii="黑体" w:hAnsi="黑体" w:eastAsia="黑体" w:cs="黑体"/>
          <w:sz w:val="32"/>
          <w:szCs w:val="32"/>
        </w:rPr>
      </w:pPr>
      <w:bookmarkStart w:id="4" w:name="_Toc32219"/>
      <w:r>
        <w:rPr>
          <w:rFonts w:hint="eastAsia" w:ascii="黑体" w:hAnsi="黑体" w:eastAsia="黑体" w:cs="黑体"/>
          <w:sz w:val="32"/>
          <w:szCs w:val="32"/>
        </w:rPr>
        <w:t>二、部门预算单位构成</w:t>
      </w:r>
      <w:bookmarkEnd w:id="4"/>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广元市朝天区人民法院属财政一级预算单位，</w:t>
      </w:r>
      <w:r>
        <w:rPr>
          <w:rFonts w:hint="eastAsia" w:ascii="仿宋_GB2312" w:hAnsi="仿宋_GB2312" w:eastAsia="仿宋_GB2312" w:cs="仿宋_GB2312"/>
          <w:sz w:val="32"/>
          <w:szCs w:val="32"/>
          <w:lang w:eastAsia="zh-CN"/>
        </w:rPr>
        <w:t>无下属二级单位。</w:t>
      </w:r>
    </w:p>
    <w:p>
      <w:pPr>
        <w:shd w:val="clear"/>
        <w:spacing w:line="576" w:lineRule="exact"/>
        <w:ind w:firstLine="640" w:firstLineChars="200"/>
        <w:outlineLvl w:val="0"/>
        <w:rPr>
          <w:rFonts w:ascii="黑体" w:hAnsi="黑体" w:eastAsia="黑体" w:cs="黑体"/>
          <w:sz w:val="32"/>
          <w:szCs w:val="32"/>
        </w:rPr>
      </w:pPr>
      <w:bookmarkStart w:id="5" w:name="_Toc2515"/>
      <w:r>
        <w:rPr>
          <w:rFonts w:hint="eastAsia" w:ascii="黑体" w:hAnsi="黑体" w:eastAsia="黑体" w:cs="黑体"/>
          <w:sz w:val="32"/>
          <w:szCs w:val="32"/>
        </w:rPr>
        <w:t>三、收支预算情况说明</w:t>
      </w:r>
      <w:bookmarkEnd w:id="5"/>
    </w:p>
    <w:p>
      <w:pPr>
        <w:widowControl/>
        <w:pBdr>
          <w:bottom w:val="single" w:color="FFFFFF" w:sz="8" w:space="31"/>
        </w:pBdr>
        <w:shd w:val="clear" w:color="auto"/>
        <w:spacing w:line="580" w:lineRule="atLeast"/>
        <w:ind w:firstLine="668"/>
        <w:rPr>
          <w:rFonts w:ascii="仿宋_GB2312" w:hAnsi="仿宋_GB2312" w:eastAsia="仿宋_GB2312" w:cs="仿宋_GB2312"/>
          <w:color w:val="FF0000"/>
          <w:sz w:val="32"/>
          <w:szCs w:val="32"/>
        </w:rPr>
      </w:pPr>
      <w:r>
        <w:rPr>
          <w:rFonts w:hint="eastAsia" w:ascii="仿宋_GB2312" w:hAnsi="仿宋_GB2312" w:eastAsia="仿宋_GB2312" w:cs="仿宋_GB2312"/>
          <w:color w:val="333333"/>
          <w:kern w:val="0"/>
          <w:sz w:val="32"/>
          <w:szCs w:val="32"/>
          <w:shd w:val="clear" w:color="auto" w:fill="FFFFFF"/>
        </w:rPr>
        <w:t>按照综合预算的原则，广元市朝天区人民法院所有收入和支出均纳入部门预算管理。收入包括：一般公共预算拨款收入；支出包括：公共安全支出、社会保障和就业支出、卫生健康支出、住房保障支出。广元市朝天区人民法院2024年收支预算总数953.37万元</w:t>
      </w:r>
      <w:r>
        <w:rPr>
          <w:rFonts w:hint="eastAsia" w:ascii="仿宋_GB2312" w:hAnsi="仿宋_GB2312" w:eastAsia="仿宋_GB2312" w:cs="仿宋_GB2312"/>
          <w:color w:val="333333"/>
          <w:kern w:val="0"/>
          <w:sz w:val="32"/>
          <w:szCs w:val="32"/>
          <w:shd w:val="clear" w:color="auto" w:fill="FFFFFF"/>
          <w:lang w:eastAsia="zh-CN"/>
        </w:rPr>
        <w:t>，</w:t>
      </w:r>
      <w:r>
        <w:rPr>
          <w:rFonts w:hint="eastAsia" w:ascii="仿宋_GB2312" w:hAnsi="仿宋_GB2312" w:eastAsia="仿宋_GB2312" w:cs="仿宋_GB2312"/>
          <w:color w:val="333333"/>
          <w:kern w:val="0"/>
          <w:sz w:val="32"/>
          <w:szCs w:val="32"/>
          <w:shd w:val="clear" w:color="auto" w:fill="FFFFFF"/>
        </w:rPr>
        <w:t>比2023年收支预算总数减少3.26万元，</w:t>
      </w:r>
      <w:r>
        <w:rPr>
          <w:rFonts w:hint="eastAsia" w:ascii="仿宋_GB2312" w:hAnsi="仿宋_GB2312" w:eastAsia="仿宋_GB2312" w:cs="仿宋_GB2312"/>
          <w:sz w:val="32"/>
          <w:szCs w:val="32"/>
        </w:rPr>
        <w:t>主要原因是</w:t>
      </w:r>
      <w:r>
        <w:rPr>
          <w:rFonts w:hint="eastAsia" w:ascii="仿宋_GB2312" w:hAnsi="仿宋_GB2312" w:eastAsia="仿宋_GB2312" w:cs="仿宋_GB2312"/>
          <w:color w:val="333333"/>
          <w:kern w:val="0"/>
          <w:sz w:val="32"/>
          <w:szCs w:val="32"/>
          <w:shd w:val="clear" w:color="auto" w:fill="FFFFFF"/>
        </w:rPr>
        <w:t>人员经费中法官绩效统筹基数发生变化。</w:t>
      </w:r>
    </w:p>
    <w:p>
      <w:pPr>
        <w:widowControl/>
        <w:numPr>
          <w:ilvl w:val="0"/>
          <w:numId w:val="1"/>
        </w:numPr>
        <w:pBdr>
          <w:bottom w:val="single" w:color="FFFFFF" w:sz="8" w:space="31"/>
        </w:pBdr>
        <w:shd w:val="clear" w:color="auto"/>
        <w:spacing w:line="576" w:lineRule="atLeast"/>
        <w:ind w:firstLine="668"/>
        <w:outlineLvl w:val="1"/>
        <w:rPr>
          <w:rFonts w:ascii="楷体_GB2312" w:hAnsi="楷体_GB2312" w:eastAsia="楷体_GB2312" w:cs="楷体_GB2312"/>
          <w:b/>
          <w:color w:val="333333"/>
          <w:kern w:val="0"/>
          <w:sz w:val="32"/>
          <w:szCs w:val="32"/>
          <w:shd w:val="clear" w:color="auto" w:fill="FFFFFF"/>
        </w:rPr>
      </w:pPr>
      <w:bookmarkStart w:id="6" w:name="_Toc8481"/>
      <w:bookmarkStart w:id="7" w:name="_Toc29837"/>
      <w:r>
        <w:rPr>
          <w:rFonts w:hint="eastAsia" w:ascii="楷体_GB2312" w:hAnsi="楷体_GB2312" w:eastAsia="楷体_GB2312" w:cs="楷体_GB2312"/>
          <w:b/>
          <w:color w:val="333333"/>
          <w:kern w:val="0"/>
          <w:sz w:val="32"/>
          <w:szCs w:val="32"/>
          <w:shd w:val="clear" w:color="auto" w:fill="FFFFFF"/>
        </w:rPr>
        <w:t>收入预算情况</w:t>
      </w:r>
      <w:bookmarkEnd w:id="6"/>
      <w:bookmarkEnd w:id="7"/>
    </w:p>
    <w:p>
      <w:pPr>
        <w:widowControl/>
        <w:pBdr>
          <w:bottom w:val="single" w:color="FFFFFF" w:sz="8" w:space="31"/>
        </w:pBdr>
        <w:shd w:val="clear" w:color="auto"/>
        <w:spacing w:line="576" w:lineRule="atLeast"/>
        <w:ind w:firstLine="640" w:firstLineChars="200"/>
        <w:rPr>
          <w:rFonts w:ascii="仿宋_GB2312" w:hAnsi="仿宋_GB2312" w:eastAsia="仿宋_GB2312" w:cs="仿宋_GB2312"/>
          <w:bCs/>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广元市朝天区人民法院</w:t>
      </w:r>
      <w:r>
        <w:rPr>
          <w:rFonts w:hint="eastAsia" w:ascii="仿宋_GB2312" w:hAnsi="仿宋_GB2312" w:eastAsia="仿宋_GB2312" w:cs="仿宋_GB2312"/>
          <w:bCs/>
          <w:color w:val="333333"/>
          <w:kern w:val="0"/>
          <w:sz w:val="32"/>
          <w:szCs w:val="32"/>
          <w:shd w:val="clear" w:color="auto" w:fill="FFFFFF"/>
        </w:rPr>
        <w:t>2024年收入预算953.37万元，其中：一般公共预算拨款收入953.37万元，占100%。</w:t>
      </w:r>
    </w:p>
    <w:p>
      <w:pPr>
        <w:widowControl/>
        <w:numPr>
          <w:ilvl w:val="0"/>
          <w:numId w:val="1"/>
        </w:numPr>
        <w:pBdr>
          <w:bottom w:val="single" w:color="FFFFFF" w:sz="8" w:space="31"/>
        </w:pBdr>
        <w:shd w:val="clear" w:color="auto"/>
        <w:spacing w:line="576" w:lineRule="atLeast"/>
        <w:ind w:firstLine="668"/>
        <w:outlineLvl w:val="1"/>
        <w:rPr>
          <w:rFonts w:ascii="楷体_GB2312" w:hAnsi="楷体_GB2312" w:eastAsia="楷体_GB2312" w:cs="楷体_GB2312"/>
          <w:b/>
          <w:color w:val="333333"/>
          <w:kern w:val="0"/>
          <w:sz w:val="32"/>
          <w:szCs w:val="32"/>
          <w:shd w:val="clear" w:color="auto" w:fill="FFFFFF"/>
        </w:rPr>
      </w:pPr>
      <w:bookmarkStart w:id="8" w:name="_Toc27843"/>
      <w:bookmarkStart w:id="9" w:name="_Toc22388"/>
      <w:r>
        <w:rPr>
          <w:rFonts w:hint="eastAsia" w:ascii="楷体_GB2312" w:hAnsi="楷体_GB2312" w:eastAsia="楷体_GB2312" w:cs="楷体_GB2312"/>
          <w:b/>
          <w:color w:val="333333"/>
          <w:kern w:val="0"/>
          <w:sz w:val="32"/>
          <w:szCs w:val="32"/>
          <w:shd w:val="clear" w:color="auto" w:fill="FFFFFF"/>
        </w:rPr>
        <w:t>支出预算情况</w:t>
      </w:r>
      <w:bookmarkEnd w:id="8"/>
      <w:bookmarkEnd w:id="9"/>
    </w:p>
    <w:p>
      <w:pPr>
        <w:widowControl/>
        <w:pBdr>
          <w:bottom w:val="single" w:color="FFFFFF" w:sz="8" w:space="31"/>
        </w:pBdr>
        <w:shd w:val="clear" w:color="auto"/>
        <w:spacing w:line="580" w:lineRule="atLeast"/>
        <w:ind w:firstLine="668"/>
        <w:contextualSpacing/>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广元市朝天区人民法院2024年支出预算953.37万元，其中：基本支出837.09万元，占87.8%；项目支出116.28万元，占12.2%。  </w:t>
      </w:r>
    </w:p>
    <w:p>
      <w:pPr>
        <w:widowControl/>
        <w:pBdr>
          <w:bottom w:val="single" w:color="FFFFFF" w:sz="8" w:space="31"/>
        </w:pBdr>
        <w:shd w:val="clear" w:color="auto"/>
        <w:spacing w:line="580" w:lineRule="atLeast"/>
        <w:ind w:firstLine="668"/>
        <w:contextualSpacing/>
        <w:outlineLvl w:val="0"/>
        <w:rPr>
          <w:rFonts w:ascii="仿宋_GB2312" w:hAnsi="仿宋_GB2312" w:eastAsia="仿宋_GB2312" w:cs="仿宋_GB2312"/>
          <w:sz w:val="32"/>
          <w:szCs w:val="32"/>
        </w:rPr>
      </w:pPr>
      <w:bookmarkStart w:id="10" w:name="_Toc19374"/>
      <w:r>
        <w:rPr>
          <w:rFonts w:hint="eastAsia" w:ascii="黑体" w:hAnsi="黑体" w:eastAsia="黑体" w:cs="黑体"/>
          <w:sz w:val="32"/>
          <w:szCs w:val="32"/>
        </w:rPr>
        <w:t>四、财政拨款收支预算情况说明</w:t>
      </w:r>
      <w:bookmarkEnd w:id="10"/>
    </w:p>
    <w:p>
      <w:pPr>
        <w:widowControl/>
        <w:pBdr>
          <w:bottom w:val="single" w:color="FFFFFF" w:sz="8" w:space="31"/>
        </w:pBdr>
        <w:shd w:val="clear" w:color="auto"/>
        <w:spacing w:line="580" w:lineRule="atLeast"/>
        <w:ind w:firstLine="668"/>
        <w:contextualSpacing/>
        <w:rPr>
          <w:rFonts w:ascii="仿宋_GB2312" w:hAnsi="仿宋_GB2312" w:eastAsia="仿宋_GB2312" w:cs="仿宋_GB2312"/>
          <w:sz w:val="32"/>
          <w:szCs w:val="32"/>
        </w:rPr>
      </w:pPr>
      <w:r>
        <w:rPr>
          <w:rFonts w:hint="eastAsia" w:ascii="仿宋_GB2312" w:hAnsi="仿宋_GB2312" w:eastAsia="仿宋_GB2312" w:cs="仿宋_GB2312"/>
          <w:color w:val="333333"/>
          <w:kern w:val="0"/>
          <w:sz w:val="32"/>
          <w:szCs w:val="32"/>
          <w:shd w:val="clear" w:color="auto" w:fill="FFFFFF"/>
        </w:rPr>
        <w:t>广元市朝天区人民法</w:t>
      </w:r>
      <w:r>
        <w:rPr>
          <w:rFonts w:hint="eastAsia" w:ascii="仿宋_GB2312" w:hAnsi="仿宋_GB2312" w:eastAsia="仿宋_GB2312" w:cs="仿宋_GB2312"/>
          <w:kern w:val="0"/>
          <w:sz w:val="32"/>
          <w:szCs w:val="32"/>
          <w:shd w:val="clear" w:color="auto" w:fill="FFFFFF"/>
        </w:rPr>
        <w:t>院2024年</w:t>
      </w:r>
      <w:r>
        <w:rPr>
          <w:rFonts w:hint="eastAsia" w:ascii="仿宋_GB2312" w:hAnsi="仿宋_GB2312" w:eastAsia="仿宋_GB2312" w:cs="仿宋_GB2312"/>
          <w:bCs/>
          <w:kern w:val="0"/>
          <w:sz w:val="32"/>
          <w:szCs w:val="32"/>
          <w:shd w:val="clear" w:color="auto" w:fill="FFFFFF"/>
        </w:rPr>
        <w:t>财政拨款收支预算总数</w:t>
      </w:r>
      <w:r>
        <w:rPr>
          <w:rFonts w:hint="eastAsia" w:ascii="仿宋_GB2312" w:hAnsi="仿宋_GB2312" w:eastAsia="仿宋_GB2312" w:cs="仿宋_GB2312"/>
          <w:kern w:val="0"/>
          <w:sz w:val="32"/>
          <w:szCs w:val="32"/>
          <w:shd w:val="clear" w:color="auto" w:fill="FFFFFF"/>
        </w:rPr>
        <w:t>953.37万元</w:t>
      </w:r>
      <w:r>
        <w:rPr>
          <w:rFonts w:hint="eastAsia" w:ascii="仿宋_GB2312" w:hAnsi="仿宋_GB2312" w:eastAsia="仿宋_GB2312" w:cs="仿宋_GB2312"/>
          <w:kern w:val="0"/>
          <w:sz w:val="32"/>
          <w:szCs w:val="32"/>
          <w:shd w:val="clear" w:color="auto" w:fill="FFFFFF"/>
          <w:lang w:eastAsia="zh-CN"/>
        </w:rPr>
        <w:t>，</w:t>
      </w:r>
      <w:r>
        <w:rPr>
          <w:rFonts w:hint="eastAsia" w:ascii="仿宋_GB2312" w:hAnsi="仿宋_GB2312" w:eastAsia="仿宋_GB2312" w:cs="仿宋_GB2312"/>
          <w:kern w:val="0"/>
          <w:sz w:val="32"/>
          <w:szCs w:val="32"/>
          <w:shd w:val="clear" w:color="auto" w:fill="FFFFFF"/>
        </w:rPr>
        <w:t>比2023年</w:t>
      </w:r>
      <w:r>
        <w:rPr>
          <w:rFonts w:hint="eastAsia" w:ascii="仿宋_GB2312" w:hAnsi="仿宋_GB2312" w:eastAsia="仿宋_GB2312" w:cs="仿宋_GB2312"/>
          <w:bCs/>
          <w:kern w:val="0"/>
          <w:sz w:val="32"/>
          <w:szCs w:val="32"/>
          <w:shd w:val="clear" w:color="auto" w:fill="FFFFFF"/>
        </w:rPr>
        <w:t>财政拨款收支预算总数减</w:t>
      </w:r>
      <w:r>
        <w:rPr>
          <w:rFonts w:hint="eastAsia" w:ascii="仿宋_GB2312" w:hAnsi="仿宋_GB2312" w:eastAsia="仿宋_GB2312" w:cs="仿宋_GB2312"/>
          <w:color w:val="333333"/>
          <w:kern w:val="0"/>
          <w:sz w:val="32"/>
          <w:szCs w:val="32"/>
          <w:shd w:val="clear" w:color="auto" w:fill="FFFFFF"/>
        </w:rPr>
        <w:t>少3.26万元，</w:t>
      </w:r>
      <w:r>
        <w:rPr>
          <w:rFonts w:hint="eastAsia" w:ascii="仿宋_GB2312" w:hAnsi="仿宋_GB2312" w:eastAsia="仿宋_GB2312" w:cs="仿宋_GB2312"/>
          <w:sz w:val="32"/>
          <w:szCs w:val="32"/>
        </w:rPr>
        <w:t>主要原因是</w:t>
      </w:r>
      <w:r>
        <w:rPr>
          <w:rFonts w:hint="eastAsia" w:ascii="仿宋_GB2312" w:hAnsi="仿宋_GB2312" w:eastAsia="仿宋_GB2312" w:cs="仿宋_GB2312"/>
          <w:color w:val="333333"/>
          <w:kern w:val="0"/>
          <w:sz w:val="32"/>
          <w:szCs w:val="32"/>
          <w:shd w:val="clear" w:color="auto" w:fill="FFFFFF"/>
        </w:rPr>
        <w:t>人员经费中法官绩效统筹基数发生变化。</w:t>
      </w:r>
    </w:p>
    <w:p>
      <w:pPr>
        <w:widowControl/>
        <w:pBdr>
          <w:bottom w:val="single" w:color="FFFFFF" w:sz="8" w:space="31"/>
        </w:pBdr>
        <w:shd w:val="clear" w:color="auto"/>
        <w:suppressAutoHyphens w:val="0"/>
        <w:spacing w:line="580" w:lineRule="atLeast"/>
        <w:ind w:firstLine="668"/>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收入包括：本年一般公共预算拨款收入953.37万元；支出包括</w:t>
      </w:r>
      <w:r>
        <w:rPr>
          <w:rFonts w:hint="eastAsia" w:ascii="仿宋_GB2312" w:hAnsi="仿宋_GB2312" w:eastAsia="仿宋_GB2312" w:cs="仿宋_GB2312"/>
          <w:color w:val="333333"/>
          <w:kern w:val="0"/>
          <w:sz w:val="32"/>
          <w:szCs w:val="32"/>
          <w:shd w:val="clear" w:color="auto" w:fill="FFFFFF"/>
          <w:lang w:eastAsia="zh-CN"/>
        </w:rPr>
        <w:t>：</w:t>
      </w:r>
      <w:r>
        <w:rPr>
          <w:rFonts w:hint="eastAsia" w:ascii="仿宋_GB2312" w:hAnsi="仿宋_GB2312" w:eastAsia="仿宋_GB2312" w:cs="仿宋_GB2312"/>
          <w:color w:val="333333"/>
          <w:kern w:val="0"/>
          <w:sz w:val="32"/>
          <w:szCs w:val="32"/>
          <w:shd w:val="clear" w:color="auto" w:fill="FFFFFF"/>
        </w:rPr>
        <w:t>公共安全支出810.22万元、社会保障和就业支出61.59万元、卫生健康支出29.19万元、住房保障支出52.37万元。</w:t>
      </w:r>
    </w:p>
    <w:p>
      <w:pPr>
        <w:widowControl/>
        <w:pBdr>
          <w:bottom w:val="single" w:color="FFFFFF" w:sz="8" w:space="31"/>
        </w:pBdr>
        <w:shd w:val="clear" w:color="auto"/>
        <w:suppressAutoHyphens w:val="0"/>
        <w:spacing w:line="580" w:lineRule="atLeast"/>
        <w:ind w:firstLine="668"/>
        <w:outlineLvl w:val="0"/>
        <w:rPr>
          <w:rFonts w:ascii="仿宋_GB2312" w:hAnsi="仿宋_GB2312" w:eastAsia="仿宋_GB2312" w:cs="仿宋_GB2312"/>
          <w:color w:val="333333"/>
          <w:kern w:val="0"/>
          <w:sz w:val="32"/>
          <w:szCs w:val="32"/>
          <w:shd w:val="clear" w:color="auto" w:fill="FFFFFF"/>
        </w:rPr>
      </w:pPr>
      <w:bookmarkStart w:id="11" w:name="_Toc17966"/>
      <w:r>
        <w:rPr>
          <w:rFonts w:hint="eastAsia" w:ascii="黑体" w:hAnsi="黑体" w:eastAsia="黑体" w:cs="黑体"/>
          <w:sz w:val="32"/>
          <w:szCs w:val="32"/>
        </w:rPr>
        <w:t>五、一般公共预算当年拨款情况说明</w:t>
      </w:r>
      <w:bookmarkEnd w:id="11"/>
    </w:p>
    <w:p>
      <w:pPr>
        <w:widowControl/>
        <w:pBdr>
          <w:bottom w:val="single" w:color="FFFFFF" w:sz="8" w:space="31"/>
        </w:pBdr>
        <w:shd w:val="clear" w:color="auto"/>
        <w:suppressAutoHyphens w:val="0"/>
        <w:spacing w:line="576" w:lineRule="atLeast"/>
        <w:ind w:firstLine="642" w:firstLineChars="200"/>
        <w:outlineLvl w:val="1"/>
        <w:rPr>
          <w:rFonts w:ascii="楷体_GB2312" w:hAnsi="楷体_GB2312" w:eastAsia="楷体_GB2312" w:cs="楷体_GB2312"/>
          <w:b/>
          <w:color w:val="333333"/>
          <w:kern w:val="0"/>
          <w:sz w:val="32"/>
          <w:szCs w:val="32"/>
          <w:shd w:val="clear" w:color="auto" w:fill="FFFFFF"/>
        </w:rPr>
      </w:pPr>
      <w:bookmarkStart w:id="12" w:name="_Toc15063"/>
      <w:bookmarkStart w:id="13" w:name="_Toc9724"/>
      <w:r>
        <w:rPr>
          <w:rFonts w:hint="eastAsia" w:ascii="楷体_GB2312" w:hAnsi="楷体_GB2312" w:eastAsia="楷体_GB2312" w:cs="楷体_GB2312"/>
          <w:b/>
          <w:color w:val="333333"/>
          <w:kern w:val="0"/>
          <w:sz w:val="32"/>
          <w:szCs w:val="32"/>
          <w:shd w:val="clear" w:color="auto" w:fill="FFFFFF"/>
        </w:rPr>
        <w:t>（一）一般公共预算当年拨款规模变化情况</w:t>
      </w:r>
      <w:bookmarkEnd w:id="12"/>
      <w:bookmarkEnd w:id="13"/>
    </w:p>
    <w:p>
      <w:pPr>
        <w:widowControl/>
        <w:pBdr>
          <w:bottom w:val="single" w:color="FFFFFF" w:sz="8" w:space="31"/>
        </w:pBdr>
        <w:shd w:val="clear" w:color="auto"/>
        <w:spacing w:line="576" w:lineRule="atLeast"/>
        <w:ind w:firstLine="640" w:firstLineChars="200"/>
        <w:rPr>
          <w:rFonts w:ascii="仿宋_GB2312" w:hAnsi="仿宋_GB2312" w:eastAsia="仿宋_GB2312" w:cs="仿宋_GB2312"/>
          <w:bCs/>
          <w:color w:val="333333"/>
          <w:sz w:val="32"/>
          <w:szCs w:val="32"/>
        </w:rPr>
      </w:pPr>
      <w:r>
        <w:rPr>
          <w:rFonts w:hint="eastAsia" w:ascii="仿宋_GB2312" w:hAnsi="仿宋_GB2312" w:eastAsia="仿宋_GB2312" w:cs="仿宋_GB2312"/>
          <w:color w:val="333333"/>
          <w:kern w:val="0"/>
          <w:sz w:val="32"/>
          <w:szCs w:val="32"/>
          <w:shd w:val="clear" w:color="auto" w:fill="FFFFFF"/>
        </w:rPr>
        <w:t>广元市朝天区人民法院</w:t>
      </w:r>
      <w:r>
        <w:rPr>
          <w:rFonts w:hint="eastAsia" w:ascii="仿宋_GB2312" w:hAnsi="仿宋_GB2312" w:eastAsia="仿宋_GB2312" w:cs="仿宋_GB2312"/>
          <w:bCs/>
          <w:color w:val="333333"/>
          <w:kern w:val="0"/>
          <w:sz w:val="32"/>
          <w:szCs w:val="32"/>
          <w:shd w:val="clear" w:color="auto" w:fill="FFFFFF"/>
        </w:rPr>
        <w:t>2024年一般公共预算当年拨款953.37万元，比2023年预算数</w:t>
      </w:r>
      <w:r>
        <w:rPr>
          <w:rFonts w:hint="eastAsia" w:ascii="仿宋_GB2312" w:hAnsi="仿宋_GB2312" w:eastAsia="仿宋_GB2312" w:cs="仿宋_GB2312"/>
          <w:color w:val="333333"/>
          <w:kern w:val="0"/>
          <w:sz w:val="32"/>
          <w:szCs w:val="32"/>
          <w:shd w:val="clear" w:color="auto" w:fill="FFFFFF"/>
        </w:rPr>
        <w:t>减少3.26万元</w:t>
      </w:r>
      <w:r>
        <w:rPr>
          <w:rFonts w:hint="eastAsia" w:ascii="仿宋_GB2312" w:hAnsi="仿宋_GB2312" w:eastAsia="仿宋_GB2312" w:cs="仿宋_GB2312"/>
          <w:bCs/>
          <w:color w:val="333333"/>
          <w:kern w:val="0"/>
          <w:sz w:val="32"/>
          <w:szCs w:val="32"/>
          <w:shd w:val="clear" w:color="auto" w:fill="FFFFFF"/>
        </w:rPr>
        <w:t>，</w:t>
      </w:r>
      <w:r>
        <w:rPr>
          <w:rFonts w:hint="eastAsia" w:ascii="仿宋_GB2312" w:hAnsi="仿宋_GB2312" w:eastAsia="仿宋_GB2312" w:cs="仿宋_GB2312"/>
          <w:color w:val="333333"/>
          <w:kern w:val="0"/>
          <w:sz w:val="32"/>
          <w:szCs w:val="32"/>
          <w:shd w:val="clear" w:color="auto" w:fill="FFFFFF"/>
        </w:rPr>
        <w:t>主要</w:t>
      </w:r>
      <w:r>
        <w:rPr>
          <w:rFonts w:hint="eastAsia" w:ascii="仿宋_GB2312" w:hAnsi="仿宋_GB2312" w:eastAsia="仿宋_GB2312" w:cs="仿宋_GB2312"/>
          <w:color w:val="333333"/>
          <w:kern w:val="0"/>
          <w:sz w:val="32"/>
          <w:szCs w:val="32"/>
          <w:shd w:val="clear" w:color="auto" w:fill="FFFFFF"/>
          <w:lang w:eastAsia="zh-CN"/>
        </w:rPr>
        <w:t>原因是</w:t>
      </w:r>
      <w:r>
        <w:rPr>
          <w:rFonts w:hint="eastAsia" w:ascii="仿宋_GB2312" w:hAnsi="仿宋_GB2312" w:eastAsia="仿宋_GB2312" w:cs="仿宋_GB2312"/>
          <w:color w:val="333333"/>
          <w:kern w:val="0"/>
          <w:sz w:val="32"/>
          <w:szCs w:val="32"/>
          <w:shd w:val="clear" w:color="auto" w:fill="FFFFFF"/>
        </w:rPr>
        <w:t>人员经费中法官绩效统筹基数发生变化。</w:t>
      </w:r>
    </w:p>
    <w:p>
      <w:pPr>
        <w:widowControl/>
        <w:pBdr>
          <w:bottom w:val="single" w:color="FFFFFF" w:sz="8" w:space="31"/>
        </w:pBdr>
        <w:shd w:val="clear" w:color="auto"/>
        <w:spacing w:line="576" w:lineRule="atLeast"/>
        <w:ind w:firstLine="642" w:firstLineChars="200"/>
        <w:outlineLvl w:val="1"/>
        <w:rPr>
          <w:rFonts w:ascii="楷体_GB2312" w:hAnsi="楷体_GB2312" w:eastAsia="楷体_GB2312" w:cs="楷体_GB2312"/>
          <w:b/>
          <w:color w:val="000000"/>
          <w:kern w:val="0"/>
          <w:sz w:val="32"/>
          <w:szCs w:val="32"/>
          <w:shd w:val="clear" w:color="auto" w:fill="FFFFFF"/>
        </w:rPr>
      </w:pPr>
      <w:bookmarkStart w:id="14" w:name="_Toc29324"/>
      <w:bookmarkStart w:id="15" w:name="_Toc26496"/>
      <w:r>
        <w:rPr>
          <w:rFonts w:hint="eastAsia" w:ascii="楷体_GB2312" w:hAnsi="楷体_GB2312" w:eastAsia="楷体_GB2312" w:cs="楷体_GB2312"/>
          <w:b/>
          <w:color w:val="000000"/>
          <w:kern w:val="0"/>
          <w:sz w:val="32"/>
          <w:szCs w:val="32"/>
          <w:shd w:val="clear" w:color="auto" w:fill="FFFFFF"/>
        </w:rPr>
        <w:t>（二）一般公共预算当年拨款结构情况</w:t>
      </w:r>
      <w:bookmarkEnd w:id="14"/>
      <w:bookmarkEnd w:id="15"/>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公共安全支出810.22万元，占84.98%；社会保障和就业支出61.59万元，占6.46%；卫生健康支出29.19万元，占3.06%；住房保障支出52.37万元，占5.5%。</w:t>
      </w:r>
      <w:bookmarkStart w:id="31" w:name="_GoBack"/>
      <w:bookmarkEnd w:id="31"/>
    </w:p>
    <w:p>
      <w:pPr>
        <w:widowControl/>
        <w:pBdr>
          <w:bottom w:val="single" w:color="FFFFFF" w:sz="8" w:space="31"/>
        </w:pBdr>
        <w:shd w:val="clear" w:color="auto"/>
        <w:spacing w:line="576" w:lineRule="atLeast"/>
        <w:ind w:firstLine="642" w:firstLineChars="200"/>
        <w:outlineLvl w:val="1"/>
        <w:rPr>
          <w:rFonts w:ascii="楷体_GB2312" w:hAnsi="楷体_GB2312" w:eastAsia="楷体_GB2312" w:cs="楷体_GB2312"/>
          <w:b/>
          <w:color w:val="333333"/>
          <w:kern w:val="0"/>
          <w:sz w:val="32"/>
          <w:szCs w:val="32"/>
          <w:shd w:val="clear" w:color="auto" w:fill="FFFFFF"/>
        </w:rPr>
      </w:pPr>
      <w:bookmarkStart w:id="16" w:name="_Toc11882"/>
      <w:bookmarkStart w:id="17" w:name="_Toc976"/>
      <w:r>
        <w:rPr>
          <w:rFonts w:hint="eastAsia" w:ascii="楷体_GB2312" w:hAnsi="楷体_GB2312" w:eastAsia="楷体_GB2312" w:cs="楷体_GB2312"/>
          <w:b/>
          <w:color w:val="333333"/>
          <w:kern w:val="0"/>
          <w:sz w:val="32"/>
          <w:szCs w:val="32"/>
          <w:shd w:val="clear" w:color="auto" w:fill="FFFFFF"/>
        </w:rPr>
        <w:t>（三）一般公共预算当年拨款具体使用情况</w:t>
      </w:r>
      <w:bookmarkEnd w:id="16"/>
      <w:bookmarkEnd w:id="17"/>
    </w:p>
    <w:p>
      <w:pPr>
        <w:widowControl/>
        <w:pBdr>
          <w:bottom w:val="single" w:color="FFFFFF" w:sz="8" w:space="31"/>
        </w:pBdr>
        <w:shd w:val="clear" w:color="auto"/>
        <w:spacing w:line="576" w:lineRule="atLeast"/>
        <w:ind w:firstLine="640" w:firstLineChars="200"/>
        <w:rPr>
          <w:rFonts w:ascii="仿宋_GB2312" w:hAnsi="Times New Roman"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1.公共安全（类）法院（款）行政运行（项）2024年预算数为742.83万元，主要用于：行政人员工资奖金</w:t>
      </w:r>
      <w:r>
        <w:rPr>
          <w:rFonts w:hint="eastAsia" w:ascii="仿宋_GB2312" w:hAnsi="Times New Roman" w:eastAsia="仿宋_GB2312" w:cs="仿宋_GB2312"/>
          <w:color w:val="333333"/>
          <w:kern w:val="0"/>
          <w:sz w:val="32"/>
          <w:szCs w:val="32"/>
          <w:shd w:val="clear" w:color="auto" w:fill="FFFFFF"/>
        </w:rPr>
        <w:t>津补贴、其他工资福利支出、办公经费、公务接待费、公务用车运行维护费、维修（护）费、其他商品和服务支出、社会福利和救助、其他对个人和家庭补助等各项费用支出。</w:t>
      </w:r>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2.公共安全（类）法院（款）一般行政管理事务（项）2024年预算数为</w:t>
      </w:r>
      <w:r>
        <w:rPr>
          <w:rFonts w:hint="eastAsia" w:ascii="仿宋_GB2312" w:hAnsi="仿宋_GB2312" w:eastAsia="仿宋_GB2312" w:cs="仿宋_GB2312"/>
          <w:color w:val="000000"/>
          <w:kern w:val="0"/>
          <w:sz w:val="32"/>
          <w:szCs w:val="32"/>
          <w:shd w:val="clear" w:color="auto" w:fill="FFFFFF"/>
        </w:rPr>
        <w:t>32.87</w:t>
      </w:r>
      <w:r>
        <w:rPr>
          <w:rFonts w:hint="eastAsia" w:ascii="仿宋_GB2312" w:hAnsi="仿宋_GB2312" w:eastAsia="仿宋_GB2312" w:cs="仿宋_GB2312"/>
          <w:color w:val="333333"/>
          <w:kern w:val="0"/>
          <w:sz w:val="32"/>
          <w:szCs w:val="32"/>
          <w:shd w:val="clear" w:color="auto" w:fill="FFFFFF"/>
        </w:rPr>
        <w:t>万元，主要用于：办案业务经费等支出。</w:t>
      </w:r>
    </w:p>
    <w:p>
      <w:pPr>
        <w:widowControl/>
        <w:pBdr>
          <w:bottom w:val="single" w:color="FFFFFF" w:sz="8" w:space="31"/>
        </w:pBdr>
        <w:shd w:val="clear" w:color="auto"/>
        <w:spacing w:line="576" w:lineRule="atLeast"/>
        <w:ind w:firstLine="640" w:firstLineChars="200"/>
        <w:rPr>
          <w:rFonts w:ascii="仿宋_GB2312" w:hAnsi="Times New Roman"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3.公共安全（类）法院（款）事业运行（项）2024年预算数为34.52万元，主要用于：事业人员工资奖金</w:t>
      </w:r>
      <w:r>
        <w:rPr>
          <w:rFonts w:hint="eastAsia" w:ascii="仿宋_GB2312" w:hAnsi="Times New Roman" w:eastAsia="仿宋_GB2312" w:cs="仿宋_GB2312"/>
          <w:color w:val="333333"/>
          <w:kern w:val="0"/>
          <w:sz w:val="32"/>
          <w:szCs w:val="32"/>
          <w:shd w:val="clear" w:color="auto" w:fill="FFFFFF"/>
        </w:rPr>
        <w:t>津补贴、其他工资福利支出、办公经费、公务接待费、公务用车运行维护费、维修（护）费、其他商品和服务支出、社会福利和救助、其他对个人和家庭补助等各项费用支出。</w:t>
      </w:r>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4.社会保障和就业（类）行政事业单位养老支出（款） 机关事业单位基本养老保险缴费支出（项）2024年预算数为61.59万元，主要用于：实施养老保险制度由单位缴纳的基本养老保险支出。</w:t>
      </w:r>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5.卫生健康（类）行政事业单位医疗（款）行政单位医疗（项）2024</w:t>
      </w:r>
      <w:r>
        <w:rPr>
          <w:rFonts w:hint="eastAsia" w:ascii="仿宋_GB2312" w:hAnsi="仿宋_GB2312" w:eastAsia="仿宋_GB2312" w:cs="仿宋_GB2312"/>
          <w:color w:val="000000"/>
          <w:kern w:val="0"/>
          <w:sz w:val="32"/>
          <w:szCs w:val="32"/>
          <w:shd w:val="clear" w:color="auto" w:fill="FFFFFF"/>
        </w:rPr>
        <w:t>年预算数为29.19</w:t>
      </w:r>
      <w:r>
        <w:rPr>
          <w:rFonts w:hint="eastAsia" w:ascii="仿宋_GB2312" w:hAnsi="仿宋_GB2312" w:eastAsia="仿宋_GB2312" w:cs="仿宋_GB2312"/>
          <w:color w:val="333333"/>
          <w:kern w:val="0"/>
          <w:sz w:val="32"/>
          <w:szCs w:val="32"/>
          <w:shd w:val="clear" w:color="auto" w:fill="FFFFFF"/>
        </w:rPr>
        <w:t>万元。主要用于：按规定由单位缴纳的基本医疗保险支出。</w:t>
      </w:r>
    </w:p>
    <w:p>
      <w:pPr>
        <w:widowControl/>
        <w:pBdr>
          <w:bottom w:val="single" w:color="FFFFFF" w:sz="8" w:space="31"/>
        </w:pBdr>
        <w:shd w:val="clear" w:color="auto"/>
        <w:spacing w:line="576" w:lineRule="atLeast"/>
        <w:ind w:firstLine="640" w:firstLineChars="200"/>
        <w:rPr>
          <w:rFonts w:ascii="仿宋_GB2312" w:hAnsi="Times New Roman" w:eastAsia="仿宋_GB2312" w:cs="仿宋_GB2312"/>
          <w:color w:val="333333"/>
          <w:kern w:val="0"/>
          <w:sz w:val="32"/>
          <w:szCs w:val="32"/>
          <w:shd w:val="clear" w:color="auto" w:fill="FFFFFF"/>
        </w:rPr>
      </w:pPr>
      <w:r>
        <w:rPr>
          <w:rFonts w:hint="eastAsia" w:ascii="仿宋_GB2312" w:hAnsi="Times New Roman" w:eastAsia="仿宋_GB2312" w:cs="仿宋_GB2312"/>
          <w:color w:val="333333"/>
          <w:kern w:val="0"/>
          <w:sz w:val="32"/>
          <w:szCs w:val="32"/>
          <w:shd w:val="clear" w:color="auto" w:fill="FFFFFF"/>
        </w:rPr>
        <w:t>6.住房保障（</w:t>
      </w:r>
      <w:r>
        <w:rPr>
          <w:rFonts w:hint="eastAsia" w:ascii="仿宋_GB2312" w:hAnsi="Times New Roman" w:eastAsia="仿宋_GB2312" w:cs="仿宋_GB2312"/>
          <w:color w:val="000000"/>
          <w:kern w:val="0"/>
          <w:sz w:val="32"/>
          <w:szCs w:val="32"/>
          <w:shd w:val="clear" w:color="auto" w:fill="FFFFFF"/>
        </w:rPr>
        <w:t>类）住房改革支出（款）住房公积金（项）2024年预算数为52.37万元。主要用于</w:t>
      </w:r>
      <w:r>
        <w:rPr>
          <w:rFonts w:hint="eastAsia" w:ascii="仿宋_GB2312" w:hAnsi="仿宋_GB2312" w:eastAsia="仿宋_GB2312" w:cs="仿宋_GB2312"/>
          <w:color w:val="000000"/>
          <w:kern w:val="0"/>
          <w:sz w:val="32"/>
          <w:szCs w:val="32"/>
          <w:shd w:val="clear" w:color="auto" w:fill="FFFFFF"/>
        </w:rPr>
        <w:t>：按规定为职工缴纳的住房公积金支出。</w:t>
      </w:r>
    </w:p>
    <w:p>
      <w:pPr>
        <w:widowControl/>
        <w:pBdr>
          <w:bottom w:val="single" w:color="FFFFFF" w:sz="8" w:space="31"/>
        </w:pBdr>
        <w:shd w:val="clear" w:color="auto"/>
        <w:spacing w:line="576" w:lineRule="atLeast"/>
        <w:ind w:firstLine="640" w:firstLineChars="200"/>
        <w:outlineLvl w:val="0"/>
        <w:rPr>
          <w:rFonts w:ascii="仿宋_GB2312" w:hAnsi="Times New Roman" w:eastAsia="仿宋_GB2312" w:cs="仿宋_GB2312"/>
          <w:color w:val="333333"/>
          <w:kern w:val="0"/>
          <w:sz w:val="32"/>
          <w:szCs w:val="32"/>
          <w:shd w:val="clear" w:color="auto" w:fill="FFFFFF"/>
        </w:rPr>
      </w:pPr>
      <w:bookmarkStart w:id="18" w:name="_Toc31376"/>
      <w:r>
        <w:rPr>
          <w:rFonts w:hint="eastAsia" w:ascii="黑体" w:hAnsi="黑体" w:eastAsia="黑体" w:cs="黑体"/>
          <w:sz w:val="32"/>
          <w:szCs w:val="32"/>
        </w:rPr>
        <w:t>六、一般公共预算基本支出情况说明</w:t>
      </w:r>
      <w:bookmarkEnd w:id="18"/>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广元市朝天区人民法院2024年一般公共预算基本支出837.09万元，其中：</w:t>
      </w:r>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人员经费706.67万元，主要包括：基本工资、津贴补贴、奖金、绩效工资、机关事业单位基本养老保险缴费、职工基本医疗保险缴费、其他社会保障缴费、住房公积金、其他工资福利支出、生活补助等支出。</w:t>
      </w:r>
    </w:p>
    <w:p>
      <w:pPr>
        <w:widowControl/>
        <w:pBdr>
          <w:bottom w:val="single" w:color="FFFFFF" w:sz="8" w:space="31"/>
        </w:pBdr>
        <w:shd w:val="clear" w:color="auto"/>
        <w:spacing w:line="576" w:lineRule="atLeast"/>
        <w:ind w:firstLine="640" w:firstLineChars="200"/>
        <w:rPr>
          <w:rFonts w:ascii="仿宋_GB2312" w:hAnsi="仿宋_GB2312" w:eastAsia="仿宋_GB2312" w:cs="仿宋_GB2312"/>
          <w:b/>
          <w:bCs/>
          <w:color w:val="FF0000"/>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公用经费130.43万元，主要包括：办公费、水费、电费、邮电费、物业管理费、公务接待费、工会经费、福利费、公务用车运行维护费、其他交通费用、其他商品和服务支出等支出。</w:t>
      </w:r>
    </w:p>
    <w:p>
      <w:pPr>
        <w:widowControl/>
        <w:pBdr>
          <w:bottom w:val="single" w:color="FFFFFF" w:sz="8" w:space="31"/>
        </w:pBdr>
        <w:shd w:val="clear" w:color="auto"/>
        <w:spacing w:line="576" w:lineRule="atLeast"/>
        <w:ind w:firstLine="640" w:firstLineChars="200"/>
        <w:outlineLvl w:val="0"/>
        <w:rPr>
          <w:rFonts w:ascii="黑体" w:hAnsi="黑体" w:eastAsia="黑体" w:cs="黑体"/>
          <w:sz w:val="32"/>
          <w:szCs w:val="32"/>
        </w:rPr>
      </w:pPr>
      <w:bookmarkStart w:id="19" w:name="_Toc23448"/>
      <w:r>
        <w:rPr>
          <w:rFonts w:hint="eastAsia" w:ascii="黑体" w:hAnsi="黑体" w:eastAsia="黑体" w:cs="黑体"/>
          <w:sz w:val="32"/>
          <w:szCs w:val="32"/>
        </w:rPr>
        <w:t>七、“三公”经费财政拨款预算安排情况说明</w:t>
      </w:r>
      <w:bookmarkEnd w:id="19"/>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广元市朝天区人民法院2024年“三公”经费财政拨款预算数11.6万元，其中：公务接待费1.6万元，公务用车购置及运行维护费10万元，因公出国（境）经费0万元。</w:t>
      </w:r>
    </w:p>
    <w:p>
      <w:pPr>
        <w:widowControl/>
        <w:pBdr>
          <w:bottom w:val="single" w:color="FFFFFF" w:sz="8" w:space="31"/>
        </w:pBdr>
        <w:shd w:val="clear" w:color="auto"/>
        <w:spacing w:line="576" w:lineRule="atLeast"/>
        <w:ind w:firstLine="642" w:firstLineChars="200"/>
        <w:outlineLvl w:val="1"/>
        <w:rPr>
          <w:rFonts w:ascii="仿宋_GB2312" w:hAnsi="仿宋_GB2312" w:eastAsia="仿宋_GB2312" w:cs="仿宋_GB2312"/>
          <w:color w:val="333333"/>
          <w:kern w:val="0"/>
          <w:sz w:val="32"/>
          <w:szCs w:val="32"/>
          <w:shd w:val="clear" w:color="auto" w:fill="FFFFFF"/>
        </w:rPr>
      </w:pPr>
      <w:bookmarkStart w:id="20" w:name="_Toc22993"/>
      <w:r>
        <w:rPr>
          <w:rFonts w:hint="eastAsia" w:ascii="楷体_GB2312" w:hAnsi="楷体_GB2312" w:eastAsia="楷体_GB2312" w:cs="楷体_GB2312"/>
          <w:b/>
          <w:color w:val="333333"/>
          <w:kern w:val="0"/>
          <w:sz w:val="32"/>
          <w:szCs w:val="32"/>
          <w:shd w:val="clear" w:color="auto" w:fill="FFFFFF"/>
          <w:lang w:eastAsia="zh-CN"/>
        </w:rPr>
        <w:t>（</w:t>
      </w:r>
      <w:r>
        <w:rPr>
          <w:rFonts w:hint="eastAsia" w:ascii="楷体_GB2312" w:hAnsi="楷体_GB2312" w:eastAsia="楷体_GB2312" w:cs="楷体_GB2312"/>
          <w:b/>
          <w:color w:val="333333"/>
          <w:kern w:val="0"/>
          <w:sz w:val="32"/>
          <w:szCs w:val="32"/>
          <w:shd w:val="clear" w:color="auto" w:fill="FFFFFF"/>
        </w:rPr>
        <w:t>一)公务接待费</w:t>
      </w:r>
      <w:bookmarkEnd w:id="20"/>
    </w:p>
    <w:p>
      <w:pPr>
        <w:widowControl/>
        <w:pBdr>
          <w:bottom w:val="single" w:color="FFFFFF" w:sz="8" w:space="31"/>
        </w:pBdr>
        <w:shd w:val="clear" w:color="auto"/>
        <w:spacing w:line="576" w:lineRule="atLeast"/>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 xml:space="preserve">    公务接待费与2023年预算相比持平。</w:t>
      </w:r>
    </w:p>
    <w:p>
      <w:pPr>
        <w:widowControl/>
        <w:pBdr>
          <w:bottom w:val="single" w:color="FFFFFF" w:sz="8" w:space="31"/>
        </w:pBdr>
        <w:shd w:val="clear" w:color="auto"/>
        <w:spacing w:line="576" w:lineRule="atLeast"/>
        <w:ind w:firstLine="645"/>
        <w:rPr>
          <w:rFonts w:ascii="楷体_GB2312" w:hAnsi="楷体_GB2312" w:eastAsia="楷体_GB2312" w:cs="楷体_GB2312"/>
          <w:b/>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2024年公务接待费计划用于执行接待考察调研、检查指导等公务活动开支的交通费、住宿费、用餐费等。</w:t>
      </w:r>
    </w:p>
    <w:p>
      <w:pPr>
        <w:widowControl/>
        <w:pBdr>
          <w:bottom w:val="single" w:color="FFFFFF" w:sz="8" w:space="31"/>
        </w:pBdr>
        <w:shd w:val="clear" w:color="auto"/>
        <w:spacing w:line="576" w:lineRule="atLeast"/>
        <w:ind w:firstLine="645"/>
        <w:outlineLvl w:val="1"/>
        <w:rPr>
          <w:rFonts w:ascii="楷体_GB2312" w:hAnsi="楷体_GB2312" w:eastAsia="楷体_GB2312" w:cs="楷体_GB2312"/>
          <w:b/>
          <w:color w:val="333333"/>
          <w:kern w:val="0"/>
          <w:sz w:val="32"/>
          <w:szCs w:val="32"/>
          <w:shd w:val="clear" w:color="auto" w:fill="FFFFFF"/>
        </w:rPr>
      </w:pPr>
      <w:bookmarkStart w:id="21" w:name="_Toc26535"/>
      <w:r>
        <w:rPr>
          <w:rFonts w:hint="eastAsia" w:ascii="楷体_GB2312" w:hAnsi="楷体_GB2312" w:eastAsia="楷体_GB2312" w:cs="楷体_GB2312"/>
          <w:b/>
          <w:color w:val="333333"/>
          <w:kern w:val="0"/>
          <w:sz w:val="32"/>
          <w:szCs w:val="32"/>
          <w:shd w:val="clear" w:color="auto" w:fill="FFFFFF"/>
          <w:lang w:eastAsia="zh-CN"/>
        </w:rPr>
        <w:t>（</w:t>
      </w:r>
      <w:r>
        <w:rPr>
          <w:rFonts w:hint="eastAsia" w:ascii="楷体_GB2312" w:hAnsi="楷体_GB2312" w:eastAsia="楷体_GB2312" w:cs="楷体_GB2312"/>
          <w:b/>
          <w:color w:val="333333"/>
          <w:kern w:val="0"/>
          <w:sz w:val="32"/>
          <w:szCs w:val="32"/>
          <w:shd w:val="clear" w:color="auto" w:fill="FFFFFF"/>
        </w:rPr>
        <w:t>二)公务用车购置及运行维护费</w:t>
      </w:r>
      <w:bookmarkEnd w:id="21"/>
    </w:p>
    <w:p>
      <w:pPr>
        <w:widowControl/>
        <w:pBdr>
          <w:bottom w:val="single" w:color="FFFFFF" w:sz="8" w:space="31"/>
        </w:pBdr>
        <w:shd w:val="clear" w:color="auto"/>
        <w:spacing w:line="576" w:lineRule="atLeast"/>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 xml:space="preserve">    公务用车购置及运行维护费与2023年预算相比持平。</w:t>
      </w:r>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单位现有公务用车11辆，其中：轿车3辆，旅行车（含商务车）3辆，越野车5辆。</w:t>
      </w:r>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2024年未安排公务用车购置费。</w:t>
      </w:r>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FF0000"/>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2024年安排公务用车运行维护费10万元，用于11辆公务用车燃油、过路（桥）、维修、保险等方面支出，主要保障法院干警外出办案。</w:t>
      </w:r>
    </w:p>
    <w:p>
      <w:pPr>
        <w:widowControl/>
        <w:pBdr>
          <w:bottom w:val="single" w:color="FFFFFF" w:sz="8" w:space="31"/>
        </w:pBdr>
        <w:shd w:val="clear" w:color="auto"/>
        <w:spacing w:line="576" w:lineRule="atLeast"/>
        <w:ind w:firstLine="642" w:firstLineChars="200"/>
        <w:outlineLvl w:val="1"/>
        <w:rPr>
          <w:rFonts w:ascii="仿宋_GB2312" w:hAnsi="仿宋_GB2312" w:eastAsia="仿宋_GB2312" w:cs="仿宋_GB2312"/>
          <w:color w:val="333333"/>
          <w:kern w:val="0"/>
          <w:sz w:val="32"/>
          <w:szCs w:val="32"/>
          <w:shd w:val="clear" w:color="auto" w:fill="FFFFFF"/>
        </w:rPr>
      </w:pPr>
      <w:bookmarkStart w:id="22" w:name="_Toc8024"/>
      <w:r>
        <w:rPr>
          <w:rFonts w:hint="eastAsia" w:ascii="楷体_GB2312" w:hAnsi="楷体_GB2312" w:eastAsia="楷体_GB2312" w:cs="楷体_GB2312"/>
          <w:b/>
          <w:color w:val="333333"/>
          <w:kern w:val="0"/>
          <w:sz w:val="32"/>
          <w:szCs w:val="32"/>
          <w:shd w:val="clear" w:color="auto" w:fill="FFFFFF"/>
          <w:lang w:eastAsia="zh-CN"/>
        </w:rPr>
        <w:t>（</w:t>
      </w:r>
      <w:r>
        <w:rPr>
          <w:rFonts w:hint="eastAsia" w:ascii="楷体_GB2312" w:hAnsi="楷体_GB2312" w:eastAsia="楷体_GB2312" w:cs="楷体_GB2312"/>
          <w:b/>
          <w:color w:val="333333"/>
          <w:kern w:val="0"/>
          <w:sz w:val="32"/>
          <w:szCs w:val="32"/>
          <w:shd w:val="clear" w:color="auto" w:fill="FFFFFF"/>
        </w:rPr>
        <w:t>三)因公出国（境）经费</w:t>
      </w:r>
      <w:bookmarkEnd w:id="22"/>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因公出国（境）经费与2023年预算相比持平。</w:t>
      </w:r>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2024年部门预算未编列因公出国（境）经费，未安排出国（境）任务和计划。</w:t>
      </w:r>
    </w:p>
    <w:p>
      <w:pPr>
        <w:widowControl/>
        <w:pBdr>
          <w:bottom w:val="single" w:color="FFFFFF" w:sz="8" w:space="31"/>
        </w:pBdr>
        <w:shd w:val="clear" w:color="auto"/>
        <w:spacing w:line="576" w:lineRule="atLeast"/>
        <w:ind w:firstLine="640" w:firstLineChars="200"/>
        <w:outlineLvl w:val="0"/>
        <w:rPr>
          <w:rFonts w:ascii="黑体" w:hAnsi="黑体" w:eastAsia="黑体" w:cs="黑体"/>
          <w:sz w:val="32"/>
          <w:szCs w:val="32"/>
        </w:rPr>
      </w:pPr>
      <w:bookmarkStart w:id="23" w:name="_Toc9370"/>
      <w:r>
        <w:rPr>
          <w:rFonts w:hint="eastAsia" w:ascii="黑体" w:hAnsi="黑体" w:eastAsia="黑体" w:cs="黑体"/>
          <w:sz w:val="32"/>
          <w:szCs w:val="32"/>
        </w:rPr>
        <w:t>八、政府性基金预算支出情况说明</w:t>
      </w:r>
      <w:bookmarkEnd w:id="23"/>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广元市朝天区人民法院2024年无政府性基金预算拨款安排的支出。</w:t>
      </w:r>
    </w:p>
    <w:p>
      <w:pPr>
        <w:widowControl/>
        <w:pBdr>
          <w:bottom w:val="single" w:color="FFFFFF" w:sz="8" w:space="31"/>
        </w:pBdr>
        <w:shd w:val="clear" w:color="auto"/>
        <w:spacing w:line="576" w:lineRule="atLeast"/>
        <w:ind w:firstLine="640" w:firstLineChars="200"/>
        <w:outlineLvl w:val="0"/>
        <w:rPr>
          <w:rFonts w:ascii="黑体" w:hAnsi="黑体" w:eastAsia="黑体" w:cs="黑体"/>
          <w:sz w:val="32"/>
          <w:szCs w:val="32"/>
        </w:rPr>
      </w:pPr>
      <w:bookmarkStart w:id="24" w:name="_Toc24579"/>
      <w:r>
        <w:rPr>
          <w:rFonts w:hint="eastAsia" w:ascii="黑体" w:hAnsi="黑体" w:eastAsia="黑体" w:cs="黑体"/>
          <w:sz w:val="32"/>
          <w:szCs w:val="32"/>
        </w:rPr>
        <w:t>九、国有资本经营预算支出情况说明</w:t>
      </w:r>
      <w:bookmarkEnd w:id="24"/>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广元市朝天区人民法院2024年无国有资本经营预算拨款安排的支出。</w:t>
      </w:r>
    </w:p>
    <w:p>
      <w:pPr>
        <w:widowControl/>
        <w:pBdr>
          <w:bottom w:val="single" w:color="FFFFFF" w:sz="8" w:space="31"/>
        </w:pBdr>
        <w:shd w:val="clear" w:color="auto"/>
        <w:spacing w:line="576" w:lineRule="atLeast"/>
        <w:ind w:firstLine="640" w:firstLineChars="200"/>
        <w:outlineLvl w:val="0"/>
        <w:rPr>
          <w:rFonts w:ascii="黑体" w:hAnsi="黑体" w:eastAsia="黑体" w:cs="黑体"/>
          <w:sz w:val="32"/>
          <w:szCs w:val="32"/>
        </w:rPr>
      </w:pPr>
      <w:bookmarkStart w:id="25" w:name="_Toc7088"/>
      <w:r>
        <w:rPr>
          <w:rFonts w:hint="eastAsia" w:ascii="黑体" w:hAnsi="黑体" w:eastAsia="黑体" w:cs="黑体"/>
          <w:sz w:val="32"/>
          <w:szCs w:val="32"/>
        </w:rPr>
        <w:t>十、其他重要事项的情况说明</w:t>
      </w:r>
      <w:bookmarkEnd w:id="25"/>
    </w:p>
    <w:p>
      <w:pPr>
        <w:widowControl/>
        <w:pBdr>
          <w:bottom w:val="single" w:color="FFFFFF" w:sz="8" w:space="31"/>
        </w:pBdr>
        <w:shd w:val="clear" w:color="auto"/>
        <w:spacing w:line="576" w:lineRule="atLeast"/>
        <w:ind w:firstLine="642" w:firstLineChars="200"/>
        <w:outlineLvl w:val="1"/>
        <w:rPr>
          <w:rFonts w:ascii="楷体_GB2312" w:hAnsi="楷体_GB2312" w:eastAsia="楷体_GB2312" w:cs="楷体_GB2312"/>
          <w:b/>
          <w:color w:val="333333"/>
          <w:kern w:val="0"/>
          <w:sz w:val="32"/>
          <w:szCs w:val="32"/>
          <w:shd w:val="clear" w:color="auto" w:fill="FFFFFF"/>
        </w:rPr>
      </w:pPr>
      <w:bookmarkStart w:id="26" w:name="_Toc28830"/>
      <w:r>
        <w:rPr>
          <w:rFonts w:hint="eastAsia" w:ascii="楷体_GB2312" w:hAnsi="楷体_GB2312" w:eastAsia="楷体_GB2312" w:cs="楷体_GB2312"/>
          <w:b/>
          <w:color w:val="333333"/>
          <w:kern w:val="0"/>
          <w:sz w:val="32"/>
          <w:szCs w:val="32"/>
          <w:shd w:val="clear" w:color="auto" w:fill="FFFFFF"/>
        </w:rPr>
        <w:t>（一）机关运行经费</w:t>
      </w:r>
      <w:bookmarkEnd w:id="26"/>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2024年，广元市朝天区人民法院的机关运行经费财政拨款预算为130.43万元，比2023年预算增加5.34万元，增长4.27%。主要原因部分保障标准细微变化。</w:t>
      </w:r>
    </w:p>
    <w:p>
      <w:pPr>
        <w:widowControl/>
        <w:pBdr>
          <w:bottom w:val="single" w:color="FFFFFF" w:sz="8" w:space="31"/>
        </w:pBdr>
        <w:shd w:val="clear" w:color="auto"/>
        <w:spacing w:line="576" w:lineRule="atLeast"/>
        <w:ind w:firstLine="642" w:firstLineChars="200"/>
        <w:outlineLvl w:val="1"/>
        <w:rPr>
          <w:rFonts w:ascii="楷体_GB2312" w:hAnsi="楷体_GB2312" w:eastAsia="楷体_GB2312" w:cs="楷体_GB2312"/>
          <w:b/>
          <w:color w:val="333333"/>
          <w:kern w:val="0"/>
          <w:sz w:val="32"/>
          <w:szCs w:val="32"/>
          <w:shd w:val="clear" w:color="auto" w:fill="FFFFFF"/>
        </w:rPr>
      </w:pPr>
      <w:bookmarkStart w:id="27" w:name="_Toc9441"/>
      <w:r>
        <w:rPr>
          <w:rFonts w:hint="eastAsia" w:ascii="楷体_GB2312" w:hAnsi="楷体_GB2312" w:eastAsia="楷体_GB2312" w:cs="楷体_GB2312"/>
          <w:b/>
          <w:color w:val="333333"/>
          <w:kern w:val="0"/>
          <w:sz w:val="32"/>
          <w:szCs w:val="32"/>
          <w:shd w:val="clear" w:color="auto" w:fill="FFFFFF"/>
        </w:rPr>
        <w:t>（二）政府采购情况</w:t>
      </w:r>
      <w:bookmarkEnd w:id="27"/>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2024年，广元市朝天区人民法院安排政府采购预算0万元。</w:t>
      </w:r>
    </w:p>
    <w:p>
      <w:pPr>
        <w:widowControl/>
        <w:pBdr>
          <w:bottom w:val="single" w:color="FFFFFF" w:sz="8" w:space="31"/>
        </w:pBdr>
        <w:shd w:val="clear" w:color="auto"/>
        <w:spacing w:line="576" w:lineRule="atLeast"/>
        <w:ind w:firstLine="642" w:firstLineChars="200"/>
        <w:outlineLvl w:val="1"/>
        <w:rPr>
          <w:rFonts w:ascii="楷体_GB2312" w:hAnsi="楷体_GB2312" w:eastAsia="楷体_GB2312" w:cs="楷体_GB2312"/>
          <w:b/>
          <w:color w:val="333333"/>
          <w:kern w:val="0"/>
          <w:sz w:val="32"/>
          <w:szCs w:val="32"/>
          <w:shd w:val="clear" w:color="auto" w:fill="FFFFFF"/>
        </w:rPr>
      </w:pPr>
      <w:bookmarkStart w:id="28" w:name="_Toc19999"/>
      <w:r>
        <w:rPr>
          <w:rFonts w:hint="eastAsia" w:ascii="楷体_GB2312" w:hAnsi="楷体_GB2312" w:eastAsia="楷体_GB2312" w:cs="楷体_GB2312"/>
          <w:b/>
          <w:color w:val="333333"/>
          <w:kern w:val="0"/>
          <w:sz w:val="32"/>
          <w:szCs w:val="32"/>
          <w:shd w:val="clear" w:color="auto" w:fill="FFFFFF"/>
        </w:rPr>
        <w:t>（三）国有资产占有使用情况</w:t>
      </w:r>
      <w:bookmarkEnd w:id="28"/>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截至2023年底，广元市朝天区人民法院共有车辆11辆，其中，执法执勤用车11辆。单位价值200万元以上大型设备0台（套）。</w:t>
      </w:r>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2024年部门预算未安排购置车辆及单位价值200万元以上大型设备。</w:t>
      </w:r>
    </w:p>
    <w:p>
      <w:pPr>
        <w:widowControl/>
        <w:pBdr>
          <w:bottom w:val="single" w:color="FFFFFF" w:sz="8" w:space="31"/>
        </w:pBdr>
        <w:shd w:val="clear" w:color="auto"/>
        <w:spacing w:line="576" w:lineRule="atLeast"/>
        <w:ind w:firstLine="642" w:firstLineChars="200"/>
        <w:outlineLvl w:val="1"/>
        <w:rPr>
          <w:rFonts w:ascii="楷体_GB2312" w:hAnsi="楷体_GB2312" w:eastAsia="楷体_GB2312" w:cs="楷体_GB2312"/>
          <w:b/>
          <w:color w:val="333333"/>
          <w:kern w:val="0"/>
          <w:sz w:val="32"/>
          <w:szCs w:val="32"/>
          <w:shd w:val="clear" w:color="auto" w:fill="FFFFFF"/>
        </w:rPr>
      </w:pPr>
      <w:bookmarkStart w:id="29" w:name="_Toc8900"/>
      <w:r>
        <w:rPr>
          <w:rFonts w:hint="eastAsia" w:ascii="楷体_GB2312" w:hAnsi="楷体_GB2312" w:eastAsia="楷体_GB2312" w:cs="楷体_GB2312"/>
          <w:b/>
          <w:color w:val="333333"/>
          <w:kern w:val="0"/>
          <w:sz w:val="32"/>
          <w:szCs w:val="32"/>
          <w:shd w:val="clear" w:color="auto" w:fill="FFFFFF"/>
        </w:rPr>
        <w:t>（四）绩效目标设置情况</w:t>
      </w:r>
      <w:bookmarkEnd w:id="29"/>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2024年广元市朝天区人民法院开展绩效目标管理的项目12个，涉及预算953.37万元。其中：人员类项目5个，涉及预算706.67万元；运转类项目4个，涉及预算130.42万元；特定目标类项目3个，涉及预算116.28万元。</w:t>
      </w:r>
    </w:p>
    <w:p>
      <w:pPr>
        <w:widowControl/>
        <w:pBdr>
          <w:bottom w:val="single" w:color="FFFFFF" w:sz="8" w:space="31"/>
        </w:pBdr>
        <w:shd w:val="clear" w:color="auto"/>
        <w:spacing w:line="576" w:lineRule="atLeast"/>
        <w:ind w:firstLine="640" w:firstLineChars="200"/>
        <w:outlineLvl w:val="0"/>
        <w:rPr>
          <w:rFonts w:ascii="黑体" w:hAnsi="黑体" w:eastAsia="黑体" w:cs="黑体"/>
          <w:sz w:val="32"/>
          <w:szCs w:val="32"/>
        </w:rPr>
      </w:pPr>
      <w:bookmarkStart w:id="30" w:name="_Toc3178"/>
      <w:r>
        <w:rPr>
          <w:rFonts w:hint="eastAsia" w:ascii="黑体" w:hAnsi="黑体" w:eastAsia="黑体" w:cs="黑体"/>
          <w:sz w:val="32"/>
          <w:szCs w:val="32"/>
        </w:rPr>
        <w:t>十一、名词解释</w:t>
      </w:r>
      <w:bookmarkEnd w:id="30"/>
    </w:p>
    <w:p>
      <w:pPr>
        <w:widowControl/>
        <w:numPr>
          <w:ilvl w:val="0"/>
          <w:numId w:val="2"/>
        </w:numPr>
        <w:pBdr>
          <w:bottom w:val="single" w:color="FFFFFF" w:sz="8" w:space="31"/>
        </w:pBdr>
        <w:shd w:val="clear" w:color="auto"/>
        <w:spacing w:line="576" w:lineRule="atLeast"/>
        <w:ind w:left="0" w:leftChars="0" w:firstLine="420" w:firstLineChars="0"/>
        <w:rPr>
          <w:rFonts w:ascii="仿宋_GB2312" w:hAnsi="仿宋_GB2312" w:eastAsia="仿宋_GB2312" w:cs="仿宋_GB2312"/>
          <w:color w:val="333333"/>
          <w:kern w:val="0"/>
          <w:sz w:val="32"/>
          <w:szCs w:val="32"/>
          <w:shd w:val="clear" w:color="auto" w:fill="FFFFFF"/>
        </w:rPr>
      </w:pPr>
      <w:r>
        <w:rPr>
          <w:rFonts w:hint="eastAsia" w:ascii="楷体_GB2312" w:hAnsi="楷体_GB2312" w:eastAsia="楷体_GB2312" w:cs="楷体_GB2312"/>
          <w:sz w:val="32"/>
          <w:szCs w:val="32"/>
        </w:rPr>
        <w:t>财政拨款收入</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color w:val="333333"/>
          <w:kern w:val="0"/>
          <w:sz w:val="32"/>
          <w:szCs w:val="32"/>
          <w:shd w:val="clear" w:color="auto" w:fill="FFFFFF"/>
        </w:rPr>
        <w:t>指市财政当年安排的财政预算收入。按现行管理制度</w:t>
      </w:r>
      <w:r>
        <w:rPr>
          <w:rFonts w:hint="eastAsia" w:ascii="仿宋_GB2312" w:hAnsi="仿宋_GB2312" w:eastAsia="仿宋_GB2312" w:cs="仿宋_GB2312"/>
          <w:color w:val="333333"/>
          <w:kern w:val="0"/>
          <w:sz w:val="32"/>
          <w:szCs w:val="32"/>
          <w:shd w:val="clear" w:color="auto" w:fill="FFFFFF"/>
          <w:lang w:eastAsia="zh-CN"/>
        </w:rPr>
        <w:t>，</w:t>
      </w:r>
      <w:r>
        <w:rPr>
          <w:rFonts w:hint="eastAsia" w:ascii="仿宋_GB2312" w:hAnsi="仿宋_GB2312" w:eastAsia="仿宋_GB2312" w:cs="仿宋_GB2312"/>
          <w:color w:val="333333"/>
          <w:kern w:val="0"/>
          <w:sz w:val="32"/>
          <w:szCs w:val="32"/>
          <w:shd w:val="clear" w:color="auto" w:fill="FFFFFF"/>
        </w:rPr>
        <w:t>部门预算中反映的财政拨款包括一般公共预算拨款和政府性基金预算拨款。</w:t>
      </w:r>
    </w:p>
    <w:p>
      <w:pPr>
        <w:widowControl/>
        <w:numPr>
          <w:ilvl w:val="0"/>
          <w:numId w:val="2"/>
        </w:numPr>
        <w:pBdr>
          <w:bottom w:val="single" w:color="FFFFFF" w:sz="8" w:space="31"/>
        </w:pBdr>
        <w:shd w:val="clear" w:color="auto"/>
        <w:spacing w:line="576" w:lineRule="atLeast"/>
        <w:ind w:left="0" w:leftChars="0" w:firstLine="420" w:firstLineChars="0"/>
        <w:rPr>
          <w:rFonts w:ascii="仿宋_GB2312" w:hAnsi="仿宋_GB2312" w:eastAsia="仿宋_GB2312" w:cs="仿宋_GB2312"/>
          <w:color w:val="333333"/>
          <w:kern w:val="0"/>
          <w:sz w:val="32"/>
          <w:szCs w:val="32"/>
          <w:shd w:val="clear" w:color="auto" w:fill="FFFFFF"/>
        </w:rPr>
      </w:pPr>
      <w:r>
        <w:rPr>
          <w:rFonts w:hint="eastAsia" w:ascii="楷体_GB2312" w:hAnsi="楷体_GB2312" w:eastAsia="楷体_GB2312" w:cs="楷体_GB2312"/>
          <w:sz w:val="32"/>
          <w:szCs w:val="32"/>
        </w:rPr>
        <w:t>公共安全（类）法院（款）行政运行（项）：</w:t>
      </w:r>
      <w:r>
        <w:rPr>
          <w:rFonts w:hint="eastAsia" w:ascii="仿宋_GB2312" w:hAnsi="仿宋_GB2312" w:eastAsia="仿宋_GB2312" w:cs="仿宋_GB2312"/>
          <w:color w:val="333333"/>
          <w:kern w:val="0"/>
          <w:sz w:val="32"/>
          <w:szCs w:val="32"/>
          <w:shd w:val="clear" w:color="auto" w:fill="FFFFFF"/>
        </w:rPr>
        <w:t>指机关单位用于保障机构正常运行、开展日常工作的基本支出。</w:t>
      </w:r>
    </w:p>
    <w:p>
      <w:pPr>
        <w:widowControl/>
        <w:numPr>
          <w:ilvl w:val="0"/>
          <w:numId w:val="2"/>
        </w:numPr>
        <w:pBdr>
          <w:bottom w:val="single" w:color="FFFFFF" w:sz="8" w:space="31"/>
        </w:pBdr>
        <w:shd w:val="clear" w:color="auto"/>
        <w:spacing w:line="576" w:lineRule="atLeast"/>
        <w:ind w:left="0" w:leftChars="0" w:firstLine="420" w:firstLineChars="0"/>
        <w:rPr>
          <w:rFonts w:ascii="仿宋_GB2312" w:hAnsi="仿宋_GB2312" w:eastAsia="仿宋_GB2312" w:cs="仿宋_GB2312"/>
          <w:color w:val="333333"/>
          <w:kern w:val="0"/>
          <w:sz w:val="32"/>
          <w:szCs w:val="32"/>
          <w:shd w:val="clear" w:color="auto" w:fill="FFFFFF"/>
        </w:rPr>
      </w:pPr>
      <w:r>
        <w:rPr>
          <w:rFonts w:hint="eastAsia" w:ascii="楷体_GB2312" w:hAnsi="楷体_GB2312" w:eastAsia="楷体_GB2312" w:cs="楷体_GB2312"/>
          <w:sz w:val="32"/>
          <w:szCs w:val="32"/>
        </w:rPr>
        <w:t>公共安全（类）法院（款）一般行政管理事务（项）：</w:t>
      </w:r>
      <w:r>
        <w:rPr>
          <w:rFonts w:hint="eastAsia" w:ascii="仿宋_GB2312" w:hAnsi="仿宋_GB2312" w:eastAsia="仿宋_GB2312" w:cs="仿宋_GB2312"/>
          <w:color w:val="333333"/>
          <w:kern w:val="0"/>
          <w:sz w:val="32"/>
          <w:szCs w:val="32"/>
          <w:shd w:val="clear" w:color="auto" w:fill="FFFFFF"/>
        </w:rPr>
        <w:t>指机关单位开展行政管理工作的项目支出。</w:t>
      </w:r>
    </w:p>
    <w:p>
      <w:pPr>
        <w:widowControl/>
        <w:numPr>
          <w:ilvl w:val="0"/>
          <w:numId w:val="2"/>
        </w:numPr>
        <w:pBdr>
          <w:bottom w:val="single" w:color="FFFFFF" w:sz="8" w:space="31"/>
        </w:pBdr>
        <w:shd w:val="clear" w:color="auto"/>
        <w:spacing w:line="576" w:lineRule="atLeast"/>
        <w:ind w:left="0" w:leftChars="0" w:firstLine="420" w:firstLineChars="0"/>
        <w:rPr>
          <w:rFonts w:ascii="仿宋_GB2312" w:hAnsi="仿宋_GB2312" w:eastAsia="仿宋_GB2312" w:cs="仿宋_GB2312"/>
          <w:color w:val="auto"/>
          <w:kern w:val="0"/>
          <w:sz w:val="32"/>
          <w:szCs w:val="32"/>
          <w:shd w:val="clear" w:color="auto" w:fill="FFFFFF"/>
        </w:rPr>
      </w:pPr>
      <w:r>
        <w:rPr>
          <w:rFonts w:hint="eastAsia" w:ascii="楷体_GB2312" w:hAnsi="楷体_GB2312" w:eastAsia="楷体_GB2312" w:cs="楷体_GB2312"/>
          <w:sz w:val="32"/>
          <w:szCs w:val="32"/>
        </w:rPr>
        <w:t>公共安全（类）法院（款）事</w:t>
      </w:r>
      <w:r>
        <w:rPr>
          <w:rFonts w:hint="eastAsia" w:ascii="楷体_GB2312" w:hAnsi="楷体_GB2312" w:eastAsia="楷体_GB2312" w:cs="楷体_GB2312"/>
          <w:color w:val="auto"/>
          <w:sz w:val="32"/>
          <w:szCs w:val="32"/>
        </w:rPr>
        <w:t>业运行（项）：</w:t>
      </w:r>
      <w:r>
        <w:rPr>
          <w:rFonts w:hint="eastAsia" w:ascii="仿宋_GB2312" w:hAnsi="仿宋_GB2312" w:eastAsia="仿宋_GB2312" w:cs="仿宋_GB2312"/>
          <w:color w:val="auto"/>
          <w:kern w:val="0"/>
          <w:sz w:val="32"/>
          <w:szCs w:val="32"/>
          <w:shd w:val="clear" w:color="auto" w:fill="FFFFFF"/>
        </w:rPr>
        <w:t>指</w:t>
      </w:r>
      <w:r>
        <w:rPr>
          <w:rFonts w:hint="eastAsia" w:ascii="仿宋_GB2312" w:hAnsi="仿宋_GB2312" w:eastAsia="仿宋_GB2312" w:cs="仿宋_GB2312"/>
          <w:b w:val="0"/>
          <w:bCs w:val="0"/>
          <w:color w:val="auto"/>
          <w:kern w:val="0"/>
          <w:sz w:val="32"/>
          <w:szCs w:val="32"/>
          <w:shd w:val="clear" w:color="auto" w:fill="FFFFFF"/>
        </w:rPr>
        <w:t>事业单位用于保障机构正常运行、开展日常工作的基本支出。</w:t>
      </w:r>
    </w:p>
    <w:p>
      <w:pPr>
        <w:widowControl/>
        <w:numPr>
          <w:ilvl w:val="0"/>
          <w:numId w:val="2"/>
        </w:numPr>
        <w:pBdr>
          <w:bottom w:val="single" w:color="FFFFFF" w:sz="8" w:space="31"/>
        </w:pBdr>
        <w:shd w:val="clear" w:color="auto"/>
        <w:spacing w:line="576" w:lineRule="atLeast"/>
        <w:ind w:left="0" w:leftChars="0" w:firstLine="420" w:firstLineChars="0"/>
        <w:rPr>
          <w:rFonts w:ascii="仿宋_GB2312" w:hAnsi="仿宋_GB2312" w:eastAsia="仿宋_GB2312" w:cs="仿宋_GB2312"/>
          <w:color w:val="333333"/>
          <w:kern w:val="0"/>
          <w:sz w:val="32"/>
          <w:szCs w:val="32"/>
          <w:shd w:val="clear" w:color="auto" w:fill="FFFFFF"/>
        </w:rPr>
      </w:pPr>
      <w:r>
        <w:rPr>
          <w:rFonts w:hint="eastAsia" w:ascii="楷体_GB2312" w:hAnsi="楷体_GB2312" w:eastAsia="楷体_GB2312" w:cs="楷体_GB2312"/>
          <w:sz w:val="32"/>
          <w:szCs w:val="32"/>
        </w:rPr>
        <w:t>社会保障和就业（类）行政事业单位养老支出（款）机关事业单位基本养老保险缴费支出（项）：</w:t>
      </w:r>
      <w:r>
        <w:rPr>
          <w:rFonts w:hint="eastAsia" w:ascii="仿宋_GB2312" w:hAnsi="仿宋_GB2312" w:eastAsia="仿宋_GB2312" w:cs="仿宋_GB2312"/>
          <w:color w:val="333333"/>
          <w:kern w:val="0"/>
          <w:sz w:val="32"/>
          <w:szCs w:val="32"/>
          <w:shd w:val="clear" w:color="auto" w:fill="FFFFFF"/>
        </w:rPr>
        <w:t>指机关事业单位实施养老保险制度由单位缴纳的养老保险的支出。</w:t>
      </w:r>
    </w:p>
    <w:p>
      <w:pPr>
        <w:widowControl/>
        <w:numPr>
          <w:ilvl w:val="0"/>
          <w:numId w:val="2"/>
        </w:numPr>
        <w:pBdr>
          <w:bottom w:val="single" w:color="FFFFFF" w:sz="8" w:space="31"/>
        </w:pBdr>
        <w:shd w:val="clear" w:color="auto"/>
        <w:spacing w:line="576" w:lineRule="atLeast"/>
        <w:ind w:left="0" w:leftChars="0" w:firstLine="420" w:firstLineChars="0"/>
        <w:rPr>
          <w:rFonts w:ascii="仿宋_GB2312" w:hAnsi="仿宋_GB2312" w:eastAsia="仿宋_GB2312" w:cs="仿宋_GB2312"/>
          <w:color w:val="333333"/>
          <w:kern w:val="0"/>
          <w:sz w:val="32"/>
          <w:szCs w:val="32"/>
          <w:shd w:val="clear" w:color="auto" w:fill="FFFFFF"/>
        </w:rPr>
      </w:pPr>
      <w:r>
        <w:rPr>
          <w:rFonts w:hint="eastAsia" w:ascii="楷体_GB2312" w:hAnsi="楷体_GB2312" w:eastAsia="楷体_GB2312" w:cs="楷体_GB2312"/>
          <w:sz w:val="32"/>
          <w:szCs w:val="32"/>
        </w:rPr>
        <w:t>卫生健康（类）行政事业单位医疗（款）行政单位医疗（项）：</w:t>
      </w:r>
      <w:r>
        <w:rPr>
          <w:rFonts w:hint="eastAsia" w:ascii="仿宋_GB2312" w:hAnsi="仿宋_GB2312" w:eastAsia="仿宋_GB2312" w:cs="仿宋_GB2312"/>
          <w:color w:val="333333"/>
          <w:kern w:val="0"/>
          <w:sz w:val="32"/>
          <w:szCs w:val="32"/>
          <w:shd w:val="clear" w:color="auto" w:fill="FFFFFF"/>
        </w:rPr>
        <w:t>指行政单位基本医疗保险缴费经费。</w:t>
      </w:r>
    </w:p>
    <w:p>
      <w:pPr>
        <w:widowControl/>
        <w:numPr>
          <w:ilvl w:val="0"/>
          <w:numId w:val="2"/>
        </w:numPr>
        <w:pBdr>
          <w:bottom w:val="single" w:color="FFFFFF" w:sz="8" w:space="31"/>
        </w:pBdr>
        <w:shd w:val="clear" w:color="auto"/>
        <w:spacing w:line="576" w:lineRule="atLeast"/>
        <w:ind w:left="0" w:leftChars="0" w:firstLine="420" w:firstLineChars="0"/>
        <w:rPr>
          <w:rFonts w:ascii="仿宋_GB2312" w:hAnsi="仿宋_GB2312" w:eastAsia="仿宋_GB2312" w:cs="仿宋_GB2312"/>
          <w:color w:val="333333"/>
          <w:kern w:val="0"/>
          <w:sz w:val="32"/>
          <w:szCs w:val="32"/>
          <w:shd w:val="clear" w:color="auto" w:fill="FFFFFF"/>
        </w:rPr>
      </w:pPr>
      <w:r>
        <w:rPr>
          <w:rFonts w:hint="eastAsia" w:ascii="楷体_GB2312" w:hAnsi="楷体_GB2312" w:eastAsia="楷体_GB2312" w:cs="楷体_GB2312"/>
          <w:sz w:val="32"/>
          <w:szCs w:val="32"/>
        </w:rPr>
        <w:t>住房保障（类）住房改革支出（款）住房公积金（项）：</w:t>
      </w:r>
      <w:r>
        <w:rPr>
          <w:rFonts w:hint="eastAsia" w:ascii="仿宋_GB2312" w:hAnsi="仿宋_GB2312" w:eastAsia="仿宋_GB2312" w:cs="仿宋_GB2312"/>
          <w:color w:val="333333"/>
          <w:kern w:val="0"/>
          <w:sz w:val="32"/>
          <w:szCs w:val="32"/>
          <w:shd w:val="clear" w:color="auto" w:fill="FFFFFF"/>
        </w:rPr>
        <w:t>指本部门的行政事业单位按人力资源和社会保障部门、财政部门规定的基本工资和津贴补贴以及规定比例为职工缴纳的住房公积金。</w:t>
      </w:r>
    </w:p>
    <w:p>
      <w:pPr>
        <w:widowControl/>
        <w:numPr>
          <w:ilvl w:val="0"/>
          <w:numId w:val="2"/>
        </w:numPr>
        <w:pBdr>
          <w:bottom w:val="single" w:color="FFFFFF" w:sz="8" w:space="31"/>
        </w:pBdr>
        <w:shd w:val="clear" w:color="auto"/>
        <w:spacing w:line="576" w:lineRule="atLeast"/>
        <w:ind w:left="0" w:leftChars="0" w:firstLine="420" w:firstLineChars="0"/>
        <w:rPr>
          <w:rFonts w:ascii="仿宋_GB2312" w:hAnsi="仿宋_GB2312" w:eastAsia="仿宋_GB2312" w:cs="仿宋_GB2312"/>
          <w:color w:val="333333"/>
          <w:kern w:val="0"/>
          <w:sz w:val="32"/>
          <w:szCs w:val="32"/>
          <w:shd w:val="clear" w:color="auto" w:fill="FFFFFF"/>
        </w:rPr>
      </w:pPr>
      <w:r>
        <w:rPr>
          <w:rFonts w:hint="eastAsia" w:ascii="楷体_GB2312" w:hAnsi="楷体_GB2312" w:eastAsia="楷体_GB2312" w:cs="楷体_GB2312"/>
          <w:sz w:val="32"/>
          <w:szCs w:val="32"/>
        </w:rPr>
        <w:t>基本支出：</w:t>
      </w:r>
      <w:r>
        <w:rPr>
          <w:rFonts w:hint="eastAsia" w:ascii="仿宋_GB2312" w:hAnsi="仿宋_GB2312" w:eastAsia="仿宋_GB2312" w:cs="仿宋_GB2312"/>
          <w:color w:val="333333"/>
          <w:kern w:val="0"/>
          <w:sz w:val="32"/>
          <w:szCs w:val="32"/>
          <w:shd w:val="clear" w:color="auto" w:fill="FFFFFF"/>
        </w:rPr>
        <w:t>指为保证机构正常运转，完成日常工作任务而发生的人员支出和公用支出。</w:t>
      </w:r>
    </w:p>
    <w:p>
      <w:pPr>
        <w:widowControl/>
        <w:numPr>
          <w:ilvl w:val="0"/>
          <w:numId w:val="2"/>
        </w:numPr>
        <w:pBdr>
          <w:bottom w:val="single" w:color="FFFFFF" w:sz="8" w:space="31"/>
        </w:pBdr>
        <w:shd w:val="clear" w:color="auto"/>
        <w:spacing w:line="576" w:lineRule="atLeast"/>
        <w:ind w:left="0" w:leftChars="0" w:firstLine="420" w:firstLineChars="0"/>
        <w:rPr>
          <w:rFonts w:ascii="仿宋_GB2312" w:hAnsi="仿宋_GB2312" w:eastAsia="仿宋_GB2312" w:cs="仿宋_GB2312"/>
          <w:color w:val="333333"/>
          <w:kern w:val="0"/>
          <w:sz w:val="32"/>
          <w:szCs w:val="32"/>
          <w:shd w:val="clear" w:color="auto" w:fill="FFFFFF"/>
        </w:rPr>
      </w:pPr>
      <w:r>
        <w:rPr>
          <w:rFonts w:hint="eastAsia" w:ascii="楷体_GB2312" w:hAnsi="楷体_GB2312" w:eastAsia="楷体_GB2312" w:cs="楷体_GB2312"/>
          <w:sz w:val="32"/>
          <w:szCs w:val="32"/>
        </w:rPr>
        <w:t>项目支出：</w:t>
      </w:r>
      <w:r>
        <w:rPr>
          <w:rFonts w:hint="eastAsia" w:ascii="仿宋_GB2312" w:hAnsi="仿宋_GB2312" w:eastAsia="仿宋_GB2312" w:cs="仿宋_GB2312"/>
          <w:color w:val="333333"/>
          <w:kern w:val="0"/>
          <w:sz w:val="32"/>
          <w:szCs w:val="32"/>
          <w:shd w:val="clear" w:color="auto" w:fill="FFFFFF"/>
        </w:rPr>
        <w:t>指在基本支出之外为完成特定行政任务和事业发展目标所发生的支出。</w:t>
      </w:r>
    </w:p>
    <w:p>
      <w:pPr>
        <w:widowControl/>
        <w:numPr>
          <w:ilvl w:val="0"/>
          <w:numId w:val="2"/>
        </w:numPr>
        <w:pBdr>
          <w:bottom w:val="single" w:color="FFFFFF" w:sz="8" w:space="31"/>
        </w:pBdr>
        <w:shd w:val="clear" w:color="auto"/>
        <w:spacing w:line="576" w:lineRule="atLeast"/>
        <w:ind w:left="0" w:leftChars="0" w:firstLine="420" w:firstLineChars="0"/>
        <w:rPr>
          <w:rFonts w:ascii="仿宋_GB2312" w:hAnsi="仿宋_GB2312" w:eastAsia="仿宋_GB2312" w:cs="仿宋_GB2312"/>
          <w:color w:val="333333"/>
          <w:kern w:val="0"/>
          <w:sz w:val="32"/>
          <w:szCs w:val="32"/>
          <w:shd w:val="clear" w:color="auto" w:fill="FFFFFF"/>
        </w:rPr>
      </w:pPr>
      <w:r>
        <w:rPr>
          <w:rFonts w:hint="eastAsia" w:ascii="楷体_GB2312" w:hAnsi="楷体_GB2312" w:eastAsia="楷体_GB2312" w:cs="楷体_GB2312"/>
          <w:sz w:val="32"/>
          <w:szCs w:val="32"/>
        </w:rPr>
        <w:t>“三公”经费：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w:t>
      </w:r>
      <w:r>
        <w:rPr>
          <w:rFonts w:hint="eastAsia" w:ascii="仿宋_GB2312" w:hAnsi="仿宋_GB2312" w:eastAsia="仿宋_GB2312" w:cs="仿宋_GB2312"/>
          <w:color w:val="333333"/>
          <w:kern w:val="0"/>
          <w:sz w:val="32"/>
          <w:szCs w:val="32"/>
          <w:shd w:val="clear" w:color="auto" w:fill="FFFFFF"/>
        </w:rPr>
        <w:t>车车辆购置支出（含车辆购置税）及租用费、燃料费、维修费、过路过桥费、保险费等支出；公务接待费反映单位按规定开支的各类公务接待（含外宾接待）支出。</w:t>
      </w:r>
    </w:p>
    <w:p>
      <w:pPr>
        <w:widowControl/>
        <w:numPr>
          <w:ilvl w:val="0"/>
          <w:numId w:val="2"/>
        </w:numPr>
        <w:pBdr>
          <w:bottom w:val="single" w:color="FFFFFF" w:sz="8" w:space="31"/>
        </w:pBdr>
        <w:shd w:val="clear" w:color="auto"/>
        <w:spacing w:line="576" w:lineRule="atLeast"/>
        <w:ind w:left="0" w:leftChars="0" w:firstLine="420" w:firstLineChars="0"/>
        <w:rPr>
          <w:rFonts w:ascii="仿宋_GB2312" w:hAnsi="仿宋_GB2312" w:eastAsia="仿宋_GB2312" w:cs="仿宋_GB2312"/>
          <w:sz w:val="32"/>
          <w:szCs w:val="32"/>
        </w:rPr>
      </w:pPr>
      <w:r>
        <w:rPr>
          <w:rFonts w:hint="eastAsia" w:ascii="楷体_GB2312" w:hAnsi="楷体_GB2312" w:eastAsia="楷体_GB2312" w:cs="楷体_GB2312"/>
          <w:sz w:val="32"/>
          <w:szCs w:val="32"/>
        </w:rPr>
        <w:t>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hd w:val="clear"/>
        <w:spacing w:line="576" w:lineRule="exact"/>
        <w:ind w:firstLine="640" w:firstLineChars="200"/>
        <w:rPr>
          <w:rFonts w:ascii="仿宋_GB2312" w:hAnsi="仿宋_GB2312" w:eastAsia="仿宋_GB2312" w:cs="仿宋_GB2312"/>
          <w:sz w:val="32"/>
          <w:szCs w:val="32"/>
        </w:rPr>
      </w:pPr>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r>
        <w:rPr>
          <w:rFonts w:hint="eastAsia" w:ascii="仿宋_GB2312" w:hAnsi="仿宋_GB2312" w:eastAsia="仿宋_GB2312" w:cs="仿宋_GB2312"/>
          <w:color w:val="333333"/>
          <w:kern w:val="0"/>
          <w:sz w:val="32"/>
          <w:szCs w:val="32"/>
          <w:shd w:val="clear" w:color="auto" w:fill="FFFFFF"/>
        </w:rPr>
        <w:t>附件：部门预算公开表</w:t>
      </w:r>
    </w:p>
    <w:p>
      <w:pPr>
        <w:widowControl/>
        <w:pBdr>
          <w:bottom w:val="single" w:color="FFFFFF" w:sz="8" w:space="31"/>
        </w:pBdr>
        <w:shd w:val="clear" w:color="auto"/>
        <w:spacing w:line="576" w:lineRule="atLeast"/>
        <w:ind w:firstLine="640" w:firstLineChars="200"/>
        <w:rPr>
          <w:rFonts w:ascii="仿宋_GB2312" w:hAnsi="仿宋_GB2312" w:eastAsia="仿宋_GB2312" w:cs="仿宋_GB2312"/>
          <w:color w:val="333333"/>
          <w:kern w:val="0"/>
          <w:sz w:val="32"/>
          <w:szCs w:val="32"/>
          <w:shd w:val="clear" w:color="auto" w:fill="FFFFFF"/>
        </w:rPr>
      </w:pPr>
    </w:p>
    <w:sectPr>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DOqXm5zwAAAAUBAAAPAAAAAAAAAAEAIAAAADgAAABkcnMvZG93bnJldi54bWxQSwECFAAUAAAA&#10;CACHTuJA3rEPMeEBAADMAwAADgAAAAAAAAABACAAAAA0AQAAZHJzL2Uyb0RvYy54bWxQSwUGAAAA&#10;AAYABgBZAQAAhwU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10</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82FF83"/>
    <w:multiLevelType w:val="singleLevel"/>
    <w:tmpl w:val="3082FF83"/>
    <w:lvl w:ilvl="0" w:tentative="0">
      <w:start w:val="1"/>
      <w:numFmt w:val="chineseCounting"/>
      <w:suff w:val="nothing"/>
      <w:lvlText w:val="（%1）"/>
      <w:lvlJc w:val="left"/>
      <w:pPr>
        <w:ind w:left="0" w:firstLine="420"/>
      </w:pPr>
      <w:rPr>
        <w:rFonts w:hint="eastAsia"/>
      </w:rPr>
    </w:lvl>
  </w:abstractNum>
  <w:abstractNum w:abstractNumId="1">
    <w:nsid w:val="74E4B9DF"/>
    <w:multiLevelType w:val="singleLevel"/>
    <w:tmpl w:val="74E4B9D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c2ZGZiNzZiNDVlOGViOWVmM2JhOTY0NGJkNjUyYzgifQ=="/>
  </w:docVars>
  <w:rsids>
    <w:rsidRoot w:val="00BF3DA1"/>
    <w:rsid w:val="00030D83"/>
    <w:rsid w:val="000908D1"/>
    <w:rsid w:val="000919A0"/>
    <w:rsid w:val="00163422"/>
    <w:rsid w:val="00164F7C"/>
    <w:rsid w:val="001654C0"/>
    <w:rsid w:val="00182E6F"/>
    <w:rsid w:val="001E6E79"/>
    <w:rsid w:val="001E7001"/>
    <w:rsid w:val="00231AB6"/>
    <w:rsid w:val="0025118B"/>
    <w:rsid w:val="00272D0C"/>
    <w:rsid w:val="0032378D"/>
    <w:rsid w:val="0039020D"/>
    <w:rsid w:val="003930F7"/>
    <w:rsid w:val="003B3DD6"/>
    <w:rsid w:val="003F2A78"/>
    <w:rsid w:val="00430F0E"/>
    <w:rsid w:val="004A406F"/>
    <w:rsid w:val="005053FE"/>
    <w:rsid w:val="00514C53"/>
    <w:rsid w:val="00552DEE"/>
    <w:rsid w:val="005848DF"/>
    <w:rsid w:val="00597333"/>
    <w:rsid w:val="00743307"/>
    <w:rsid w:val="00795A3F"/>
    <w:rsid w:val="007C38A4"/>
    <w:rsid w:val="007E7294"/>
    <w:rsid w:val="00834FC8"/>
    <w:rsid w:val="008548B8"/>
    <w:rsid w:val="008A7442"/>
    <w:rsid w:val="008C0EB3"/>
    <w:rsid w:val="008F043F"/>
    <w:rsid w:val="00A66242"/>
    <w:rsid w:val="00A72AA9"/>
    <w:rsid w:val="00A84D14"/>
    <w:rsid w:val="00B363AA"/>
    <w:rsid w:val="00B42CA8"/>
    <w:rsid w:val="00BF3DA1"/>
    <w:rsid w:val="00C25DED"/>
    <w:rsid w:val="00C70199"/>
    <w:rsid w:val="00CA15C2"/>
    <w:rsid w:val="00CA578E"/>
    <w:rsid w:val="00CF270E"/>
    <w:rsid w:val="00D16B58"/>
    <w:rsid w:val="00D248E8"/>
    <w:rsid w:val="00D34FC1"/>
    <w:rsid w:val="00D81434"/>
    <w:rsid w:val="00DB5C52"/>
    <w:rsid w:val="00E1001D"/>
    <w:rsid w:val="00ED3364"/>
    <w:rsid w:val="00F83C04"/>
    <w:rsid w:val="00FA5B43"/>
    <w:rsid w:val="00FF722E"/>
    <w:rsid w:val="012352D1"/>
    <w:rsid w:val="0E4366B0"/>
    <w:rsid w:val="10815BB1"/>
    <w:rsid w:val="1C4E2785"/>
    <w:rsid w:val="1F7BF06F"/>
    <w:rsid w:val="1FEE4B73"/>
    <w:rsid w:val="22BD0243"/>
    <w:rsid w:val="23CE9849"/>
    <w:rsid w:val="2D7DE094"/>
    <w:rsid w:val="397B72CC"/>
    <w:rsid w:val="39F304DD"/>
    <w:rsid w:val="3CAF4F46"/>
    <w:rsid w:val="3DA9545B"/>
    <w:rsid w:val="3F977E85"/>
    <w:rsid w:val="41BE4C6B"/>
    <w:rsid w:val="42462EEB"/>
    <w:rsid w:val="47E5529D"/>
    <w:rsid w:val="48D22CAF"/>
    <w:rsid w:val="4EDDC789"/>
    <w:rsid w:val="4FE234DC"/>
    <w:rsid w:val="54244390"/>
    <w:rsid w:val="54662A63"/>
    <w:rsid w:val="58064E12"/>
    <w:rsid w:val="5BFEE015"/>
    <w:rsid w:val="5DFF86C0"/>
    <w:rsid w:val="5E3D703D"/>
    <w:rsid w:val="63EDCF55"/>
    <w:rsid w:val="63FBFBCF"/>
    <w:rsid w:val="669360FD"/>
    <w:rsid w:val="68FF6A83"/>
    <w:rsid w:val="6D3472F5"/>
    <w:rsid w:val="6DE6130A"/>
    <w:rsid w:val="6FBBC9CF"/>
    <w:rsid w:val="70BE4846"/>
    <w:rsid w:val="72BDE561"/>
    <w:rsid w:val="74824D1B"/>
    <w:rsid w:val="76CF8312"/>
    <w:rsid w:val="78462278"/>
    <w:rsid w:val="7997EA6C"/>
    <w:rsid w:val="7AEAE675"/>
    <w:rsid w:val="7BAFCE5D"/>
    <w:rsid w:val="7C643B5F"/>
    <w:rsid w:val="7D46598C"/>
    <w:rsid w:val="7DFB240B"/>
    <w:rsid w:val="7E0935ED"/>
    <w:rsid w:val="7FCF2AF7"/>
    <w:rsid w:val="9FEF033D"/>
    <w:rsid w:val="A27FF1E5"/>
    <w:rsid w:val="AFDEB5A7"/>
    <w:rsid w:val="AFEA7FBF"/>
    <w:rsid w:val="B7EE07F5"/>
    <w:rsid w:val="B83F4767"/>
    <w:rsid w:val="BF930F07"/>
    <w:rsid w:val="BFCE8436"/>
    <w:rsid w:val="C3F7EB7A"/>
    <w:rsid w:val="CFF5FEEC"/>
    <w:rsid w:val="D395A987"/>
    <w:rsid w:val="D3DD9064"/>
    <w:rsid w:val="D6F76A0C"/>
    <w:rsid w:val="D7DF9889"/>
    <w:rsid w:val="D7ECE8D2"/>
    <w:rsid w:val="DFDD4FB5"/>
    <w:rsid w:val="E7F748B5"/>
    <w:rsid w:val="EE5F3713"/>
    <w:rsid w:val="EFC9D62C"/>
    <w:rsid w:val="F6BE9755"/>
    <w:rsid w:val="F6FFA89B"/>
    <w:rsid w:val="F7A797C2"/>
    <w:rsid w:val="FAB3F8F9"/>
    <w:rsid w:val="FAE4EFE1"/>
    <w:rsid w:val="FB9B6F12"/>
    <w:rsid w:val="FBB66A4A"/>
    <w:rsid w:val="FDEE6989"/>
    <w:rsid w:val="FF5E7DB8"/>
    <w:rsid w:val="FF77E367"/>
    <w:rsid w:val="FFC940D1"/>
    <w:rsid w:val="FFD576EB"/>
    <w:rsid w:val="FFFBE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styleId="13">
    <w:name w:val="List Paragraph"/>
    <w:basedOn w:val="1"/>
    <w:unhideWhenUsed/>
    <w:qFormat/>
    <w:uiPriority w:val="99"/>
    <w:pPr>
      <w:ind w:firstLine="420" w:firstLineChars="200"/>
    </w:pPr>
  </w:style>
  <w:style w:type="paragraph" w:customStyle="1" w:styleId="14">
    <w:name w:val="WPSOffice手动目录 1"/>
    <w:uiPriority w:val="0"/>
    <w:pPr>
      <w:ind w:leftChars="0"/>
    </w:pPr>
    <w:rPr>
      <w:rFonts w:ascii="Times New Roman" w:hAnsi="Times New Roman" w:eastAsia="宋体" w:cs="Times New Roman"/>
      <w:sz w:val="20"/>
      <w:szCs w:val="20"/>
    </w:rPr>
  </w:style>
  <w:style w:type="paragraph" w:customStyle="1" w:styleId="15">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770</Words>
  <Characters>4394</Characters>
  <Lines>36</Lines>
  <Paragraphs>10</Paragraphs>
  <TotalTime>7</TotalTime>
  <ScaleCrop>false</ScaleCrop>
  <LinksUpToDate>false</LinksUpToDate>
  <CharactersWithSpaces>5154</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 </cp:lastModifiedBy>
  <dcterms:modified xsi:type="dcterms:W3CDTF">2024-02-06T17:26:54Z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D0121B7D245549CAB1A86BDEF054D1A3_13</vt:lpwstr>
  </property>
</Properties>
</file>