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spacing w:line="580" w:lineRule="atLeast"/>
        <w:jc w:val="center"/>
        <w:rPr>
          <w:rFonts w:hint="eastAsia" w:ascii="方正小标宋简体" w:hAnsi="方正小标宋简体" w:eastAsia="方正小标宋简体" w:cs="方正小标宋简体"/>
          <w:color w:val="000000" w:themeColor="text1"/>
          <w:kern w:val="0"/>
          <w:sz w:val="44"/>
          <w:szCs w:val="44"/>
          <w:shd w:val="clear" w:color="auto" w:fill="FFFFFF"/>
          <w:lang w:bidi="ar"/>
          <w14:textFill>
            <w14:solidFill>
              <w14:schemeClr w14:val="tx1"/>
            </w14:solidFill>
          </w14:textFill>
        </w:rPr>
      </w:pPr>
    </w:p>
    <w:p>
      <w:pPr>
        <w:widowControl/>
        <w:shd w:val="clear" w:color="auto"/>
        <w:spacing w:line="580" w:lineRule="atLeast"/>
        <w:jc w:val="center"/>
        <w:rPr>
          <w:rFonts w:hint="eastAsia" w:ascii="方正小标宋简体" w:hAnsi="方正小标宋简体" w:eastAsia="方正小标宋简体" w:cs="方正小标宋简体"/>
          <w:color w:val="000000" w:themeColor="text1"/>
          <w:kern w:val="0"/>
          <w:sz w:val="44"/>
          <w:szCs w:val="44"/>
          <w:shd w:val="clear" w:color="auto" w:fill="FFFFFF"/>
          <w:lang w:bidi="ar"/>
          <w14:textFill>
            <w14:solidFill>
              <w14:schemeClr w14:val="tx1"/>
            </w14:solidFill>
          </w14:textFill>
        </w:rPr>
      </w:pPr>
    </w:p>
    <w:p>
      <w:pPr>
        <w:widowControl/>
        <w:shd w:val="clear" w:color="auto"/>
        <w:spacing w:line="580" w:lineRule="atLeast"/>
        <w:jc w:val="center"/>
        <w:rPr>
          <w:rFonts w:ascii="方正小标宋简体" w:hAnsi="方正小标宋简体" w:eastAsia="方正小标宋简体" w:cs="方正小标宋简体"/>
          <w:color w:val="000000" w:themeColor="text1"/>
          <w:kern w:val="0"/>
          <w:sz w:val="44"/>
          <w:szCs w:val="44"/>
          <w:shd w:val="clear" w:color="auto" w:fill="FFFFFF"/>
          <w:lang w:bidi="ar"/>
          <w14:textFill>
            <w14:solidFill>
              <w14:schemeClr w14:val="tx1"/>
            </w14:solidFill>
          </w14:textFill>
        </w:rPr>
      </w:pPr>
      <w:r>
        <w:rPr>
          <w:rFonts w:hint="eastAsia" w:ascii="方正小标宋简体" w:hAnsi="方正小标宋简体" w:eastAsia="方正小标宋简体" w:cs="方正小标宋简体"/>
          <w:color w:val="000000" w:themeColor="text1"/>
          <w:kern w:val="0"/>
          <w:sz w:val="44"/>
          <w:szCs w:val="44"/>
          <w:shd w:val="clear" w:color="auto" w:fill="FFFFFF"/>
          <w:lang w:bidi="ar"/>
          <w14:textFill>
            <w14:solidFill>
              <w14:schemeClr w14:val="tx1"/>
            </w14:solidFill>
          </w14:textFill>
        </w:rPr>
        <w:t>广元开放大学</w:t>
      </w:r>
    </w:p>
    <w:p>
      <w:pPr>
        <w:widowControl/>
        <w:shd w:val="clear" w:color="auto"/>
        <w:spacing w:line="580" w:lineRule="atLeast"/>
        <w:jc w:val="center"/>
        <w:rPr>
          <w:rFonts w:hint="eastAsia" w:ascii="方正小标宋简体" w:hAnsi="方正小标宋简体" w:eastAsia="方正小标宋简体" w:cs="方正小标宋简体"/>
          <w:color w:val="000000" w:themeColor="text1"/>
          <w:kern w:val="0"/>
          <w:sz w:val="44"/>
          <w:szCs w:val="44"/>
          <w:shd w:val="clear" w:color="auto" w:fill="FFFFFF"/>
          <w:lang w:bidi="ar"/>
          <w14:textFill>
            <w14:solidFill>
              <w14:schemeClr w14:val="tx1"/>
            </w14:solidFill>
          </w14:textFill>
        </w:rPr>
        <w:sectPr>
          <w:footerReference r:id="rId3" w:type="default"/>
          <w:pgSz w:w="11906" w:h="16838"/>
          <w:pgMar w:top="2098" w:right="1474" w:bottom="1984" w:left="1587" w:header="720" w:footer="1559" w:gutter="0"/>
          <w:pgBorders>
            <w:top w:val="none" w:sz="0" w:space="0"/>
            <w:left w:val="none" w:sz="0" w:space="0"/>
            <w:bottom w:val="none" w:sz="0" w:space="0"/>
            <w:right w:val="none" w:sz="0" w:space="0"/>
          </w:pgBorders>
          <w:cols w:space="720" w:num="1"/>
          <w:docGrid w:type="lines" w:linePitch="312" w:charSpace="0"/>
        </w:sectPr>
      </w:pPr>
      <w:r>
        <w:rPr>
          <w:rFonts w:hint="eastAsia" w:ascii="方正小标宋简体" w:hAnsi="方正小标宋简体" w:eastAsia="方正小标宋简体" w:cs="方正小标宋简体"/>
          <w:color w:val="000000" w:themeColor="text1"/>
          <w:kern w:val="0"/>
          <w:sz w:val="44"/>
          <w:szCs w:val="44"/>
          <w:shd w:val="clear" w:color="auto" w:fill="FFFFFF"/>
          <w:lang w:bidi="ar"/>
          <w14:textFill>
            <w14:solidFill>
              <w14:schemeClr w14:val="tx1"/>
            </w14:solidFill>
          </w14:textFill>
        </w:rPr>
        <w:t>2024年部门预算编制说明</w:t>
      </w:r>
    </w:p>
    <w:sdt>
      <w:sdtPr>
        <w:rPr>
          <w:rFonts w:ascii="宋体" w:hAnsi="宋体" w:eastAsia="宋体" w:cs="Times New Roman"/>
          <w:kern w:val="2"/>
          <w:sz w:val="21"/>
          <w:szCs w:val="24"/>
          <w:lang w:val="en-US" w:eastAsia="zh-CN" w:bidi="ar-SA"/>
        </w:rPr>
        <w:id w:val="147467388"/>
        <w15:color w:val="DBDBDB"/>
        <w:docPartObj>
          <w:docPartGallery w:val="Table of Contents"/>
          <w:docPartUnique/>
        </w:docPartObj>
      </w:sdtPr>
      <w:sdtEndPr>
        <w:rPr>
          <w:rFonts w:ascii="宋体" w:hAnsi="宋体" w:eastAsia="宋体" w:cs="宋体"/>
          <w:b/>
          <w:color w:val="000000" w:themeColor="text1"/>
          <w:kern w:val="2"/>
          <w:sz w:val="21"/>
          <w:szCs w:val="28"/>
          <w:shd w:val="clear" w:color="auto" w:fill="FFFFFF"/>
          <w:lang w:val="en-US" w:eastAsia="zh-CN" w:bidi="ar-SA"/>
          <w14:textFill>
            <w14:solidFill>
              <w14:schemeClr w14:val="tx1"/>
            </w14:solidFill>
          </w14:textFill>
        </w:rPr>
      </w:sdtEndPr>
      <w:sdtContent>
        <w:p>
          <w:pPr>
            <w:spacing w:before="0" w:beforeLines="0" w:after="0" w:afterLines="0" w:line="360" w:lineRule="auto"/>
            <w:ind w:left="0" w:leftChars="0" w:right="0" w:rightChars="0" w:firstLine="0" w:firstLineChars="0"/>
            <w:jc w:val="center"/>
          </w:pPr>
          <w:r>
            <w:rPr>
              <w:rFonts w:ascii="宋体" w:hAnsi="宋体" w:eastAsia="宋体"/>
              <w:sz w:val="21"/>
            </w:rPr>
            <w:t>目录</w:t>
          </w:r>
        </w:p>
        <w:p>
          <w:pPr>
            <w:pStyle w:val="14"/>
            <w:tabs>
              <w:tab w:val="right" w:leader="dot" w:pos="8845"/>
            </w:tabs>
            <w:spacing w:line="360" w:lineRule="auto"/>
            <w:rPr>
              <w:b/>
            </w:rPr>
          </w:pPr>
          <w:r>
            <w:rPr>
              <w:rFonts w:ascii="宋体" w:hAnsi="宋体" w:cs="宋体"/>
              <w:b/>
              <w:color w:val="000000" w:themeColor="text1"/>
              <w:sz w:val="28"/>
              <w:szCs w:val="28"/>
              <w:shd w:val="clear" w:color="auto" w:fill="FFFFFF"/>
              <w14:textFill>
                <w14:solidFill>
                  <w14:schemeClr w14:val="tx1"/>
                </w14:solidFill>
              </w14:textFill>
            </w:rPr>
            <w:fldChar w:fldCharType="begin"/>
          </w:r>
          <w:r>
            <w:rPr>
              <w:rFonts w:ascii="宋体" w:hAnsi="宋体" w:cs="宋体"/>
              <w:b/>
              <w:color w:val="000000" w:themeColor="text1"/>
              <w:sz w:val="28"/>
              <w:szCs w:val="28"/>
              <w:shd w:val="clear" w:color="auto" w:fill="FFFFFF"/>
              <w14:textFill>
                <w14:solidFill>
                  <w14:schemeClr w14:val="tx1"/>
                </w14:solidFill>
              </w14:textFill>
            </w:rPr>
            <w:instrText xml:space="preserve">TOC \o "1-2" \h \u </w:instrText>
          </w:r>
          <w:r>
            <w:rPr>
              <w:rFonts w:ascii="宋体" w:hAnsi="宋体" w:cs="宋体"/>
              <w:b/>
              <w:color w:val="000000" w:themeColor="text1"/>
              <w:sz w:val="28"/>
              <w:szCs w:val="28"/>
              <w:shd w:val="clear" w:color="auto" w:fill="FFFFFF"/>
              <w14:textFill>
                <w14:solidFill>
                  <w14:schemeClr w14:val="tx1"/>
                </w14:solidFill>
              </w14:textFill>
            </w:rPr>
            <w:fldChar w:fldCharType="separate"/>
          </w:r>
          <w:r>
            <w:rPr>
              <w:rFonts w:ascii="宋体" w:hAnsi="宋体" w:cs="宋体"/>
              <w:b/>
              <w:color w:val="000000" w:themeColor="text1"/>
              <w:szCs w:val="28"/>
              <w:shd w:val="clear" w:color="auto" w:fill="FFFFFF"/>
              <w14:textFill>
                <w14:solidFill>
                  <w14:schemeClr w14:val="tx1"/>
                </w14:solidFill>
              </w14:textFill>
            </w:rPr>
            <w:fldChar w:fldCharType="begin"/>
          </w:r>
          <w:r>
            <w:rPr>
              <w:rFonts w:ascii="宋体" w:hAnsi="宋体" w:cs="宋体"/>
              <w:b/>
              <w:szCs w:val="28"/>
              <w:shd w:val="clear" w:color="auto" w:fill="FFFFFF"/>
            </w:rPr>
            <w:instrText xml:space="preserve"> HYPERLINK \l _Toc29853 </w:instrText>
          </w:r>
          <w:r>
            <w:rPr>
              <w:rFonts w:ascii="宋体" w:hAnsi="宋体" w:cs="宋体"/>
              <w:b/>
              <w:szCs w:val="28"/>
              <w:shd w:val="clear" w:color="auto" w:fill="FFFFFF"/>
            </w:rPr>
            <w:fldChar w:fldCharType="separate"/>
          </w:r>
          <w:r>
            <w:rPr>
              <w:rFonts w:hint="eastAsia" w:ascii="黑体" w:hAnsi="黑体" w:eastAsia="黑体" w:cs="黑体"/>
              <w:b/>
              <w:szCs w:val="32"/>
            </w:rPr>
            <w:t>一、基本职能及主要工作</w:t>
          </w:r>
          <w:r>
            <w:rPr>
              <w:b/>
            </w:rPr>
            <w:tab/>
          </w:r>
          <w:r>
            <w:rPr>
              <w:b/>
            </w:rPr>
            <w:fldChar w:fldCharType="begin"/>
          </w:r>
          <w:r>
            <w:rPr>
              <w:b/>
            </w:rPr>
            <w:instrText xml:space="preserve"> PAGEREF _Toc29853 \h </w:instrText>
          </w:r>
          <w:r>
            <w:rPr>
              <w:b/>
            </w:rPr>
            <w:fldChar w:fldCharType="separate"/>
          </w:r>
          <w:r>
            <w:rPr>
              <w:b/>
            </w:rPr>
            <w:t>3</w:t>
          </w:r>
          <w:r>
            <w:rPr>
              <w:b/>
            </w:rPr>
            <w:fldChar w:fldCharType="end"/>
          </w:r>
          <w:r>
            <w:rPr>
              <w:rFonts w:ascii="宋体" w:hAnsi="宋体" w:cs="宋体"/>
              <w:b/>
              <w:color w:val="000000" w:themeColor="text1"/>
              <w:szCs w:val="28"/>
              <w:shd w:val="clear" w:color="auto" w:fill="FFFFFF"/>
              <w14:textFill>
                <w14:solidFill>
                  <w14:schemeClr w14:val="tx1"/>
                </w14:solidFill>
              </w14:textFill>
            </w:rPr>
            <w:fldChar w:fldCharType="end"/>
          </w:r>
        </w:p>
        <w:p>
          <w:pPr>
            <w:pStyle w:val="15"/>
            <w:tabs>
              <w:tab w:val="right" w:leader="dot" w:pos="8845"/>
            </w:tabs>
            <w:spacing w:line="360" w:lineRule="auto"/>
          </w:pPr>
          <w:r>
            <w:rPr>
              <w:rFonts w:ascii="宋体" w:hAnsi="宋体" w:cs="宋体"/>
              <w:color w:val="000000" w:themeColor="text1"/>
              <w:szCs w:val="28"/>
              <w:shd w:val="clear" w:color="auto" w:fill="FFFFFF"/>
              <w14:textFill>
                <w14:solidFill>
                  <w14:schemeClr w14:val="tx1"/>
                </w14:solidFill>
              </w14:textFill>
            </w:rPr>
            <w:fldChar w:fldCharType="begin"/>
          </w:r>
          <w:r>
            <w:rPr>
              <w:rFonts w:ascii="宋体" w:hAnsi="宋体" w:cs="宋体"/>
              <w:szCs w:val="28"/>
              <w:shd w:val="clear" w:color="auto" w:fill="FFFFFF"/>
            </w:rPr>
            <w:instrText xml:space="preserve"> HYPERLINK \l _Toc8788 </w:instrText>
          </w:r>
          <w:r>
            <w:rPr>
              <w:rFonts w:ascii="宋体" w:hAnsi="宋体" w:cs="宋体"/>
              <w:szCs w:val="28"/>
              <w:shd w:val="clear" w:color="auto" w:fill="FFFFFF"/>
            </w:rPr>
            <w:fldChar w:fldCharType="separate"/>
          </w:r>
          <w:r>
            <w:rPr>
              <w:rFonts w:hint="eastAsia" w:ascii="楷体_GB2312" w:hAnsi="楷体_GB2312" w:eastAsia="楷体_GB2312" w:cs="楷体_GB2312"/>
              <w:szCs w:val="32"/>
            </w:rPr>
            <w:t>（一）广元开放大学职能简介</w:t>
          </w:r>
          <w:r>
            <w:tab/>
          </w:r>
          <w:r>
            <w:fldChar w:fldCharType="begin"/>
          </w:r>
          <w:r>
            <w:instrText xml:space="preserve"> PAGEREF _Toc8788 \h </w:instrText>
          </w:r>
          <w:r>
            <w:fldChar w:fldCharType="separate"/>
          </w:r>
          <w:r>
            <w:t>3</w:t>
          </w:r>
          <w:r>
            <w:fldChar w:fldCharType="end"/>
          </w:r>
          <w:r>
            <w:rPr>
              <w:rFonts w:ascii="宋体" w:hAnsi="宋体" w:cs="宋体"/>
              <w:color w:val="000000" w:themeColor="text1"/>
              <w:szCs w:val="28"/>
              <w:shd w:val="clear" w:color="auto" w:fill="FFFFFF"/>
              <w14:textFill>
                <w14:solidFill>
                  <w14:schemeClr w14:val="tx1"/>
                </w14:solidFill>
              </w14:textFill>
            </w:rPr>
            <w:fldChar w:fldCharType="end"/>
          </w:r>
        </w:p>
        <w:p>
          <w:pPr>
            <w:pStyle w:val="15"/>
            <w:tabs>
              <w:tab w:val="right" w:leader="dot" w:pos="8845"/>
            </w:tabs>
            <w:spacing w:line="360" w:lineRule="auto"/>
          </w:pPr>
          <w:r>
            <w:rPr>
              <w:rFonts w:ascii="宋体" w:hAnsi="宋体" w:cs="宋体"/>
              <w:color w:val="000000" w:themeColor="text1"/>
              <w:szCs w:val="28"/>
              <w:shd w:val="clear" w:color="auto" w:fill="FFFFFF"/>
              <w14:textFill>
                <w14:solidFill>
                  <w14:schemeClr w14:val="tx1"/>
                </w14:solidFill>
              </w14:textFill>
            </w:rPr>
            <w:fldChar w:fldCharType="begin"/>
          </w:r>
          <w:r>
            <w:rPr>
              <w:rFonts w:ascii="宋体" w:hAnsi="宋体" w:cs="宋体"/>
              <w:szCs w:val="28"/>
              <w:shd w:val="clear" w:color="auto" w:fill="FFFFFF"/>
            </w:rPr>
            <w:instrText xml:space="preserve"> HYPERLINK \l _Toc19022 </w:instrText>
          </w:r>
          <w:r>
            <w:rPr>
              <w:rFonts w:ascii="宋体" w:hAnsi="宋体" w:cs="宋体"/>
              <w:szCs w:val="28"/>
              <w:shd w:val="clear" w:color="auto" w:fill="FFFFFF"/>
            </w:rPr>
            <w:fldChar w:fldCharType="separate"/>
          </w:r>
          <w:r>
            <w:rPr>
              <w:rFonts w:hint="eastAsia" w:ascii="楷体_GB2312" w:hAnsi="楷体_GB2312" w:eastAsia="楷体_GB2312" w:cs="楷体_GB2312"/>
              <w:szCs w:val="32"/>
            </w:rPr>
            <w:t>（二） 广元开放大学2024年重点工作</w:t>
          </w:r>
          <w:r>
            <w:tab/>
          </w:r>
          <w:r>
            <w:fldChar w:fldCharType="begin"/>
          </w:r>
          <w:r>
            <w:instrText xml:space="preserve"> PAGEREF _Toc19022 \h </w:instrText>
          </w:r>
          <w:r>
            <w:fldChar w:fldCharType="separate"/>
          </w:r>
          <w:r>
            <w:t>3</w:t>
          </w:r>
          <w:r>
            <w:fldChar w:fldCharType="end"/>
          </w:r>
          <w:r>
            <w:rPr>
              <w:rFonts w:ascii="宋体" w:hAnsi="宋体" w:cs="宋体"/>
              <w:color w:val="000000" w:themeColor="text1"/>
              <w:szCs w:val="28"/>
              <w:shd w:val="clear" w:color="auto" w:fill="FFFFFF"/>
              <w14:textFill>
                <w14:solidFill>
                  <w14:schemeClr w14:val="tx1"/>
                </w14:solidFill>
              </w14:textFill>
            </w:rPr>
            <w:fldChar w:fldCharType="end"/>
          </w:r>
        </w:p>
        <w:p>
          <w:pPr>
            <w:pStyle w:val="14"/>
            <w:tabs>
              <w:tab w:val="right" w:leader="dot" w:pos="8845"/>
            </w:tabs>
            <w:spacing w:line="360" w:lineRule="auto"/>
            <w:rPr>
              <w:b/>
            </w:rPr>
          </w:pPr>
          <w:r>
            <w:rPr>
              <w:rFonts w:ascii="宋体" w:hAnsi="宋体" w:cs="宋体"/>
              <w:b/>
              <w:color w:val="000000" w:themeColor="text1"/>
              <w:szCs w:val="28"/>
              <w:shd w:val="clear" w:color="auto" w:fill="FFFFFF"/>
              <w14:textFill>
                <w14:solidFill>
                  <w14:schemeClr w14:val="tx1"/>
                </w14:solidFill>
              </w14:textFill>
            </w:rPr>
            <w:fldChar w:fldCharType="begin"/>
          </w:r>
          <w:r>
            <w:rPr>
              <w:rFonts w:ascii="宋体" w:hAnsi="宋体" w:cs="宋体"/>
              <w:b/>
              <w:szCs w:val="28"/>
              <w:shd w:val="clear" w:color="auto" w:fill="FFFFFF"/>
            </w:rPr>
            <w:instrText xml:space="preserve"> HYPERLINK \l _Toc24118 </w:instrText>
          </w:r>
          <w:r>
            <w:rPr>
              <w:rFonts w:ascii="宋体" w:hAnsi="宋体" w:cs="宋体"/>
              <w:b/>
              <w:szCs w:val="28"/>
              <w:shd w:val="clear" w:color="auto" w:fill="FFFFFF"/>
            </w:rPr>
            <w:fldChar w:fldCharType="separate"/>
          </w:r>
          <w:r>
            <w:rPr>
              <w:rFonts w:hint="eastAsia" w:ascii="黑体" w:hAnsi="黑体" w:eastAsia="黑体" w:cs="黑体"/>
              <w:b/>
              <w:szCs w:val="32"/>
            </w:rPr>
            <w:t>二、部门预算单位构成</w:t>
          </w:r>
          <w:r>
            <w:rPr>
              <w:b/>
            </w:rPr>
            <w:tab/>
          </w:r>
          <w:r>
            <w:rPr>
              <w:b/>
            </w:rPr>
            <w:fldChar w:fldCharType="begin"/>
          </w:r>
          <w:r>
            <w:rPr>
              <w:b/>
            </w:rPr>
            <w:instrText xml:space="preserve"> PAGEREF _Toc24118 \h </w:instrText>
          </w:r>
          <w:r>
            <w:rPr>
              <w:b/>
            </w:rPr>
            <w:fldChar w:fldCharType="separate"/>
          </w:r>
          <w:r>
            <w:rPr>
              <w:b/>
            </w:rPr>
            <w:t>7</w:t>
          </w:r>
          <w:r>
            <w:rPr>
              <w:b/>
            </w:rPr>
            <w:fldChar w:fldCharType="end"/>
          </w:r>
          <w:r>
            <w:rPr>
              <w:rFonts w:ascii="宋体" w:hAnsi="宋体" w:cs="宋体"/>
              <w:b/>
              <w:color w:val="000000" w:themeColor="text1"/>
              <w:szCs w:val="28"/>
              <w:shd w:val="clear" w:color="auto" w:fill="FFFFFF"/>
              <w14:textFill>
                <w14:solidFill>
                  <w14:schemeClr w14:val="tx1"/>
                </w14:solidFill>
              </w14:textFill>
            </w:rPr>
            <w:fldChar w:fldCharType="end"/>
          </w:r>
        </w:p>
        <w:p>
          <w:pPr>
            <w:pStyle w:val="14"/>
            <w:tabs>
              <w:tab w:val="right" w:leader="dot" w:pos="8845"/>
            </w:tabs>
            <w:spacing w:line="360" w:lineRule="auto"/>
            <w:rPr>
              <w:b/>
            </w:rPr>
          </w:pPr>
          <w:r>
            <w:rPr>
              <w:rFonts w:ascii="宋体" w:hAnsi="宋体" w:cs="宋体"/>
              <w:b/>
              <w:color w:val="000000" w:themeColor="text1"/>
              <w:szCs w:val="28"/>
              <w:shd w:val="clear" w:color="auto" w:fill="FFFFFF"/>
              <w14:textFill>
                <w14:solidFill>
                  <w14:schemeClr w14:val="tx1"/>
                </w14:solidFill>
              </w14:textFill>
            </w:rPr>
            <w:fldChar w:fldCharType="begin"/>
          </w:r>
          <w:r>
            <w:rPr>
              <w:rFonts w:ascii="宋体" w:hAnsi="宋体" w:cs="宋体"/>
              <w:b/>
              <w:szCs w:val="28"/>
              <w:shd w:val="clear" w:color="auto" w:fill="FFFFFF"/>
            </w:rPr>
            <w:instrText xml:space="preserve"> HYPERLINK \l _Toc24940 </w:instrText>
          </w:r>
          <w:r>
            <w:rPr>
              <w:rFonts w:ascii="宋体" w:hAnsi="宋体" w:cs="宋体"/>
              <w:b/>
              <w:szCs w:val="28"/>
              <w:shd w:val="clear" w:color="auto" w:fill="FFFFFF"/>
            </w:rPr>
            <w:fldChar w:fldCharType="separate"/>
          </w:r>
          <w:r>
            <w:rPr>
              <w:rFonts w:hint="eastAsia" w:ascii="黑体" w:hAnsi="黑体" w:eastAsia="黑体" w:cs="黑体"/>
              <w:b/>
              <w:szCs w:val="32"/>
            </w:rPr>
            <w:t>三、收支预算情况说明</w:t>
          </w:r>
          <w:r>
            <w:rPr>
              <w:b/>
            </w:rPr>
            <w:tab/>
          </w:r>
          <w:r>
            <w:rPr>
              <w:b/>
            </w:rPr>
            <w:fldChar w:fldCharType="begin"/>
          </w:r>
          <w:r>
            <w:rPr>
              <w:b/>
            </w:rPr>
            <w:instrText xml:space="preserve"> PAGEREF _Toc24940 \h </w:instrText>
          </w:r>
          <w:r>
            <w:rPr>
              <w:b/>
            </w:rPr>
            <w:fldChar w:fldCharType="separate"/>
          </w:r>
          <w:r>
            <w:rPr>
              <w:b/>
            </w:rPr>
            <w:t>7</w:t>
          </w:r>
          <w:r>
            <w:rPr>
              <w:b/>
            </w:rPr>
            <w:fldChar w:fldCharType="end"/>
          </w:r>
          <w:r>
            <w:rPr>
              <w:rFonts w:ascii="宋体" w:hAnsi="宋体" w:cs="宋体"/>
              <w:b/>
              <w:color w:val="000000" w:themeColor="text1"/>
              <w:szCs w:val="28"/>
              <w:shd w:val="clear" w:color="auto" w:fill="FFFFFF"/>
              <w14:textFill>
                <w14:solidFill>
                  <w14:schemeClr w14:val="tx1"/>
                </w14:solidFill>
              </w14:textFill>
            </w:rPr>
            <w:fldChar w:fldCharType="end"/>
          </w:r>
        </w:p>
        <w:p>
          <w:pPr>
            <w:pStyle w:val="15"/>
            <w:tabs>
              <w:tab w:val="right" w:leader="dot" w:pos="8845"/>
            </w:tabs>
            <w:spacing w:line="360" w:lineRule="auto"/>
          </w:pPr>
          <w:r>
            <w:rPr>
              <w:rFonts w:ascii="宋体" w:hAnsi="宋体" w:cs="宋体"/>
              <w:color w:val="000000" w:themeColor="text1"/>
              <w:szCs w:val="28"/>
              <w:shd w:val="clear" w:color="auto" w:fill="FFFFFF"/>
              <w14:textFill>
                <w14:solidFill>
                  <w14:schemeClr w14:val="tx1"/>
                </w14:solidFill>
              </w14:textFill>
            </w:rPr>
            <w:fldChar w:fldCharType="begin"/>
          </w:r>
          <w:r>
            <w:rPr>
              <w:rFonts w:ascii="宋体" w:hAnsi="宋体" w:cs="宋体"/>
              <w:szCs w:val="28"/>
              <w:shd w:val="clear" w:color="auto" w:fill="FFFFFF"/>
            </w:rPr>
            <w:instrText xml:space="preserve"> HYPERLINK \l _Toc13231 </w:instrText>
          </w:r>
          <w:r>
            <w:rPr>
              <w:rFonts w:ascii="宋体" w:hAnsi="宋体" w:cs="宋体"/>
              <w:szCs w:val="28"/>
              <w:shd w:val="clear" w:color="auto" w:fill="FFFFFF"/>
            </w:rPr>
            <w:fldChar w:fldCharType="separate"/>
          </w:r>
          <w:r>
            <w:rPr>
              <w:rFonts w:hint="eastAsia" w:ascii="楷体_GB2312" w:hAnsi="楷体_GB2312" w:eastAsia="楷体_GB2312" w:cs="楷体_GB2312"/>
              <w:szCs w:val="32"/>
            </w:rPr>
            <w:t>（一）收入预算情况</w:t>
          </w:r>
          <w:r>
            <w:tab/>
          </w:r>
          <w:r>
            <w:fldChar w:fldCharType="begin"/>
          </w:r>
          <w:r>
            <w:instrText xml:space="preserve"> PAGEREF _Toc13231 \h </w:instrText>
          </w:r>
          <w:r>
            <w:fldChar w:fldCharType="separate"/>
          </w:r>
          <w:r>
            <w:t>8</w:t>
          </w:r>
          <w:r>
            <w:fldChar w:fldCharType="end"/>
          </w:r>
          <w:r>
            <w:rPr>
              <w:rFonts w:ascii="宋体" w:hAnsi="宋体" w:cs="宋体"/>
              <w:color w:val="000000" w:themeColor="text1"/>
              <w:szCs w:val="28"/>
              <w:shd w:val="clear" w:color="auto" w:fill="FFFFFF"/>
              <w14:textFill>
                <w14:solidFill>
                  <w14:schemeClr w14:val="tx1"/>
                </w14:solidFill>
              </w14:textFill>
            </w:rPr>
            <w:fldChar w:fldCharType="end"/>
          </w:r>
        </w:p>
        <w:p>
          <w:pPr>
            <w:pStyle w:val="15"/>
            <w:tabs>
              <w:tab w:val="right" w:leader="dot" w:pos="8845"/>
            </w:tabs>
            <w:spacing w:line="360" w:lineRule="auto"/>
          </w:pPr>
          <w:r>
            <w:rPr>
              <w:rFonts w:ascii="宋体" w:hAnsi="宋体" w:cs="宋体"/>
              <w:color w:val="000000" w:themeColor="text1"/>
              <w:szCs w:val="28"/>
              <w:shd w:val="clear" w:color="auto" w:fill="FFFFFF"/>
              <w14:textFill>
                <w14:solidFill>
                  <w14:schemeClr w14:val="tx1"/>
                </w14:solidFill>
              </w14:textFill>
            </w:rPr>
            <w:fldChar w:fldCharType="begin"/>
          </w:r>
          <w:r>
            <w:rPr>
              <w:rFonts w:ascii="宋体" w:hAnsi="宋体" w:cs="宋体"/>
              <w:szCs w:val="28"/>
              <w:shd w:val="clear" w:color="auto" w:fill="FFFFFF"/>
            </w:rPr>
            <w:instrText xml:space="preserve"> HYPERLINK \l _Toc7975 </w:instrText>
          </w:r>
          <w:r>
            <w:rPr>
              <w:rFonts w:ascii="宋体" w:hAnsi="宋体" w:cs="宋体"/>
              <w:szCs w:val="28"/>
              <w:shd w:val="clear" w:color="auto" w:fill="FFFFFF"/>
            </w:rPr>
            <w:fldChar w:fldCharType="separate"/>
          </w:r>
          <w:r>
            <w:rPr>
              <w:rFonts w:hint="eastAsia" w:ascii="楷体_GB2312" w:hAnsi="楷体_GB2312" w:eastAsia="楷体_GB2312" w:cs="楷体_GB2312"/>
              <w:szCs w:val="32"/>
            </w:rPr>
            <w:t>（二）支出预算情况</w:t>
          </w:r>
          <w:r>
            <w:tab/>
          </w:r>
          <w:r>
            <w:fldChar w:fldCharType="begin"/>
          </w:r>
          <w:r>
            <w:instrText xml:space="preserve"> PAGEREF _Toc7975 \h </w:instrText>
          </w:r>
          <w:r>
            <w:fldChar w:fldCharType="separate"/>
          </w:r>
          <w:r>
            <w:t>8</w:t>
          </w:r>
          <w:r>
            <w:fldChar w:fldCharType="end"/>
          </w:r>
          <w:r>
            <w:rPr>
              <w:rFonts w:ascii="宋体" w:hAnsi="宋体" w:cs="宋体"/>
              <w:color w:val="000000" w:themeColor="text1"/>
              <w:szCs w:val="28"/>
              <w:shd w:val="clear" w:color="auto" w:fill="FFFFFF"/>
              <w14:textFill>
                <w14:solidFill>
                  <w14:schemeClr w14:val="tx1"/>
                </w14:solidFill>
              </w14:textFill>
            </w:rPr>
            <w:fldChar w:fldCharType="end"/>
          </w:r>
        </w:p>
        <w:p>
          <w:pPr>
            <w:pStyle w:val="14"/>
            <w:tabs>
              <w:tab w:val="right" w:leader="dot" w:pos="8845"/>
            </w:tabs>
            <w:spacing w:line="360" w:lineRule="auto"/>
            <w:rPr>
              <w:b/>
            </w:rPr>
          </w:pPr>
          <w:r>
            <w:rPr>
              <w:rFonts w:ascii="宋体" w:hAnsi="宋体" w:cs="宋体"/>
              <w:b/>
              <w:color w:val="000000" w:themeColor="text1"/>
              <w:szCs w:val="28"/>
              <w:shd w:val="clear" w:color="auto" w:fill="FFFFFF"/>
              <w14:textFill>
                <w14:solidFill>
                  <w14:schemeClr w14:val="tx1"/>
                </w14:solidFill>
              </w14:textFill>
            </w:rPr>
            <w:fldChar w:fldCharType="begin"/>
          </w:r>
          <w:r>
            <w:rPr>
              <w:rFonts w:ascii="宋体" w:hAnsi="宋体" w:cs="宋体"/>
              <w:b/>
              <w:szCs w:val="28"/>
              <w:shd w:val="clear" w:color="auto" w:fill="FFFFFF"/>
            </w:rPr>
            <w:instrText xml:space="preserve"> HYPERLINK \l _Toc5161 </w:instrText>
          </w:r>
          <w:r>
            <w:rPr>
              <w:rFonts w:ascii="宋体" w:hAnsi="宋体" w:cs="宋体"/>
              <w:b/>
              <w:szCs w:val="28"/>
              <w:shd w:val="clear" w:color="auto" w:fill="FFFFFF"/>
            </w:rPr>
            <w:fldChar w:fldCharType="separate"/>
          </w:r>
          <w:r>
            <w:rPr>
              <w:rFonts w:hint="eastAsia" w:ascii="黑体" w:hAnsi="黑体" w:eastAsia="黑体" w:cs="黑体"/>
              <w:b/>
              <w:szCs w:val="32"/>
            </w:rPr>
            <w:t>四、财政拨款收支预算情况说明</w:t>
          </w:r>
          <w:r>
            <w:rPr>
              <w:b/>
            </w:rPr>
            <w:tab/>
          </w:r>
          <w:r>
            <w:rPr>
              <w:b/>
            </w:rPr>
            <w:fldChar w:fldCharType="begin"/>
          </w:r>
          <w:r>
            <w:rPr>
              <w:b/>
            </w:rPr>
            <w:instrText xml:space="preserve"> PAGEREF _Toc5161 \h </w:instrText>
          </w:r>
          <w:r>
            <w:rPr>
              <w:b/>
            </w:rPr>
            <w:fldChar w:fldCharType="separate"/>
          </w:r>
          <w:r>
            <w:rPr>
              <w:b/>
            </w:rPr>
            <w:t>8</w:t>
          </w:r>
          <w:r>
            <w:rPr>
              <w:b/>
            </w:rPr>
            <w:fldChar w:fldCharType="end"/>
          </w:r>
          <w:r>
            <w:rPr>
              <w:rFonts w:ascii="宋体" w:hAnsi="宋体" w:cs="宋体"/>
              <w:b/>
              <w:color w:val="000000" w:themeColor="text1"/>
              <w:szCs w:val="28"/>
              <w:shd w:val="clear" w:color="auto" w:fill="FFFFFF"/>
              <w14:textFill>
                <w14:solidFill>
                  <w14:schemeClr w14:val="tx1"/>
                </w14:solidFill>
              </w14:textFill>
            </w:rPr>
            <w:fldChar w:fldCharType="end"/>
          </w:r>
        </w:p>
        <w:p>
          <w:pPr>
            <w:pStyle w:val="14"/>
            <w:tabs>
              <w:tab w:val="right" w:leader="dot" w:pos="8845"/>
            </w:tabs>
            <w:spacing w:line="360" w:lineRule="auto"/>
            <w:rPr>
              <w:b/>
            </w:rPr>
          </w:pPr>
          <w:r>
            <w:rPr>
              <w:rFonts w:ascii="宋体" w:hAnsi="宋体" w:cs="宋体"/>
              <w:b/>
              <w:color w:val="000000" w:themeColor="text1"/>
              <w:szCs w:val="28"/>
              <w:shd w:val="clear" w:color="auto" w:fill="FFFFFF"/>
              <w14:textFill>
                <w14:solidFill>
                  <w14:schemeClr w14:val="tx1"/>
                </w14:solidFill>
              </w14:textFill>
            </w:rPr>
            <w:fldChar w:fldCharType="begin"/>
          </w:r>
          <w:r>
            <w:rPr>
              <w:rFonts w:ascii="宋体" w:hAnsi="宋体" w:cs="宋体"/>
              <w:b/>
              <w:szCs w:val="28"/>
              <w:shd w:val="clear" w:color="auto" w:fill="FFFFFF"/>
            </w:rPr>
            <w:instrText xml:space="preserve"> HYPERLINK \l _Toc13395 </w:instrText>
          </w:r>
          <w:r>
            <w:rPr>
              <w:rFonts w:ascii="宋体" w:hAnsi="宋体" w:cs="宋体"/>
              <w:b/>
              <w:szCs w:val="28"/>
              <w:shd w:val="clear" w:color="auto" w:fill="FFFFFF"/>
            </w:rPr>
            <w:fldChar w:fldCharType="separate"/>
          </w:r>
          <w:r>
            <w:rPr>
              <w:rFonts w:hint="eastAsia" w:ascii="黑体" w:hAnsi="黑体" w:eastAsia="黑体" w:cs="黑体"/>
              <w:b/>
              <w:szCs w:val="32"/>
            </w:rPr>
            <w:t>五、一般公共预算当年拨款情况说明</w:t>
          </w:r>
          <w:r>
            <w:rPr>
              <w:b/>
            </w:rPr>
            <w:tab/>
          </w:r>
          <w:r>
            <w:rPr>
              <w:b/>
            </w:rPr>
            <w:fldChar w:fldCharType="begin"/>
          </w:r>
          <w:r>
            <w:rPr>
              <w:b/>
            </w:rPr>
            <w:instrText xml:space="preserve"> PAGEREF _Toc13395 \h </w:instrText>
          </w:r>
          <w:r>
            <w:rPr>
              <w:b/>
            </w:rPr>
            <w:fldChar w:fldCharType="separate"/>
          </w:r>
          <w:r>
            <w:rPr>
              <w:b/>
            </w:rPr>
            <w:t>9</w:t>
          </w:r>
          <w:r>
            <w:rPr>
              <w:b/>
            </w:rPr>
            <w:fldChar w:fldCharType="end"/>
          </w:r>
          <w:r>
            <w:rPr>
              <w:rFonts w:ascii="宋体" w:hAnsi="宋体" w:cs="宋体"/>
              <w:b/>
              <w:color w:val="000000" w:themeColor="text1"/>
              <w:szCs w:val="28"/>
              <w:shd w:val="clear" w:color="auto" w:fill="FFFFFF"/>
              <w14:textFill>
                <w14:solidFill>
                  <w14:schemeClr w14:val="tx1"/>
                </w14:solidFill>
              </w14:textFill>
            </w:rPr>
            <w:fldChar w:fldCharType="end"/>
          </w:r>
        </w:p>
        <w:p>
          <w:pPr>
            <w:pStyle w:val="15"/>
            <w:tabs>
              <w:tab w:val="right" w:leader="dot" w:pos="8845"/>
            </w:tabs>
            <w:spacing w:line="360" w:lineRule="auto"/>
          </w:pPr>
          <w:r>
            <w:rPr>
              <w:rFonts w:ascii="宋体" w:hAnsi="宋体" w:cs="宋体"/>
              <w:color w:val="000000" w:themeColor="text1"/>
              <w:szCs w:val="28"/>
              <w:shd w:val="clear" w:color="auto" w:fill="FFFFFF"/>
              <w14:textFill>
                <w14:solidFill>
                  <w14:schemeClr w14:val="tx1"/>
                </w14:solidFill>
              </w14:textFill>
            </w:rPr>
            <w:fldChar w:fldCharType="begin"/>
          </w:r>
          <w:r>
            <w:rPr>
              <w:rFonts w:ascii="宋体" w:hAnsi="宋体" w:cs="宋体"/>
              <w:szCs w:val="28"/>
              <w:shd w:val="clear" w:color="auto" w:fill="FFFFFF"/>
            </w:rPr>
            <w:instrText xml:space="preserve"> HYPERLINK \l _Toc9715 </w:instrText>
          </w:r>
          <w:r>
            <w:rPr>
              <w:rFonts w:ascii="宋体" w:hAnsi="宋体" w:cs="宋体"/>
              <w:szCs w:val="28"/>
              <w:shd w:val="clear" w:color="auto" w:fill="FFFFFF"/>
            </w:rPr>
            <w:fldChar w:fldCharType="separate"/>
          </w:r>
          <w:r>
            <w:rPr>
              <w:rFonts w:hint="eastAsia" w:ascii="楷体_GB2312" w:hAnsi="楷体_GB2312" w:eastAsia="楷体_GB2312" w:cs="楷体_GB2312"/>
              <w:szCs w:val="32"/>
            </w:rPr>
            <w:t>（一）一般公共预算当年拨款规模变化情况</w:t>
          </w:r>
          <w:r>
            <w:tab/>
          </w:r>
          <w:r>
            <w:fldChar w:fldCharType="begin"/>
          </w:r>
          <w:r>
            <w:instrText xml:space="preserve"> PAGEREF _Toc9715 \h </w:instrText>
          </w:r>
          <w:r>
            <w:fldChar w:fldCharType="separate"/>
          </w:r>
          <w:r>
            <w:t>9</w:t>
          </w:r>
          <w:r>
            <w:fldChar w:fldCharType="end"/>
          </w:r>
          <w:r>
            <w:rPr>
              <w:rFonts w:ascii="宋体" w:hAnsi="宋体" w:cs="宋体"/>
              <w:color w:val="000000" w:themeColor="text1"/>
              <w:szCs w:val="28"/>
              <w:shd w:val="clear" w:color="auto" w:fill="FFFFFF"/>
              <w14:textFill>
                <w14:solidFill>
                  <w14:schemeClr w14:val="tx1"/>
                </w14:solidFill>
              </w14:textFill>
            </w:rPr>
            <w:fldChar w:fldCharType="end"/>
          </w:r>
        </w:p>
        <w:p>
          <w:pPr>
            <w:pStyle w:val="15"/>
            <w:tabs>
              <w:tab w:val="right" w:leader="dot" w:pos="8845"/>
            </w:tabs>
            <w:spacing w:line="360" w:lineRule="auto"/>
          </w:pPr>
          <w:r>
            <w:rPr>
              <w:rFonts w:ascii="宋体" w:hAnsi="宋体" w:cs="宋体"/>
              <w:color w:val="000000" w:themeColor="text1"/>
              <w:szCs w:val="28"/>
              <w:shd w:val="clear" w:color="auto" w:fill="FFFFFF"/>
              <w14:textFill>
                <w14:solidFill>
                  <w14:schemeClr w14:val="tx1"/>
                </w14:solidFill>
              </w14:textFill>
            </w:rPr>
            <w:fldChar w:fldCharType="begin"/>
          </w:r>
          <w:r>
            <w:rPr>
              <w:rFonts w:ascii="宋体" w:hAnsi="宋体" w:cs="宋体"/>
              <w:szCs w:val="28"/>
              <w:shd w:val="clear" w:color="auto" w:fill="FFFFFF"/>
            </w:rPr>
            <w:instrText xml:space="preserve"> HYPERLINK \l _Toc11174 </w:instrText>
          </w:r>
          <w:r>
            <w:rPr>
              <w:rFonts w:ascii="宋体" w:hAnsi="宋体" w:cs="宋体"/>
              <w:szCs w:val="28"/>
              <w:shd w:val="clear" w:color="auto" w:fill="FFFFFF"/>
            </w:rPr>
            <w:fldChar w:fldCharType="separate"/>
          </w:r>
          <w:r>
            <w:rPr>
              <w:rFonts w:hint="eastAsia" w:ascii="楷体_GB2312" w:hAnsi="楷体_GB2312" w:eastAsia="楷体_GB2312" w:cs="楷体_GB2312"/>
              <w:szCs w:val="32"/>
            </w:rPr>
            <w:t>（二）一般公共预算当年拨款结构情况</w:t>
          </w:r>
          <w:r>
            <w:tab/>
          </w:r>
          <w:r>
            <w:fldChar w:fldCharType="begin"/>
          </w:r>
          <w:r>
            <w:instrText xml:space="preserve"> PAGEREF _Toc11174 \h </w:instrText>
          </w:r>
          <w:r>
            <w:fldChar w:fldCharType="separate"/>
          </w:r>
          <w:r>
            <w:t>9</w:t>
          </w:r>
          <w:r>
            <w:fldChar w:fldCharType="end"/>
          </w:r>
          <w:r>
            <w:rPr>
              <w:rFonts w:ascii="宋体" w:hAnsi="宋体" w:cs="宋体"/>
              <w:color w:val="000000" w:themeColor="text1"/>
              <w:szCs w:val="28"/>
              <w:shd w:val="clear" w:color="auto" w:fill="FFFFFF"/>
              <w14:textFill>
                <w14:solidFill>
                  <w14:schemeClr w14:val="tx1"/>
                </w14:solidFill>
              </w14:textFill>
            </w:rPr>
            <w:fldChar w:fldCharType="end"/>
          </w:r>
        </w:p>
        <w:p>
          <w:pPr>
            <w:pStyle w:val="15"/>
            <w:tabs>
              <w:tab w:val="right" w:leader="dot" w:pos="8845"/>
            </w:tabs>
            <w:spacing w:line="360" w:lineRule="auto"/>
          </w:pPr>
          <w:r>
            <w:rPr>
              <w:rFonts w:ascii="宋体" w:hAnsi="宋体" w:cs="宋体"/>
              <w:color w:val="000000" w:themeColor="text1"/>
              <w:szCs w:val="28"/>
              <w:shd w:val="clear" w:color="auto" w:fill="FFFFFF"/>
              <w14:textFill>
                <w14:solidFill>
                  <w14:schemeClr w14:val="tx1"/>
                </w14:solidFill>
              </w14:textFill>
            </w:rPr>
            <w:fldChar w:fldCharType="begin"/>
          </w:r>
          <w:r>
            <w:rPr>
              <w:rFonts w:ascii="宋体" w:hAnsi="宋体" w:cs="宋体"/>
              <w:szCs w:val="28"/>
              <w:shd w:val="clear" w:color="auto" w:fill="FFFFFF"/>
            </w:rPr>
            <w:instrText xml:space="preserve"> HYPERLINK \l _Toc22536 </w:instrText>
          </w:r>
          <w:r>
            <w:rPr>
              <w:rFonts w:ascii="宋体" w:hAnsi="宋体" w:cs="宋体"/>
              <w:szCs w:val="28"/>
              <w:shd w:val="clear" w:color="auto" w:fill="FFFFFF"/>
            </w:rPr>
            <w:fldChar w:fldCharType="separate"/>
          </w:r>
          <w:r>
            <w:rPr>
              <w:rFonts w:hint="eastAsia" w:ascii="楷体_GB2312" w:hAnsi="楷体_GB2312" w:eastAsia="楷体_GB2312" w:cs="楷体_GB2312"/>
              <w:szCs w:val="32"/>
            </w:rPr>
            <w:t>（三）一般公共预算当年拨款具体使用情况</w:t>
          </w:r>
          <w:r>
            <w:tab/>
          </w:r>
          <w:r>
            <w:fldChar w:fldCharType="begin"/>
          </w:r>
          <w:r>
            <w:instrText xml:space="preserve"> PAGEREF _Toc22536 \h </w:instrText>
          </w:r>
          <w:r>
            <w:fldChar w:fldCharType="separate"/>
          </w:r>
          <w:r>
            <w:t>9</w:t>
          </w:r>
          <w:r>
            <w:fldChar w:fldCharType="end"/>
          </w:r>
          <w:r>
            <w:rPr>
              <w:rFonts w:ascii="宋体" w:hAnsi="宋体" w:cs="宋体"/>
              <w:color w:val="000000" w:themeColor="text1"/>
              <w:szCs w:val="28"/>
              <w:shd w:val="clear" w:color="auto" w:fill="FFFFFF"/>
              <w14:textFill>
                <w14:solidFill>
                  <w14:schemeClr w14:val="tx1"/>
                </w14:solidFill>
              </w14:textFill>
            </w:rPr>
            <w:fldChar w:fldCharType="end"/>
          </w:r>
        </w:p>
        <w:p>
          <w:pPr>
            <w:pStyle w:val="14"/>
            <w:tabs>
              <w:tab w:val="right" w:leader="dot" w:pos="8845"/>
            </w:tabs>
            <w:spacing w:line="360" w:lineRule="auto"/>
            <w:rPr>
              <w:b/>
            </w:rPr>
          </w:pPr>
          <w:r>
            <w:rPr>
              <w:rFonts w:ascii="宋体" w:hAnsi="宋体" w:cs="宋体"/>
              <w:b/>
              <w:color w:val="000000" w:themeColor="text1"/>
              <w:szCs w:val="28"/>
              <w:shd w:val="clear" w:color="auto" w:fill="FFFFFF"/>
              <w14:textFill>
                <w14:solidFill>
                  <w14:schemeClr w14:val="tx1"/>
                </w14:solidFill>
              </w14:textFill>
            </w:rPr>
            <w:fldChar w:fldCharType="begin"/>
          </w:r>
          <w:r>
            <w:rPr>
              <w:rFonts w:ascii="宋体" w:hAnsi="宋体" w:cs="宋体"/>
              <w:b/>
              <w:szCs w:val="28"/>
              <w:shd w:val="clear" w:color="auto" w:fill="FFFFFF"/>
            </w:rPr>
            <w:instrText xml:space="preserve"> HYPERLINK \l _Toc29408 </w:instrText>
          </w:r>
          <w:r>
            <w:rPr>
              <w:rFonts w:ascii="宋体" w:hAnsi="宋体" w:cs="宋体"/>
              <w:b/>
              <w:szCs w:val="28"/>
              <w:shd w:val="clear" w:color="auto" w:fill="FFFFFF"/>
            </w:rPr>
            <w:fldChar w:fldCharType="separate"/>
          </w:r>
          <w:r>
            <w:rPr>
              <w:rFonts w:hint="eastAsia" w:ascii="黑体" w:hAnsi="黑体" w:eastAsia="黑体" w:cs="黑体"/>
              <w:b/>
              <w:szCs w:val="32"/>
            </w:rPr>
            <w:t>六、一般公共预算基本支出情况说明</w:t>
          </w:r>
          <w:r>
            <w:rPr>
              <w:b/>
            </w:rPr>
            <w:tab/>
          </w:r>
          <w:r>
            <w:rPr>
              <w:b/>
            </w:rPr>
            <w:fldChar w:fldCharType="begin"/>
          </w:r>
          <w:r>
            <w:rPr>
              <w:b/>
            </w:rPr>
            <w:instrText xml:space="preserve"> PAGEREF _Toc29408 \h </w:instrText>
          </w:r>
          <w:r>
            <w:rPr>
              <w:b/>
            </w:rPr>
            <w:fldChar w:fldCharType="separate"/>
          </w:r>
          <w:r>
            <w:rPr>
              <w:b/>
            </w:rPr>
            <w:t>10</w:t>
          </w:r>
          <w:r>
            <w:rPr>
              <w:b/>
            </w:rPr>
            <w:fldChar w:fldCharType="end"/>
          </w:r>
          <w:r>
            <w:rPr>
              <w:rFonts w:ascii="宋体" w:hAnsi="宋体" w:cs="宋体"/>
              <w:b/>
              <w:color w:val="000000" w:themeColor="text1"/>
              <w:szCs w:val="28"/>
              <w:shd w:val="clear" w:color="auto" w:fill="FFFFFF"/>
              <w14:textFill>
                <w14:solidFill>
                  <w14:schemeClr w14:val="tx1"/>
                </w14:solidFill>
              </w14:textFill>
            </w:rPr>
            <w:fldChar w:fldCharType="end"/>
          </w:r>
        </w:p>
        <w:p>
          <w:pPr>
            <w:pStyle w:val="14"/>
            <w:tabs>
              <w:tab w:val="right" w:leader="dot" w:pos="8845"/>
            </w:tabs>
            <w:spacing w:line="360" w:lineRule="auto"/>
            <w:rPr>
              <w:b/>
            </w:rPr>
          </w:pPr>
          <w:r>
            <w:rPr>
              <w:rFonts w:ascii="宋体" w:hAnsi="宋体" w:cs="宋体"/>
              <w:b/>
              <w:color w:val="000000" w:themeColor="text1"/>
              <w:szCs w:val="28"/>
              <w:shd w:val="clear" w:color="auto" w:fill="FFFFFF"/>
              <w14:textFill>
                <w14:solidFill>
                  <w14:schemeClr w14:val="tx1"/>
                </w14:solidFill>
              </w14:textFill>
            </w:rPr>
            <w:fldChar w:fldCharType="begin"/>
          </w:r>
          <w:r>
            <w:rPr>
              <w:rFonts w:ascii="宋体" w:hAnsi="宋体" w:cs="宋体"/>
              <w:b/>
              <w:szCs w:val="28"/>
              <w:shd w:val="clear" w:color="auto" w:fill="FFFFFF"/>
            </w:rPr>
            <w:instrText xml:space="preserve"> HYPERLINK \l _Toc30992 </w:instrText>
          </w:r>
          <w:r>
            <w:rPr>
              <w:rFonts w:ascii="宋体" w:hAnsi="宋体" w:cs="宋体"/>
              <w:b/>
              <w:szCs w:val="28"/>
              <w:shd w:val="clear" w:color="auto" w:fill="FFFFFF"/>
            </w:rPr>
            <w:fldChar w:fldCharType="separate"/>
          </w:r>
          <w:r>
            <w:rPr>
              <w:rFonts w:hint="eastAsia" w:ascii="黑体" w:hAnsi="黑体" w:eastAsia="黑体" w:cs="黑体"/>
              <w:b/>
              <w:szCs w:val="32"/>
            </w:rPr>
            <w:t>七、“三公”经费财政拨款预算安排情况说明</w:t>
          </w:r>
          <w:r>
            <w:rPr>
              <w:b/>
            </w:rPr>
            <w:tab/>
          </w:r>
          <w:r>
            <w:rPr>
              <w:b/>
            </w:rPr>
            <w:fldChar w:fldCharType="begin"/>
          </w:r>
          <w:r>
            <w:rPr>
              <w:b/>
            </w:rPr>
            <w:instrText xml:space="preserve"> PAGEREF _Toc30992 \h </w:instrText>
          </w:r>
          <w:r>
            <w:rPr>
              <w:b/>
            </w:rPr>
            <w:fldChar w:fldCharType="separate"/>
          </w:r>
          <w:r>
            <w:rPr>
              <w:b/>
            </w:rPr>
            <w:t>10</w:t>
          </w:r>
          <w:r>
            <w:rPr>
              <w:b/>
            </w:rPr>
            <w:fldChar w:fldCharType="end"/>
          </w:r>
          <w:r>
            <w:rPr>
              <w:rFonts w:ascii="宋体" w:hAnsi="宋体" w:cs="宋体"/>
              <w:b/>
              <w:color w:val="000000" w:themeColor="text1"/>
              <w:szCs w:val="28"/>
              <w:shd w:val="clear" w:color="auto" w:fill="FFFFFF"/>
              <w14:textFill>
                <w14:solidFill>
                  <w14:schemeClr w14:val="tx1"/>
                </w14:solidFill>
              </w14:textFill>
            </w:rPr>
            <w:fldChar w:fldCharType="end"/>
          </w:r>
        </w:p>
        <w:p>
          <w:pPr>
            <w:pStyle w:val="15"/>
            <w:tabs>
              <w:tab w:val="right" w:leader="dot" w:pos="8845"/>
            </w:tabs>
            <w:spacing w:line="360" w:lineRule="auto"/>
          </w:pPr>
          <w:r>
            <w:rPr>
              <w:rFonts w:ascii="宋体" w:hAnsi="宋体" w:cs="宋体"/>
              <w:color w:val="000000" w:themeColor="text1"/>
              <w:szCs w:val="28"/>
              <w:shd w:val="clear" w:color="auto" w:fill="FFFFFF"/>
              <w14:textFill>
                <w14:solidFill>
                  <w14:schemeClr w14:val="tx1"/>
                </w14:solidFill>
              </w14:textFill>
            </w:rPr>
            <w:fldChar w:fldCharType="begin"/>
          </w:r>
          <w:r>
            <w:rPr>
              <w:rFonts w:ascii="宋体" w:hAnsi="宋体" w:cs="宋体"/>
              <w:szCs w:val="28"/>
              <w:shd w:val="clear" w:color="auto" w:fill="FFFFFF"/>
            </w:rPr>
            <w:instrText xml:space="preserve"> HYPERLINK \l _Toc32333 </w:instrText>
          </w:r>
          <w:r>
            <w:rPr>
              <w:rFonts w:ascii="宋体" w:hAnsi="宋体" w:cs="宋体"/>
              <w:szCs w:val="28"/>
              <w:shd w:val="clear" w:color="auto" w:fill="FFFFFF"/>
            </w:rPr>
            <w:fldChar w:fldCharType="separate"/>
          </w:r>
          <w:r>
            <w:rPr>
              <w:rFonts w:hint="eastAsia" w:ascii="楷体_GB2312" w:hAnsi="楷体_GB2312" w:eastAsia="楷体_GB2312" w:cs="楷体_GB2312"/>
              <w:szCs w:val="32"/>
            </w:rPr>
            <w:t>（一）公务接待费</w:t>
          </w:r>
          <w:r>
            <w:tab/>
          </w:r>
          <w:r>
            <w:fldChar w:fldCharType="begin"/>
          </w:r>
          <w:r>
            <w:instrText xml:space="preserve"> PAGEREF _Toc32333 \h </w:instrText>
          </w:r>
          <w:r>
            <w:fldChar w:fldCharType="separate"/>
          </w:r>
          <w:r>
            <w:t>11</w:t>
          </w:r>
          <w:r>
            <w:fldChar w:fldCharType="end"/>
          </w:r>
          <w:r>
            <w:rPr>
              <w:rFonts w:ascii="宋体" w:hAnsi="宋体" w:cs="宋体"/>
              <w:color w:val="000000" w:themeColor="text1"/>
              <w:szCs w:val="28"/>
              <w:shd w:val="clear" w:color="auto" w:fill="FFFFFF"/>
              <w14:textFill>
                <w14:solidFill>
                  <w14:schemeClr w14:val="tx1"/>
                </w14:solidFill>
              </w14:textFill>
            </w:rPr>
            <w:fldChar w:fldCharType="end"/>
          </w:r>
        </w:p>
        <w:p>
          <w:pPr>
            <w:pStyle w:val="15"/>
            <w:tabs>
              <w:tab w:val="right" w:leader="dot" w:pos="8845"/>
            </w:tabs>
            <w:spacing w:line="360" w:lineRule="auto"/>
          </w:pPr>
          <w:r>
            <w:rPr>
              <w:rFonts w:ascii="宋体" w:hAnsi="宋体" w:cs="宋体"/>
              <w:color w:val="000000" w:themeColor="text1"/>
              <w:szCs w:val="28"/>
              <w:shd w:val="clear" w:color="auto" w:fill="FFFFFF"/>
              <w14:textFill>
                <w14:solidFill>
                  <w14:schemeClr w14:val="tx1"/>
                </w14:solidFill>
              </w14:textFill>
            </w:rPr>
            <w:fldChar w:fldCharType="begin"/>
          </w:r>
          <w:r>
            <w:rPr>
              <w:rFonts w:ascii="宋体" w:hAnsi="宋体" w:cs="宋体"/>
              <w:szCs w:val="28"/>
              <w:shd w:val="clear" w:color="auto" w:fill="FFFFFF"/>
            </w:rPr>
            <w:instrText xml:space="preserve"> HYPERLINK \l _Toc4958 </w:instrText>
          </w:r>
          <w:r>
            <w:rPr>
              <w:rFonts w:ascii="宋体" w:hAnsi="宋体" w:cs="宋体"/>
              <w:szCs w:val="28"/>
              <w:shd w:val="clear" w:color="auto" w:fill="FFFFFF"/>
            </w:rPr>
            <w:fldChar w:fldCharType="separate"/>
          </w:r>
          <w:r>
            <w:rPr>
              <w:rFonts w:hint="eastAsia" w:ascii="楷体_GB2312" w:hAnsi="楷体_GB2312" w:eastAsia="楷体_GB2312" w:cs="楷体_GB2312"/>
              <w:szCs w:val="32"/>
            </w:rPr>
            <w:t>（二） 公务用车购置及运行维护费</w:t>
          </w:r>
          <w:r>
            <w:tab/>
          </w:r>
          <w:r>
            <w:fldChar w:fldCharType="begin"/>
          </w:r>
          <w:r>
            <w:instrText xml:space="preserve"> PAGEREF _Toc4958 \h </w:instrText>
          </w:r>
          <w:r>
            <w:fldChar w:fldCharType="separate"/>
          </w:r>
          <w:r>
            <w:t>11</w:t>
          </w:r>
          <w:r>
            <w:fldChar w:fldCharType="end"/>
          </w:r>
          <w:r>
            <w:rPr>
              <w:rFonts w:ascii="宋体" w:hAnsi="宋体" w:cs="宋体"/>
              <w:color w:val="000000" w:themeColor="text1"/>
              <w:szCs w:val="28"/>
              <w:shd w:val="clear" w:color="auto" w:fill="FFFFFF"/>
              <w14:textFill>
                <w14:solidFill>
                  <w14:schemeClr w14:val="tx1"/>
                </w14:solidFill>
              </w14:textFill>
            </w:rPr>
            <w:fldChar w:fldCharType="end"/>
          </w:r>
        </w:p>
        <w:p>
          <w:pPr>
            <w:pStyle w:val="15"/>
            <w:tabs>
              <w:tab w:val="right" w:leader="dot" w:pos="8845"/>
            </w:tabs>
            <w:spacing w:line="360" w:lineRule="auto"/>
          </w:pPr>
          <w:r>
            <w:rPr>
              <w:rFonts w:ascii="宋体" w:hAnsi="宋体" w:cs="宋体"/>
              <w:color w:val="000000" w:themeColor="text1"/>
              <w:szCs w:val="28"/>
              <w:shd w:val="clear" w:color="auto" w:fill="FFFFFF"/>
              <w14:textFill>
                <w14:solidFill>
                  <w14:schemeClr w14:val="tx1"/>
                </w14:solidFill>
              </w14:textFill>
            </w:rPr>
            <w:fldChar w:fldCharType="begin"/>
          </w:r>
          <w:r>
            <w:rPr>
              <w:rFonts w:ascii="宋体" w:hAnsi="宋体" w:cs="宋体"/>
              <w:szCs w:val="28"/>
              <w:shd w:val="clear" w:color="auto" w:fill="FFFFFF"/>
            </w:rPr>
            <w:instrText xml:space="preserve"> HYPERLINK \l _Toc24898 </w:instrText>
          </w:r>
          <w:r>
            <w:rPr>
              <w:rFonts w:ascii="宋体" w:hAnsi="宋体" w:cs="宋体"/>
              <w:szCs w:val="28"/>
              <w:shd w:val="clear" w:color="auto" w:fill="FFFFFF"/>
            </w:rPr>
            <w:fldChar w:fldCharType="separate"/>
          </w:r>
          <w:r>
            <w:rPr>
              <w:rFonts w:hint="eastAsia" w:ascii="仿宋_GB2312" w:hAnsi="仿宋_GB2312" w:eastAsia="仿宋_GB2312" w:cs="仿宋_GB2312"/>
              <w:szCs w:val="32"/>
            </w:rPr>
            <w:t>（</w:t>
          </w:r>
          <w:r>
            <w:rPr>
              <w:rFonts w:hint="eastAsia" w:ascii="楷体_GB2312" w:hAnsi="楷体_GB2312" w:eastAsia="楷体_GB2312" w:cs="楷体_GB2312"/>
              <w:szCs w:val="32"/>
            </w:rPr>
            <w:t>三）因公出国（境）经费</w:t>
          </w:r>
          <w:r>
            <w:tab/>
          </w:r>
          <w:r>
            <w:fldChar w:fldCharType="begin"/>
          </w:r>
          <w:r>
            <w:instrText xml:space="preserve"> PAGEREF _Toc24898 \h </w:instrText>
          </w:r>
          <w:r>
            <w:fldChar w:fldCharType="separate"/>
          </w:r>
          <w:r>
            <w:t>11</w:t>
          </w:r>
          <w:r>
            <w:fldChar w:fldCharType="end"/>
          </w:r>
          <w:r>
            <w:rPr>
              <w:rFonts w:ascii="宋体" w:hAnsi="宋体" w:cs="宋体"/>
              <w:color w:val="000000" w:themeColor="text1"/>
              <w:szCs w:val="28"/>
              <w:shd w:val="clear" w:color="auto" w:fill="FFFFFF"/>
              <w14:textFill>
                <w14:solidFill>
                  <w14:schemeClr w14:val="tx1"/>
                </w14:solidFill>
              </w14:textFill>
            </w:rPr>
            <w:fldChar w:fldCharType="end"/>
          </w:r>
        </w:p>
        <w:p>
          <w:pPr>
            <w:pStyle w:val="14"/>
            <w:tabs>
              <w:tab w:val="right" w:leader="dot" w:pos="8845"/>
            </w:tabs>
            <w:spacing w:line="360" w:lineRule="auto"/>
            <w:rPr>
              <w:b/>
            </w:rPr>
          </w:pPr>
          <w:r>
            <w:rPr>
              <w:rFonts w:ascii="宋体" w:hAnsi="宋体" w:cs="宋体"/>
              <w:b/>
              <w:color w:val="000000" w:themeColor="text1"/>
              <w:szCs w:val="28"/>
              <w:shd w:val="clear" w:color="auto" w:fill="FFFFFF"/>
              <w14:textFill>
                <w14:solidFill>
                  <w14:schemeClr w14:val="tx1"/>
                </w14:solidFill>
              </w14:textFill>
            </w:rPr>
            <w:fldChar w:fldCharType="begin"/>
          </w:r>
          <w:r>
            <w:rPr>
              <w:rFonts w:ascii="宋体" w:hAnsi="宋体" w:cs="宋体"/>
              <w:b/>
              <w:szCs w:val="28"/>
              <w:shd w:val="clear" w:color="auto" w:fill="FFFFFF"/>
            </w:rPr>
            <w:instrText xml:space="preserve"> HYPERLINK \l _Toc7678 </w:instrText>
          </w:r>
          <w:r>
            <w:rPr>
              <w:rFonts w:ascii="宋体" w:hAnsi="宋体" w:cs="宋体"/>
              <w:b/>
              <w:szCs w:val="28"/>
              <w:shd w:val="clear" w:color="auto" w:fill="FFFFFF"/>
            </w:rPr>
            <w:fldChar w:fldCharType="separate"/>
          </w:r>
          <w:r>
            <w:rPr>
              <w:rFonts w:hint="eastAsia" w:ascii="黑体" w:hAnsi="黑体" w:eastAsia="黑体" w:cs="黑体"/>
              <w:b/>
              <w:szCs w:val="32"/>
            </w:rPr>
            <w:t>八、政府性基金预算支出情况说明</w:t>
          </w:r>
          <w:r>
            <w:rPr>
              <w:b/>
            </w:rPr>
            <w:tab/>
          </w:r>
          <w:r>
            <w:rPr>
              <w:b/>
            </w:rPr>
            <w:fldChar w:fldCharType="begin"/>
          </w:r>
          <w:r>
            <w:rPr>
              <w:b/>
            </w:rPr>
            <w:instrText xml:space="preserve"> PAGEREF _Toc7678 \h </w:instrText>
          </w:r>
          <w:r>
            <w:rPr>
              <w:b/>
            </w:rPr>
            <w:fldChar w:fldCharType="separate"/>
          </w:r>
          <w:r>
            <w:rPr>
              <w:b/>
            </w:rPr>
            <w:t>11</w:t>
          </w:r>
          <w:r>
            <w:rPr>
              <w:b/>
            </w:rPr>
            <w:fldChar w:fldCharType="end"/>
          </w:r>
          <w:r>
            <w:rPr>
              <w:rFonts w:ascii="宋体" w:hAnsi="宋体" w:cs="宋体"/>
              <w:b/>
              <w:color w:val="000000" w:themeColor="text1"/>
              <w:szCs w:val="28"/>
              <w:shd w:val="clear" w:color="auto" w:fill="FFFFFF"/>
              <w14:textFill>
                <w14:solidFill>
                  <w14:schemeClr w14:val="tx1"/>
                </w14:solidFill>
              </w14:textFill>
            </w:rPr>
            <w:fldChar w:fldCharType="end"/>
          </w:r>
        </w:p>
        <w:p>
          <w:pPr>
            <w:pStyle w:val="14"/>
            <w:tabs>
              <w:tab w:val="right" w:leader="dot" w:pos="8845"/>
            </w:tabs>
            <w:spacing w:line="360" w:lineRule="auto"/>
            <w:rPr>
              <w:b/>
            </w:rPr>
          </w:pPr>
          <w:r>
            <w:rPr>
              <w:rFonts w:ascii="宋体" w:hAnsi="宋体" w:cs="宋体"/>
              <w:b/>
              <w:color w:val="000000" w:themeColor="text1"/>
              <w:szCs w:val="28"/>
              <w:shd w:val="clear" w:color="auto" w:fill="FFFFFF"/>
              <w14:textFill>
                <w14:solidFill>
                  <w14:schemeClr w14:val="tx1"/>
                </w14:solidFill>
              </w14:textFill>
            </w:rPr>
            <w:fldChar w:fldCharType="begin"/>
          </w:r>
          <w:r>
            <w:rPr>
              <w:rFonts w:ascii="宋体" w:hAnsi="宋体" w:cs="宋体"/>
              <w:b/>
              <w:szCs w:val="28"/>
              <w:shd w:val="clear" w:color="auto" w:fill="FFFFFF"/>
            </w:rPr>
            <w:instrText xml:space="preserve"> HYPERLINK \l _Toc19326 </w:instrText>
          </w:r>
          <w:r>
            <w:rPr>
              <w:rFonts w:ascii="宋体" w:hAnsi="宋体" w:cs="宋体"/>
              <w:b/>
              <w:szCs w:val="28"/>
              <w:shd w:val="clear" w:color="auto" w:fill="FFFFFF"/>
            </w:rPr>
            <w:fldChar w:fldCharType="separate"/>
          </w:r>
          <w:r>
            <w:rPr>
              <w:rFonts w:hint="eastAsia" w:ascii="黑体" w:hAnsi="黑体" w:eastAsia="黑体" w:cs="黑体"/>
              <w:b/>
              <w:szCs w:val="32"/>
            </w:rPr>
            <w:t>九、国有资本经营预算支出情况说明</w:t>
          </w:r>
          <w:r>
            <w:rPr>
              <w:b/>
            </w:rPr>
            <w:tab/>
          </w:r>
          <w:r>
            <w:rPr>
              <w:b/>
            </w:rPr>
            <w:fldChar w:fldCharType="begin"/>
          </w:r>
          <w:r>
            <w:rPr>
              <w:b/>
            </w:rPr>
            <w:instrText xml:space="preserve"> PAGEREF _Toc19326 \h </w:instrText>
          </w:r>
          <w:r>
            <w:rPr>
              <w:b/>
            </w:rPr>
            <w:fldChar w:fldCharType="separate"/>
          </w:r>
          <w:r>
            <w:rPr>
              <w:b/>
            </w:rPr>
            <w:t>11</w:t>
          </w:r>
          <w:r>
            <w:rPr>
              <w:b/>
            </w:rPr>
            <w:fldChar w:fldCharType="end"/>
          </w:r>
          <w:r>
            <w:rPr>
              <w:rFonts w:ascii="宋体" w:hAnsi="宋体" w:cs="宋体"/>
              <w:b/>
              <w:color w:val="000000" w:themeColor="text1"/>
              <w:szCs w:val="28"/>
              <w:shd w:val="clear" w:color="auto" w:fill="FFFFFF"/>
              <w14:textFill>
                <w14:solidFill>
                  <w14:schemeClr w14:val="tx1"/>
                </w14:solidFill>
              </w14:textFill>
            </w:rPr>
            <w:fldChar w:fldCharType="end"/>
          </w:r>
        </w:p>
        <w:p>
          <w:pPr>
            <w:pStyle w:val="14"/>
            <w:tabs>
              <w:tab w:val="right" w:leader="dot" w:pos="8845"/>
            </w:tabs>
            <w:spacing w:line="360" w:lineRule="auto"/>
            <w:rPr>
              <w:b/>
            </w:rPr>
          </w:pPr>
          <w:r>
            <w:rPr>
              <w:rFonts w:ascii="宋体" w:hAnsi="宋体" w:cs="宋体"/>
              <w:b/>
              <w:color w:val="000000" w:themeColor="text1"/>
              <w:szCs w:val="28"/>
              <w:shd w:val="clear" w:color="auto" w:fill="FFFFFF"/>
              <w14:textFill>
                <w14:solidFill>
                  <w14:schemeClr w14:val="tx1"/>
                </w14:solidFill>
              </w14:textFill>
            </w:rPr>
            <w:fldChar w:fldCharType="begin"/>
          </w:r>
          <w:r>
            <w:rPr>
              <w:rFonts w:ascii="宋体" w:hAnsi="宋体" w:cs="宋体"/>
              <w:b/>
              <w:szCs w:val="28"/>
              <w:shd w:val="clear" w:color="auto" w:fill="FFFFFF"/>
            </w:rPr>
            <w:instrText xml:space="preserve"> HYPERLINK \l _Toc21264 </w:instrText>
          </w:r>
          <w:r>
            <w:rPr>
              <w:rFonts w:ascii="宋体" w:hAnsi="宋体" w:cs="宋体"/>
              <w:b/>
              <w:szCs w:val="28"/>
              <w:shd w:val="clear" w:color="auto" w:fill="FFFFFF"/>
            </w:rPr>
            <w:fldChar w:fldCharType="separate"/>
          </w:r>
          <w:r>
            <w:rPr>
              <w:rFonts w:hint="eastAsia" w:ascii="黑体" w:hAnsi="黑体" w:eastAsia="黑体" w:cs="黑体"/>
              <w:b/>
              <w:szCs w:val="32"/>
            </w:rPr>
            <w:t>十、其他重要事项的情况说明</w:t>
          </w:r>
          <w:r>
            <w:rPr>
              <w:b/>
            </w:rPr>
            <w:tab/>
          </w:r>
          <w:r>
            <w:rPr>
              <w:b/>
            </w:rPr>
            <w:fldChar w:fldCharType="begin"/>
          </w:r>
          <w:r>
            <w:rPr>
              <w:b/>
            </w:rPr>
            <w:instrText xml:space="preserve"> PAGEREF _Toc21264 \h </w:instrText>
          </w:r>
          <w:r>
            <w:rPr>
              <w:b/>
            </w:rPr>
            <w:fldChar w:fldCharType="separate"/>
          </w:r>
          <w:r>
            <w:rPr>
              <w:b/>
            </w:rPr>
            <w:t>11</w:t>
          </w:r>
          <w:r>
            <w:rPr>
              <w:b/>
            </w:rPr>
            <w:fldChar w:fldCharType="end"/>
          </w:r>
          <w:r>
            <w:rPr>
              <w:rFonts w:ascii="宋体" w:hAnsi="宋体" w:cs="宋体"/>
              <w:b/>
              <w:color w:val="000000" w:themeColor="text1"/>
              <w:szCs w:val="28"/>
              <w:shd w:val="clear" w:color="auto" w:fill="FFFFFF"/>
              <w14:textFill>
                <w14:solidFill>
                  <w14:schemeClr w14:val="tx1"/>
                </w14:solidFill>
              </w14:textFill>
            </w:rPr>
            <w:fldChar w:fldCharType="end"/>
          </w:r>
        </w:p>
        <w:p>
          <w:pPr>
            <w:pStyle w:val="15"/>
            <w:tabs>
              <w:tab w:val="right" w:leader="dot" w:pos="8845"/>
            </w:tabs>
            <w:spacing w:line="360" w:lineRule="auto"/>
          </w:pPr>
          <w:r>
            <w:rPr>
              <w:rFonts w:ascii="宋体" w:hAnsi="宋体" w:cs="宋体"/>
              <w:color w:val="000000" w:themeColor="text1"/>
              <w:szCs w:val="28"/>
              <w:shd w:val="clear" w:color="auto" w:fill="FFFFFF"/>
              <w14:textFill>
                <w14:solidFill>
                  <w14:schemeClr w14:val="tx1"/>
                </w14:solidFill>
              </w14:textFill>
            </w:rPr>
            <w:fldChar w:fldCharType="begin"/>
          </w:r>
          <w:r>
            <w:rPr>
              <w:rFonts w:ascii="宋体" w:hAnsi="宋体" w:cs="宋体"/>
              <w:szCs w:val="28"/>
              <w:shd w:val="clear" w:color="auto" w:fill="FFFFFF"/>
            </w:rPr>
            <w:instrText xml:space="preserve"> HYPERLINK \l _Toc6808 </w:instrText>
          </w:r>
          <w:r>
            <w:rPr>
              <w:rFonts w:ascii="宋体" w:hAnsi="宋体" w:cs="宋体"/>
              <w:szCs w:val="28"/>
              <w:shd w:val="clear" w:color="auto" w:fill="FFFFFF"/>
            </w:rPr>
            <w:fldChar w:fldCharType="separate"/>
          </w:r>
          <w:r>
            <w:rPr>
              <w:rFonts w:hint="eastAsia" w:ascii="楷体_GB2312" w:hAnsi="楷体_GB2312" w:eastAsia="楷体_GB2312" w:cs="楷体_GB2312"/>
              <w:szCs w:val="32"/>
            </w:rPr>
            <w:t>（一）机关运行经费</w:t>
          </w:r>
          <w:r>
            <w:tab/>
          </w:r>
          <w:r>
            <w:fldChar w:fldCharType="begin"/>
          </w:r>
          <w:r>
            <w:instrText xml:space="preserve"> PAGEREF _Toc6808 \h </w:instrText>
          </w:r>
          <w:r>
            <w:fldChar w:fldCharType="separate"/>
          </w:r>
          <w:r>
            <w:t>12</w:t>
          </w:r>
          <w:r>
            <w:fldChar w:fldCharType="end"/>
          </w:r>
          <w:r>
            <w:rPr>
              <w:rFonts w:ascii="宋体" w:hAnsi="宋体" w:cs="宋体"/>
              <w:color w:val="000000" w:themeColor="text1"/>
              <w:szCs w:val="28"/>
              <w:shd w:val="clear" w:color="auto" w:fill="FFFFFF"/>
              <w14:textFill>
                <w14:solidFill>
                  <w14:schemeClr w14:val="tx1"/>
                </w14:solidFill>
              </w14:textFill>
            </w:rPr>
            <w:fldChar w:fldCharType="end"/>
          </w:r>
        </w:p>
        <w:p>
          <w:pPr>
            <w:pStyle w:val="15"/>
            <w:tabs>
              <w:tab w:val="right" w:leader="dot" w:pos="8845"/>
            </w:tabs>
            <w:spacing w:line="360" w:lineRule="auto"/>
          </w:pPr>
          <w:r>
            <w:rPr>
              <w:rFonts w:ascii="宋体" w:hAnsi="宋体" w:cs="宋体"/>
              <w:color w:val="000000" w:themeColor="text1"/>
              <w:szCs w:val="28"/>
              <w:shd w:val="clear" w:color="auto" w:fill="FFFFFF"/>
              <w14:textFill>
                <w14:solidFill>
                  <w14:schemeClr w14:val="tx1"/>
                </w14:solidFill>
              </w14:textFill>
            </w:rPr>
            <w:fldChar w:fldCharType="begin"/>
          </w:r>
          <w:r>
            <w:rPr>
              <w:rFonts w:ascii="宋体" w:hAnsi="宋体" w:cs="宋体"/>
              <w:szCs w:val="28"/>
              <w:shd w:val="clear" w:color="auto" w:fill="FFFFFF"/>
            </w:rPr>
            <w:instrText xml:space="preserve"> HYPERLINK \l _Toc15863 </w:instrText>
          </w:r>
          <w:r>
            <w:rPr>
              <w:rFonts w:ascii="宋体" w:hAnsi="宋体" w:cs="宋体"/>
              <w:szCs w:val="28"/>
              <w:shd w:val="clear" w:color="auto" w:fill="FFFFFF"/>
            </w:rPr>
            <w:fldChar w:fldCharType="separate"/>
          </w:r>
          <w:r>
            <w:rPr>
              <w:rFonts w:hint="eastAsia" w:ascii="楷体_GB2312" w:hAnsi="楷体_GB2312" w:eastAsia="楷体_GB2312" w:cs="楷体_GB2312"/>
              <w:szCs w:val="32"/>
            </w:rPr>
            <w:t>（二）政府采购情况</w:t>
          </w:r>
          <w:r>
            <w:tab/>
          </w:r>
          <w:r>
            <w:fldChar w:fldCharType="begin"/>
          </w:r>
          <w:r>
            <w:instrText xml:space="preserve"> PAGEREF _Toc15863 \h </w:instrText>
          </w:r>
          <w:r>
            <w:fldChar w:fldCharType="separate"/>
          </w:r>
          <w:r>
            <w:t>12</w:t>
          </w:r>
          <w:r>
            <w:fldChar w:fldCharType="end"/>
          </w:r>
          <w:r>
            <w:rPr>
              <w:rFonts w:ascii="宋体" w:hAnsi="宋体" w:cs="宋体"/>
              <w:color w:val="000000" w:themeColor="text1"/>
              <w:szCs w:val="28"/>
              <w:shd w:val="clear" w:color="auto" w:fill="FFFFFF"/>
              <w14:textFill>
                <w14:solidFill>
                  <w14:schemeClr w14:val="tx1"/>
                </w14:solidFill>
              </w14:textFill>
            </w:rPr>
            <w:fldChar w:fldCharType="end"/>
          </w:r>
        </w:p>
        <w:p>
          <w:pPr>
            <w:pStyle w:val="15"/>
            <w:tabs>
              <w:tab w:val="right" w:leader="dot" w:pos="8845"/>
            </w:tabs>
            <w:spacing w:line="360" w:lineRule="auto"/>
          </w:pPr>
          <w:r>
            <w:rPr>
              <w:rFonts w:ascii="宋体" w:hAnsi="宋体" w:cs="宋体"/>
              <w:color w:val="000000" w:themeColor="text1"/>
              <w:szCs w:val="28"/>
              <w:shd w:val="clear" w:color="auto" w:fill="FFFFFF"/>
              <w14:textFill>
                <w14:solidFill>
                  <w14:schemeClr w14:val="tx1"/>
                </w14:solidFill>
              </w14:textFill>
            </w:rPr>
            <w:fldChar w:fldCharType="begin"/>
          </w:r>
          <w:r>
            <w:rPr>
              <w:rFonts w:ascii="宋体" w:hAnsi="宋体" w:cs="宋体"/>
              <w:szCs w:val="28"/>
              <w:shd w:val="clear" w:color="auto" w:fill="FFFFFF"/>
            </w:rPr>
            <w:instrText xml:space="preserve"> HYPERLINK \l _Toc26595 </w:instrText>
          </w:r>
          <w:r>
            <w:rPr>
              <w:rFonts w:ascii="宋体" w:hAnsi="宋体" w:cs="宋体"/>
              <w:szCs w:val="28"/>
              <w:shd w:val="clear" w:color="auto" w:fill="FFFFFF"/>
            </w:rPr>
            <w:fldChar w:fldCharType="separate"/>
          </w:r>
          <w:r>
            <w:rPr>
              <w:rFonts w:hint="eastAsia" w:ascii="楷体_GB2312" w:hAnsi="楷体_GB2312" w:eastAsia="楷体_GB2312" w:cs="楷体_GB2312"/>
              <w:szCs w:val="32"/>
            </w:rPr>
            <w:t>（三）国有资产占有使用情况</w:t>
          </w:r>
          <w:r>
            <w:tab/>
          </w:r>
          <w:r>
            <w:fldChar w:fldCharType="begin"/>
          </w:r>
          <w:r>
            <w:instrText xml:space="preserve"> PAGEREF _Toc26595 \h </w:instrText>
          </w:r>
          <w:r>
            <w:fldChar w:fldCharType="separate"/>
          </w:r>
          <w:r>
            <w:t>12</w:t>
          </w:r>
          <w:r>
            <w:fldChar w:fldCharType="end"/>
          </w:r>
          <w:r>
            <w:rPr>
              <w:rFonts w:ascii="宋体" w:hAnsi="宋体" w:cs="宋体"/>
              <w:color w:val="000000" w:themeColor="text1"/>
              <w:szCs w:val="28"/>
              <w:shd w:val="clear" w:color="auto" w:fill="FFFFFF"/>
              <w14:textFill>
                <w14:solidFill>
                  <w14:schemeClr w14:val="tx1"/>
                </w14:solidFill>
              </w14:textFill>
            </w:rPr>
            <w:fldChar w:fldCharType="end"/>
          </w:r>
        </w:p>
        <w:p>
          <w:pPr>
            <w:pStyle w:val="15"/>
            <w:tabs>
              <w:tab w:val="right" w:leader="dot" w:pos="8845"/>
            </w:tabs>
            <w:spacing w:line="360" w:lineRule="auto"/>
          </w:pPr>
          <w:r>
            <w:rPr>
              <w:rFonts w:ascii="宋体" w:hAnsi="宋体" w:cs="宋体"/>
              <w:color w:val="000000" w:themeColor="text1"/>
              <w:szCs w:val="28"/>
              <w:shd w:val="clear" w:color="auto" w:fill="FFFFFF"/>
              <w14:textFill>
                <w14:solidFill>
                  <w14:schemeClr w14:val="tx1"/>
                </w14:solidFill>
              </w14:textFill>
            </w:rPr>
            <w:fldChar w:fldCharType="begin"/>
          </w:r>
          <w:r>
            <w:rPr>
              <w:rFonts w:ascii="宋体" w:hAnsi="宋体" w:cs="宋体"/>
              <w:szCs w:val="28"/>
              <w:shd w:val="clear" w:color="auto" w:fill="FFFFFF"/>
            </w:rPr>
            <w:instrText xml:space="preserve"> HYPERLINK \l _Toc26677 </w:instrText>
          </w:r>
          <w:r>
            <w:rPr>
              <w:rFonts w:ascii="宋体" w:hAnsi="宋体" w:cs="宋体"/>
              <w:szCs w:val="28"/>
              <w:shd w:val="clear" w:color="auto" w:fill="FFFFFF"/>
            </w:rPr>
            <w:fldChar w:fldCharType="separate"/>
          </w:r>
          <w:r>
            <w:rPr>
              <w:rFonts w:hint="eastAsia" w:ascii="楷体_GB2312" w:hAnsi="楷体_GB2312" w:eastAsia="楷体_GB2312" w:cs="楷体_GB2312"/>
              <w:szCs w:val="32"/>
            </w:rPr>
            <w:t>（四）绩效目标设置情况</w:t>
          </w:r>
          <w:r>
            <w:tab/>
          </w:r>
          <w:r>
            <w:fldChar w:fldCharType="begin"/>
          </w:r>
          <w:r>
            <w:instrText xml:space="preserve"> PAGEREF _Toc26677 \h </w:instrText>
          </w:r>
          <w:r>
            <w:fldChar w:fldCharType="separate"/>
          </w:r>
          <w:r>
            <w:t>12</w:t>
          </w:r>
          <w:r>
            <w:fldChar w:fldCharType="end"/>
          </w:r>
          <w:r>
            <w:rPr>
              <w:rFonts w:ascii="宋体" w:hAnsi="宋体" w:cs="宋体"/>
              <w:color w:val="000000" w:themeColor="text1"/>
              <w:szCs w:val="28"/>
              <w:shd w:val="clear" w:color="auto" w:fill="FFFFFF"/>
              <w14:textFill>
                <w14:solidFill>
                  <w14:schemeClr w14:val="tx1"/>
                </w14:solidFill>
              </w14:textFill>
            </w:rPr>
            <w:fldChar w:fldCharType="end"/>
          </w:r>
        </w:p>
        <w:p>
          <w:pPr>
            <w:pStyle w:val="14"/>
            <w:tabs>
              <w:tab w:val="right" w:leader="dot" w:pos="8845"/>
            </w:tabs>
            <w:spacing w:line="360" w:lineRule="auto"/>
            <w:rPr>
              <w:b/>
            </w:rPr>
          </w:pPr>
          <w:r>
            <w:rPr>
              <w:rFonts w:ascii="宋体" w:hAnsi="宋体" w:cs="宋体"/>
              <w:b/>
              <w:color w:val="000000" w:themeColor="text1"/>
              <w:szCs w:val="28"/>
              <w:shd w:val="clear" w:color="auto" w:fill="FFFFFF"/>
              <w14:textFill>
                <w14:solidFill>
                  <w14:schemeClr w14:val="tx1"/>
                </w14:solidFill>
              </w14:textFill>
            </w:rPr>
            <w:fldChar w:fldCharType="begin"/>
          </w:r>
          <w:r>
            <w:rPr>
              <w:rFonts w:ascii="宋体" w:hAnsi="宋体" w:cs="宋体"/>
              <w:b/>
              <w:szCs w:val="28"/>
              <w:shd w:val="clear" w:color="auto" w:fill="FFFFFF"/>
            </w:rPr>
            <w:instrText xml:space="preserve"> HYPERLINK \l _Toc32367 </w:instrText>
          </w:r>
          <w:r>
            <w:rPr>
              <w:rFonts w:ascii="宋体" w:hAnsi="宋体" w:cs="宋体"/>
              <w:b/>
              <w:szCs w:val="28"/>
              <w:shd w:val="clear" w:color="auto" w:fill="FFFFFF"/>
            </w:rPr>
            <w:fldChar w:fldCharType="separate"/>
          </w:r>
          <w:r>
            <w:rPr>
              <w:rFonts w:hint="eastAsia" w:ascii="黑体" w:hAnsi="黑体" w:eastAsia="黑体" w:cs="黑体"/>
              <w:b/>
              <w:szCs w:val="32"/>
            </w:rPr>
            <w:t>十一、名词解释</w:t>
          </w:r>
          <w:r>
            <w:rPr>
              <w:b/>
            </w:rPr>
            <w:tab/>
          </w:r>
          <w:r>
            <w:rPr>
              <w:b/>
            </w:rPr>
            <w:fldChar w:fldCharType="begin"/>
          </w:r>
          <w:r>
            <w:rPr>
              <w:b/>
            </w:rPr>
            <w:instrText xml:space="preserve"> PAGEREF _Toc32367 \h </w:instrText>
          </w:r>
          <w:r>
            <w:rPr>
              <w:b/>
            </w:rPr>
            <w:fldChar w:fldCharType="separate"/>
          </w:r>
          <w:r>
            <w:rPr>
              <w:b/>
            </w:rPr>
            <w:t>12</w:t>
          </w:r>
          <w:r>
            <w:rPr>
              <w:b/>
            </w:rPr>
            <w:fldChar w:fldCharType="end"/>
          </w:r>
          <w:r>
            <w:rPr>
              <w:rFonts w:ascii="宋体" w:hAnsi="宋体" w:cs="宋体"/>
              <w:b/>
              <w:color w:val="000000" w:themeColor="text1"/>
              <w:szCs w:val="28"/>
              <w:shd w:val="clear" w:color="auto" w:fill="FFFFFF"/>
              <w14:textFill>
                <w14:solidFill>
                  <w14:schemeClr w14:val="tx1"/>
                </w14:solidFill>
              </w14:textFill>
            </w:rPr>
            <w:fldChar w:fldCharType="end"/>
          </w:r>
        </w:p>
        <w:p>
          <w:pPr>
            <w:widowControl/>
            <w:shd w:val="clear" w:color="auto"/>
            <w:spacing w:line="360" w:lineRule="auto"/>
            <w:jc w:val="both"/>
            <w:rPr>
              <w:rFonts w:hint="eastAsia" w:ascii="黑体" w:hAnsi="黑体" w:eastAsia="黑体" w:cs="黑体"/>
              <w:sz w:val="32"/>
              <w:szCs w:val="32"/>
            </w:rPr>
            <w:sectPr>
              <w:pgSz w:w="11906" w:h="16838"/>
              <w:pgMar w:top="2098" w:right="1474" w:bottom="1984" w:left="1587" w:header="720" w:footer="1559" w:gutter="0"/>
              <w:pgBorders>
                <w:top w:val="none" w:sz="0" w:space="0"/>
                <w:left w:val="none" w:sz="0" w:space="0"/>
                <w:bottom w:val="none" w:sz="0" w:space="0"/>
                <w:right w:val="none" w:sz="0" w:space="0"/>
              </w:pgBorders>
              <w:cols w:space="720" w:num="1"/>
              <w:docGrid w:type="lines" w:linePitch="312" w:charSpace="0"/>
            </w:sectPr>
          </w:pPr>
          <w:r>
            <w:rPr>
              <w:rFonts w:ascii="宋体" w:hAnsi="宋体" w:cs="宋体"/>
              <w:b/>
              <w:color w:val="000000" w:themeColor="text1"/>
              <w:szCs w:val="28"/>
              <w:shd w:val="clear" w:color="auto" w:fill="FFFFFF"/>
              <w14:textFill>
                <w14:solidFill>
                  <w14:schemeClr w14:val="tx1"/>
                </w14:solidFill>
              </w14:textFill>
            </w:rPr>
            <w:fldChar w:fldCharType="end"/>
          </w:r>
        </w:p>
      </w:sdtContent>
    </w:sdt>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line="576" w:lineRule="exact"/>
        <w:ind w:firstLine="640" w:firstLineChars="200"/>
        <w:jc w:val="both"/>
        <w:textAlignment w:val="auto"/>
        <w:outlineLvl w:val="0"/>
        <w:rPr>
          <w:rFonts w:ascii="黑体" w:hAnsi="黑体" w:eastAsia="黑体" w:cs="黑体"/>
          <w:sz w:val="32"/>
          <w:szCs w:val="32"/>
        </w:rPr>
      </w:pPr>
      <w:bookmarkStart w:id="0" w:name="_Toc29853"/>
      <w:bookmarkStart w:id="25" w:name="_GoBack"/>
      <w:r>
        <w:rPr>
          <w:rFonts w:hint="eastAsia" w:ascii="黑体" w:hAnsi="黑体" w:eastAsia="黑体" w:cs="黑体"/>
          <w:sz w:val="32"/>
          <w:szCs w:val="32"/>
        </w:rPr>
        <w:t>一、基本职能及主要工作</w:t>
      </w:r>
      <w:bookmarkEnd w:id="0"/>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line="576" w:lineRule="exact"/>
        <w:ind w:firstLine="640" w:firstLineChars="200"/>
        <w:jc w:val="both"/>
        <w:textAlignment w:val="auto"/>
        <w:outlineLvl w:val="1"/>
        <w:rPr>
          <w:rFonts w:ascii="楷体_GB2312" w:hAnsi="楷体_GB2312" w:eastAsia="楷体_GB2312" w:cs="楷体_GB2312"/>
          <w:sz w:val="32"/>
          <w:szCs w:val="32"/>
        </w:rPr>
      </w:pPr>
      <w:bookmarkStart w:id="1" w:name="_Toc8788"/>
      <w:r>
        <w:rPr>
          <w:rFonts w:hint="eastAsia" w:ascii="楷体_GB2312" w:hAnsi="楷体_GB2312" w:eastAsia="楷体_GB2312" w:cs="楷体_GB2312"/>
          <w:sz w:val="32"/>
          <w:szCs w:val="32"/>
        </w:rPr>
        <w:t>（一）广元开放大学职能简介</w:t>
      </w:r>
      <w:bookmarkEnd w:id="1"/>
    </w:p>
    <w:p>
      <w:pPr>
        <w:pStyle w:val="8"/>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line="576" w:lineRule="exact"/>
        <w:ind w:firstLine="640" w:firstLineChars="200"/>
        <w:jc w:val="both"/>
        <w:textAlignment w:val="auto"/>
        <w:rPr>
          <w:rFonts w:ascii="楷体_GB2312" w:hAnsi="楷体_GB2312" w:eastAsia="楷体_GB2312" w:cs="楷体_GB2312"/>
          <w:sz w:val="32"/>
          <w:szCs w:val="32"/>
        </w:rPr>
      </w:pPr>
      <w:r>
        <w:rPr>
          <w:rFonts w:hint="eastAsia" w:ascii="仿宋_GB2312" w:hAnsi="仿宋_GB2312" w:eastAsia="仿宋_GB2312" w:cs="仿宋_GB2312"/>
          <w:sz w:val="32"/>
          <w:szCs w:val="32"/>
        </w:rPr>
        <w:t>广元开放大学于1985年经市政府批准成立，是全市创办最早、规模最大的成人高等教育机构。承担全市成人高等学历教育工作，为广元市经济社会发展提供了重要的本土人才支撑。累计毕业本专科学生40000人以上，是广元市本土人才培养的主阵地。承担全市公务员政治理论培训和专业技术人员公需科目及线下各种专业技能培训工作，每年网络培训人员50000人以上。承担全市普通话培训及测试工作，是广元市普通话培训和测试中心。承担全市社区教育管理及社区教育活动中心建设工作，是广元市社区教育指导协调中心。广泛开展社区教育活动，推动全民终身学习。负责全市开放大学系统的业务管理和指导工作。</w:t>
      </w:r>
    </w:p>
    <w:p>
      <w:pPr>
        <w:keepNext w:val="0"/>
        <w:keepLines w:val="0"/>
        <w:pageBreakBefore w:val="0"/>
        <w:widowControl w:val="0"/>
        <w:numPr>
          <w:ilvl w:val="0"/>
          <w:numId w:val="1"/>
        </w:numPr>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line="576" w:lineRule="exact"/>
        <w:ind w:firstLine="640" w:firstLineChars="200"/>
        <w:jc w:val="both"/>
        <w:textAlignment w:val="auto"/>
        <w:outlineLvl w:val="1"/>
        <w:rPr>
          <w:rFonts w:ascii="楷体_GB2312" w:hAnsi="楷体_GB2312" w:eastAsia="楷体_GB2312" w:cs="楷体_GB2312"/>
          <w:sz w:val="32"/>
          <w:szCs w:val="32"/>
        </w:rPr>
      </w:pPr>
      <w:bookmarkStart w:id="2" w:name="_Toc19022"/>
      <w:r>
        <w:rPr>
          <w:rFonts w:hint="eastAsia" w:ascii="楷体_GB2312" w:hAnsi="楷体_GB2312" w:eastAsia="楷体_GB2312" w:cs="楷体_GB2312"/>
          <w:sz w:val="32"/>
          <w:szCs w:val="32"/>
        </w:rPr>
        <w:t>广元开放大学2024年重点工作</w:t>
      </w:r>
      <w:bookmarkEnd w:id="2"/>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line="576" w:lineRule="exact"/>
        <w:ind w:firstLine="668"/>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1.培根铸魂，全面加强党的建设</w:t>
      </w:r>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line="576" w:lineRule="exact"/>
        <w:ind w:firstLine="668"/>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一是党建工作更深入。坚持党建工作与各项业务工作同部署、同检查、同考核，严格督促指导党支部落实“三会一课”等党内组织生活制度，对党支部书记抓党建落实情况实行一月一调度，确保组织生活严肃性规范化。以创建示范性开放大学为契机，抓好党员教育培训，加强党员考核管理，教育引导党员干部发挥好示范引领作用。二是党风廉政建设更强力。围绕“清廉开大·生态校园”目标，涵养风清气正的政治生态。充分发挥督查考核“利剑”“指挥棒”作用，坚持把督促检查作为推动重大决策部署落地落细的重要抓手。进一步持续整治群众身边腐败和作风问题，紧盯广大教职工较为关切的职称评审、项目建设、工程招标等事项，进一步推动监督下沉、监督落地，切实提升人民群众的满意度获得感。三是意识形态工作更坚实。严格履行意识形态工作主体责任，坚持用习近平新时代中国特色社会主义思想铸魂育人，将正确政治方向、价值导向贯穿立校办学、育人育才全过程。结合本地红色文化资源用好用活思政课载体，充分利用重要时间节点，加强党性教育、爱国主义教育，推动党的创新理论融入课堂、融入实践、融入工作。严格落实文字稿件“三审三校”制度，把好行文关、政治关、政策关、体式关、文字关，筑牢意识形态防线。逗硬落实重要节点网络值班值守制度，强化“常态监测、快速响应、及时回应、分级处理”网络舆情监测预警机制，进一步提升网络舆情应急水平。</w:t>
      </w:r>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line="576" w:lineRule="exact"/>
        <w:ind w:firstLine="668"/>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2.立德树人，大力推进人才培养</w:t>
      </w:r>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line="576" w:lineRule="exact"/>
        <w:ind w:firstLine="668"/>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一是开放教育全面提质。全面落实立德树人根本任务，紧扣开放教育创优提质目标，以质量保证体系建设为抓手，强化教学教务“一事一清单一通报”全链条闭环管理，压紧压实责任，坚守安全底线。做实做优网络辅导、面授教学，鲜明专业性实践性导向，培育一批精品优质课程，并形成示范带动效应。强化系统实践基地资源共建共享、教学共研共促，致力培养“上得了机关，下得了基层，进得了车间，去得了田间”的复合型人才。强化班主任队伍建设，举办形式多样、内容丰富的班主任培训，持续完善班主任考核评价机制，激发“为党育人、为国育才”活力。二是继续教育再上台阶。优化提升“广元干部网络学院”“广元市继续教育网”服务能力，深入推进安全等保建设，打造便捷、顺畅、高效的网络学习平台。加强前瞻性谋划，拓展培训领域，扩大培训业务，丰富培训形态，进一步提升培训管理水平。强化市人社局、市经信局</w:t>
      </w:r>
      <w:r>
        <w:rPr>
          <w:rFonts w:hint="eastAsia" w:ascii="仿宋_GB2312" w:hAnsi="仿宋_GB2312" w:eastAsia="仿宋_GB2312" w:cs="仿宋_GB2312"/>
          <w:sz w:val="32"/>
          <w:szCs w:val="32"/>
          <w:lang w:eastAsia="zh-CN"/>
        </w:rPr>
        <w:t>、市</w:t>
      </w:r>
      <w:r>
        <w:rPr>
          <w:rFonts w:hint="eastAsia" w:ascii="仿宋_GB2312" w:hAnsi="仿宋_GB2312" w:eastAsia="仿宋_GB2312" w:cs="仿宋_GB2312"/>
          <w:sz w:val="32"/>
          <w:szCs w:val="32"/>
        </w:rPr>
        <w:t xml:space="preserve">水利局等有关部门沟通交流，为2024年各类培训工作打点定位。建立精品培训项目专家资源库和课程资源库，统筹整合继续教育、开放教育、社区教育师资力量，充分吸纳行业领域“土专家”“田秀才”“乡创客”，实现专家、课程资源开放共享。三是社区教育老年教育进位升级。对标对表教育部《学习型社会建设重点任务》，创建省级社区教育示范区1个。加强课程资源库、师资库、“广元社教”微信公众号管理，采取“走出去、请进来”的方式，举办全市社区教育管理者研修、社区教育和社区治理能力提升、家校社协同育人三支队伍培训。持续开展“智慧助老”公益行动、“养育心理学”、家长成长课堂、“广元人学普通话”公益课堂4个品牌项目活动。办好广元市2024年全民终身学习活动周总开幕式，利用在线网络平台做好社区教育老年教育成果宣传展示，遴选打造1个国家级、1个省级、7个市级终身学习品牌项目。                                                 </w:t>
      </w:r>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line="576" w:lineRule="exact"/>
        <w:ind w:firstLine="668"/>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3.争先创优，全力推进高质量发展</w:t>
      </w:r>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line="576"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一是持续推进教师队伍建设。对标对表教师队伍建设五年规划，持续推进“全员公开课”“青年教师汇报课”，强化教师专业能力建设。用好“主题教育”“公文写作培训”“文明礼仪讲座”“信息素养培训”等抓手、平台，持续提升教职工综合素养。突出“人文学堂”“青年教师读书会”思想引领、价值塑造、文化浸润等功能，坚定教职工“听党话、跟党走”的思想自觉和行动自觉。利用上级资源优势搭建专业锻炼、岗位淬炼的“练兵场”“竞技场”，不断挖掘、培养一批有潜力、能吃苦、肯做事的青年教师。建立校级名师培养机制，充分发挥优秀教师示范引领作用。用好年度考核、高层次人才评价、职称评定、师德师风等考核评价“标尺”，不断激发干事创业活力。二是不断强化系统建设。深入贯彻落实省第十二次党代会“办好各级开放大学”要求，统筹协调县区分校改革发展，全力破除观念束缚、条块壁垒和机制障碍，推动县区分校工作由封闭向开放、由单边向互动发展。做优上通下达“一条线”，优化完善班子成员、党委委员挂联县区分校联建共建机制，实现活动共联、资源共享、风险共担。健全压实责任、沟通协商、考核激励、指导督促、跟踪问效工作机制，充分释放和放大县区分校“外溢”效应，形成“聚合”态势，努力推进开放教育与全市经济社会发展大局相适应。汇聚多方多线力量，同气连枝、交流互鉴，强弱项补短板，协作配合，实现相互补台、好戏连台。三是持续优化育人环境。结合学校实际，制定学校信息化建设中长期规划</w:t>
      </w:r>
      <w:r>
        <w:rPr>
          <w:rFonts w:hint="eastAsia" w:ascii="仿宋_GB2312" w:hAnsi="仿宋_GB2312" w:eastAsia="仿宋_GB2312" w:cs="仿宋_GB2312"/>
          <w:sz w:val="32"/>
          <w:szCs w:val="32"/>
          <w:lang w:eastAsia="zh-CN"/>
        </w:rPr>
        <w:t>方案</w:t>
      </w:r>
      <w:r>
        <w:rPr>
          <w:rFonts w:hint="eastAsia" w:ascii="仿宋_GB2312" w:hAnsi="仿宋_GB2312" w:eastAsia="仿宋_GB2312" w:cs="仿宋_GB2312"/>
          <w:sz w:val="32"/>
          <w:szCs w:val="32"/>
        </w:rPr>
        <w:t>，多措并举提升教职工信息化数字化素养。不断提升资产管理信息化水平，熟练运用感应芯片技术对实物资产进行“实名认证”，确保“物有所管、责有所归”。进一步强化全员招生，狠抓招生宣传，拓展招生宣传渠道，努力再创招生新局面。以党建示范点、社区教育活动中心、职工之家等项目为抓手，优化校园绿化环境，完善校园硬件设施建设。结合重要节日节点，常态化开展运动会、教师节座谈会、读书分享会等形式多样、内容丰富的文体活动，涵养生动活泼、和谐开放的校园文化。</w:t>
      </w:r>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line="576" w:lineRule="exact"/>
        <w:ind w:firstLine="640" w:firstLineChars="200"/>
        <w:jc w:val="both"/>
        <w:textAlignment w:val="auto"/>
        <w:outlineLvl w:val="0"/>
        <w:rPr>
          <w:rFonts w:ascii="黑体" w:hAnsi="黑体" w:eastAsia="黑体" w:cs="黑体"/>
          <w:sz w:val="32"/>
          <w:szCs w:val="32"/>
        </w:rPr>
      </w:pPr>
      <w:bookmarkStart w:id="3" w:name="_Toc24118"/>
      <w:r>
        <w:rPr>
          <w:rFonts w:hint="eastAsia" w:ascii="黑体" w:hAnsi="黑体" w:eastAsia="黑体" w:cs="黑体"/>
          <w:sz w:val="32"/>
          <w:szCs w:val="32"/>
        </w:rPr>
        <w:t>二、部门预算单位构成</w:t>
      </w:r>
      <w:bookmarkEnd w:id="3"/>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line="576"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广元开放大学部门预算只含本级预算，无下属二级预算单位。</w:t>
      </w:r>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line="576" w:lineRule="exact"/>
        <w:ind w:firstLine="640" w:firstLineChars="200"/>
        <w:jc w:val="both"/>
        <w:textAlignment w:val="auto"/>
        <w:outlineLvl w:val="0"/>
        <w:rPr>
          <w:rFonts w:ascii="黑体" w:hAnsi="黑体" w:eastAsia="黑体" w:cs="黑体"/>
          <w:sz w:val="32"/>
          <w:szCs w:val="32"/>
        </w:rPr>
      </w:pPr>
      <w:bookmarkStart w:id="4" w:name="_Toc24940"/>
      <w:r>
        <w:rPr>
          <w:rFonts w:hint="eastAsia" w:ascii="黑体" w:hAnsi="黑体" w:eastAsia="黑体" w:cs="黑体"/>
          <w:sz w:val="32"/>
          <w:szCs w:val="32"/>
        </w:rPr>
        <w:t>三、收支预算情况说明</w:t>
      </w:r>
      <w:bookmarkEnd w:id="4"/>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line="576"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按照综合预算的原则，广元开放大学所有收入和支出均纳入部门预算管理。收入包括：一般公共预算拨款收入、事业收入；支出包括：教育支出、社会保障和就业支出、卫生健康支出、住房保障支出。广元开放大学2024年收支总预算2457.77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比2023年收支预算总数增加1158.67万元，扣除事业收入、上年结转，同口径增加58.67万元，主要原因是单位在职、退休人数增加。</w:t>
      </w:r>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line="576" w:lineRule="exact"/>
        <w:ind w:firstLine="640" w:firstLineChars="200"/>
        <w:jc w:val="both"/>
        <w:textAlignment w:val="auto"/>
        <w:outlineLvl w:val="1"/>
        <w:rPr>
          <w:rFonts w:ascii="楷体_GB2312" w:hAnsi="楷体_GB2312" w:eastAsia="楷体_GB2312" w:cs="楷体_GB2312"/>
          <w:sz w:val="32"/>
          <w:szCs w:val="32"/>
        </w:rPr>
      </w:pPr>
      <w:bookmarkStart w:id="5" w:name="_Toc13231"/>
      <w:r>
        <w:rPr>
          <w:rFonts w:hint="eastAsia" w:ascii="楷体_GB2312" w:hAnsi="楷体_GB2312" w:eastAsia="楷体_GB2312" w:cs="楷体_GB2312"/>
          <w:sz w:val="32"/>
          <w:szCs w:val="32"/>
        </w:rPr>
        <w:t>（一）收入预算情况</w:t>
      </w:r>
      <w:bookmarkEnd w:id="5"/>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line="576"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广元开放大学2024年收入预算2457.77万元，其中：一般公共预算拨款收入1357.77万元，占55.24%；事业收入1100万元，占44.76%。</w:t>
      </w:r>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line="576" w:lineRule="exact"/>
        <w:ind w:firstLine="640" w:firstLineChars="200"/>
        <w:jc w:val="both"/>
        <w:textAlignment w:val="auto"/>
        <w:outlineLvl w:val="1"/>
        <w:rPr>
          <w:rFonts w:ascii="楷体_GB2312" w:hAnsi="楷体_GB2312" w:eastAsia="楷体_GB2312" w:cs="楷体_GB2312"/>
          <w:sz w:val="32"/>
          <w:szCs w:val="32"/>
        </w:rPr>
      </w:pPr>
      <w:bookmarkStart w:id="6" w:name="_Toc7975"/>
      <w:r>
        <w:rPr>
          <w:rFonts w:hint="eastAsia" w:ascii="楷体_GB2312" w:hAnsi="楷体_GB2312" w:eastAsia="楷体_GB2312" w:cs="楷体_GB2312"/>
          <w:sz w:val="32"/>
          <w:szCs w:val="32"/>
        </w:rPr>
        <w:t>（二）支出预算情况</w:t>
      </w:r>
      <w:bookmarkEnd w:id="6"/>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line="576" w:lineRule="exact"/>
        <w:ind w:firstLine="640" w:firstLineChars="200"/>
        <w:jc w:val="both"/>
        <w:textAlignment w:val="auto"/>
        <w:rPr>
          <w:rFonts w:ascii="仿宋_GB2312" w:hAnsi="仿宋_GB2312" w:eastAsia="仿宋_GB2312" w:cs="仿宋_GB2312"/>
          <w:b/>
          <w:bCs/>
          <w:sz w:val="32"/>
          <w:szCs w:val="32"/>
        </w:rPr>
      </w:pPr>
      <w:r>
        <w:rPr>
          <w:rFonts w:hint="eastAsia" w:ascii="仿宋_GB2312" w:hAnsi="仿宋_GB2312" w:eastAsia="仿宋_GB2312" w:cs="仿宋_GB2312"/>
          <w:sz w:val="32"/>
          <w:szCs w:val="32"/>
        </w:rPr>
        <w:t>广元开放大学2024年支出预算2457.77万元，其中：基本支出1354.13万元，占55.1%；项目支出1103.64万元，占44.9%。</w:t>
      </w:r>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line="576" w:lineRule="exact"/>
        <w:ind w:firstLine="640" w:firstLineChars="200"/>
        <w:jc w:val="both"/>
        <w:textAlignment w:val="auto"/>
        <w:outlineLvl w:val="0"/>
        <w:rPr>
          <w:rFonts w:ascii="黑体" w:hAnsi="黑体" w:eastAsia="黑体" w:cs="黑体"/>
          <w:sz w:val="32"/>
          <w:szCs w:val="32"/>
        </w:rPr>
      </w:pPr>
      <w:bookmarkStart w:id="7" w:name="_Toc5161"/>
      <w:r>
        <w:rPr>
          <w:rFonts w:hint="eastAsia" w:ascii="黑体" w:hAnsi="黑体" w:eastAsia="黑体" w:cs="黑体"/>
          <w:sz w:val="32"/>
          <w:szCs w:val="32"/>
        </w:rPr>
        <w:t>四、财政拨款收支预算情况说明</w:t>
      </w:r>
      <w:bookmarkEnd w:id="7"/>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line="576"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广元开放大学2024年财政拨款收支预算总数1357.77万元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比2023年财政拨款收支预算总数增加58.67万元，</w:t>
      </w:r>
      <w:r>
        <w:rPr>
          <w:rFonts w:hint="eastAsia" w:ascii="仿宋_GB2312" w:hAnsi="仿宋_GB2312" w:eastAsia="仿宋_GB2312" w:cs="仿宋_GB2312"/>
          <w:sz w:val="32"/>
          <w:szCs w:val="32"/>
          <w:lang w:eastAsia="zh-CN"/>
        </w:rPr>
        <w:t>主要原因是</w:t>
      </w:r>
      <w:r>
        <w:rPr>
          <w:rFonts w:hint="eastAsia" w:ascii="仿宋_GB2312" w:hAnsi="仿宋_GB2312" w:eastAsia="仿宋_GB2312" w:cs="仿宋_GB2312"/>
          <w:sz w:val="32"/>
          <w:szCs w:val="32"/>
        </w:rPr>
        <w:t>单位在职、退休人数增加。</w:t>
      </w:r>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line="576" w:lineRule="exact"/>
        <w:ind w:firstLine="640" w:firstLineChars="200"/>
        <w:jc w:val="both"/>
        <w:textAlignment w:val="auto"/>
        <w:rPr>
          <w:rFonts w:ascii="仿宋_GB2312" w:hAnsi="仿宋_GB2312" w:eastAsia="仿宋_GB2312" w:cs="仿宋_GB2312"/>
          <w:b/>
          <w:bCs/>
          <w:sz w:val="32"/>
          <w:szCs w:val="32"/>
        </w:rPr>
      </w:pPr>
      <w:r>
        <w:rPr>
          <w:rFonts w:hint="eastAsia" w:ascii="仿宋_GB2312" w:hAnsi="仿宋_GB2312" w:eastAsia="仿宋_GB2312" w:cs="仿宋_GB2312"/>
          <w:sz w:val="32"/>
          <w:szCs w:val="32"/>
        </w:rPr>
        <w:t>收入包括：本年一般公共预算拨款收入1357.77万元；支出包括：教育支出1085.6万元、社会保障和就业支出127.77万元、卫生健康支出40.37万元、住房保障支出104.03万元。</w:t>
      </w:r>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line="576" w:lineRule="exact"/>
        <w:ind w:firstLine="640" w:firstLineChars="200"/>
        <w:jc w:val="both"/>
        <w:textAlignment w:val="auto"/>
        <w:outlineLvl w:val="0"/>
        <w:rPr>
          <w:rFonts w:ascii="黑体" w:hAnsi="黑体" w:eastAsia="黑体" w:cs="黑体"/>
          <w:sz w:val="32"/>
          <w:szCs w:val="32"/>
        </w:rPr>
      </w:pPr>
      <w:bookmarkStart w:id="8" w:name="_Toc13395"/>
      <w:r>
        <w:rPr>
          <w:rFonts w:hint="eastAsia" w:ascii="黑体" w:hAnsi="黑体" w:eastAsia="黑体" w:cs="黑体"/>
          <w:sz w:val="32"/>
          <w:szCs w:val="32"/>
        </w:rPr>
        <w:t>五、一般公共预算当年拨款情况说明</w:t>
      </w:r>
      <w:bookmarkEnd w:id="8"/>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line="576" w:lineRule="exact"/>
        <w:ind w:firstLine="640" w:firstLineChars="200"/>
        <w:jc w:val="both"/>
        <w:textAlignment w:val="auto"/>
        <w:outlineLvl w:val="1"/>
        <w:rPr>
          <w:rFonts w:ascii="楷体_GB2312" w:hAnsi="楷体_GB2312" w:eastAsia="楷体_GB2312" w:cs="楷体_GB2312"/>
          <w:sz w:val="32"/>
          <w:szCs w:val="32"/>
        </w:rPr>
      </w:pPr>
      <w:bookmarkStart w:id="9" w:name="_Toc9715"/>
      <w:r>
        <w:rPr>
          <w:rFonts w:hint="eastAsia" w:ascii="楷体_GB2312" w:hAnsi="楷体_GB2312" w:eastAsia="楷体_GB2312" w:cs="楷体_GB2312"/>
          <w:sz w:val="32"/>
          <w:szCs w:val="32"/>
        </w:rPr>
        <w:t>（一）一般公共预算当年拨款规模变化情况</w:t>
      </w:r>
      <w:bookmarkEnd w:id="9"/>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line="576" w:lineRule="exact"/>
        <w:ind w:firstLine="668"/>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广元开放大学2024年一般公共预算当年拨款1357.77万元，比2023年预算数增加58.67万元，主要原因是单位在职、退休人数增加。</w:t>
      </w:r>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line="576" w:lineRule="exact"/>
        <w:ind w:firstLine="668"/>
        <w:jc w:val="both"/>
        <w:textAlignment w:val="auto"/>
        <w:outlineLvl w:val="1"/>
        <w:rPr>
          <w:rFonts w:ascii="楷体_GB2312" w:hAnsi="楷体_GB2312" w:eastAsia="楷体_GB2312" w:cs="楷体_GB2312"/>
          <w:sz w:val="32"/>
          <w:szCs w:val="32"/>
        </w:rPr>
      </w:pPr>
      <w:bookmarkStart w:id="10" w:name="_Toc11174"/>
      <w:r>
        <w:rPr>
          <w:rFonts w:hint="eastAsia" w:ascii="楷体_GB2312" w:hAnsi="楷体_GB2312" w:eastAsia="楷体_GB2312" w:cs="楷体_GB2312"/>
          <w:sz w:val="32"/>
          <w:szCs w:val="32"/>
        </w:rPr>
        <w:t>（二）一般公共预算当年拨款结构情况</w:t>
      </w:r>
      <w:bookmarkEnd w:id="10"/>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line="576" w:lineRule="exact"/>
        <w:ind w:firstLine="668"/>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教育支出1085.6万元，占79.96%；社会保障和就业支出127.77万元，占9.41%；卫生健康支出40.37万元，占2.97%；住房保障支出104.03万元，占7.66%。</w:t>
      </w:r>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line="576" w:lineRule="exact"/>
        <w:ind w:firstLine="640" w:firstLineChars="200"/>
        <w:jc w:val="both"/>
        <w:textAlignment w:val="auto"/>
        <w:outlineLvl w:val="1"/>
        <w:rPr>
          <w:rFonts w:ascii="楷体_GB2312" w:hAnsi="楷体_GB2312" w:eastAsia="楷体_GB2312" w:cs="楷体_GB2312"/>
          <w:sz w:val="32"/>
          <w:szCs w:val="32"/>
        </w:rPr>
      </w:pPr>
      <w:bookmarkStart w:id="11" w:name="_Toc22536"/>
      <w:r>
        <w:rPr>
          <w:rFonts w:hint="eastAsia" w:ascii="楷体_GB2312" w:hAnsi="楷体_GB2312" w:eastAsia="楷体_GB2312" w:cs="楷体_GB2312"/>
          <w:sz w:val="32"/>
          <w:szCs w:val="32"/>
        </w:rPr>
        <w:t>（三）一般公共预算当年拨款具体使用情况</w:t>
      </w:r>
      <w:bookmarkEnd w:id="11"/>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line="576"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1.教育支出（类）广播电视教育（款）广播电视学校（项）2024年预算数为1085.6万元，主要用于：基本工资、奖金、绩效工资、办公费、印刷费、咨询费、水费、电费、邮电费、差旅费、维修（护）费、培训费、公务接待费、工会经费、福利费、公务用车运行维护费、其他交通费、其他商品和服务支出。</w:t>
      </w:r>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line="576"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2.社会保障和就业（类）行政事业单位养老支出（款）机关事业单位基本养老保险缴费支出（项）2024年预算数为123.68万元，主要用于：实施养老保险制度由单位缴纳的基本养老保险支出。</w:t>
      </w:r>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line="576"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3.社会保障和就业（类）行政事业单位养老支出（款）其他社会保障和就业支出（项）2024年预算数为4.09万元，主要用于：按规定由单位缴纳的生育保险、工伤保险、失业保险支出。</w:t>
      </w:r>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line="576"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4.卫生健康（类）行政事业单位医疗（款）事业单位医疗（项）2024年预算数为40.37万元，主要用于：按规定由单位缴纳的基本医疗保险支出。</w:t>
      </w:r>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line="576"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5.住房保障（类）住房改革支出（款）住房公积金（项）2024年预算数为104.03万元，主要用于：按规定由单位缴纳的住房公积金支出。</w:t>
      </w:r>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line="576" w:lineRule="exact"/>
        <w:ind w:firstLine="640" w:firstLineChars="200"/>
        <w:jc w:val="both"/>
        <w:textAlignment w:val="auto"/>
        <w:outlineLvl w:val="0"/>
        <w:rPr>
          <w:rFonts w:ascii="黑体" w:hAnsi="黑体" w:eastAsia="黑体" w:cs="黑体"/>
          <w:sz w:val="32"/>
          <w:szCs w:val="32"/>
        </w:rPr>
      </w:pPr>
      <w:bookmarkStart w:id="12" w:name="_Toc29408"/>
      <w:r>
        <w:rPr>
          <w:rFonts w:hint="eastAsia" w:ascii="黑体" w:hAnsi="黑体" w:eastAsia="黑体" w:cs="黑体"/>
          <w:sz w:val="32"/>
          <w:szCs w:val="32"/>
        </w:rPr>
        <w:t>六、一般公共预算基本支出情况说明</w:t>
      </w:r>
      <w:bookmarkEnd w:id="12"/>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line="576"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广元开放大学2024年一般公共预算基本支出1354.13万元，其中：</w:t>
      </w:r>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line="576"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人员经费1217.71万元，主要包括：基本工资、津贴补贴、奖金、绩效工资、机关事业单位基本养老保险缴费</w:t>
      </w:r>
      <w:r>
        <w:rPr>
          <w:rFonts w:hint="eastAsia" w:ascii="仿宋_GB2312" w:hAnsi="仿宋_GB2312" w:eastAsia="仿宋_GB2312" w:cs="仿宋_GB2312"/>
          <w:sz w:val="32"/>
          <w:szCs w:val="32"/>
          <w:lang w:eastAsia="zh-CN"/>
        </w:rPr>
        <w:t>、职工基本医疗保险缴费、其他社会保障缴费、</w:t>
      </w:r>
      <w:r>
        <w:rPr>
          <w:rFonts w:hint="eastAsia" w:ascii="仿宋_GB2312" w:hAnsi="仿宋_GB2312" w:eastAsia="仿宋_GB2312" w:cs="仿宋_GB2312"/>
          <w:sz w:val="32"/>
          <w:szCs w:val="32"/>
        </w:rPr>
        <w:t>住房公积金</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生活补助</w:t>
      </w:r>
      <w:r>
        <w:rPr>
          <w:rFonts w:hint="eastAsia" w:ascii="仿宋_GB2312" w:hAnsi="仿宋_GB2312" w:eastAsia="仿宋_GB2312" w:cs="仿宋_GB2312"/>
          <w:sz w:val="32"/>
          <w:szCs w:val="32"/>
        </w:rPr>
        <w:t>等支出。</w:t>
      </w:r>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line="576"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公用经费136.42万元，主要包括：办公费、印刷费、咨询费、水费、电费、邮电费、差旅费、维修（护）费、培训费、公务接待费、工会经费、福利费、公务用车运行维护费、其他交通费、其他商品和服务支出。</w:t>
      </w:r>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line="576" w:lineRule="exact"/>
        <w:ind w:firstLine="640" w:firstLineChars="200"/>
        <w:jc w:val="both"/>
        <w:textAlignment w:val="auto"/>
        <w:outlineLvl w:val="0"/>
        <w:rPr>
          <w:rFonts w:ascii="黑体" w:hAnsi="黑体" w:eastAsia="黑体" w:cs="黑体"/>
          <w:sz w:val="32"/>
          <w:szCs w:val="32"/>
        </w:rPr>
      </w:pPr>
      <w:bookmarkStart w:id="13" w:name="_Toc30992"/>
      <w:r>
        <w:rPr>
          <w:rFonts w:hint="eastAsia" w:ascii="黑体" w:hAnsi="黑体" w:eastAsia="黑体" w:cs="黑体"/>
          <w:sz w:val="32"/>
          <w:szCs w:val="32"/>
        </w:rPr>
        <w:t>七、“三公”经费财政拨款预算安排情况说明</w:t>
      </w:r>
      <w:bookmarkEnd w:id="13"/>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line="576"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广元开放大学2024年“三公”经费财政拨款预算数8万元，其中：公务接待费3万元，公务用车购置及运行维护费5万元，因公出国（境）经费0万元。</w:t>
      </w:r>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line="576" w:lineRule="exact"/>
        <w:ind w:firstLine="640" w:firstLineChars="200"/>
        <w:jc w:val="both"/>
        <w:textAlignment w:val="auto"/>
        <w:rPr>
          <w:rFonts w:ascii="仿宋_GB2312" w:hAnsi="仿宋_GB2312" w:eastAsia="仿宋_GB2312" w:cs="仿宋_GB2312"/>
          <w:sz w:val="32"/>
          <w:szCs w:val="32"/>
        </w:rPr>
      </w:pPr>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line="576" w:lineRule="exact"/>
        <w:ind w:firstLine="640" w:firstLineChars="200"/>
        <w:jc w:val="both"/>
        <w:textAlignment w:val="auto"/>
        <w:outlineLvl w:val="1"/>
        <w:rPr>
          <w:rFonts w:ascii="楷体_GB2312" w:hAnsi="楷体_GB2312" w:eastAsia="楷体_GB2312" w:cs="楷体_GB2312"/>
          <w:sz w:val="32"/>
          <w:szCs w:val="32"/>
        </w:rPr>
      </w:pPr>
      <w:bookmarkStart w:id="14" w:name="_Toc32333"/>
      <w:r>
        <w:rPr>
          <w:rFonts w:hint="eastAsia" w:ascii="楷体_GB2312" w:hAnsi="楷体_GB2312" w:eastAsia="楷体_GB2312" w:cs="楷体_GB2312"/>
          <w:sz w:val="32"/>
          <w:szCs w:val="32"/>
        </w:rPr>
        <w:t>（一）公务接待费</w:t>
      </w:r>
      <w:bookmarkEnd w:id="14"/>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line="576"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公务接待费与2023年预算相比</w:t>
      </w:r>
      <w:r>
        <w:rPr>
          <w:rFonts w:hint="eastAsia" w:ascii="仿宋_GB2312" w:hAnsi="仿宋_GB2312" w:eastAsia="仿宋_GB2312" w:cs="仿宋_GB2312"/>
          <w:sz w:val="32"/>
          <w:szCs w:val="32"/>
          <w:lang w:val="en-US" w:eastAsia="zh-CN"/>
        </w:rPr>
        <w:t>减少</w:t>
      </w:r>
      <w:r>
        <w:rPr>
          <w:rFonts w:hint="eastAsia" w:ascii="仿宋_GB2312" w:hAnsi="仿宋_GB2312" w:eastAsia="仿宋_GB2312" w:cs="仿宋_GB2312"/>
          <w:sz w:val="32"/>
          <w:szCs w:val="32"/>
        </w:rPr>
        <w:t>0.2万元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下降6.25%</w:t>
      </w:r>
      <w:r>
        <w:rPr>
          <w:rFonts w:hint="eastAsia" w:ascii="仿宋_GB2312" w:hAnsi="仿宋_GB2312" w:eastAsia="仿宋_GB2312" w:cs="仿宋_GB2312"/>
          <w:sz w:val="32"/>
          <w:szCs w:val="32"/>
        </w:rPr>
        <w:t>，主要原因是厉行节约，压减公务接待费支出。</w:t>
      </w:r>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line="576" w:lineRule="exact"/>
        <w:ind w:firstLine="640" w:firstLineChars="200"/>
        <w:jc w:val="both"/>
        <w:textAlignment w:val="auto"/>
        <w:rPr>
          <w:rFonts w:ascii="仿宋_GB2312" w:hAnsi="仿宋_GB2312" w:eastAsia="仿宋_GB2312" w:cs="仿宋_GB2312"/>
          <w:b/>
          <w:bCs/>
          <w:sz w:val="32"/>
          <w:szCs w:val="32"/>
        </w:rPr>
      </w:pPr>
      <w:r>
        <w:rPr>
          <w:rFonts w:hint="eastAsia" w:ascii="仿宋_GB2312" w:hAnsi="仿宋_GB2312" w:eastAsia="仿宋_GB2312" w:cs="仿宋_GB2312"/>
          <w:sz w:val="32"/>
          <w:szCs w:val="32"/>
        </w:rPr>
        <w:t>2024年公务接待费计划用于执行接待考察调研、检查指导等公务活动开支的交通费、住宿费、用餐费等。</w:t>
      </w:r>
    </w:p>
    <w:p>
      <w:pPr>
        <w:keepNext w:val="0"/>
        <w:keepLines w:val="0"/>
        <w:pageBreakBefore w:val="0"/>
        <w:widowControl w:val="0"/>
        <w:numPr>
          <w:ilvl w:val="0"/>
          <w:numId w:val="2"/>
        </w:numPr>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line="576" w:lineRule="exact"/>
        <w:ind w:firstLine="640" w:firstLineChars="200"/>
        <w:jc w:val="both"/>
        <w:textAlignment w:val="auto"/>
        <w:outlineLvl w:val="1"/>
        <w:rPr>
          <w:rFonts w:ascii="楷体_GB2312" w:hAnsi="楷体_GB2312" w:eastAsia="楷体_GB2312" w:cs="楷体_GB2312"/>
          <w:sz w:val="32"/>
          <w:szCs w:val="32"/>
        </w:rPr>
      </w:pPr>
      <w:bookmarkStart w:id="15" w:name="_Toc4958"/>
      <w:r>
        <w:rPr>
          <w:rFonts w:hint="eastAsia" w:ascii="楷体_GB2312" w:hAnsi="楷体_GB2312" w:eastAsia="楷体_GB2312" w:cs="楷体_GB2312"/>
          <w:sz w:val="32"/>
          <w:szCs w:val="32"/>
        </w:rPr>
        <w:t>公务用车购置及运行维护费</w:t>
      </w:r>
      <w:bookmarkEnd w:id="15"/>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line="576"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公务用车购置及运行维护费与2023年预算相比持平。</w:t>
      </w:r>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line="576"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单位现有公务用车1辆，其中：轿车1辆。</w:t>
      </w:r>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line="576"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2024年未安排公务用车购置费。</w:t>
      </w:r>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line="576"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2024年安排公务用车运行维护费</w:t>
      </w:r>
      <w:r>
        <w:rPr>
          <w:rFonts w:hint="eastAsia" w:ascii="宋体" w:hAnsi="宋体" w:cs="宋体"/>
          <w:color w:val="333333"/>
          <w:kern w:val="0"/>
          <w:sz w:val="28"/>
          <w:szCs w:val="28"/>
          <w:shd w:val="clear" w:color="auto" w:fill="FFFFFF"/>
          <w:lang w:bidi="ar"/>
        </w:rPr>
        <w:t>5</w:t>
      </w:r>
      <w:r>
        <w:rPr>
          <w:rFonts w:hint="eastAsia" w:ascii="仿宋_GB2312" w:hAnsi="仿宋_GB2312" w:eastAsia="仿宋_GB2312" w:cs="仿宋_GB2312"/>
          <w:sz w:val="32"/>
          <w:szCs w:val="32"/>
        </w:rPr>
        <w:t>万元，用于1辆公务用车燃油、过路（桥）、维修、保险等方面支出，主要保障招生宣传、乡村振兴和组织考试等工作。</w:t>
      </w:r>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line="576" w:lineRule="exact"/>
        <w:jc w:val="both"/>
        <w:textAlignment w:val="auto"/>
        <w:outlineLvl w:val="1"/>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bookmarkStart w:id="16" w:name="_Toc24898"/>
      <w:r>
        <w:rPr>
          <w:rFonts w:hint="eastAsia" w:ascii="仿宋_GB2312" w:hAnsi="仿宋_GB2312" w:eastAsia="仿宋_GB2312" w:cs="仿宋_GB2312"/>
          <w:sz w:val="32"/>
          <w:szCs w:val="32"/>
        </w:rPr>
        <w:t>（</w:t>
      </w:r>
      <w:r>
        <w:rPr>
          <w:rFonts w:hint="eastAsia" w:ascii="楷体_GB2312" w:hAnsi="楷体_GB2312" w:eastAsia="楷体_GB2312" w:cs="楷体_GB2312"/>
          <w:sz w:val="32"/>
          <w:szCs w:val="32"/>
        </w:rPr>
        <w:t>三）因公出国（境）经费</w:t>
      </w:r>
      <w:bookmarkEnd w:id="16"/>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line="576"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因公出国（境）经费与2023年预算相比持平</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未安排预算资金。</w:t>
      </w:r>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line="576" w:lineRule="exact"/>
        <w:ind w:firstLine="640" w:firstLineChars="200"/>
        <w:jc w:val="both"/>
        <w:textAlignment w:val="auto"/>
        <w:outlineLvl w:val="0"/>
        <w:rPr>
          <w:rFonts w:ascii="黑体" w:hAnsi="黑体" w:eastAsia="黑体" w:cs="黑体"/>
          <w:sz w:val="32"/>
          <w:szCs w:val="32"/>
        </w:rPr>
      </w:pPr>
      <w:bookmarkStart w:id="17" w:name="_Toc7678"/>
      <w:r>
        <w:rPr>
          <w:rFonts w:hint="eastAsia" w:ascii="黑体" w:hAnsi="黑体" w:eastAsia="黑体" w:cs="黑体"/>
          <w:sz w:val="32"/>
          <w:szCs w:val="32"/>
        </w:rPr>
        <w:t>八、政府性基金预算支出情况说明</w:t>
      </w:r>
      <w:bookmarkEnd w:id="17"/>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line="576"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广元开放大学2024年无政府性基金预算拨款安排的支出</w:t>
      </w:r>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line="576" w:lineRule="exact"/>
        <w:ind w:firstLine="640" w:firstLineChars="200"/>
        <w:jc w:val="both"/>
        <w:textAlignment w:val="auto"/>
        <w:outlineLvl w:val="0"/>
        <w:rPr>
          <w:rFonts w:ascii="黑体" w:hAnsi="黑体" w:eastAsia="黑体" w:cs="黑体"/>
          <w:sz w:val="32"/>
          <w:szCs w:val="32"/>
        </w:rPr>
      </w:pPr>
      <w:bookmarkStart w:id="18" w:name="_Toc19326"/>
      <w:r>
        <w:rPr>
          <w:rFonts w:hint="eastAsia" w:ascii="黑体" w:hAnsi="黑体" w:eastAsia="黑体" w:cs="黑体"/>
          <w:sz w:val="32"/>
          <w:szCs w:val="32"/>
        </w:rPr>
        <w:t>九、国有资本经营预算支出情况说明</w:t>
      </w:r>
      <w:bookmarkEnd w:id="18"/>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line="576"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广元开放大学2024年无国有资本经营预算拨款安排的支出。</w:t>
      </w:r>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line="576" w:lineRule="exact"/>
        <w:ind w:firstLine="640" w:firstLineChars="200"/>
        <w:jc w:val="both"/>
        <w:textAlignment w:val="auto"/>
        <w:outlineLvl w:val="0"/>
        <w:rPr>
          <w:rFonts w:ascii="黑体" w:hAnsi="黑体" w:eastAsia="黑体" w:cs="黑体"/>
          <w:sz w:val="32"/>
          <w:szCs w:val="32"/>
        </w:rPr>
      </w:pPr>
      <w:bookmarkStart w:id="19" w:name="_Toc21264"/>
      <w:r>
        <w:rPr>
          <w:rFonts w:hint="eastAsia" w:ascii="黑体" w:hAnsi="黑体" w:eastAsia="黑体" w:cs="黑体"/>
          <w:sz w:val="32"/>
          <w:szCs w:val="32"/>
        </w:rPr>
        <w:t>十、其他重要事项的情况说明</w:t>
      </w:r>
      <w:bookmarkEnd w:id="19"/>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line="576" w:lineRule="exact"/>
        <w:ind w:firstLine="640" w:firstLineChars="200"/>
        <w:jc w:val="both"/>
        <w:textAlignment w:val="auto"/>
        <w:outlineLvl w:val="1"/>
        <w:rPr>
          <w:rFonts w:ascii="楷体_GB2312" w:hAnsi="楷体_GB2312" w:eastAsia="楷体_GB2312" w:cs="楷体_GB2312"/>
          <w:sz w:val="32"/>
          <w:szCs w:val="32"/>
        </w:rPr>
      </w:pPr>
      <w:bookmarkStart w:id="20" w:name="_Toc6808"/>
      <w:r>
        <w:rPr>
          <w:rFonts w:hint="eastAsia" w:ascii="楷体_GB2312" w:hAnsi="楷体_GB2312" w:eastAsia="楷体_GB2312" w:cs="楷体_GB2312"/>
          <w:sz w:val="32"/>
          <w:szCs w:val="32"/>
        </w:rPr>
        <w:t>（一）机关运行经费</w:t>
      </w:r>
      <w:bookmarkEnd w:id="20"/>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line="576" w:lineRule="exact"/>
        <w:ind w:firstLine="640" w:firstLineChars="200"/>
        <w:jc w:val="both"/>
        <w:textAlignment w:val="auto"/>
        <w:outlineLvl w:val="1"/>
        <w:rPr>
          <w:rFonts w:hint="eastAsia" w:ascii="仿宋_GB2312" w:hAnsi="仿宋_GB2312" w:eastAsia="仿宋_GB2312" w:cs="仿宋_GB2312"/>
          <w:sz w:val="32"/>
          <w:szCs w:val="32"/>
        </w:rPr>
      </w:pPr>
      <w:bookmarkStart w:id="21" w:name="_Toc15863"/>
      <w:r>
        <w:rPr>
          <w:rFonts w:hint="eastAsia" w:ascii="仿宋_GB2312" w:hAnsi="仿宋_GB2312" w:eastAsia="仿宋_GB2312" w:cs="仿宋_GB2312"/>
          <w:sz w:val="32"/>
          <w:szCs w:val="32"/>
        </w:rPr>
        <w:t>广元开放大学为事业单位，按规定未使用机关运行的相关科目。</w:t>
      </w:r>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line="576" w:lineRule="exact"/>
        <w:ind w:firstLine="640" w:firstLineChars="200"/>
        <w:jc w:val="both"/>
        <w:textAlignment w:val="auto"/>
        <w:outlineLvl w:val="1"/>
        <w:rPr>
          <w:rFonts w:ascii="楷体_GB2312" w:hAnsi="楷体_GB2312" w:eastAsia="楷体_GB2312" w:cs="楷体_GB2312"/>
          <w:sz w:val="32"/>
          <w:szCs w:val="32"/>
        </w:rPr>
      </w:pPr>
      <w:r>
        <w:rPr>
          <w:rFonts w:hint="eastAsia" w:ascii="楷体_GB2312" w:hAnsi="楷体_GB2312" w:eastAsia="楷体_GB2312" w:cs="楷体_GB2312"/>
          <w:sz w:val="32"/>
          <w:szCs w:val="32"/>
        </w:rPr>
        <w:t>（二）政府采购情况</w:t>
      </w:r>
      <w:bookmarkEnd w:id="21"/>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line="576"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2024年，广元开放大学安排政府采购预算0万元。</w:t>
      </w:r>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line="576" w:lineRule="exact"/>
        <w:ind w:firstLine="640" w:firstLineChars="200"/>
        <w:jc w:val="both"/>
        <w:textAlignment w:val="auto"/>
        <w:outlineLvl w:val="1"/>
        <w:rPr>
          <w:rFonts w:ascii="楷体_GB2312" w:hAnsi="楷体_GB2312" w:eastAsia="楷体_GB2312" w:cs="楷体_GB2312"/>
          <w:sz w:val="32"/>
          <w:szCs w:val="32"/>
        </w:rPr>
      </w:pPr>
      <w:bookmarkStart w:id="22" w:name="_Toc26595"/>
      <w:r>
        <w:rPr>
          <w:rFonts w:hint="eastAsia" w:ascii="楷体_GB2312" w:hAnsi="楷体_GB2312" w:eastAsia="楷体_GB2312" w:cs="楷体_GB2312"/>
          <w:sz w:val="32"/>
          <w:szCs w:val="32"/>
        </w:rPr>
        <w:t>（三）国有资产占有使用情况</w:t>
      </w:r>
      <w:bookmarkEnd w:id="22"/>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line="576"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截至2023年底，广元开放大学共有车辆1辆，其中定向保障用车1辆。单位无价值200万元以上的大型设备。</w:t>
      </w:r>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line="576"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2024年部门预算未安排购置车辆及单位价值200万元以上大型设备。</w:t>
      </w:r>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line="576" w:lineRule="exact"/>
        <w:ind w:firstLine="640" w:firstLineChars="200"/>
        <w:jc w:val="both"/>
        <w:textAlignment w:val="auto"/>
        <w:outlineLvl w:val="1"/>
        <w:rPr>
          <w:rFonts w:ascii="楷体_GB2312" w:hAnsi="楷体_GB2312" w:eastAsia="楷体_GB2312" w:cs="楷体_GB2312"/>
          <w:sz w:val="32"/>
          <w:szCs w:val="32"/>
        </w:rPr>
      </w:pPr>
      <w:bookmarkStart w:id="23" w:name="_Toc26677"/>
      <w:r>
        <w:rPr>
          <w:rFonts w:hint="eastAsia" w:ascii="楷体_GB2312" w:hAnsi="楷体_GB2312" w:eastAsia="楷体_GB2312" w:cs="楷体_GB2312"/>
          <w:sz w:val="32"/>
          <w:szCs w:val="32"/>
        </w:rPr>
        <w:t>（四）绩效目标设置情况</w:t>
      </w:r>
      <w:bookmarkEnd w:id="23"/>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line="576" w:lineRule="exact"/>
        <w:ind w:firstLine="640" w:firstLineChars="200"/>
        <w:jc w:val="both"/>
        <w:textAlignment w:val="auto"/>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2024年广元开放大学开展绩效目标管理的项目13个，涉及预算2457.77万元。其中：人员类项目5个，涉及预算 1217.71万元；运转类项目3个，涉及预算136.42万元；特定目标类项目5个，涉及预算110</w:t>
      </w:r>
      <w:r>
        <w:rPr>
          <w:rFonts w:hint="eastAsia" w:ascii="仿宋_GB2312" w:hAnsi="仿宋_GB2312" w:eastAsia="仿宋_GB2312" w:cs="仿宋_GB2312"/>
          <w:sz w:val="32"/>
          <w:szCs w:val="32"/>
          <w:highlight w:val="none"/>
          <w:lang w:val="en-US" w:eastAsia="zh-CN"/>
        </w:rPr>
        <w:t>3.64</w:t>
      </w:r>
      <w:r>
        <w:rPr>
          <w:rFonts w:hint="eastAsia" w:ascii="仿宋_GB2312" w:hAnsi="仿宋_GB2312" w:eastAsia="仿宋_GB2312" w:cs="仿宋_GB2312"/>
          <w:sz w:val="32"/>
          <w:szCs w:val="32"/>
          <w:highlight w:val="none"/>
        </w:rPr>
        <w:t>万元。</w:t>
      </w:r>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line="576" w:lineRule="exact"/>
        <w:ind w:firstLine="640" w:firstLineChars="200"/>
        <w:jc w:val="both"/>
        <w:textAlignment w:val="auto"/>
        <w:outlineLvl w:val="0"/>
        <w:rPr>
          <w:rFonts w:ascii="黑体" w:hAnsi="黑体" w:eastAsia="黑体" w:cs="黑体"/>
          <w:sz w:val="32"/>
          <w:szCs w:val="32"/>
        </w:rPr>
      </w:pPr>
      <w:bookmarkStart w:id="24" w:name="_Toc32367"/>
      <w:r>
        <w:rPr>
          <w:rFonts w:hint="eastAsia" w:ascii="黑体" w:hAnsi="黑体" w:eastAsia="黑体" w:cs="黑体"/>
          <w:sz w:val="32"/>
          <w:szCs w:val="32"/>
        </w:rPr>
        <w:t>十一、名词解释</w:t>
      </w:r>
      <w:bookmarkEnd w:id="24"/>
    </w:p>
    <w:p>
      <w:pPr>
        <w:keepNext w:val="0"/>
        <w:keepLines w:val="0"/>
        <w:pageBreakBefore w:val="0"/>
        <w:widowControl w:val="0"/>
        <w:numPr>
          <w:ilvl w:val="0"/>
          <w:numId w:val="3"/>
        </w:numPr>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line="576" w:lineRule="exact"/>
        <w:ind w:left="0" w:leftChars="0" w:firstLine="420" w:firstLineChars="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财政拨款收入</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指市财政当年安排的财政预算收入。按现行管理制度</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部门预算中反映的财政拨款包括一般公共预算拨款和政府性基金预算拨款。</w:t>
      </w:r>
    </w:p>
    <w:p>
      <w:pPr>
        <w:keepNext w:val="0"/>
        <w:keepLines w:val="0"/>
        <w:pageBreakBefore w:val="0"/>
        <w:widowControl w:val="0"/>
        <w:numPr>
          <w:ilvl w:val="0"/>
          <w:numId w:val="3"/>
        </w:numPr>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line="576" w:lineRule="exact"/>
        <w:ind w:left="0" w:leftChars="0" w:firstLine="420" w:firstLineChars="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事业收入：指事业单位开展专业业务活动及辅助活动所取得的收入。主要为学校根据国家有关部门批准的项目和标准收取的学费、培训费等。</w:t>
      </w:r>
    </w:p>
    <w:p>
      <w:pPr>
        <w:keepNext w:val="0"/>
        <w:keepLines w:val="0"/>
        <w:pageBreakBefore w:val="0"/>
        <w:widowControl w:val="0"/>
        <w:numPr>
          <w:ilvl w:val="0"/>
          <w:numId w:val="3"/>
        </w:numPr>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line="576" w:lineRule="exact"/>
        <w:ind w:left="0" w:leftChars="0" w:firstLine="420" w:firstLineChars="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教育（类）广播电视教育（款）广播电视学校（项）：指用于举办广播电视学校的支出。</w:t>
      </w:r>
    </w:p>
    <w:p>
      <w:pPr>
        <w:keepNext w:val="0"/>
        <w:keepLines w:val="0"/>
        <w:pageBreakBefore w:val="0"/>
        <w:widowControl w:val="0"/>
        <w:numPr>
          <w:ilvl w:val="0"/>
          <w:numId w:val="3"/>
        </w:numPr>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line="576" w:lineRule="exact"/>
        <w:ind w:left="0" w:leftChars="0" w:firstLine="420" w:firstLineChars="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社会保障和就业（类）行政事业单位养老支出（款）机关事业单位基本养老保险缴费支出（项）：指部门实施养老保险制度由单位缴纳的养老保险的支出。</w:t>
      </w:r>
    </w:p>
    <w:p>
      <w:pPr>
        <w:keepNext w:val="0"/>
        <w:keepLines w:val="0"/>
        <w:pageBreakBefore w:val="0"/>
        <w:widowControl w:val="0"/>
        <w:numPr>
          <w:ilvl w:val="0"/>
          <w:numId w:val="3"/>
        </w:numPr>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line="576" w:lineRule="exact"/>
        <w:ind w:left="0" w:leftChars="0" w:firstLine="420" w:firstLineChars="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社会保障和就业（类）行政事业单位养老支出（款）其他社会保障和就业支出（项）：按规定由单位缴纳的生育保险、工伤保险、失业保险支出。</w:t>
      </w:r>
    </w:p>
    <w:p>
      <w:pPr>
        <w:keepNext w:val="0"/>
        <w:keepLines w:val="0"/>
        <w:pageBreakBefore w:val="0"/>
        <w:widowControl w:val="0"/>
        <w:numPr>
          <w:ilvl w:val="0"/>
          <w:numId w:val="3"/>
        </w:numPr>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line="576" w:lineRule="exact"/>
        <w:ind w:left="0" w:leftChars="0" w:firstLine="420" w:firstLineChars="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卫生健康（类）行政事业单位医疗（款）事业单位医疗（项）：指事业单位用于单位应缴纳基本医疗保险支出。</w:t>
      </w:r>
    </w:p>
    <w:p>
      <w:pPr>
        <w:keepNext w:val="0"/>
        <w:keepLines w:val="0"/>
        <w:pageBreakBefore w:val="0"/>
        <w:widowControl w:val="0"/>
        <w:numPr>
          <w:ilvl w:val="0"/>
          <w:numId w:val="3"/>
        </w:numPr>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line="576" w:lineRule="exact"/>
        <w:ind w:left="0" w:leftChars="0" w:firstLine="420" w:firstLineChars="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住房保障（类）住房改革支出（款）住房公积金（项）：指按照《住房公积金管理条例》的规定，由单位及其在职职工缴存的长期住房储金。</w:t>
      </w:r>
    </w:p>
    <w:p>
      <w:pPr>
        <w:keepNext w:val="0"/>
        <w:keepLines w:val="0"/>
        <w:pageBreakBefore w:val="0"/>
        <w:widowControl w:val="0"/>
        <w:numPr>
          <w:ilvl w:val="0"/>
          <w:numId w:val="3"/>
        </w:numPr>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line="576" w:lineRule="exact"/>
        <w:ind w:left="0" w:leftChars="0" w:firstLine="420" w:firstLineChars="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基本支出：指为保证机构正常运转，完成日常工作任务而发生的人员支出和公用支出。</w:t>
      </w:r>
    </w:p>
    <w:p>
      <w:pPr>
        <w:keepNext w:val="0"/>
        <w:keepLines w:val="0"/>
        <w:pageBreakBefore w:val="0"/>
        <w:widowControl w:val="0"/>
        <w:numPr>
          <w:ilvl w:val="0"/>
          <w:numId w:val="3"/>
        </w:numPr>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line="576" w:lineRule="exact"/>
        <w:ind w:left="0" w:leftChars="0" w:firstLine="420" w:firstLineChars="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项目支出：指在基本支出之外为完成特定行政任务和事业发展目标所发生的支出。</w:t>
      </w:r>
    </w:p>
    <w:p>
      <w:pPr>
        <w:keepNext w:val="0"/>
        <w:keepLines w:val="0"/>
        <w:pageBreakBefore w:val="0"/>
        <w:widowControl w:val="0"/>
        <w:numPr>
          <w:ilvl w:val="0"/>
          <w:numId w:val="3"/>
        </w:numPr>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line="576" w:lineRule="exact"/>
        <w:ind w:left="0" w:leftChars="0" w:firstLine="420" w:firstLineChars="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三公”经费：纳入部门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keepNext w:val="0"/>
        <w:keepLines w:val="0"/>
        <w:pageBreakBefore w:val="0"/>
        <w:widowControl w:val="0"/>
        <w:numPr>
          <w:ilvl w:val="0"/>
          <w:numId w:val="3"/>
        </w:numPr>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line="576" w:lineRule="exact"/>
        <w:ind w:left="0" w:leftChars="0" w:firstLine="420" w:firstLineChars="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机关运行经费：为保障行政单位（包括参照公务员法管理的事业单位）运行用于购买货物和服务的各项资金，包括办公及印刷费、邮电费、差旅费、会议费、培训费、福利费、日常维修费、专用材料及一般设备购置费、办公用房水电费、办公用房取暖费、办公用房物业管理费、公务用车运行维护费以及其他费用。</w:t>
      </w:r>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line="576" w:lineRule="exact"/>
        <w:ind w:firstLine="640" w:firstLineChars="200"/>
        <w:jc w:val="both"/>
        <w:textAlignment w:val="auto"/>
        <w:rPr>
          <w:rFonts w:ascii="仿宋_GB2312" w:hAnsi="仿宋_GB2312" w:eastAsia="仿宋_GB2312" w:cs="仿宋_GB2312"/>
          <w:sz w:val="32"/>
          <w:szCs w:val="32"/>
        </w:rPr>
      </w:pPr>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line="576"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附件：部门预算公开表</w:t>
      </w:r>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shd w:val="clear"/>
        <w:suppressAutoHyphens/>
        <w:kinsoku/>
        <w:wordWrap/>
        <w:overflowPunct/>
        <w:topLinePunct w:val="0"/>
        <w:autoSpaceDE/>
        <w:autoSpaceDN/>
        <w:bidi w:val="0"/>
        <w:adjustRightInd/>
        <w:snapToGrid/>
        <w:spacing w:line="576" w:lineRule="exact"/>
        <w:ind w:firstLine="640" w:firstLineChars="200"/>
        <w:jc w:val="both"/>
        <w:textAlignment w:val="auto"/>
        <w:rPr>
          <w:rFonts w:ascii="仿宋_GB2312" w:hAnsi="仿宋_GB2312" w:eastAsia="仿宋_GB2312" w:cs="仿宋_GB2312"/>
          <w:sz w:val="32"/>
          <w:szCs w:val="32"/>
        </w:rPr>
      </w:pPr>
    </w:p>
    <w:bookmarkEnd w:id="25"/>
    <w:sectPr>
      <w:pgSz w:w="11906" w:h="16838"/>
      <w:pgMar w:top="2098" w:right="1474" w:bottom="1984" w:left="1587" w:header="720" w:footer="1559"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Liberation Sans">
    <w:altName w:val="Vijaya"/>
    <w:panose1 w:val="020B0604020202020204"/>
    <w:charset w:val="00"/>
    <w:family w:val="swiss"/>
    <w:pitch w:val="default"/>
    <w:sig w:usb0="00000000" w:usb1="00000000" w:usb2="00000000" w:usb3="00000000" w:csb0="6000009F" w:csb1="DFD70000"/>
  </w:font>
  <w:font w:name="Noto Sans CJK SC Regular">
    <w:altName w:val="宋体"/>
    <w:panose1 w:val="020B0500000000000000"/>
    <w:charset w:val="86"/>
    <w:family w:val="auto"/>
    <w:pitch w:val="default"/>
    <w:sig w:usb0="00000000" w:usb1="00000000" w:usb2="00000016" w:usb3="00000000" w:csb0="602E0107"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Vijaya">
    <w:panose1 w:val="020B0604020202020204"/>
    <w:charset w:val="00"/>
    <w:family w:val="auto"/>
    <w:pitch w:val="default"/>
    <w:sig w:usb0="001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rPr>
                              <w:rFonts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1</w:t>
                          </w:r>
                          <w:r>
                            <w:rPr>
                              <w:rFonts w:hint="eastAsia" w:ascii="宋体" w:hAnsi="宋体" w:cs="宋体"/>
                              <w:sz w:val="28"/>
                              <w:szCs w:val="28"/>
                            </w:rPr>
                            <w:fldChar w:fldCharType="end"/>
                          </w:r>
                          <w:r>
                            <w:rPr>
                              <w:rFonts w:hint="eastAsia" w:ascii="宋体" w:hAnsi="宋体" w:cs="宋体"/>
                              <w:sz w:val="28"/>
                              <w:szCs w:val="28"/>
                            </w:rPr>
                            <w:t xml:space="preserve"> —</w:t>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pPr>
                      <w:pStyle w:val="5"/>
                      <w:rPr>
                        <w:rFonts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1</w:t>
                    </w:r>
                    <w:r>
                      <w:rPr>
                        <w:rFonts w:hint="eastAsia" w:ascii="宋体" w:hAnsi="宋体" w:cs="宋体"/>
                        <w:sz w:val="28"/>
                        <w:szCs w:val="28"/>
                      </w:rPr>
                      <w:fldChar w:fldCharType="end"/>
                    </w:r>
                    <w:r>
                      <w:rPr>
                        <w:rFonts w:hint="eastAsia" w:ascii="宋体" w:hAnsi="宋体" w:cs="宋体"/>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3EE0D88"/>
    <w:multiLevelType w:val="singleLevel"/>
    <w:tmpl w:val="D3EE0D88"/>
    <w:lvl w:ilvl="0" w:tentative="0">
      <w:start w:val="1"/>
      <w:numFmt w:val="chineseCounting"/>
      <w:suff w:val="nothing"/>
      <w:lvlText w:val="（%1）"/>
      <w:lvlJc w:val="left"/>
      <w:pPr>
        <w:ind w:left="0" w:firstLine="420"/>
      </w:pPr>
      <w:rPr>
        <w:rFonts w:hint="eastAsia"/>
      </w:rPr>
    </w:lvl>
  </w:abstractNum>
  <w:abstractNum w:abstractNumId="1">
    <w:nsid w:val="372604E2"/>
    <w:multiLevelType w:val="singleLevel"/>
    <w:tmpl w:val="372604E2"/>
    <w:lvl w:ilvl="0" w:tentative="0">
      <w:start w:val="2"/>
      <w:numFmt w:val="chineseCounting"/>
      <w:suff w:val="nothing"/>
      <w:lvlText w:val="（%1）"/>
      <w:lvlJc w:val="left"/>
      <w:rPr>
        <w:rFonts w:hint="eastAsia"/>
      </w:rPr>
    </w:lvl>
  </w:abstractNum>
  <w:abstractNum w:abstractNumId="2">
    <w:nsid w:val="5BFCE1D6"/>
    <w:multiLevelType w:val="singleLevel"/>
    <w:tmpl w:val="5BFCE1D6"/>
    <w:lvl w:ilvl="0" w:tentative="0">
      <w:start w:val="2"/>
      <w:numFmt w:val="chineseCounting"/>
      <w:suff w:val="nothing"/>
      <w:lvlText w:val="（%1）"/>
      <w:lvlJc w:val="left"/>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
  <w:drawingGridVerticalSpacing w:val="1"/>
  <w:displayHorizontalDrawingGridEvery w:val="1"/>
  <w:displayVerticalDrawingGridEvery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M0NjAxODZjOWE0OTJiNzY5YmM0NTIyMWMxNDQ0ZDMifQ=="/>
  </w:docVars>
  <w:rsids>
    <w:rsidRoot w:val="009D0B40"/>
    <w:rsid w:val="006F6FB0"/>
    <w:rsid w:val="009276B5"/>
    <w:rsid w:val="009D0B40"/>
    <w:rsid w:val="00E41DCC"/>
    <w:rsid w:val="012352D1"/>
    <w:rsid w:val="0AD53B4D"/>
    <w:rsid w:val="0C895370"/>
    <w:rsid w:val="0CB73E4B"/>
    <w:rsid w:val="1C166281"/>
    <w:rsid w:val="1F7BF06F"/>
    <w:rsid w:val="1FEE4B73"/>
    <w:rsid w:val="21A328DA"/>
    <w:rsid w:val="22694C1C"/>
    <w:rsid w:val="22D201B3"/>
    <w:rsid w:val="231B6E6A"/>
    <w:rsid w:val="23CE9849"/>
    <w:rsid w:val="25D02FFD"/>
    <w:rsid w:val="27870033"/>
    <w:rsid w:val="28C07C97"/>
    <w:rsid w:val="293E4722"/>
    <w:rsid w:val="36FB2F83"/>
    <w:rsid w:val="390F71A5"/>
    <w:rsid w:val="39F304DD"/>
    <w:rsid w:val="3DEE759F"/>
    <w:rsid w:val="3DEFAA90"/>
    <w:rsid w:val="3E8C596E"/>
    <w:rsid w:val="40FD3F8A"/>
    <w:rsid w:val="417E2272"/>
    <w:rsid w:val="426D38DB"/>
    <w:rsid w:val="43D2324F"/>
    <w:rsid w:val="49D96075"/>
    <w:rsid w:val="4AC95D6B"/>
    <w:rsid w:val="4D455AA0"/>
    <w:rsid w:val="4FE86745"/>
    <w:rsid w:val="54244390"/>
    <w:rsid w:val="54662A63"/>
    <w:rsid w:val="551D485B"/>
    <w:rsid w:val="56E37C18"/>
    <w:rsid w:val="571F6509"/>
    <w:rsid w:val="58064E12"/>
    <w:rsid w:val="58551996"/>
    <w:rsid w:val="5A8FB09C"/>
    <w:rsid w:val="5BFEE015"/>
    <w:rsid w:val="5EDD51D2"/>
    <w:rsid w:val="5FFF5D34"/>
    <w:rsid w:val="63416D0D"/>
    <w:rsid w:val="63EDCF55"/>
    <w:rsid w:val="63FBFBCF"/>
    <w:rsid w:val="65083D06"/>
    <w:rsid w:val="65FF0089"/>
    <w:rsid w:val="669360FD"/>
    <w:rsid w:val="68FF6A83"/>
    <w:rsid w:val="69214762"/>
    <w:rsid w:val="6AA732A6"/>
    <w:rsid w:val="6B8D38E9"/>
    <w:rsid w:val="6BED2BA4"/>
    <w:rsid w:val="6FBBC9CF"/>
    <w:rsid w:val="70476110"/>
    <w:rsid w:val="72BDE561"/>
    <w:rsid w:val="74E9656F"/>
    <w:rsid w:val="757DAF9B"/>
    <w:rsid w:val="76AE0F04"/>
    <w:rsid w:val="777FEB45"/>
    <w:rsid w:val="78462278"/>
    <w:rsid w:val="7997EA6C"/>
    <w:rsid w:val="79C36276"/>
    <w:rsid w:val="7AEAE675"/>
    <w:rsid w:val="7B4A7976"/>
    <w:rsid w:val="7BAFCE5D"/>
    <w:rsid w:val="7CFF575D"/>
    <w:rsid w:val="7D46598C"/>
    <w:rsid w:val="7DFB240B"/>
    <w:rsid w:val="7E0935ED"/>
    <w:rsid w:val="7F3FBE1B"/>
    <w:rsid w:val="7FCF2AF7"/>
    <w:rsid w:val="7FFEB613"/>
    <w:rsid w:val="8AEBC530"/>
    <w:rsid w:val="9FEF033D"/>
    <w:rsid w:val="A27FF1E5"/>
    <w:rsid w:val="A6F7DF1F"/>
    <w:rsid w:val="AFDEB5A7"/>
    <w:rsid w:val="AFEA7FBF"/>
    <w:rsid w:val="B83F4767"/>
    <w:rsid w:val="BF930F07"/>
    <w:rsid w:val="BFCE8436"/>
    <w:rsid w:val="C3F7EB7A"/>
    <w:rsid w:val="CFF5FEEC"/>
    <w:rsid w:val="D3DD9064"/>
    <w:rsid w:val="D6F76A0C"/>
    <w:rsid w:val="D7ECE8D2"/>
    <w:rsid w:val="DFDD4FB5"/>
    <w:rsid w:val="E7F748B5"/>
    <w:rsid w:val="EE5F3713"/>
    <w:rsid w:val="EEE777E5"/>
    <w:rsid w:val="EFC9D62C"/>
    <w:rsid w:val="F6BE9755"/>
    <w:rsid w:val="F6FFA89B"/>
    <w:rsid w:val="FAE4EFE1"/>
    <w:rsid w:val="FB9B6F12"/>
    <w:rsid w:val="FBB66A4A"/>
    <w:rsid w:val="FDEE6989"/>
    <w:rsid w:val="FEEFAB82"/>
    <w:rsid w:val="FF5E7DB8"/>
    <w:rsid w:val="FF77E367"/>
    <w:rsid w:val="FFD576EB"/>
    <w:rsid w:val="FFF01482"/>
    <w:rsid w:val="FFFBE8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uppressAutoHyphens/>
      <w:jc w:val="both"/>
    </w:pPr>
    <w:rPr>
      <w:rFonts w:ascii="Calibri" w:hAnsi="Calibri"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qFormat/>
    <w:uiPriority w:val="0"/>
  </w:style>
  <w:style w:type="paragraph" w:styleId="3">
    <w:name w:val="caption"/>
    <w:basedOn w:val="1"/>
    <w:qFormat/>
    <w:uiPriority w:val="0"/>
    <w:pPr>
      <w:suppressLineNumbers/>
      <w:spacing w:before="120" w:after="120"/>
    </w:pPr>
    <w:rPr>
      <w:i/>
      <w:iCs/>
      <w:sz w:val="24"/>
    </w:rPr>
  </w:style>
  <w:style w:type="paragraph" w:styleId="4">
    <w:name w:val="Body Text"/>
    <w:basedOn w:val="1"/>
    <w:qFormat/>
    <w:uiPriority w:val="0"/>
    <w:pPr>
      <w:spacing w:after="140" w:line="276" w:lineRule="auto"/>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List"/>
    <w:basedOn w:val="4"/>
    <w:qFormat/>
    <w:uiPriority w:val="0"/>
  </w:style>
  <w:style w:type="paragraph" w:styleId="8">
    <w:name w:val="Normal (Web)"/>
    <w:basedOn w:val="1"/>
    <w:qFormat/>
    <w:uiPriority w:val="0"/>
    <w:rPr>
      <w:sz w:val="24"/>
    </w:rPr>
  </w:style>
  <w:style w:type="character" w:customStyle="1" w:styleId="11">
    <w:name w:val="默认段落字体1"/>
    <w:qFormat/>
    <w:uiPriority w:val="0"/>
  </w:style>
  <w:style w:type="paragraph" w:customStyle="1" w:styleId="12">
    <w:name w:val="Heading"/>
    <w:basedOn w:val="1"/>
    <w:next w:val="4"/>
    <w:qFormat/>
    <w:uiPriority w:val="0"/>
    <w:pPr>
      <w:keepNext/>
      <w:spacing w:before="240" w:after="120"/>
    </w:pPr>
    <w:rPr>
      <w:rFonts w:ascii="Liberation Sans" w:hAnsi="Liberation Sans" w:eastAsia="Noto Sans CJK SC Regular" w:cs="Noto Sans CJK SC Regular"/>
      <w:sz w:val="28"/>
      <w:szCs w:val="28"/>
    </w:rPr>
  </w:style>
  <w:style w:type="paragraph" w:customStyle="1" w:styleId="13">
    <w:name w:val="Index"/>
    <w:basedOn w:val="1"/>
    <w:qFormat/>
    <w:uiPriority w:val="0"/>
    <w:pPr>
      <w:suppressLineNumbers/>
    </w:pPr>
  </w:style>
  <w:style w:type="paragraph" w:customStyle="1" w:styleId="14">
    <w:name w:val="WPSOffice手动目录 1"/>
    <w:qFormat/>
    <w:uiPriority w:val="0"/>
    <w:pPr>
      <w:ind w:leftChars="0"/>
    </w:pPr>
    <w:rPr>
      <w:rFonts w:ascii="Times New Roman" w:hAnsi="Times New Roman" w:eastAsia="宋体" w:cs="Times New Roman"/>
      <w:sz w:val="20"/>
      <w:szCs w:val="20"/>
    </w:rPr>
  </w:style>
  <w:style w:type="paragraph" w:customStyle="1" w:styleId="15">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5620</Words>
  <Characters>972</Characters>
  <Lines>8</Lines>
  <Paragraphs>13</Paragraphs>
  <TotalTime>28</TotalTime>
  <ScaleCrop>false</ScaleCrop>
  <LinksUpToDate>false</LinksUpToDate>
  <CharactersWithSpaces>6579</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2018-11-30T01:47:00Z</dcterms:created>
  <dc:creator>admin</dc:creator>
  <cp:lastModifiedBy>鱼子酱</cp:lastModifiedBy>
  <dcterms:modified xsi:type="dcterms:W3CDTF">2024-02-06T09:07:03Z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96081F72B7444D3C8C1C7DDAED24732C_13</vt:lpwstr>
  </property>
</Properties>
</file>