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outlineLvl w:val="0"/>
        <w:rPr>
          <w:rFonts w:hint="eastAsia" w:ascii="方正小标宋简体" w:hAnsi="方正小标宋简体" w:eastAsia="方正小标宋简体" w:cs="方正小标宋简体"/>
          <w:b w:val="0"/>
          <w:bCs w:val="0"/>
          <w:i w:val="0"/>
          <w:caps w:val="0"/>
          <w:color w:val="000000" w:themeColor="text1"/>
          <w:spacing w:val="0"/>
          <w:sz w:val="44"/>
          <w:szCs w:val="44"/>
          <w:highlight w:val="none"/>
          <w:lang w:val="en-US"/>
          <w14:textFill>
            <w14:solidFill>
              <w14:schemeClr w14:val="tx1"/>
            </w14:solidFill>
          </w14:textFill>
        </w:rPr>
      </w:pPr>
      <w:bookmarkStart w:id="0" w:name="_Toc20374"/>
      <w:bookmarkStart w:id="1" w:name="_Toc32206"/>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广元日报社</w:t>
      </w:r>
      <w:bookmarkEnd w:id="0"/>
      <w:bookmarkEnd w:id="1"/>
    </w:p>
    <w:p>
      <w:pPr>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0" w:beforeAutospacing="0" w:after="0" w:afterAutospacing="0" w:line="580" w:lineRule="atLeast"/>
        <w:ind w:left="0" w:right="0" w:firstLine="0"/>
        <w:jc w:val="cente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sectPr>
          <w:pgSz w:w="11906" w:h="16838"/>
          <w:pgMar w:top="2098" w:right="1474" w:bottom="1984" w:left="1587" w:header="720" w:footer="1559" w:gutter="0"/>
          <w:pgNumType w:fmt="decimal"/>
          <w:cols w:space="720" w:num="1"/>
          <w:docGrid w:type="lines" w:linePitch="312" w:charSpace="0"/>
        </w:sectPr>
      </w:pPr>
      <w:r>
        <w:rPr>
          <w:rFonts w:hint="eastAsia" w:ascii="方正小标宋简体" w:hAnsi="方正小标宋简体" w:eastAsia="方正小标宋简体" w:cs="方正小标宋简体"/>
          <w:b w:val="0"/>
          <w:bCs w:val="0"/>
          <w:i w:val="0"/>
          <w:caps w:val="0"/>
          <w:color w:val="000000" w:themeColor="text1"/>
          <w:spacing w:val="0"/>
          <w:kern w:val="0"/>
          <w:sz w:val="44"/>
          <w:szCs w:val="44"/>
          <w:highlight w:val="none"/>
          <w:shd w:val="clear" w:color="auto" w:fill="FFFFFF"/>
          <w:lang w:val="en-US" w:eastAsia="zh-CN" w:bidi="ar"/>
          <w14:textFill>
            <w14:solidFill>
              <w14:schemeClr w14:val="tx1"/>
            </w14:solidFill>
          </w14:textFill>
        </w:rPr>
        <w:t>2024年部门预算编制说明</w:t>
      </w:r>
    </w:p>
    <w:sdt>
      <w:sdtPr>
        <w:rPr>
          <w:rFonts w:ascii="宋体" w:hAnsi="宋体" w:eastAsia="宋体" w:cs="Times New Roman"/>
          <w:color w:val="auto"/>
          <w:kern w:val="2"/>
          <w:sz w:val="21"/>
          <w:szCs w:val="24"/>
          <w:lang w:val="en-US" w:eastAsia="zh-CN" w:bidi="ar-SA"/>
        </w:rPr>
        <w:id w:val="147480646"/>
        <w15:color w:val="DBDBDB"/>
        <w:docPartObj>
          <w:docPartGallery w:val="Table of Contents"/>
          <w:docPartUnique/>
        </w:docPartObj>
      </w:sdtPr>
      <w:sdtEndPr>
        <w:rPr>
          <w:rFonts w:hint="eastAsia" w:ascii="Calibri" w:hAnsi="Calibri" w:eastAsia="宋体" w:cs="Times New Roman"/>
          <w:b/>
          <w:color w:val="auto"/>
          <w:kern w:val="2"/>
          <w:sz w:val="21"/>
          <w:szCs w:val="24"/>
          <w:lang w:val="en-US" w:eastAsia="zh-CN" w:bidi="ar-SA"/>
        </w:rPr>
      </w:sdtEndPr>
      <w:sdtContent>
        <w:p>
          <w:pPr>
            <w:spacing w:before="0" w:beforeLines="0" w:after="0" w:afterLines="0" w:line="360" w:lineRule="auto"/>
            <w:ind w:left="0" w:leftChars="0" w:right="0" w:rightChars="0" w:firstLine="0" w:firstLineChars="0"/>
            <w:jc w:val="center"/>
            <w:rPr>
              <w:highlight w:val="none"/>
            </w:rPr>
          </w:pPr>
          <w:r>
            <w:rPr>
              <w:rFonts w:ascii="宋体" w:hAnsi="宋体" w:eastAsia="宋体"/>
              <w:sz w:val="21"/>
              <w:highlight w:val="none"/>
            </w:rPr>
            <w:t>目录</w:t>
          </w:r>
        </w:p>
        <w:p>
          <w:pPr>
            <w:pStyle w:val="17"/>
            <w:tabs>
              <w:tab w:val="right" w:leader="dot" w:pos="8845"/>
            </w:tabs>
            <w:spacing w:line="360" w:lineRule="auto"/>
            <w:rPr>
              <w:b/>
              <w:highlight w:val="none"/>
            </w:rPr>
          </w:pPr>
          <w:r>
            <w:rPr>
              <w:rFonts w:hint="eastAsia"/>
              <w:highlight w:val="none"/>
              <w:lang w:val="en-US" w:eastAsia="zh-CN"/>
            </w:rPr>
            <w:fldChar w:fldCharType="begin"/>
          </w:r>
          <w:r>
            <w:rPr>
              <w:rFonts w:hint="eastAsia"/>
              <w:highlight w:val="none"/>
              <w:lang w:val="en-US" w:eastAsia="zh-CN"/>
            </w:rPr>
            <w:instrText xml:space="preserve">TOC \o "1-2" \h \u </w:instrText>
          </w:r>
          <w:r>
            <w:rPr>
              <w:rFonts w:hint="eastAsia"/>
              <w:highlight w:val="none"/>
              <w:lang w:val="en-US" w:eastAsia="zh-CN"/>
            </w:rPr>
            <w:fldChar w:fldCharType="separate"/>
          </w:r>
          <w:r>
            <w:rPr>
              <w:rFonts w:hint="eastAsia"/>
              <w:b/>
              <w:highlight w:val="none"/>
              <w:lang w:val="en-US" w:eastAsia="zh-CN"/>
            </w:rPr>
            <w:fldChar w:fldCharType="begin"/>
          </w:r>
          <w:r>
            <w:rPr>
              <w:rFonts w:hint="eastAsia"/>
              <w:b/>
              <w:highlight w:val="none"/>
              <w:lang w:val="en-US" w:eastAsia="zh-CN"/>
            </w:rPr>
            <w:instrText xml:space="preserve"> HYPERLINK \l _Toc3298 </w:instrText>
          </w:r>
          <w:r>
            <w:rPr>
              <w:rFonts w:hint="eastAsia"/>
              <w:b/>
              <w:highlight w:val="none"/>
              <w:lang w:val="en-US" w:eastAsia="zh-CN"/>
            </w:rPr>
            <w:fldChar w:fldCharType="separate"/>
          </w:r>
          <w:r>
            <w:rPr>
              <w:rFonts w:hint="eastAsia" w:ascii="黑体" w:hAnsi="黑体" w:eastAsia="黑体" w:cs="黑体"/>
              <w:b/>
              <w:szCs w:val="32"/>
              <w:highlight w:val="none"/>
              <w:lang w:val="en-US" w:eastAsia="zh-CN"/>
            </w:rPr>
            <w:t>一、基本职能及主要工作</w:t>
          </w:r>
          <w:r>
            <w:rPr>
              <w:b/>
              <w:highlight w:val="none"/>
            </w:rPr>
            <w:tab/>
          </w:r>
          <w:r>
            <w:rPr>
              <w:b/>
              <w:highlight w:val="none"/>
            </w:rPr>
            <w:fldChar w:fldCharType="begin"/>
          </w:r>
          <w:r>
            <w:rPr>
              <w:b/>
              <w:highlight w:val="none"/>
            </w:rPr>
            <w:instrText xml:space="preserve"> PAGEREF _Toc3298 \h </w:instrText>
          </w:r>
          <w:r>
            <w:rPr>
              <w:b/>
              <w:highlight w:val="none"/>
            </w:rPr>
            <w:fldChar w:fldCharType="separate"/>
          </w:r>
          <w:r>
            <w:rPr>
              <w:b/>
              <w:highlight w:val="none"/>
            </w:rPr>
            <w:t>1</w:t>
          </w:r>
          <w:r>
            <w:rPr>
              <w:b/>
              <w:highlight w:val="none"/>
            </w:rPr>
            <w:fldChar w:fldCharType="end"/>
          </w:r>
          <w:r>
            <w:rPr>
              <w:rFonts w:hint="eastAsia"/>
              <w:b/>
              <w:highlight w:val="none"/>
              <w:lang w:val="en-US" w:eastAsia="zh-CN"/>
            </w:rPr>
            <w:fldChar w:fldCharType="end"/>
          </w:r>
        </w:p>
        <w:p>
          <w:pPr>
            <w:pStyle w:val="18"/>
            <w:tabs>
              <w:tab w:val="right" w:leader="dot" w:pos="8845"/>
            </w:tabs>
            <w:spacing w:line="360" w:lineRule="auto"/>
            <w:rPr>
              <w:highlight w:val="none"/>
            </w:rPr>
          </w:pPr>
          <w:r>
            <w:rPr>
              <w:rFonts w:hint="eastAsia"/>
              <w:highlight w:val="none"/>
              <w:lang w:val="en-US" w:eastAsia="zh-CN"/>
            </w:rPr>
            <w:fldChar w:fldCharType="begin"/>
          </w:r>
          <w:r>
            <w:rPr>
              <w:rFonts w:hint="eastAsia"/>
              <w:highlight w:val="none"/>
              <w:lang w:val="en-US" w:eastAsia="zh-CN"/>
            </w:rPr>
            <w:instrText xml:space="preserve"> HYPERLINK \l _Toc26798 </w:instrText>
          </w:r>
          <w:r>
            <w:rPr>
              <w:rFonts w:hint="eastAsia"/>
              <w:highlight w:val="none"/>
              <w:lang w:val="en-US" w:eastAsia="zh-CN"/>
            </w:rPr>
            <w:fldChar w:fldCharType="separate"/>
          </w:r>
          <w:r>
            <w:rPr>
              <w:rFonts w:hint="eastAsia" w:ascii="楷体_GB2312" w:hAnsi="楷体_GB2312" w:eastAsia="楷体_GB2312" w:cs="楷体_GB2312"/>
              <w:szCs w:val="32"/>
              <w:highlight w:val="none"/>
            </w:rPr>
            <w:t>（一）</w:t>
          </w:r>
          <w:r>
            <w:rPr>
              <w:rFonts w:hint="eastAsia" w:ascii="楷体_GB2312" w:hAnsi="楷体_GB2312" w:eastAsia="楷体_GB2312" w:cs="楷体_GB2312"/>
              <w:szCs w:val="32"/>
              <w:highlight w:val="none"/>
              <w:lang w:val="en-US" w:eastAsia="zh-CN"/>
            </w:rPr>
            <w:t>广元日报社</w:t>
          </w:r>
          <w:r>
            <w:rPr>
              <w:rFonts w:hint="eastAsia" w:ascii="楷体_GB2312" w:hAnsi="楷体_GB2312" w:eastAsia="楷体_GB2312" w:cs="楷体_GB2312"/>
              <w:szCs w:val="32"/>
              <w:highlight w:val="none"/>
            </w:rPr>
            <w:t>职能简介</w:t>
          </w:r>
          <w:r>
            <w:rPr>
              <w:highlight w:val="none"/>
            </w:rPr>
            <w:tab/>
          </w:r>
          <w:r>
            <w:rPr>
              <w:highlight w:val="none"/>
            </w:rPr>
            <w:fldChar w:fldCharType="begin"/>
          </w:r>
          <w:r>
            <w:rPr>
              <w:highlight w:val="none"/>
            </w:rPr>
            <w:instrText xml:space="preserve"> PAGEREF _Toc26798 \h </w:instrText>
          </w:r>
          <w:r>
            <w:rPr>
              <w:highlight w:val="none"/>
            </w:rPr>
            <w:fldChar w:fldCharType="separate"/>
          </w:r>
          <w:r>
            <w:rPr>
              <w:highlight w:val="none"/>
            </w:rPr>
            <w:t>1</w:t>
          </w:r>
          <w:r>
            <w:rPr>
              <w:highlight w:val="none"/>
            </w:rPr>
            <w:fldChar w:fldCharType="end"/>
          </w:r>
          <w:r>
            <w:rPr>
              <w:rFonts w:hint="eastAsia"/>
              <w:highlight w:val="none"/>
              <w:lang w:val="en-US" w:eastAsia="zh-CN"/>
            </w:rPr>
            <w:fldChar w:fldCharType="end"/>
          </w:r>
        </w:p>
        <w:p>
          <w:pPr>
            <w:pStyle w:val="18"/>
            <w:tabs>
              <w:tab w:val="right" w:leader="dot" w:pos="8845"/>
            </w:tabs>
            <w:spacing w:line="360" w:lineRule="auto"/>
            <w:rPr>
              <w:highlight w:val="none"/>
            </w:rPr>
          </w:pPr>
          <w:r>
            <w:rPr>
              <w:rFonts w:hint="eastAsia"/>
              <w:highlight w:val="none"/>
              <w:lang w:val="en-US" w:eastAsia="zh-CN"/>
            </w:rPr>
            <w:fldChar w:fldCharType="begin"/>
          </w:r>
          <w:r>
            <w:rPr>
              <w:rFonts w:hint="eastAsia"/>
              <w:highlight w:val="none"/>
              <w:lang w:val="en-US" w:eastAsia="zh-CN"/>
            </w:rPr>
            <w:instrText xml:space="preserve"> HYPERLINK \l _Toc22431 </w:instrText>
          </w:r>
          <w:r>
            <w:rPr>
              <w:rFonts w:hint="eastAsia"/>
              <w:highlight w:val="none"/>
              <w:lang w:val="en-US" w:eastAsia="zh-CN"/>
            </w:rPr>
            <w:fldChar w:fldCharType="separate"/>
          </w:r>
          <w:r>
            <w:rPr>
              <w:rFonts w:hint="eastAsia" w:ascii="楷体_GB2312" w:hAnsi="楷体_GB2312" w:eastAsia="楷体_GB2312" w:cs="楷体_GB2312"/>
              <w:szCs w:val="32"/>
              <w:highlight w:val="none"/>
            </w:rPr>
            <w:t xml:space="preserve">（二） </w:t>
          </w:r>
          <w:r>
            <w:rPr>
              <w:rFonts w:hint="eastAsia" w:ascii="楷体_GB2312" w:hAnsi="楷体_GB2312" w:eastAsia="楷体_GB2312" w:cs="楷体_GB2312"/>
              <w:szCs w:val="32"/>
              <w:highlight w:val="none"/>
              <w:lang w:val="en-US" w:eastAsia="zh-CN"/>
            </w:rPr>
            <w:t>广元日报社</w:t>
          </w:r>
          <w:r>
            <w:rPr>
              <w:rFonts w:hint="eastAsia" w:ascii="楷体_GB2312" w:hAnsi="楷体_GB2312" w:eastAsia="楷体_GB2312" w:cs="楷体_GB2312"/>
              <w:szCs w:val="32"/>
              <w:highlight w:val="none"/>
              <w:lang w:val="en-US"/>
            </w:rPr>
            <w:t>2024</w:t>
          </w:r>
          <w:r>
            <w:rPr>
              <w:rFonts w:hint="eastAsia" w:ascii="楷体_GB2312" w:hAnsi="楷体_GB2312" w:eastAsia="楷体_GB2312" w:cs="楷体_GB2312"/>
              <w:szCs w:val="32"/>
              <w:highlight w:val="none"/>
            </w:rPr>
            <w:t>年重点工作</w:t>
          </w:r>
          <w:r>
            <w:rPr>
              <w:highlight w:val="none"/>
            </w:rPr>
            <w:tab/>
          </w:r>
          <w:r>
            <w:rPr>
              <w:highlight w:val="none"/>
            </w:rPr>
            <w:fldChar w:fldCharType="begin"/>
          </w:r>
          <w:r>
            <w:rPr>
              <w:highlight w:val="none"/>
            </w:rPr>
            <w:instrText xml:space="preserve"> PAGEREF _Toc22431 \h </w:instrText>
          </w:r>
          <w:r>
            <w:rPr>
              <w:highlight w:val="none"/>
            </w:rPr>
            <w:fldChar w:fldCharType="separate"/>
          </w:r>
          <w:r>
            <w:rPr>
              <w:highlight w:val="none"/>
            </w:rPr>
            <w:t>1</w:t>
          </w:r>
          <w:r>
            <w:rPr>
              <w:highlight w:val="none"/>
            </w:rPr>
            <w:fldChar w:fldCharType="end"/>
          </w:r>
          <w:r>
            <w:rPr>
              <w:rFonts w:hint="eastAsia"/>
              <w:highlight w:val="none"/>
              <w:lang w:val="en-US" w:eastAsia="zh-CN"/>
            </w:rPr>
            <w:fldChar w:fldCharType="end"/>
          </w:r>
        </w:p>
        <w:p>
          <w:pPr>
            <w:pStyle w:val="17"/>
            <w:tabs>
              <w:tab w:val="right" w:leader="dot" w:pos="8845"/>
            </w:tabs>
            <w:spacing w:line="360" w:lineRule="auto"/>
            <w:rPr>
              <w:b/>
              <w:highlight w:val="none"/>
            </w:rPr>
          </w:pPr>
          <w:r>
            <w:rPr>
              <w:rFonts w:hint="eastAsia"/>
              <w:b/>
              <w:highlight w:val="none"/>
              <w:lang w:val="en-US" w:eastAsia="zh-CN"/>
            </w:rPr>
            <w:fldChar w:fldCharType="begin"/>
          </w:r>
          <w:r>
            <w:rPr>
              <w:rFonts w:hint="eastAsia"/>
              <w:b/>
              <w:highlight w:val="none"/>
              <w:lang w:val="en-US" w:eastAsia="zh-CN"/>
            </w:rPr>
            <w:instrText xml:space="preserve"> HYPERLINK \l _Toc27514 </w:instrText>
          </w:r>
          <w:r>
            <w:rPr>
              <w:rFonts w:hint="eastAsia"/>
              <w:b/>
              <w:highlight w:val="none"/>
              <w:lang w:val="en-US" w:eastAsia="zh-CN"/>
            </w:rPr>
            <w:fldChar w:fldCharType="separate"/>
          </w:r>
          <w:r>
            <w:rPr>
              <w:rFonts w:hint="eastAsia" w:ascii="黑体" w:hAnsi="黑体" w:eastAsia="黑体" w:cs="黑体"/>
              <w:b/>
              <w:szCs w:val="32"/>
              <w:highlight w:val="none"/>
              <w:lang w:val="en-US" w:eastAsia="zh-CN"/>
            </w:rPr>
            <w:t>二、部门预算单位构成</w:t>
          </w:r>
          <w:r>
            <w:rPr>
              <w:b/>
              <w:highlight w:val="none"/>
            </w:rPr>
            <w:tab/>
          </w:r>
          <w:r>
            <w:rPr>
              <w:b/>
              <w:highlight w:val="none"/>
            </w:rPr>
            <w:fldChar w:fldCharType="begin"/>
          </w:r>
          <w:r>
            <w:rPr>
              <w:b/>
              <w:highlight w:val="none"/>
            </w:rPr>
            <w:instrText xml:space="preserve"> PAGEREF _Toc27514 \h </w:instrText>
          </w:r>
          <w:r>
            <w:rPr>
              <w:b/>
              <w:highlight w:val="none"/>
            </w:rPr>
            <w:fldChar w:fldCharType="separate"/>
          </w:r>
          <w:r>
            <w:rPr>
              <w:b/>
              <w:highlight w:val="none"/>
            </w:rPr>
            <w:t>2</w:t>
          </w:r>
          <w:r>
            <w:rPr>
              <w:b/>
              <w:highlight w:val="none"/>
            </w:rPr>
            <w:fldChar w:fldCharType="end"/>
          </w:r>
          <w:r>
            <w:rPr>
              <w:rFonts w:hint="eastAsia"/>
              <w:b/>
              <w:highlight w:val="none"/>
              <w:lang w:val="en-US" w:eastAsia="zh-CN"/>
            </w:rPr>
            <w:fldChar w:fldCharType="end"/>
          </w:r>
        </w:p>
        <w:p>
          <w:pPr>
            <w:pStyle w:val="17"/>
            <w:tabs>
              <w:tab w:val="right" w:leader="dot" w:pos="8845"/>
            </w:tabs>
            <w:spacing w:line="360" w:lineRule="auto"/>
            <w:rPr>
              <w:b/>
              <w:highlight w:val="none"/>
            </w:rPr>
          </w:pPr>
          <w:r>
            <w:rPr>
              <w:rFonts w:hint="eastAsia"/>
              <w:b/>
              <w:highlight w:val="none"/>
              <w:lang w:val="en-US" w:eastAsia="zh-CN"/>
            </w:rPr>
            <w:fldChar w:fldCharType="begin"/>
          </w:r>
          <w:r>
            <w:rPr>
              <w:rFonts w:hint="eastAsia"/>
              <w:b/>
              <w:highlight w:val="none"/>
              <w:lang w:val="en-US" w:eastAsia="zh-CN"/>
            </w:rPr>
            <w:instrText xml:space="preserve"> HYPERLINK \l _Toc5842 </w:instrText>
          </w:r>
          <w:r>
            <w:rPr>
              <w:rFonts w:hint="eastAsia"/>
              <w:b/>
              <w:highlight w:val="none"/>
              <w:lang w:val="en-US" w:eastAsia="zh-CN"/>
            </w:rPr>
            <w:fldChar w:fldCharType="separate"/>
          </w:r>
          <w:r>
            <w:rPr>
              <w:rFonts w:hint="eastAsia" w:ascii="黑体" w:hAnsi="黑体" w:eastAsia="黑体" w:cs="黑体"/>
              <w:b/>
              <w:szCs w:val="32"/>
              <w:highlight w:val="none"/>
              <w:lang w:val="en-US" w:eastAsia="zh-CN"/>
            </w:rPr>
            <w:t>三、收支预算情况说明</w:t>
          </w:r>
          <w:r>
            <w:rPr>
              <w:b/>
              <w:highlight w:val="none"/>
            </w:rPr>
            <w:tab/>
          </w:r>
          <w:r>
            <w:rPr>
              <w:b/>
              <w:highlight w:val="none"/>
            </w:rPr>
            <w:fldChar w:fldCharType="begin"/>
          </w:r>
          <w:r>
            <w:rPr>
              <w:b/>
              <w:highlight w:val="none"/>
            </w:rPr>
            <w:instrText xml:space="preserve"> PAGEREF _Toc5842 \h </w:instrText>
          </w:r>
          <w:r>
            <w:rPr>
              <w:b/>
              <w:highlight w:val="none"/>
            </w:rPr>
            <w:fldChar w:fldCharType="separate"/>
          </w:r>
          <w:r>
            <w:rPr>
              <w:b/>
              <w:highlight w:val="none"/>
            </w:rPr>
            <w:t>2</w:t>
          </w:r>
          <w:r>
            <w:rPr>
              <w:b/>
              <w:highlight w:val="none"/>
            </w:rPr>
            <w:fldChar w:fldCharType="end"/>
          </w:r>
          <w:r>
            <w:rPr>
              <w:rFonts w:hint="eastAsia"/>
              <w:b/>
              <w:highlight w:val="none"/>
              <w:lang w:val="en-US" w:eastAsia="zh-CN"/>
            </w:rPr>
            <w:fldChar w:fldCharType="end"/>
          </w:r>
        </w:p>
        <w:p>
          <w:pPr>
            <w:pStyle w:val="18"/>
            <w:tabs>
              <w:tab w:val="right" w:leader="dot" w:pos="8845"/>
            </w:tabs>
            <w:spacing w:line="360" w:lineRule="auto"/>
            <w:rPr>
              <w:highlight w:val="none"/>
            </w:rPr>
          </w:pPr>
          <w:r>
            <w:rPr>
              <w:rFonts w:hint="eastAsia"/>
              <w:highlight w:val="none"/>
              <w:lang w:val="en-US" w:eastAsia="zh-CN"/>
            </w:rPr>
            <w:fldChar w:fldCharType="begin"/>
          </w:r>
          <w:r>
            <w:rPr>
              <w:rFonts w:hint="eastAsia"/>
              <w:highlight w:val="none"/>
              <w:lang w:val="en-US" w:eastAsia="zh-CN"/>
            </w:rPr>
            <w:instrText xml:space="preserve"> HYPERLINK \l _Toc1348 </w:instrText>
          </w:r>
          <w:r>
            <w:rPr>
              <w:rFonts w:hint="eastAsia"/>
              <w:highlight w:val="none"/>
              <w:lang w:val="en-US" w:eastAsia="zh-CN"/>
            </w:rPr>
            <w:fldChar w:fldCharType="separate"/>
          </w:r>
          <w:r>
            <w:rPr>
              <w:rFonts w:hint="eastAsia" w:ascii="楷体_GB2312" w:hAnsi="楷体_GB2312" w:eastAsia="楷体_GB2312" w:cs="楷体_GB2312"/>
              <w:szCs w:val="32"/>
              <w:highlight w:val="none"/>
              <w:lang w:val="en-US" w:eastAsia="zh-CN"/>
            </w:rPr>
            <w:t>（一）收入预算情况</w:t>
          </w:r>
          <w:r>
            <w:rPr>
              <w:highlight w:val="none"/>
            </w:rPr>
            <w:tab/>
          </w:r>
          <w:r>
            <w:rPr>
              <w:highlight w:val="none"/>
            </w:rPr>
            <w:fldChar w:fldCharType="begin"/>
          </w:r>
          <w:r>
            <w:rPr>
              <w:highlight w:val="none"/>
            </w:rPr>
            <w:instrText xml:space="preserve"> PAGEREF _Toc1348 \h </w:instrText>
          </w:r>
          <w:r>
            <w:rPr>
              <w:highlight w:val="none"/>
            </w:rPr>
            <w:fldChar w:fldCharType="separate"/>
          </w:r>
          <w:r>
            <w:rPr>
              <w:highlight w:val="none"/>
            </w:rPr>
            <w:t>2</w:t>
          </w:r>
          <w:r>
            <w:rPr>
              <w:highlight w:val="none"/>
            </w:rPr>
            <w:fldChar w:fldCharType="end"/>
          </w:r>
          <w:r>
            <w:rPr>
              <w:rFonts w:hint="eastAsia"/>
              <w:highlight w:val="none"/>
              <w:lang w:val="en-US" w:eastAsia="zh-CN"/>
            </w:rPr>
            <w:fldChar w:fldCharType="end"/>
          </w:r>
        </w:p>
        <w:p>
          <w:pPr>
            <w:pStyle w:val="18"/>
            <w:tabs>
              <w:tab w:val="right" w:leader="dot" w:pos="8845"/>
            </w:tabs>
            <w:spacing w:line="360" w:lineRule="auto"/>
            <w:rPr>
              <w:highlight w:val="none"/>
            </w:rPr>
          </w:pPr>
          <w:r>
            <w:rPr>
              <w:rFonts w:hint="eastAsia"/>
              <w:highlight w:val="none"/>
              <w:lang w:val="en-US" w:eastAsia="zh-CN"/>
            </w:rPr>
            <w:fldChar w:fldCharType="begin"/>
          </w:r>
          <w:r>
            <w:rPr>
              <w:rFonts w:hint="eastAsia"/>
              <w:highlight w:val="none"/>
              <w:lang w:val="en-US" w:eastAsia="zh-CN"/>
            </w:rPr>
            <w:instrText xml:space="preserve"> HYPERLINK \l _Toc14577 </w:instrText>
          </w:r>
          <w:r>
            <w:rPr>
              <w:rFonts w:hint="eastAsia"/>
              <w:highlight w:val="none"/>
              <w:lang w:val="en-US" w:eastAsia="zh-CN"/>
            </w:rPr>
            <w:fldChar w:fldCharType="separate"/>
          </w:r>
          <w:r>
            <w:rPr>
              <w:rFonts w:hint="eastAsia" w:ascii="楷体_GB2312" w:hAnsi="楷体_GB2312" w:eastAsia="楷体_GB2312" w:cs="楷体_GB2312"/>
              <w:szCs w:val="32"/>
              <w:highlight w:val="none"/>
              <w:lang w:val="en-US" w:eastAsia="zh-CN"/>
            </w:rPr>
            <w:t>（二）支出预算情况</w:t>
          </w:r>
          <w:r>
            <w:rPr>
              <w:highlight w:val="none"/>
            </w:rPr>
            <w:tab/>
          </w:r>
          <w:r>
            <w:rPr>
              <w:highlight w:val="none"/>
            </w:rPr>
            <w:fldChar w:fldCharType="begin"/>
          </w:r>
          <w:r>
            <w:rPr>
              <w:highlight w:val="none"/>
            </w:rPr>
            <w:instrText xml:space="preserve"> PAGEREF _Toc14577 \h </w:instrText>
          </w:r>
          <w:r>
            <w:rPr>
              <w:highlight w:val="none"/>
            </w:rPr>
            <w:fldChar w:fldCharType="separate"/>
          </w:r>
          <w:r>
            <w:rPr>
              <w:highlight w:val="none"/>
            </w:rPr>
            <w:t>2</w:t>
          </w:r>
          <w:r>
            <w:rPr>
              <w:highlight w:val="none"/>
            </w:rPr>
            <w:fldChar w:fldCharType="end"/>
          </w:r>
          <w:r>
            <w:rPr>
              <w:rFonts w:hint="eastAsia"/>
              <w:highlight w:val="none"/>
              <w:lang w:val="en-US" w:eastAsia="zh-CN"/>
            </w:rPr>
            <w:fldChar w:fldCharType="end"/>
          </w:r>
        </w:p>
        <w:p>
          <w:pPr>
            <w:pStyle w:val="17"/>
            <w:tabs>
              <w:tab w:val="right" w:leader="dot" w:pos="8845"/>
            </w:tabs>
            <w:spacing w:line="360" w:lineRule="auto"/>
            <w:rPr>
              <w:b/>
              <w:highlight w:val="none"/>
            </w:rPr>
          </w:pPr>
          <w:r>
            <w:rPr>
              <w:rFonts w:hint="eastAsia"/>
              <w:b/>
              <w:highlight w:val="none"/>
              <w:lang w:val="en-US" w:eastAsia="zh-CN"/>
            </w:rPr>
            <w:fldChar w:fldCharType="begin"/>
          </w:r>
          <w:r>
            <w:rPr>
              <w:rFonts w:hint="eastAsia"/>
              <w:b/>
              <w:highlight w:val="none"/>
              <w:lang w:val="en-US" w:eastAsia="zh-CN"/>
            </w:rPr>
            <w:instrText xml:space="preserve"> HYPERLINK \l _Toc28558 </w:instrText>
          </w:r>
          <w:r>
            <w:rPr>
              <w:rFonts w:hint="eastAsia"/>
              <w:b/>
              <w:highlight w:val="none"/>
              <w:lang w:val="en-US" w:eastAsia="zh-CN"/>
            </w:rPr>
            <w:fldChar w:fldCharType="separate"/>
          </w:r>
          <w:r>
            <w:rPr>
              <w:rFonts w:hint="eastAsia" w:ascii="黑体" w:hAnsi="黑体" w:eastAsia="黑体" w:cs="黑体"/>
              <w:b/>
              <w:szCs w:val="32"/>
              <w:highlight w:val="none"/>
              <w:lang w:val="en-US" w:eastAsia="zh-CN"/>
            </w:rPr>
            <w:t>四、财政拨款收支预算情况说明</w:t>
          </w:r>
          <w:r>
            <w:rPr>
              <w:b/>
              <w:highlight w:val="none"/>
            </w:rPr>
            <w:tab/>
          </w:r>
          <w:r>
            <w:rPr>
              <w:b/>
              <w:highlight w:val="none"/>
            </w:rPr>
            <w:fldChar w:fldCharType="begin"/>
          </w:r>
          <w:r>
            <w:rPr>
              <w:b/>
              <w:highlight w:val="none"/>
            </w:rPr>
            <w:instrText xml:space="preserve"> PAGEREF _Toc28558 \h </w:instrText>
          </w:r>
          <w:r>
            <w:rPr>
              <w:b/>
              <w:highlight w:val="none"/>
            </w:rPr>
            <w:fldChar w:fldCharType="separate"/>
          </w:r>
          <w:r>
            <w:rPr>
              <w:b/>
              <w:highlight w:val="none"/>
            </w:rPr>
            <w:t>3</w:t>
          </w:r>
          <w:r>
            <w:rPr>
              <w:b/>
              <w:highlight w:val="none"/>
            </w:rPr>
            <w:fldChar w:fldCharType="end"/>
          </w:r>
          <w:r>
            <w:rPr>
              <w:rFonts w:hint="eastAsia"/>
              <w:b/>
              <w:highlight w:val="none"/>
              <w:lang w:val="en-US" w:eastAsia="zh-CN"/>
            </w:rPr>
            <w:fldChar w:fldCharType="end"/>
          </w:r>
        </w:p>
        <w:p>
          <w:pPr>
            <w:pStyle w:val="17"/>
            <w:tabs>
              <w:tab w:val="right" w:leader="dot" w:pos="8845"/>
            </w:tabs>
            <w:spacing w:line="360" w:lineRule="auto"/>
            <w:rPr>
              <w:b/>
              <w:highlight w:val="none"/>
            </w:rPr>
          </w:pPr>
          <w:r>
            <w:rPr>
              <w:rFonts w:hint="eastAsia"/>
              <w:b/>
              <w:highlight w:val="none"/>
              <w:lang w:val="en-US" w:eastAsia="zh-CN"/>
            </w:rPr>
            <w:fldChar w:fldCharType="begin"/>
          </w:r>
          <w:r>
            <w:rPr>
              <w:rFonts w:hint="eastAsia"/>
              <w:b/>
              <w:highlight w:val="none"/>
              <w:lang w:val="en-US" w:eastAsia="zh-CN"/>
            </w:rPr>
            <w:instrText xml:space="preserve"> HYPERLINK \l _Toc10940 </w:instrText>
          </w:r>
          <w:r>
            <w:rPr>
              <w:rFonts w:hint="eastAsia"/>
              <w:b/>
              <w:highlight w:val="none"/>
              <w:lang w:val="en-US" w:eastAsia="zh-CN"/>
            </w:rPr>
            <w:fldChar w:fldCharType="separate"/>
          </w:r>
          <w:r>
            <w:rPr>
              <w:rFonts w:hint="eastAsia" w:ascii="黑体" w:hAnsi="黑体" w:eastAsia="黑体" w:cs="黑体"/>
              <w:b/>
              <w:szCs w:val="32"/>
              <w:highlight w:val="none"/>
              <w:lang w:val="en-US" w:eastAsia="zh-CN"/>
            </w:rPr>
            <w:t>五、一般公共预算当年拨款情况说明</w:t>
          </w:r>
          <w:r>
            <w:rPr>
              <w:b/>
              <w:highlight w:val="none"/>
            </w:rPr>
            <w:tab/>
          </w:r>
          <w:r>
            <w:rPr>
              <w:b/>
              <w:highlight w:val="none"/>
            </w:rPr>
            <w:fldChar w:fldCharType="begin"/>
          </w:r>
          <w:r>
            <w:rPr>
              <w:b/>
              <w:highlight w:val="none"/>
            </w:rPr>
            <w:instrText xml:space="preserve"> PAGEREF _Toc10940 \h </w:instrText>
          </w:r>
          <w:r>
            <w:rPr>
              <w:b/>
              <w:highlight w:val="none"/>
            </w:rPr>
            <w:fldChar w:fldCharType="separate"/>
          </w:r>
          <w:r>
            <w:rPr>
              <w:b/>
              <w:highlight w:val="none"/>
            </w:rPr>
            <w:t>3</w:t>
          </w:r>
          <w:r>
            <w:rPr>
              <w:b/>
              <w:highlight w:val="none"/>
            </w:rPr>
            <w:fldChar w:fldCharType="end"/>
          </w:r>
          <w:r>
            <w:rPr>
              <w:rFonts w:hint="eastAsia"/>
              <w:b/>
              <w:highlight w:val="none"/>
              <w:lang w:val="en-US" w:eastAsia="zh-CN"/>
            </w:rPr>
            <w:fldChar w:fldCharType="end"/>
          </w:r>
        </w:p>
        <w:p>
          <w:pPr>
            <w:pStyle w:val="18"/>
            <w:tabs>
              <w:tab w:val="right" w:leader="dot" w:pos="8845"/>
            </w:tabs>
            <w:spacing w:line="360" w:lineRule="auto"/>
            <w:rPr>
              <w:highlight w:val="none"/>
            </w:rPr>
          </w:pPr>
          <w:r>
            <w:rPr>
              <w:rFonts w:hint="eastAsia"/>
              <w:highlight w:val="none"/>
              <w:lang w:val="en-US" w:eastAsia="zh-CN"/>
            </w:rPr>
            <w:fldChar w:fldCharType="begin"/>
          </w:r>
          <w:r>
            <w:rPr>
              <w:rFonts w:hint="eastAsia"/>
              <w:highlight w:val="none"/>
              <w:lang w:val="en-US" w:eastAsia="zh-CN"/>
            </w:rPr>
            <w:instrText xml:space="preserve"> HYPERLINK \l _Toc8280 </w:instrText>
          </w:r>
          <w:r>
            <w:rPr>
              <w:rFonts w:hint="eastAsia"/>
              <w:highlight w:val="none"/>
              <w:lang w:val="en-US" w:eastAsia="zh-CN"/>
            </w:rPr>
            <w:fldChar w:fldCharType="separate"/>
          </w:r>
          <w:r>
            <w:rPr>
              <w:rFonts w:hint="eastAsia" w:ascii="楷体_GB2312" w:hAnsi="楷体_GB2312" w:eastAsia="楷体_GB2312" w:cs="楷体_GB2312"/>
              <w:szCs w:val="32"/>
              <w:highlight w:val="none"/>
              <w:lang w:val="en-US" w:eastAsia="zh-CN"/>
            </w:rPr>
            <w:t>（一）一般公共预算当年拨款规模变化情况</w:t>
          </w:r>
          <w:r>
            <w:rPr>
              <w:highlight w:val="none"/>
            </w:rPr>
            <w:tab/>
          </w:r>
          <w:r>
            <w:rPr>
              <w:highlight w:val="none"/>
            </w:rPr>
            <w:fldChar w:fldCharType="begin"/>
          </w:r>
          <w:r>
            <w:rPr>
              <w:highlight w:val="none"/>
            </w:rPr>
            <w:instrText xml:space="preserve"> PAGEREF _Toc8280 \h </w:instrText>
          </w:r>
          <w:r>
            <w:rPr>
              <w:highlight w:val="none"/>
            </w:rPr>
            <w:fldChar w:fldCharType="separate"/>
          </w:r>
          <w:r>
            <w:rPr>
              <w:highlight w:val="none"/>
            </w:rPr>
            <w:t>3</w:t>
          </w:r>
          <w:r>
            <w:rPr>
              <w:highlight w:val="none"/>
            </w:rPr>
            <w:fldChar w:fldCharType="end"/>
          </w:r>
          <w:r>
            <w:rPr>
              <w:rFonts w:hint="eastAsia"/>
              <w:highlight w:val="none"/>
              <w:lang w:val="en-US" w:eastAsia="zh-CN"/>
            </w:rPr>
            <w:fldChar w:fldCharType="end"/>
          </w:r>
        </w:p>
        <w:p>
          <w:pPr>
            <w:pStyle w:val="18"/>
            <w:tabs>
              <w:tab w:val="right" w:leader="dot" w:pos="8845"/>
            </w:tabs>
            <w:spacing w:line="360" w:lineRule="auto"/>
            <w:rPr>
              <w:highlight w:val="none"/>
            </w:rPr>
          </w:pPr>
          <w:r>
            <w:rPr>
              <w:rFonts w:hint="eastAsia"/>
              <w:highlight w:val="none"/>
              <w:lang w:val="en-US" w:eastAsia="zh-CN"/>
            </w:rPr>
            <w:fldChar w:fldCharType="begin"/>
          </w:r>
          <w:r>
            <w:rPr>
              <w:rFonts w:hint="eastAsia"/>
              <w:highlight w:val="none"/>
              <w:lang w:val="en-US" w:eastAsia="zh-CN"/>
            </w:rPr>
            <w:instrText xml:space="preserve"> HYPERLINK \l _Toc15745 </w:instrText>
          </w:r>
          <w:r>
            <w:rPr>
              <w:rFonts w:hint="eastAsia"/>
              <w:highlight w:val="none"/>
              <w:lang w:val="en-US" w:eastAsia="zh-CN"/>
            </w:rPr>
            <w:fldChar w:fldCharType="separate"/>
          </w:r>
          <w:r>
            <w:rPr>
              <w:rFonts w:hint="eastAsia" w:ascii="楷体_GB2312" w:hAnsi="楷体_GB2312" w:eastAsia="楷体_GB2312" w:cs="楷体_GB2312"/>
              <w:szCs w:val="32"/>
              <w:highlight w:val="none"/>
              <w:lang w:val="en-US" w:eastAsia="zh-CN"/>
            </w:rPr>
            <w:t>（二）一般公共预算当年拨款结构情况</w:t>
          </w:r>
          <w:r>
            <w:rPr>
              <w:highlight w:val="none"/>
            </w:rPr>
            <w:tab/>
          </w:r>
          <w:r>
            <w:rPr>
              <w:highlight w:val="none"/>
            </w:rPr>
            <w:fldChar w:fldCharType="begin"/>
          </w:r>
          <w:r>
            <w:rPr>
              <w:highlight w:val="none"/>
            </w:rPr>
            <w:instrText xml:space="preserve"> PAGEREF _Toc15745 \h </w:instrText>
          </w:r>
          <w:r>
            <w:rPr>
              <w:highlight w:val="none"/>
            </w:rPr>
            <w:fldChar w:fldCharType="separate"/>
          </w:r>
          <w:r>
            <w:rPr>
              <w:highlight w:val="none"/>
            </w:rPr>
            <w:t>3</w:t>
          </w:r>
          <w:r>
            <w:rPr>
              <w:highlight w:val="none"/>
            </w:rPr>
            <w:fldChar w:fldCharType="end"/>
          </w:r>
          <w:r>
            <w:rPr>
              <w:rFonts w:hint="eastAsia"/>
              <w:highlight w:val="none"/>
              <w:lang w:val="en-US" w:eastAsia="zh-CN"/>
            </w:rPr>
            <w:fldChar w:fldCharType="end"/>
          </w:r>
        </w:p>
        <w:p>
          <w:pPr>
            <w:pStyle w:val="18"/>
            <w:tabs>
              <w:tab w:val="right" w:leader="dot" w:pos="8845"/>
            </w:tabs>
            <w:spacing w:line="360" w:lineRule="auto"/>
            <w:rPr>
              <w:highlight w:val="none"/>
            </w:rPr>
          </w:pPr>
          <w:r>
            <w:rPr>
              <w:rFonts w:hint="eastAsia"/>
              <w:highlight w:val="none"/>
              <w:lang w:val="en-US" w:eastAsia="zh-CN"/>
            </w:rPr>
            <w:fldChar w:fldCharType="begin"/>
          </w:r>
          <w:r>
            <w:rPr>
              <w:rFonts w:hint="eastAsia"/>
              <w:highlight w:val="none"/>
              <w:lang w:val="en-US" w:eastAsia="zh-CN"/>
            </w:rPr>
            <w:instrText xml:space="preserve"> HYPERLINK \l _Toc20924 </w:instrText>
          </w:r>
          <w:r>
            <w:rPr>
              <w:rFonts w:hint="eastAsia"/>
              <w:highlight w:val="none"/>
              <w:lang w:val="en-US" w:eastAsia="zh-CN"/>
            </w:rPr>
            <w:fldChar w:fldCharType="separate"/>
          </w:r>
          <w:r>
            <w:rPr>
              <w:rFonts w:hint="eastAsia" w:ascii="楷体_GB2312" w:hAnsi="楷体_GB2312" w:eastAsia="楷体_GB2312" w:cs="楷体_GB2312"/>
              <w:szCs w:val="32"/>
              <w:highlight w:val="none"/>
              <w:lang w:val="en-US" w:eastAsia="zh-CN"/>
            </w:rPr>
            <w:t>（三）一般公共预算当年拨款具体使用情况</w:t>
          </w:r>
          <w:r>
            <w:rPr>
              <w:highlight w:val="none"/>
            </w:rPr>
            <w:tab/>
          </w:r>
          <w:r>
            <w:rPr>
              <w:highlight w:val="none"/>
            </w:rPr>
            <w:fldChar w:fldCharType="begin"/>
          </w:r>
          <w:r>
            <w:rPr>
              <w:highlight w:val="none"/>
            </w:rPr>
            <w:instrText xml:space="preserve"> PAGEREF _Toc20924 \h </w:instrText>
          </w:r>
          <w:r>
            <w:rPr>
              <w:highlight w:val="none"/>
            </w:rPr>
            <w:fldChar w:fldCharType="separate"/>
          </w:r>
          <w:r>
            <w:rPr>
              <w:highlight w:val="none"/>
            </w:rPr>
            <w:t>3</w:t>
          </w:r>
          <w:r>
            <w:rPr>
              <w:highlight w:val="none"/>
            </w:rPr>
            <w:fldChar w:fldCharType="end"/>
          </w:r>
          <w:r>
            <w:rPr>
              <w:rFonts w:hint="eastAsia"/>
              <w:highlight w:val="none"/>
              <w:lang w:val="en-US" w:eastAsia="zh-CN"/>
            </w:rPr>
            <w:fldChar w:fldCharType="end"/>
          </w:r>
        </w:p>
        <w:p>
          <w:pPr>
            <w:pStyle w:val="17"/>
            <w:tabs>
              <w:tab w:val="right" w:leader="dot" w:pos="8845"/>
            </w:tabs>
            <w:spacing w:line="360" w:lineRule="auto"/>
            <w:rPr>
              <w:b/>
              <w:highlight w:val="none"/>
            </w:rPr>
          </w:pPr>
          <w:r>
            <w:rPr>
              <w:rFonts w:hint="eastAsia"/>
              <w:b/>
              <w:highlight w:val="none"/>
              <w:lang w:val="en-US" w:eastAsia="zh-CN"/>
            </w:rPr>
            <w:fldChar w:fldCharType="begin"/>
          </w:r>
          <w:r>
            <w:rPr>
              <w:rFonts w:hint="eastAsia"/>
              <w:b/>
              <w:highlight w:val="none"/>
              <w:lang w:val="en-US" w:eastAsia="zh-CN"/>
            </w:rPr>
            <w:instrText xml:space="preserve"> HYPERLINK \l _Toc24789 </w:instrText>
          </w:r>
          <w:r>
            <w:rPr>
              <w:rFonts w:hint="eastAsia"/>
              <w:b/>
              <w:highlight w:val="none"/>
              <w:lang w:val="en-US" w:eastAsia="zh-CN"/>
            </w:rPr>
            <w:fldChar w:fldCharType="separate"/>
          </w:r>
          <w:r>
            <w:rPr>
              <w:rFonts w:hint="eastAsia" w:ascii="黑体" w:hAnsi="黑体" w:eastAsia="黑体" w:cs="黑体"/>
              <w:b/>
              <w:szCs w:val="32"/>
              <w:highlight w:val="none"/>
              <w:lang w:val="en-US" w:eastAsia="zh-CN"/>
            </w:rPr>
            <w:t>六、一般公共预算基本支出情况说明</w:t>
          </w:r>
          <w:r>
            <w:rPr>
              <w:b/>
              <w:highlight w:val="none"/>
            </w:rPr>
            <w:tab/>
          </w:r>
          <w:r>
            <w:rPr>
              <w:b/>
              <w:highlight w:val="none"/>
            </w:rPr>
            <w:fldChar w:fldCharType="begin"/>
          </w:r>
          <w:r>
            <w:rPr>
              <w:b/>
              <w:highlight w:val="none"/>
            </w:rPr>
            <w:instrText xml:space="preserve"> PAGEREF _Toc24789 \h </w:instrText>
          </w:r>
          <w:r>
            <w:rPr>
              <w:b/>
              <w:highlight w:val="none"/>
            </w:rPr>
            <w:fldChar w:fldCharType="separate"/>
          </w:r>
          <w:r>
            <w:rPr>
              <w:b/>
              <w:highlight w:val="none"/>
            </w:rPr>
            <w:t>4</w:t>
          </w:r>
          <w:r>
            <w:rPr>
              <w:b/>
              <w:highlight w:val="none"/>
            </w:rPr>
            <w:fldChar w:fldCharType="end"/>
          </w:r>
          <w:r>
            <w:rPr>
              <w:rFonts w:hint="eastAsia"/>
              <w:b/>
              <w:highlight w:val="none"/>
              <w:lang w:val="en-US" w:eastAsia="zh-CN"/>
            </w:rPr>
            <w:fldChar w:fldCharType="end"/>
          </w:r>
        </w:p>
        <w:p>
          <w:pPr>
            <w:pStyle w:val="17"/>
            <w:tabs>
              <w:tab w:val="right" w:leader="dot" w:pos="8845"/>
            </w:tabs>
            <w:spacing w:line="360" w:lineRule="auto"/>
            <w:rPr>
              <w:b/>
              <w:highlight w:val="none"/>
            </w:rPr>
          </w:pPr>
          <w:r>
            <w:rPr>
              <w:rFonts w:hint="eastAsia"/>
              <w:b/>
              <w:highlight w:val="none"/>
              <w:lang w:val="en-US" w:eastAsia="zh-CN"/>
            </w:rPr>
            <w:fldChar w:fldCharType="begin"/>
          </w:r>
          <w:r>
            <w:rPr>
              <w:rFonts w:hint="eastAsia"/>
              <w:b/>
              <w:highlight w:val="none"/>
              <w:lang w:val="en-US" w:eastAsia="zh-CN"/>
            </w:rPr>
            <w:instrText xml:space="preserve"> HYPERLINK \l _Toc25434 </w:instrText>
          </w:r>
          <w:r>
            <w:rPr>
              <w:rFonts w:hint="eastAsia"/>
              <w:b/>
              <w:highlight w:val="none"/>
              <w:lang w:val="en-US" w:eastAsia="zh-CN"/>
            </w:rPr>
            <w:fldChar w:fldCharType="separate"/>
          </w:r>
          <w:r>
            <w:rPr>
              <w:rFonts w:hint="eastAsia" w:ascii="黑体" w:hAnsi="黑体" w:eastAsia="黑体" w:cs="黑体"/>
              <w:b/>
              <w:szCs w:val="32"/>
              <w:highlight w:val="none"/>
              <w:lang w:val="en-US" w:eastAsia="zh-CN"/>
            </w:rPr>
            <w:t>七、“三公”经费财政拨款预算安排情况说明</w:t>
          </w:r>
          <w:r>
            <w:rPr>
              <w:b/>
              <w:highlight w:val="none"/>
            </w:rPr>
            <w:tab/>
          </w:r>
          <w:r>
            <w:rPr>
              <w:b/>
              <w:highlight w:val="none"/>
            </w:rPr>
            <w:fldChar w:fldCharType="begin"/>
          </w:r>
          <w:r>
            <w:rPr>
              <w:b/>
              <w:highlight w:val="none"/>
            </w:rPr>
            <w:instrText xml:space="preserve"> PAGEREF _Toc25434 \h </w:instrText>
          </w:r>
          <w:r>
            <w:rPr>
              <w:b/>
              <w:highlight w:val="none"/>
            </w:rPr>
            <w:fldChar w:fldCharType="separate"/>
          </w:r>
          <w:r>
            <w:rPr>
              <w:b/>
              <w:highlight w:val="none"/>
            </w:rPr>
            <w:t>5</w:t>
          </w:r>
          <w:r>
            <w:rPr>
              <w:b/>
              <w:highlight w:val="none"/>
            </w:rPr>
            <w:fldChar w:fldCharType="end"/>
          </w:r>
          <w:r>
            <w:rPr>
              <w:rFonts w:hint="eastAsia"/>
              <w:b/>
              <w:highlight w:val="none"/>
              <w:lang w:val="en-US" w:eastAsia="zh-CN"/>
            </w:rPr>
            <w:fldChar w:fldCharType="end"/>
          </w:r>
        </w:p>
        <w:p>
          <w:pPr>
            <w:pStyle w:val="18"/>
            <w:tabs>
              <w:tab w:val="right" w:leader="dot" w:pos="8845"/>
            </w:tabs>
            <w:spacing w:line="360" w:lineRule="auto"/>
            <w:rPr>
              <w:highlight w:val="none"/>
            </w:rPr>
          </w:pPr>
          <w:r>
            <w:rPr>
              <w:rFonts w:hint="eastAsia"/>
              <w:highlight w:val="none"/>
              <w:lang w:val="en-US" w:eastAsia="zh-CN"/>
            </w:rPr>
            <w:fldChar w:fldCharType="begin"/>
          </w:r>
          <w:r>
            <w:rPr>
              <w:rFonts w:hint="eastAsia"/>
              <w:highlight w:val="none"/>
              <w:lang w:val="en-US" w:eastAsia="zh-CN"/>
            </w:rPr>
            <w:instrText xml:space="preserve"> HYPERLINK \l _Toc21198 </w:instrText>
          </w:r>
          <w:r>
            <w:rPr>
              <w:rFonts w:hint="eastAsia"/>
              <w:highlight w:val="none"/>
              <w:lang w:val="en-US" w:eastAsia="zh-CN"/>
            </w:rPr>
            <w:fldChar w:fldCharType="separate"/>
          </w:r>
          <w:r>
            <w:rPr>
              <w:rFonts w:hint="eastAsia" w:ascii="楷体_GB2312" w:hAnsi="楷体_GB2312" w:eastAsia="楷体_GB2312" w:cs="楷体_GB2312"/>
              <w:szCs w:val="32"/>
              <w:highlight w:val="none"/>
              <w:lang w:val="en-US" w:eastAsia="zh-CN"/>
            </w:rPr>
            <w:t>（一）公务接待费</w:t>
          </w:r>
          <w:r>
            <w:rPr>
              <w:highlight w:val="none"/>
            </w:rPr>
            <w:tab/>
          </w:r>
          <w:r>
            <w:rPr>
              <w:highlight w:val="none"/>
            </w:rPr>
            <w:fldChar w:fldCharType="begin"/>
          </w:r>
          <w:r>
            <w:rPr>
              <w:highlight w:val="none"/>
            </w:rPr>
            <w:instrText xml:space="preserve"> PAGEREF _Toc21198 \h </w:instrText>
          </w:r>
          <w:r>
            <w:rPr>
              <w:highlight w:val="none"/>
            </w:rPr>
            <w:fldChar w:fldCharType="separate"/>
          </w:r>
          <w:r>
            <w:rPr>
              <w:highlight w:val="none"/>
            </w:rPr>
            <w:t>5</w:t>
          </w:r>
          <w:r>
            <w:rPr>
              <w:highlight w:val="none"/>
            </w:rPr>
            <w:fldChar w:fldCharType="end"/>
          </w:r>
          <w:r>
            <w:rPr>
              <w:rFonts w:hint="eastAsia"/>
              <w:highlight w:val="none"/>
              <w:lang w:val="en-US" w:eastAsia="zh-CN"/>
            </w:rPr>
            <w:fldChar w:fldCharType="end"/>
          </w:r>
        </w:p>
        <w:p>
          <w:pPr>
            <w:pStyle w:val="18"/>
            <w:tabs>
              <w:tab w:val="right" w:leader="dot" w:pos="8845"/>
            </w:tabs>
            <w:spacing w:line="360" w:lineRule="auto"/>
            <w:rPr>
              <w:highlight w:val="none"/>
            </w:rPr>
          </w:pPr>
          <w:r>
            <w:rPr>
              <w:rFonts w:hint="eastAsia"/>
              <w:highlight w:val="none"/>
              <w:lang w:val="en-US" w:eastAsia="zh-CN"/>
            </w:rPr>
            <w:fldChar w:fldCharType="begin"/>
          </w:r>
          <w:r>
            <w:rPr>
              <w:rFonts w:hint="eastAsia"/>
              <w:highlight w:val="none"/>
              <w:lang w:val="en-US" w:eastAsia="zh-CN"/>
            </w:rPr>
            <w:instrText xml:space="preserve"> HYPERLINK \l _Toc19480 </w:instrText>
          </w:r>
          <w:r>
            <w:rPr>
              <w:rFonts w:hint="eastAsia"/>
              <w:highlight w:val="none"/>
              <w:lang w:val="en-US" w:eastAsia="zh-CN"/>
            </w:rPr>
            <w:fldChar w:fldCharType="separate"/>
          </w:r>
          <w:r>
            <w:rPr>
              <w:rFonts w:hint="eastAsia" w:ascii="楷体_GB2312" w:hAnsi="楷体_GB2312" w:eastAsia="楷体_GB2312" w:cs="楷体_GB2312"/>
              <w:szCs w:val="32"/>
              <w:highlight w:val="none"/>
              <w:lang w:val="en-US" w:eastAsia="zh-CN"/>
            </w:rPr>
            <w:t>（二） 公务用车购置及运行维护费</w:t>
          </w:r>
          <w:r>
            <w:rPr>
              <w:highlight w:val="none"/>
            </w:rPr>
            <w:tab/>
          </w:r>
          <w:r>
            <w:rPr>
              <w:highlight w:val="none"/>
            </w:rPr>
            <w:fldChar w:fldCharType="begin"/>
          </w:r>
          <w:r>
            <w:rPr>
              <w:highlight w:val="none"/>
            </w:rPr>
            <w:instrText xml:space="preserve"> PAGEREF _Toc19480 \h </w:instrText>
          </w:r>
          <w:r>
            <w:rPr>
              <w:highlight w:val="none"/>
            </w:rPr>
            <w:fldChar w:fldCharType="separate"/>
          </w:r>
          <w:r>
            <w:rPr>
              <w:highlight w:val="none"/>
            </w:rPr>
            <w:t>5</w:t>
          </w:r>
          <w:r>
            <w:rPr>
              <w:highlight w:val="none"/>
            </w:rPr>
            <w:fldChar w:fldCharType="end"/>
          </w:r>
          <w:r>
            <w:rPr>
              <w:rFonts w:hint="eastAsia"/>
              <w:highlight w:val="none"/>
              <w:lang w:val="en-US" w:eastAsia="zh-CN"/>
            </w:rPr>
            <w:fldChar w:fldCharType="end"/>
          </w:r>
        </w:p>
        <w:p>
          <w:pPr>
            <w:pStyle w:val="18"/>
            <w:tabs>
              <w:tab w:val="right" w:leader="dot" w:pos="8845"/>
            </w:tabs>
            <w:spacing w:line="360" w:lineRule="auto"/>
            <w:rPr>
              <w:highlight w:val="none"/>
            </w:rPr>
          </w:pPr>
          <w:r>
            <w:rPr>
              <w:rFonts w:hint="eastAsia"/>
              <w:highlight w:val="none"/>
              <w:lang w:val="en-US" w:eastAsia="zh-CN"/>
            </w:rPr>
            <w:fldChar w:fldCharType="begin"/>
          </w:r>
          <w:r>
            <w:rPr>
              <w:rFonts w:hint="eastAsia"/>
              <w:highlight w:val="none"/>
              <w:lang w:val="en-US" w:eastAsia="zh-CN"/>
            </w:rPr>
            <w:instrText xml:space="preserve"> HYPERLINK \l _Toc17208 </w:instrText>
          </w:r>
          <w:r>
            <w:rPr>
              <w:rFonts w:hint="eastAsia"/>
              <w:highlight w:val="none"/>
              <w:lang w:val="en-US" w:eastAsia="zh-CN"/>
            </w:rPr>
            <w:fldChar w:fldCharType="separate"/>
          </w:r>
          <w:r>
            <w:rPr>
              <w:rFonts w:hint="eastAsia" w:ascii="仿宋_GB2312" w:hAnsi="仿宋_GB2312" w:eastAsia="仿宋_GB2312" w:cs="仿宋_GB2312"/>
              <w:szCs w:val="32"/>
              <w:highlight w:val="none"/>
              <w:lang w:val="en-US" w:eastAsia="zh-CN"/>
            </w:rPr>
            <w:t>（</w:t>
          </w:r>
          <w:r>
            <w:rPr>
              <w:rFonts w:hint="eastAsia" w:ascii="楷体_GB2312" w:hAnsi="楷体_GB2312" w:eastAsia="楷体_GB2312" w:cs="楷体_GB2312"/>
              <w:szCs w:val="32"/>
              <w:highlight w:val="none"/>
              <w:lang w:val="en-US" w:eastAsia="zh-CN"/>
            </w:rPr>
            <w:t>三）因公出国（境）经费</w:t>
          </w:r>
          <w:r>
            <w:rPr>
              <w:highlight w:val="none"/>
            </w:rPr>
            <w:tab/>
          </w:r>
          <w:r>
            <w:rPr>
              <w:highlight w:val="none"/>
            </w:rPr>
            <w:fldChar w:fldCharType="begin"/>
          </w:r>
          <w:r>
            <w:rPr>
              <w:highlight w:val="none"/>
            </w:rPr>
            <w:instrText xml:space="preserve"> PAGEREF _Toc17208 \h </w:instrText>
          </w:r>
          <w:r>
            <w:rPr>
              <w:highlight w:val="none"/>
            </w:rPr>
            <w:fldChar w:fldCharType="separate"/>
          </w:r>
          <w:r>
            <w:rPr>
              <w:highlight w:val="none"/>
            </w:rPr>
            <w:t>6</w:t>
          </w:r>
          <w:r>
            <w:rPr>
              <w:highlight w:val="none"/>
            </w:rPr>
            <w:fldChar w:fldCharType="end"/>
          </w:r>
          <w:r>
            <w:rPr>
              <w:rFonts w:hint="eastAsia"/>
              <w:highlight w:val="none"/>
              <w:lang w:val="en-US" w:eastAsia="zh-CN"/>
            </w:rPr>
            <w:fldChar w:fldCharType="end"/>
          </w:r>
        </w:p>
        <w:p>
          <w:pPr>
            <w:pStyle w:val="17"/>
            <w:tabs>
              <w:tab w:val="right" w:leader="dot" w:pos="8845"/>
            </w:tabs>
            <w:spacing w:line="360" w:lineRule="auto"/>
            <w:rPr>
              <w:b/>
              <w:highlight w:val="none"/>
            </w:rPr>
          </w:pPr>
          <w:r>
            <w:rPr>
              <w:rFonts w:hint="eastAsia"/>
              <w:b/>
              <w:highlight w:val="none"/>
              <w:lang w:val="en-US" w:eastAsia="zh-CN"/>
            </w:rPr>
            <w:fldChar w:fldCharType="begin"/>
          </w:r>
          <w:r>
            <w:rPr>
              <w:rFonts w:hint="eastAsia"/>
              <w:b/>
              <w:highlight w:val="none"/>
              <w:lang w:val="en-US" w:eastAsia="zh-CN"/>
            </w:rPr>
            <w:instrText xml:space="preserve"> HYPERLINK \l _Toc18188 </w:instrText>
          </w:r>
          <w:r>
            <w:rPr>
              <w:rFonts w:hint="eastAsia"/>
              <w:b/>
              <w:highlight w:val="none"/>
              <w:lang w:val="en-US" w:eastAsia="zh-CN"/>
            </w:rPr>
            <w:fldChar w:fldCharType="separate"/>
          </w:r>
          <w:r>
            <w:rPr>
              <w:rFonts w:hint="eastAsia" w:ascii="黑体" w:hAnsi="黑体" w:eastAsia="黑体" w:cs="黑体"/>
              <w:b/>
              <w:szCs w:val="32"/>
              <w:highlight w:val="none"/>
              <w:lang w:val="en-US" w:eastAsia="zh-CN"/>
            </w:rPr>
            <w:t>八、政府性基金预算支出情况说明</w:t>
          </w:r>
          <w:r>
            <w:rPr>
              <w:b/>
              <w:highlight w:val="none"/>
            </w:rPr>
            <w:tab/>
          </w:r>
          <w:r>
            <w:rPr>
              <w:b/>
              <w:highlight w:val="none"/>
            </w:rPr>
            <w:fldChar w:fldCharType="begin"/>
          </w:r>
          <w:r>
            <w:rPr>
              <w:b/>
              <w:highlight w:val="none"/>
            </w:rPr>
            <w:instrText xml:space="preserve"> PAGEREF _Toc18188 \h </w:instrText>
          </w:r>
          <w:r>
            <w:rPr>
              <w:b/>
              <w:highlight w:val="none"/>
            </w:rPr>
            <w:fldChar w:fldCharType="separate"/>
          </w:r>
          <w:r>
            <w:rPr>
              <w:b/>
              <w:highlight w:val="none"/>
            </w:rPr>
            <w:t>6</w:t>
          </w:r>
          <w:r>
            <w:rPr>
              <w:b/>
              <w:highlight w:val="none"/>
            </w:rPr>
            <w:fldChar w:fldCharType="end"/>
          </w:r>
          <w:r>
            <w:rPr>
              <w:rFonts w:hint="eastAsia"/>
              <w:b/>
              <w:highlight w:val="none"/>
              <w:lang w:val="en-US" w:eastAsia="zh-CN"/>
            </w:rPr>
            <w:fldChar w:fldCharType="end"/>
          </w:r>
        </w:p>
        <w:p>
          <w:pPr>
            <w:pStyle w:val="17"/>
            <w:tabs>
              <w:tab w:val="right" w:leader="dot" w:pos="8845"/>
            </w:tabs>
            <w:spacing w:line="360" w:lineRule="auto"/>
            <w:rPr>
              <w:b/>
              <w:highlight w:val="none"/>
            </w:rPr>
          </w:pPr>
          <w:r>
            <w:rPr>
              <w:rFonts w:hint="eastAsia"/>
              <w:b/>
              <w:highlight w:val="none"/>
              <w:lang w:val="en-US" w:eastAsia="zh-CN"/>
            </w:rPr>
            <w:fldChar w:fldCharType="begin"/>
          </w:r>
          <w:r>
            <w:rPr>
              <w:rFonts w:hint="eastAsia"/>
              <w:b/>
              <w:highlight w:val="none"/>
              <w:lang w:val="en-US" w:eastAsia="zh-CN"/>
            </w:rPr>
            <w:instrText xml:space="preserve"> HYPERLINK \l _Toc2407 </w:instrText>
          </w:r>
          <w:r>
            <w:rPr>
              <w:rFonts w:hint="eastAsia"/>
              <w:b/>
              <w:highlight w:val="none"/>
              <w:lang w:val="en-US" w:eastAsia="zh-CN"/>
            </w:rPr>
            <w:fldChar w:fldCharType="separate"/>
          </w:r>
          <w:r>
            <w:rPr>
              <w:rFonts w:hint="eastAsia" w:ascii="黑体" w:hAnsi="黑体" w:eastAsia="黑体" w:cs="黑体"/>
              <w:b/>
              <w:szCs w:val="32"/>
              <w:highlight w:val="none"/>
              <w:lang w:val="en-US" w:eastAsia="zh-CN"/>
            </w:rPr>
            <w:t>九、国有资本经营预算支出情况说明</w:t>
          </w:r>
          <w:r>
            <w:rPr>
              <w:b/>
              <w:highlight w:val="none"/>
            </w:rPr>
            <w:tab/>
          </w:r>
          <w:r>
            <w:rPr>
              <w:b/>
              <w:highlight w:val="none"/>
            </w:rPr>
            <w:fldChar w:fldCharType="begin"/>
          </w:r>
          <w:r>
            <w:rPr>
              <w:b/>
              <w:highlight w:val="none"/>
            </w:rPr>
            <w:instrText xml:space="preserve"> PAGEREF _Toc2407 \h </w:instrText>
          </w:r>
          <w:r>
            <w:rPr>
              <w:b/>
              <w:highlight w:val="none"/>
            </w:rPr>
            <w:fldChar w:fldCharType="separate"/>
          </w:r>
          <w:r>
            <w:rPr>
              <w:b/>
              <w:highlight w:val="none"/>
            </w:rPr>
            <w:t>6</w:t>
          </w:r>
          <w:r>
            <w:rPr>
              <w:b/>
              <w:highlight w:val="none"/>
            </w:rPr>
            <w:fldChar w:fldCharType="end"/>
          </w:r>
          <w:r>
            <w:rPr>
              <w:rFonts w:hint="eastAsia"/>
              <w:b/>
              <w:highlight w:val="none"/>
              <w:lang w:val="en-US" w:eastAsia="zh-CN"/>
            </w:rPr>
            <w:fldChar w:fldCharType="end"/>
          </w:r>
        </w:p>
        <w:p>
          <w:pPr>
            <w:pStyle w:val="17"/>
            <w:tabs>
              <w:tab w:val="right" w:leader="dot" w:pos="8845"/>
            </w:tabs>
            <w:spacing w:line="360" w:lineRule="auto"/>
            <w:rPr>
              <w:b/>
              <w:highlight w:val="none"/>
            </w:rPr>
          </w:pPr>
          <w:r>
            <w:rPr>
              <w:rFonts w:hint="eastAsia"/>
              <w:b/>
              <w:highlight w:val="none"/>
              <w:lang w:val="en-US" w:eastAsia="zh-CN"/>
            </w:rPr>
            <w:fldChar w:fldCharType="begin"/>
          </w:r>
          <w:r>
            <w:rPr>
              <w:rFonts w:hint="eastAsia"/>
              <w:b/>
              <w:highlight w:val="none"/>
              <w:lang w:val="en-US" w:eastAsia="zh-CN"/>
            </w:rPr>
            <w:instrText xml:space="preserve"> HYPERLINK \l _Toc31877 </w:instrText>
          </w:r>
          <w:r>
            <w:rPr>
              <w:rFonts w:hint="eastAsia"/>
              <w:b/>
              <w:highlight w:val="none"/>
              <w:lang w:val="en-US" w:eastAsia="zh-CN"/>
            </w:rPr>
            <w:fldChar w:fldCharType="separate"/>
          </w:r>
          <w:r>
            <w:rPr>
              <w:rFonts w:hint="eastAsia" w:ascii="黑体" w:hAnsi="黑体" w:eastAsia="黑体" w:cs="黑体"/>
              <w:b/>
              <w:szCs w:val="32"/>
              <w:highlight w:val="none"/>
              <w:lang w:val="en-US" w:eastAsia="zh-CN"/>
            </w:rPr>
            <w:t>十、其他重要事项的情况说明</w:t>
          </w:r>
          <w:r>
            <w:rPr>
              <w:b/>
              <w:highlight w:val="none"/>
            </w:rPr>
            <w:tab/>
          </w:r>
          <w:r>
            <w:rPr>
              <w:b/>
              <w:highlight w:val="none"/>
            </w:rPr>
            <w:fldChar w:fldCharType="begin"/>
          </w:r>
          <w:r>
            <w:rPr>
              <w:b/>
              <w:highlight w:val="none"/>
            </w:rPr>
            <w:instrText xml:space="preserve"> PAGEREF _Toc31877 \h </w:instrText>
          </w:r>
          <w:r>
            <w:rPr>
              <w:b/>
              <w:highlight w:val="none"/>
            </w:rPr>
            <w:fldChar w:fldCharType="separate"/>
          </w:r>
          <w:r>
            <w:rPr>
              <w:b/>
              <w:highlight w:val="none"/>
            </w:rPr>
            <w:t>6</w:t>
          </w:r>
          <w:r>
            <w:rPr>
              <w:b/>
              <w:highlight w:val="none"/>
            </w:rPr>
            <w:fldChar w:fldCharType="end"/>
          </w:r>
          <w:r>
            <w:rPr>
              <w:rFonts w:hint="eastAsia"/>
              <w:b/>
              <w:highlight w:val="none"/>
              <w:lang w:val="en-US" w:eastAsia="zh-CN"/>
            </w:rPr>
            <w:fldChar w:fldCharType="end"/>
          </w:r>
        </w:p>
        <w:p>
          <w:pPr>
            <w:pStyle w:val="18"/>
            <w:tabs>
              <w:tab w:val="right" w:leader="dot" w:pos="8845"/>
            </w:tabs>
            <w:spacing w:line="360" w:lineRule="auto"/>
            <w:rPr>
              <w:highlight w:val="none"/>
            </w:rPr>
          </w:pPr>
          <w:r>
            <w:rPr>
              <w:rFonts w:hint="eastAsia"/>
              <w:highlight w:val="none"/>
              <w:lang w:val="en-US" w:eastAsia="zh-CN"/>
            </w:rPr>
            <w:fldChar w:fldCharType="begin"/>
          </w:r>
          <w:r>
            <w:rPr>
              <w:rFonts w:hint="eastAsia"/>
              <w:highlight w:val="none"/>
              <w:lang w:val="en-US" w:eastAsia="zh-CN"/>
            </w:rPr>
            <w:instrText xml:space="preserve"> HYPERLINK \l _Toc18825 </w:instrText>
          </w:r>
          <w:r>
            <w:rPr>
              <w:rFonts w:hint="eastAsia"/>
              <w:highlight w:val="none"/>
              <w:lang w:val="en-US" w:eastAsia="zh-CN"/>
            </w:rPr>
            <w:fldChar w:fldCharType="separate"/>
          </w:r>
          <w:r>
            <w:rPr>
              <w:rFonts w:hint="eastAsia" w:ascii="楷体_GB2312" w:hAnsi="楷体_GB2312" w:eastAsia="楷体_GB2312" w:cs="楷体_GB2312"/>
              <w:szCs w:val="32"/>
              <w:highlight w:val="none"/>
              <w:lang w:val="en-US" w:eastAsia="zh-CN"/>
            </w:rPr>
            <w:t>（一）机关运行经费</w:t>
          </w:r>
          <w:r>
            <w:rPr>
              <w:highlight w:val="none"/>
            </w:rPr>
            <w:tab/>
          </w:r>
          <w:r>
            <w:rPr>
              <w:highlight w:val="none"/>
            </w:rPr>
            <w:fldChar w:fldCharType="begin"/>
          </w:r>
          <w:r>
            <w:rPr>
              <w:highlight w:val="none"/>
            </w:rPr>
            <w:instrText xml:space="preserve"> PAGEREF _Toc18825 \h </w:instrText>
          </w:r>
          <w:r>
            <w:rPr>
              <w:highlight w:val="none"/>
            </w:rPr>
            <w:fldChar w:fldCharType="separate"/>
          </w:r>
          <w:r>
            <w:rPr>
              <w:highlight w:val="none"/>
            </w:rPr>
            <w:t>6</w:t>
          </w:r>
          <w:r>
            <w:rPr>
              <w:highlight w:val="none"/>
            </w:rPr>
            <w:fldChar w:fldCharType="end"/>
          </w:r>
          <w:r>
            <w:rPr>
              <w:rFonts w:hint="eastAsia"/>
              <w:highlight w:val="none"/>
              <w:lang w:val="en-US" w:eastAsia="zh-CN"/>
            </w:rPr>
            <w:fldChar w:fldCharType="end"/>
          </w:r>
        </w:p>
        <w:p>
          <w:pPr>
            <w:pStyle w:val="18"/>
            <w:tabs>
              <w:tab w:val="right" w:leader="dot" w:pos="8845"/>
            </w:tabs>
            <w:spacing w:line="360" w:lineRule="auto"/>
            <w:rPr>
              <w:highlight w:val="none"/>
            </w:rPr>
          </w:pPr>
          <w:r>
            <w:rPr>
              <w:rFonts w:hint="eastAsia"/>
              <w:highlight w:val="none"/>
              <w:lang w:val="en-US" w:eastAsia="zh-CN"/>
            </w:rPr>
            <w:fldChar w:fldCharType="begin"/>
          </w:r>
          <w:r>
            <w:rPr>
              <w:rFonts w:hint="eastAsia"/>
              <w:highlight w:val="none"/>
              <w:lang w:val="en-US" w:eastAsia="zh-CN"/>
            </w:rPr>
            <w:instrText xml:space="preserve"> HYPERLINK \l _Toc12433 </w:instrText>
          </w:r>
          <w:r>
            <w:rPr>
              <w:rFonts w:hint="eastAsia"/>
              <w:highlight w:val="none"/>
              <w:lang w:val="en-US" w:eastAsia="zh-CN"/>
            </w:rPr>
            <w:fldChar w:fldCharType="separate"/>
          </w:r>
          <w:r>
            <w:rPr>
              <w:rFonts w:hint="eastAsia" w:ascii="楷体_GB2312" w:hAnsi="楷体_GB2312" w:eastAsia="楷体_GB2312" w:cs="楷体_GB2312"/>
              <w:szCs w:val="32"/>
              <w:highlight w:val="none"/>
              <w:lang w:val="en-US" w:eastAsia="zh-CN"/>
            </w:rPr>
            <w:t>（二）政府采购情况</w:t>
          </w:r>
          <w:r>
            <w:rPr>
              <w:highlight w:val="none"/>
            </w:rPr>
            <w:tab/>
          </w:r>
          <w:r>
            <w:rPr>
              <w:highlight w:val="none"/>
            </w:rPr>
            <w:fldChar w:fldCharType="begin"/>
          </w:r>
          <w:r>
            <w:rPr>
              <w:highlight w:val="none"/>
            </w:rPr>
            <w:instrText xml:space="preserve"> PAGEREF _Toc12433 \h </w:instrText>
          </w:r>
          <w:r>
            <w:rPr>
              <w:highlight w:val="none"/>
            </w:rPr>
            <w:fldChar w:fldCharType="separate"/>
          </w:r>
          <w:r>
            <w:rPr>
              <w:highlight w:val="none"/>
            </w:rPr>
            <w:t>6</w:t>
          </w:r>
          <w:r>
            <w:rPr>
              <w:highlight w:val="none"/>
            </w:rPr>
            <w:fldChar w:fldCharType="end"/>
          </w:r>
          <w:r>
            <w:rPr>
              <w:rFonts w:hint="eastAsia"/>
              <w:highlight w:val="none"/>
              <w:lang w:val="en-US" w:eastAsia="zh-CN"/>
            </w:rPr>
            <w:fldChar w:fldCharType="end"/>
          </w:r>
        </w:p>
        <w:p>
          <w:pPr>
            <w:pStyle w:val="18"/>
            <w:tabs>
              <w:tab w:val="right" w:leader="dot" w:pos="8845"/>
            </w:tabs>
            <w:spacing w:line="360" w:lineRule="auto"/>
            <w:rPr>
              <w:highlight w:val="none"/>
            </w:rPr>
          </w:pPr>
          <w:r>
            <w:rPr>
              <w:rFonts w:hint="eastAsia"/>
              <w:highlight w:val="none"/>
              <w:lang w:val="en-US" w:eastAsia="zh-CN"/>
            </w:rPr>
            <w:fldChar w:fldCharType="begin"/>
          </w:r>
          <w:r>
            <w:rPr>
              <w:rFonts w:hint="eastAsia"/>
              <w:highlight w:val="none"/>
              <w:lang w:val="en-US" w:eastAsia="zh-CN"/>
            </w:rPr>
            <w:instrText xml:space="preserve"> HYPERLINK \l _Toc3502 </w:instrText>
          </w:r>
          <w:r>
            <w:rPr>
              <w:rFonts w:hint="eastAsia"/>
              <w:highlight w:val="none"/>
              <w:lang w:val="en-US" w:eastAsia="zh-CN"/>
            </w:rPr>
            <w:fldChar w:fldCharType="separate"/>
          </w:r>
          <w:r>
            <w:rPr>
              <w:rFonts w:hint="eastAsia" w:ascii="楷体_GB2312" w:hAnsi="楷体_GB2312" w:eastAsia="楷体_GB2312" w:cs="楷体_GB2312"/>
              <w:szCs w:val="32"/>
              <w:highlight w:val="none"/>
              <w:lang w:val="en-US" w:eastAsia="zh-CN"/>
            </w:rPr>
            <w:t>（三）国有资产占有使用情况</w:t>
          </w:r>
          <w:r>
            <w:rPr>
              <w:highlight w:val="none"/>
            </w:rPr>
            <w:tab/>
          </w:r>
          <w:r>
            <w:rPr>
              <w:highlight w:val="none"/>
            </w:rPr>
            <w:fldChar w:fldCharType="begin"/>
          </w:r>
          <w:r>
            <w:rPr>
              <w:highlight w:val="none"/>
            </w:rPr>
            <w:instrText xml:space="preserve"> PAGEREF _Toc3502 \h </w:instrText>
          </w:r>
          <w:r>
            <w:rPr>
              <w:highlight w:val="none"/>
            </w:rPr>
            <w:fldChar w:fldCharType="separate"/>
          </w:r>
          <w:r>
            <w:rPr>
              <w:highlight w:val="none"/>
            </w:rPr>
            <w:t>6</w:t>
          </w:r>
          <w:r>
            <w:rPr>
              <w:highlight w:val="none"/>
            </w:rPr>
            <w:fldChar w:fldCharType="end"/>
          </w:r>
          <w:r>
            <w:rPr>
              <w:rFonts w:hint="eastAsia"/>
              <w:highlight w:val="none"/>
              <w:lang w:val="en-US" w:eastAsia="zh-CN"/>
            </w:rPr>
            <w:fldChar w:fldCharType="end"/>
          </w:r>
        </w:p>
        <w:p>
          <w:pPr>
            <w:pStyle w:val="18"/>
            <w:tabs>
              <w:tab w:val="right" w:leader="dot" w:pos="8845"/>
            </w:tabs>
            <w:spacing w:line="360" w:lineRule="auto"/>
            <w:rPr>
              <w:highlight w:val="none"/>
            </w:rPr>
          </w:pPr>
          <w:r>
            <w:rPr>
              <w:rFonts w:hint="eastAsia"/>
              <w:highlight w:val="none"/>
              <w:lang w:val="en-US" w:eastAsia="zh-CN"/>
            </w:rPr>
            <w:fldChar w:fldCharType="begin"/>
          </w:r>
          <w:r>
            <w:rPr>
              <w:rFonts w:hint="eastAsia"/>
              <w:highlight w:val="none"/>
              <w:lang w:val="en-US" w:eastAsia="zh-CN"/>
            </w:rPr>
            <w:instrText xml:space="preserve"> HYPERLINK \l _Toc2669 </w:instrText>
          </w:r>
          <w:r>
            <w:rPr>
              <w:rFonts w:hint="eastAsia"/>
              <w:highlight w:val="none"/>
              <w:lang w:val="en-US" w:eastAsia="zh-CN"/>
            </w:rPr>
            <w:fldChar w:fldCharType="separate"/>
          </w:r>
          <w:r>
            <w:rPr>
              <w:rFonts w:hint="eastAsia" w:ascii="楷体_GB2312" w:hAnsi="楷体_GB2312" w:eastAsia="楷体_GB2312" w:cs="楷体_GB2312"/>
              <w:szCs w:val="32"/>
              <w:highlight w:val="none"/>
              <w:lang w:val="en-US" w:eastAsia="zh-CN"/>
            </w:rPr>
            <w:t>（四）绩效目标设置情况</w:t>
          </w:r>
          <w:r>
            <w:rPr>
              <w:highlight w:val="none"/>
            </w:rPr>
            <w:tab/>
          </w:r>
          <w:r>
            <w:rPr>
              <w:highlight w:val="none"/>
            </w:rPr>
            <w:fldChar w:fldCharType="begin"/>
          </w:r>
          <w:r>
            <w:rPr>
              <w:highlight w:val="none"/>
            </w:rPr>
            <w:instrText xml:space="preserve"> PAGEREF _Toc2669 \h </w:instrText>
          </w:r>
          <w:r>
            <w:rPr>
              <w:highlight w:val="none"/>
            </w:rPr>
            <w:fldChar w:fldCharType="separate"/>
          </w:r>
          <w:r>
            <w:rPr>
              <w:highlight w:val="none"/>
            </w:rPr>
            <w:t>6</w:t>
          </w:r>
          <w:r>
            <w:rPr>
              <w:highlight w:val="none"/>
            </w:rPr>
            <w:fldChar w:fldCharType="end"/>
          </w:r>
          <w:r>
            <w:rPr>
              <w:rFonts w:hint="eastAsia"/>
              <w:highlight w:val="none"/>
              <w:lang w:val="en-US" w:eastAsia="zh-CN"/>
            </w:rPr>
            <w:fldChar w:fldCharType="end"/>
          </w:r>
        </w:p>
        <w:p>
          <w:pPr>
            <w:pStyle w:val="17"/>
            <w:tabs>
              <w:tab w:val="right" w:leader="dot" w:pos="8845"/>
            </w:tabs>
            <w:spacing w:line="360" w:lineRule="auto"/>
            <w:rPr>
              <w:b/>
              <w:highlight w:val="none"/>
            </w:rPr>
          </w:pPr>
          <w:r>
            <w:rPr>
              <w:rFonts w:hint="eastAsia"/>
              <w:b/>
              <w:highlight w:val="none"/>
              <w:lang w:val="en-US" w:eastAsia="zh-CN"/>
            </w:rPr>
            <w:fldChar w:fldCharType="begin"/>
          </w:r>
          <w:r>
            <w:rPr>
              <w:rFonts w:hint="eastAsia"/>
              <w:b/>
              <w:highlight w:val="none"/>
              <w:lang w:val="en-US" w:eastAsia="zh-CN"/>
            </w:rPr>
            <w:instrText xml:space="preserve"> HYPERLINK \l _Toc14297 </w:instrText>
          </w:r>
          <w:r>
            <w:rPr>
              <w:rFonts w:hint="eastAsia"/>
              <w:b/>
              <w:highlight w:val="none"/>
              <w:lang w:val="en-US" w:eastAsia="zh-CN"/>
            </w:rPr>
            <w:fldChar w:fldCharType="separate"/>
          </w:r>
          <w:r>
            <w:rPr>
              <w:rFonts w:hint="eastAsia" w:ascii="黑体" w:hAnsi="黑体" w:eastAsia="黑体" w:cs="黑体"/>
              <w:b/>
              <w:szCs w:val="32"/>
              <w:highlight w:val="none"/>
              <w:lang w:val="en-US" w:eastAsia="zh-CN"/>
            </w:rPr>
            <w:t>十一、名词解释</w:t>
          </w:r>
          <w:r>
            <w:rPr>
              <w:b/>
              <w:highlight w:val="none"/>
            </w:rPr>
            <w:tab/>
          </w:r>
          <w:r>
            <w:rPr>
              <w:b/>
              <w:highlight w:val="none"/>
            </w:rPr>
            <w:fldChar w:fldCharType="begin"/>
          </w:r>
          <w:r>
            <w:rPr>
              <w:b/>
              <w:highlight w:val="none"/>
            </w:rPr>
            <w:instrText xml:space="preserve"> PAGEREF _Toc14297 \h </w:instrText>
          </w:r>
          <w:r>
            <w:rPr>
              <w:b/>
              <w:highlight w:val="none"/>
            </w:rPr>
            <w:fldChar w:fldCharType="separate"/>
          </w:r>
          <w:r>
            <w:rPr>
              <w:b/>
              <w:highlight w:val="none"/>
            </w:rPr>
            <w:t>7</w:t>
          </w:r>
          <w:r>
            <w:rPr>
              <w:b/>
              <w:highlight w:val="none"/>
            </w:rPr>
            <w:fldChar w:fldCharType="end"/>
          </w:r>
          <w:r>
            <w:rPr>
              <w:rFonts w:hint="eastAsia"/>
              <w:b/>
              <w:highlight w:val="none"/>
              <w:lang w:val="en-US" w:eastAsia="zh-CN"/>
            </w:rPr>
            <w:fldChar w:fldCharType="end"/>
          </w:r>
        </w:p>
        <w:p>
          <w:pPr>
            <w:pStyle w:val="10"/>
            <w:spacing w:line="360" w:lineRule="auto"/>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pPr>
          <w:r>
            <w:rPr>
              <w:rFonts w:hint="eastAsia"/>
              <w:b/>
              <w:highlight w:val="none"/>
              <w:lang w:val="en-US" w:eastAsia="zh-CN"/>
            </w:rPr>
            <w:fldChar w:fldCharType="end"/>
          </w:r>
        </w:p>
      </w:sdtContent>
    </w:sdt>
    <w:p>
      <w:pPr>
        <w:pStyle w:val="11"/>
        <w:keepNext w:val="0"/>
        <w:keepLines w:val="0"/>
        <w:widowControl/>
        <w:suppressLineNumbers w:val="0"/>
        <w:pBdr>
          <w:top w:val="none" w:color="auto" w:sz="0" w:space="0"/>
          <w:left w:val="none" w:color="auto" w:sz="0" w:space="0"/>
          <w:bottom w:val="none" w:color="auto" w:sz="0" w:space="0"/>
          <w:right w:val="none" w:color="auto" w:sz="0" w:space="0"/>
        </w:pBdr>
        <w:shd w:val="clear" w:color="auto"/>
        <w:spacing w:before="130" w:beforeAutospacing="0" w:after="0" w:afterAutospacing="0" w:line="580" w:lineRule="atLeast"/>
        <w:ind w:right="0"/>
        <w:jc w:val="both"/>
        <w:rPr>
          <w:rFonts w:hint="eastAsia" w:ascii="宋体" w:hAnsi="宋体" w:eastAsia="宋体" w:cs="宋体"/>
          <w:i w:val="0"/>
          <w:caps w:val="0"/>
          <w:color w:val="000000" w:themeColor="text1"/>
          <w:spacing w:val="0"/>
          <w:kern w:val="0"/>
          <w:sz w:val="28"/>
          <w:szCs w:val="28"/>
          <w:highlight w:val="none"/>
          <w:shd w:val="clear" w:color="auto" w:fill="FFFFFF"/>
          <w:lang w:val="en-US" w:eastAsia="zh-CN" w:bidi="ar"/>
          <w14:textFill>
            <w14:solidFill>
              <w14:schemeClr w14:val="tx1"/>
            </w14:solidFill>
          </w14:textFill>
        </w:rPr>
        <w:sectPr>
          <w:pgSz w:w="11906" w:h="16838"/>
          <w:pgMar w:top="2098" w:right="1474" w:bottom="1984" w:left="1587" w:header="720" w:footer="1559" w:gutter="0"/>
          <w:pgNumType w:fmt="decimal"/>
          <w:cols w:space="720" w:num="1"/>
          <w:docGrid w:type="lines" w:linePitch="312" w:charSpace="0"/>
        </w:sect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 w:name="_Toc8317"/>
      <w:bookmarkStart w:id="3" w:name="_Toc3298"/>
      <w:r>
        <w:rPr>
          <w:rFonts w:hint="eastAsia" w:ascii="黑体" w:hAnsi="黑体" w:eastAsia="黑体" w:cs="黑体"/>
          <w:sz w:val="32"/>
          <w:szCs w:val="32"/>
          <w:lang w:val="en-US" w:eastAsia="zh-CN"/>
        </w:rPr>
        <w:t>一、基本职能及主要工作</w:t>
      </w:r>
      <w:bookmarkEnd w:id="2"/>
      <w:bookmarkEnd w:id="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4" w:name="_Toc19330"/>
      <w:bookmarkStart w:id="5" w:name="_Toc26798"/>
      <w:r>
        <w:rPr>
          <w:rFonts w:hint="eastAsia" w:ascii="楷体_GB2312" w:hAnsi="楷体_GB2312" w:eastAsia="楷体_GB2312" w:cs="楷体_GB2312"/>
          <w:sz w:val="32"/>
          <w:szCs w:val="32"/>
        </w:rPr>
        <w:t>（一）</w:t>
      </w:r>
      <w:r>
        <w:rPr>
          <w:rFonts w:hint="eastAsia" w:ascii="楷体_GB2312" w:hAnsi="楷体_GB2312" w:eastAsia="楷体_GB2312" w:cs="楷体_GB2312"/>
          <w:sz w:val="32"/>
          <w:szCs w:val="32"/>
          <w:lang w:val="en-US" w:eastAsia="zh-CN"/>
        </w:rPr>
        <w:t>广元日报社</w:t>
      </w:r>
      <w:r>
        <w:rPr>
          <w:rFonts w:hint="eastAsia" w:ascii="楷体_GB2312" w:hAnsi="楷体_GB2312" w:eastAsia="楷体_GB2312" w:cs="楷体_GB2312"/>
          <w:sz w:val="32"/>
          <w:szCs w:val="32"/>
        </w:rPr>
        <w:t>职能简介</w:t>
      </w:r>
      <w:bookmarkEnd w:id="4"/>
      <w:bookmarkEnd w:id="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日报社为市委直属正县级公益二类事业单位。主要职能职责为：传播新闻和其他信息，负责广元日报、广元广播电视报等报纸的出版、印刷、发行，广元新闻网及所属新媒体的运营，广告经营、新闻研究、培训、业务交流等，促进地方社会经济文化发展。</w:t>
      </w:r>
    </w:p>
    <w:p>
      <w:pPr>
        <w:keepNext w:val="0"/>
        <w:keepLines w:val="0"/>
        <w:pageBreakBefore w:val="0"/>
        <w:widowControl w:val="0"/>
        <w:numPr>
          <w:ilvl w:val="0"/>
          <w:numId w:val="1"/>
        </w:numPr>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rPr>
      </w:pPr>
      <w:bookmarkStart w:id="6" w:name="_Toc22431"/>
      <w:bookmarkStart w:id="7" w:name="_Toc11451"/>
      <w:r>
        <w:rPr>
          <w:rFonts w:hint="eastAsia" w:ascii="楷体_GB2312" w:hAnsi="楷体_GB2312" w:eastAsia="楷体_GB2312" w:cs="楷体_GB2312"/>
          <w:sz w:val="32"/>
          <w:szCs w:val="32"/>
          <w:lang w:val="en-US" w:eastAsia="zh-CN"/>
        </w:rPr>
        <w:t>广元日报社</w:t>
      </w:r>
      <w:r>
        <w:rPr>
          <w:rFonts w:hint="eastAsia" w:ascii="楷体_GB2312" w:hAnsi="楷体_GB2312" w:eastAsia="楷体_GB2312" w:cs="楷体_GB2312"/>
          <w:sz w:val="32"/>
          <w:szCs w:val="32"/>
          <w:lang w:val="en-US"/>
        </w:rPr>
        <w:t>2024</w:t>
      </w:r>
      <w:r>
        <w:rPr>
          <w:rFonts w:hint="eastAsia" w:ascii="楷体_GB2312" w:hAnsi="楷体_GB2312" w:eastAsia="楷体_GB2312" w:cs="楷体_GB2312"/>
          <w:sz w:val="32"/>
          <w:szCs w:val="32"/>
        </w:rPr>
        <w:t>年重点工作</w:t>
      </w:r>
      <w:bookmarkEnd w:id="6"/>
      <w:bookmarkEnd w:id="7"/>
    </w:p>
    <w:p>
      <w:pPr>
        <w:pStyle w:val="10"/>
        <w:shd w:val="clear"/>
        <w:ind w:left="0" w:leftChars="0" w:firstLine="642" w:firstLineChars="200"/>
        <w:rPr>
          <w:rFonts w:hint="eastAsia" w:ascii="仿宋_GB2312" w:eastAsia="仿宋_GB2312"/>
          <w:sz w:val="32"/>
          <w:szCs w:val="32"/>
        </w:rPr>
      </w:pPr>
      <w:r>
        <w:rPr>
          <w:rFonts w:hint="eastAsia" w:ascii="仿宋_GB2312" w:eastAsia="仿宋_GB2312"/>
          <w:b/>
          <w:sz w:val="32"/>
          <w:szCs w:val="32"/>
        </w:rPr>
        <w:t>一是强化党建引领。</w:t>
      </w:r>
      <w:r>
        <w:rPr>
          <w:rFonts w:hint="eastAsia" w:ascii="仿宋_GB2312" w:eastAsia="仿宋_GB2312"/>
          <w:sz w:val="32"/>
          <w:szCs w:val="32"/>
          <w:lang w:eastAsia="zh-CN"/>
        </w:rPr>
        <w:t>持续加强理论武装，强化政治引领，</w:t>
      </w:r>
      <w:r>
        <w:rPr>
          <w:rFonts w:hint="eastAsia" w:ascii="仿宋_GB2312" w:eastAsia="仿宋_GB2312"/>
          <w:sz w:val="32"/>
          <w:szCs w:val="32"/>
        </w:rPr>
        <w:t>统筹抓好党的建设、意识形态、党风廉政建设和反腐败、驻村帮扶等各项工作，特别要</w:t>
      </w:r>
      <w:r>
        <w:rPr>
          <w:rFonts w:hint="eastAsia" w:ascii="仿宋_GB2312" w:eastAsia="仿宋_GB2312"/>
          <w:sz w:val="32"/>
          <w:szCs w:val="32"/>
          <w:lang w:eastAsia="zh-CN"/>
        </w:rPr>
        <w:t>抓好主题教育</w:t>
      </w:r>
      <w:r>
        <w:rPr>
          <w:rFonts w:hint="eastAsia" w:ascii="仿宋_GB2312" w:eastAsia="仿宋_GB2312"/>
          <w:sz w:val="32"/>
          <w:szCs w:val="32"/>
        </w:rPr>
        <w:t>。</w:t>
      </w:r>
    </w:p>
    <w:p>
      <w:pPr>
        <w:pStyle w:val="10"/>
        <w:shd w:val="clear"/>
        <w:ind w:left="0" w:leftChars="0" w:firstLine="642" w:firstLineChars="200"/>
        <w:rPr>
          <w:rFonts w:hint="eastAsia" w:ascii="仿宋_GB2312" w:eastAsia="仿宋_GB2312"/>
          <w:sz w:val="32"/>
          <w:szCs w:val="32"/>
        </w:rPr>
      </w:pPr>
      <w:r>
        <w:rPr>
          <w:rFonts w:hint="eastAsia" w:ascii="仿宋_GB2312" w:eastAsia="仿宋_GB2312"/>
          <w:b/>
          <w:sz w:val="32"/>
          <w:szCs w:val="32"/>
        </w:rPr>
        <w:t>二是坚持内容为王。</w:t>
      </w:r>
      <w:r>
        <w:rPr>
          <w:rFonts w:hint="eastAsia" w:ascii="仿宋_GB2312" w:eastAsia="仿宋_GB2312"/>
          <w:sz w:val="32"/>
          <w:szCs w:val="32"/>
          <w:lang w:eastAsia="zh-CN"/>
        </w:rPr>
        <w:t>持续抓好习近平来川来广视察重要指示精神学习宣传，积极</w:t>
      </w:r>
      <w:r>
        <w:rPr>
          <w:rFonts w:hint="eastAsia" w:ascii="仿宋_GB2312" w:eastAsia="仿宋_GB2312"/>
          <w:sz w:val="32"/>
          <w:szCs w:val="32"/>
        </w:rPr>
        <w:t>做好中央、省、市重大会议报道和市委重点工作的舆论引导，全媒体平台集中推出一批影响力大、覆盖面广、传播层级深的重大策划，倾心唱响广元正面强音。</w:t>
      </w:r>
    </w:p>
    <w:p>
      <w:pPr>
        <w:pStyle w:val="10"/>
        <w:shd w:val="clear"/>
        <w:ind w:left="0" w:leftChars="0" w:firstLine="642" w:firstLineChars="200"/>
        <w:rPr>
          <w:rFonts w:hint="eastAsia" w:ascii="仿宋_GB2312" w:eastAsia="仿宋_GB2312"/>
          <w:sz w:val="32"/>
          <w:szCs w:val="32"/>
        </w:rPr>
      </w:pPr>
      <w:r>
        <w:rPr>
          <w:rFonts w:hint="eastAsia" w:ascii="仿宋_GB2312" w:eastAsia="仿宋_GB2312"/>
          <w:b/>
          <w:sz w:val="32"/>
          <w:szCs w:val="32"/>
        </w:rPr>
        <w:t>三是推动融合发展。</w:t>
      </w:r>
      <w:r>
        <w:rPr>
          <w:rFonts w:hint="eastAsia" w:ascii="仿宋_GB2312" w:eastAsia="仿宋_GB2312"/>
          <w:sz w:val="32"/>
          <w:szCs w:val="32"/>
        </w:rPr>
        <w:t>加速推动内容、渠道、平台、经营、管理等深度融合，</w:t>
      </w:r>
      <w:r>
        <w:rPr>
          <w:rFonts w:hint="eastAsia" w:ascii="仿宋_GB2312" w:eastAsia="仿宋_GB2312"/>
          <w:sz w:val="32"/>
          <w:szCs w:val="32"/>
          <w:lang w:eastAsia="zh-CN"/>
        </w:rPr>
        <w:t>持续推动媒体深度融合</w:t>
      </w:r>
      <w:r>
        <w:rPr>
          <w:rFonts w:hint="eastAsia" w:ascii="仿宋_GB2312" w:eastAsia="仿宋_GB2312"/>
          <w:sz w:val="32"/>
          <w:szCs w:val="32"/>
        </w:rPr>
        <w:t>，落地落实建设新型市级主流媒体各项工作。</w:t>
      </w:r>
    </w:p>
    <w:p>
      <w:pPr>
        <w:pStyle w:val="10"/>
        <w:shd w:val="clear"/>
        <w:ind w:left="0" w:leftChars="0" w:firstLine="642" w:firstLineChars="200"/>
        <w:rPr>
          <w:rFonts w:hint="eastAsia" w:ascii="仿宋_GB2312" w:eastAsia="仿宋_GB2312"/>
          <w:color w:val="000000"/>
          <w:sz w:val="32"/>
          <w:szCs w:val="32"/>
        </w:rPr>
      </w:pPr>
      <w:r>
        <w:rPr>
          <w:rFonts w:hint="eastAsia" w:ascii="仿宋_GB2312" w:eastAsia="仿宋_GB2312"/>
          <w:b/>
          <w:sz w:val="32"/>
          <w:szCs w:val="32"/>
        </w:rPr>
        <w:t>四是拓宽经营业务。</w:t>
      </w:r>
      <w:r>
        <w:rPr>
          <w:rFonts w:hint="eastAsia" w:ascii="仿宋_GB2312" w:eastAsia="仿宋_GB2312"/>
          <w:color w:val="000000"/>
          <w:sz w:val="32"/>
          <w:szCs w:val="32"/>
        </w:rPr>
        <w:t>加强对“看广元”APP</w:t>
      </w:r>
      <w:r>
        <w:rPr>
          <w:rFonts w:hint="eastAsia" w:ascii="仿宋_GB2312" w:eastAsia="仿宋_GB2312"/>
          <w:color w:val="000000"/>
          <w:sz w:val="32"/>
          <w:szCs w:val="32"/>
          <w:lang w:eastAsia="zh-CN"/>
        </w:rPr>
        <w:t>推广</w:t>
      </w:r>
      <w:r>
        <w:rPr>
          <w:rFonts w:hint="eastAsia" w:ascii="仿宋_GB2312" w:eastAsia="仿宋_GB2312"/>
          <w:color w:val="000000"/>
          <w:sz w:val="32"/>
          <w:szCs w:val="32"/>
        </w:rPr>
        <w:t>、微信公众号经营业务开发</w:t>
      </w:r>
      <w:r>
        <w:rPr>
          <w:rFonts w:hint="eastAsia" w:ascii="仿宋_GB2312" w:eastAsia="仿宋_GB2312"/>
          <w:color w:val="000000"/>
          <w:sz w:val="32"/>
          <w:szCs w:val="32"/>
          <w:lang w:eastAsia="zh-CN"/>
        </w:rPr>
        <w:t>，积</w:t>
      </w:r>
      <w:r>
        <w:rPr>
          <w:rFonts w:hint="eastAsia" w:ascii="仿宋_GB2312" w:eastAsia="仿宋_GB2312"/>
          <w:color w:val="000000"/>
          <w:sz w:val="32"/>
          <w:szCs w:val="32"/>
        </w:rPr>
        <w:t>极探索与市内知名企业合作，代理商品销售，促进报社经营多元创收；主动出击，与市县党政机关、企事业单位主动对接，代为运营维护政务新媒体；积极争取全市大型现场活动的主办权，扩大影响力和增强创收能力。</w:t>
      </w:r>
    </w:p>
    <w:p>
      <w:pPr>
        <w:pStyle w:val="10"/>
        <w:shd w:val="clear"/>
        <w:ind w:left="0" w:leftChars="0" w:firstLine="642" w:firstLineChars="200"/>
        <w:rPr>
          <w:rFonts w:hint="eastAsia" w:ascii="黑体" w:hAnsi="黑体" w:eastAsia="黑体" w:cs="黑体"/>
          <w:sz w:val="32"/>
          <w:szCs w:val="32"/>
          <w:lang w:val="en-US" w:eastAsia="zh-CN"/>
        </w:rPr>
      </w:pPr>
      <w:r>
        <w:rPr>
          <w:rFonts w:hint="eastAsia" w:ascii="仿宋_GB2312" w:eastAsia="仿宋_GB2312"/>
          <w:b/>
          <w:sz w:val="32"/>
          <w:szCs w:val="32"/>
        </w:rPr>
        <w:t>五是建强人才队伍。</w:t>
      </w:r>
      <w:r>
        <w:rPr>
          <w:rFonts w:hint="eastAsia" w:ascii="仿宋_GB2312" w:eastAsia="仿宋_GB2312"/>
          <w:sz w:val="32"/>
          <w:szCs w:val="32"/>
        </w:rPr>
        <w:t>结合媒体行业实际，深化“四力”教育实践，强化</w:t>
      </w:r>
      <w:r>
        <w:rPr>
          <w:rFonts w:hint="eastAsia" w:ascii="仿宋_GB2312" w:eastAsia="仿宋_GB2312"/>
          <w:color w:val="000000"/>
          <w:sz w:val="32"/>
          <w:szCs w:val="32"/>
          <w:shd w:val="clear" w:color="auto" w:fill="FFFFFF"/>
        </w:rPr>
        <w:t>新闻业务培训，提高新闻报道质量。</w:t>
      </w:r>
      <w:r>
        <w:rPr>
          <w:rFonts w:hint="eastAsia" w:ascii="仿宋_GB2312" w:eastAsia="仿宋_GB2312"/>
          <w:sz w:val="32"/>
          <w:szCs w:val="32"/>
        </w:rPr>
        <w:t>强化干部选拔使用工作，</w:t>
      </w:r>
      <w:r>
        <w:rPr>
          <w:rFonts w:hint="eastAsia" w:ascii="仿宋_GB2312" w:eastAsia="仿宋_GB2312"/>
          <w:color w:val="000000"/>
          <w:sz w:val="32"/>
          <w:szCs w:val="32"/>
          <w:shd w:val="clear" w:color="auto" w:fill="FFFFFF"/>
        </w:rPr>
        <w:t>建立</w:t>
      </w:r>
      <w:r>
        <w:rPr>
          <w:rFonts w:hint="eastAsia" w:ascii="仿宋_GB2312" w:eastAsia="仿宋_GB2312"/>
          <w:sz w:val="32"/>
          <w:szCs w:val="32"/>
        </w:rPr>
        <w:t>首席制、领衔制、骨干制等岗位聘用制度，加大引进、招聘复合型人才的力度，打造一支政治过硬、本领高强、求实创新、能打胜仗的新闻宣传队伍。</w:t>
      </w:r>
    </w:p>
    <w:p>
      <w:pPr>
        <w:keepNext w:val="0"/>
        <w:keepLines w:val="0"/>
        <w:pageBreakBefore w:val="0"/>
        <w:widowControl w:val="0"/>
        <w:numPr>
          <w:ilvl w:val="0"/>
          <w:numId w:val="0"/>
        </w:numPr>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8" w:name="_Toc28647"/>
      <w:bookmarkStart w:id="9" w:name="_Toc27514"/>
      <w:r>
        <w:rPr>
          <w:rFonts w:hint="eastAsia" w:ascii="黑体" w:hAnsi="黑体" w:eastAsia="黑体" w:cs="黑体"/>
          <w:sz w:val="32"/>
          <w:szCs w:val="32"/>
          <w:lang w:val="en-US" w:eastAsia="zh-CN"/>
        </w:rPr>
        <w:t>二、部门预算单位构成</w:t>
      </w:r>
      <w:bookmarkEnd w:id="8"/>
      <w:bookmarkEnd w:id="9"/>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广元日报社无下属二级预算单位，仅包含日报社本级。</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0" w:name="_Toc2247"/>
      <w:bookmarkStart w:id="11" w:name="_Toc5842"/>
      <w:r>
        <w:rPr>
          <w:rFonts w:hint="eastAsia" w:ascii="黑体" w:hAnsi="黑体" w:eastAsia="黑体" w:cs="黑体"/>
          <w:sz w:val="32"/>
          <w:szCs w:val="32"/>
          <w:lang w:val="en-US" w:eastAsia="zh-CN"/>
        </w:rPr>
        <w:t>三、收支预算情况说明</w:t>
      </w:r>
      <w:bookmarkEnd w:id="10"/>
      <w:bookmarkEnd w:id="1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按照综合预算的原则，广元日报社所有收入和支出均纳入部门预算管理。收入包括：一般公共预算拨款收入；支出包括：文化旅游体育与传媒支出、社会保障和就业支出、卫生健康支出、住房保障支出。广元日报社2024年收支总预算2744.47万元，比2023年收支预算总数增加2.79万元，主要原因是2023年度考核奖年初未纳入预算和人员减少。</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2" w:name="_Toc1348"/>
      <w:bookmarkStart w:id="13" w:name="_Toc4648"/>
      <w:r>
        <w:rPr>
          <w:rFonts w:hint="eastAsia" w:ascii="楷体_GB2312" w:hAnsi="楷体_GB2312" w:eastAsia="楷体_GB2312" w:cs="楷体_GB2312"/>
          <w:sz w:val="32"/>
          <w:szCs w:val="32"/>
          <w:lang w:val="en-US" w:eastAsia="zh-CN"/>
        </w:rPr>
        <w:t>（一）收入预算情况</w:t>
      </w:r>
      <w:bookmarkEnd w:id="12"/>
      <w:bookmarkEnd w:id="1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广元日报社2024年收入预算2744.47万元，其中：一般公共预算拨款收入2744.47万元，占100%。</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14" w:name="_Toc18547"/>
      <w:bookmarkStart w:id="15" w:name="_Toc14577"/>
      <w:r>
        <w:rPr>
          <w:rFonts w:hint="eastAsia" w:ascii="楷体_GB2312" w:hAnsi="楷体_GB2312" w:eastAsia="楷体_GB2312" w:cs="楷体_GB2312"/>
          <w:sz w:val="32"/>
          <w:szCs w:val="32"/>
          <w:lang w:val="en-US" w:eastAsia="zh-CN"/>
        </w:rPr>
        <w:t>（二）支出预算情况</w:t>
      </w:r>
      <w:bookmarkEnd w:id="14"/>
      <w:bookmarkEnd w:id="1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广元日报社2024年支出预算2744.47万元，其中：基本支出1466.24万元，占53.43%；项目支出1278.23万元，占46.57%。</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16" w:name="_Toc28558"/>
      <w:bookmarkStart w:id="17" w:name="_Toc763"/>
      <w:r>
        <w:rPr>
          <w:rFonts w:hint="eastAsia" w:ascii="黑体" w:hAnsi="黑体" w:eastAsia="黑体" w:cs="黑体"/>
          <w:sz w:val="32"/>
          <w:szCs w:val="32"/>
          <w:lang w:val="en-US" w:eastAsia="zh-CN"/>
        </w:rPr>
        <w:t>四、财政拨款收支预算情况说明</w:t>
      </w:r>
      <w:bookmarkEnd w:id="16"/>
      <w:bookmarkEnd w:id="1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广元日报社2024年收支总预算2744.47万元，比2023年收支预算总数增加2.79万元，主要原因是2023年度考核奖年初未纳入预算和人员减少。</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收入包括：本年一般公共预算拨款收入2744.47万元。支出包括：文化旅游体育与传媒支出2397.03万元、社会保障和就业支出188.33万元、卫生健康支出44.53万元、住房保障支出114.58万元。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18" w:name="_Toc10940"/>
      <w:bookmarkStart w:id="19" w:name="_Toc32026"/>
      <w:r>
        <w:rPr>
          <w:rFonts w:hint="eastAsia" w:ascii="黑体" w:hAnsi="黑体" w:eastAsia="黑体" w:cs="黑体"/>
          <w:sz w:val="32"/>
          <w:szCs w:val="32"/>
          <w:lang w:val="en-US" w:eastAsia="zh-CN"/>
        </w:rPr>
        <w:t>五、一般公共预算当年拨款情况说明</w:t>
      </w:r>
      <w:bookmarkEnd w:id="18"/>
      <w:bookmarkEnd w:id="19"/>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0" w:name="_Toc3011"/>
      <w:bookmarkStart w:id="21" w:name="_Toc8280"/>
      <w:r>
        <w:rPr>
          <w:rFonts w:hint="eastAsia" w:ascii="楷体_GB2312" w:hAnsi="楷体_GB2312" w:eastAsia="楷体_GB2312" w:cs="楷体_GB2312"/>
          <w:sz w:val="32"/>
          <w:szCs w:val="32"/>
          <w:lang w:val="en-US" w:eastAsia="zh-CN"/>
        </w:rPr>
        <w:t>（一）一般公共预算当年拨款规模变化情况</w:t>
      </w:r>
      <w:bookmarkEnd w:id="20"/>
      <w:bookmarkEnd w:id="2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广元日报2024年一般公共预算当年拨款2744.47万元，比2023年预算总数增加2.79万元，主要原因是年度考核奖年初未纳入预算和人员减少。</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2" w:name="_Toc15745"/>
      <w:bookmarkStart w:id="23" w:name="_Toc14888"/>
      <w:r>
        <w:rPr>
          <w:rFonts w:hint="eastAsia" w:ascii="楷体_GB2312" w:hAnsi="楷体_GB2312" w:eastAsia="楷体_GB2312" w:cs="楷体_GB2312"/>
          <w:sz w:val="32"/>
          <w:szCs w:val="32"/>
          <w:lang w:val="en-US" w:eastAsia="zh-CN"/>
        </w:rPr>
        <w:t>（二）一般公共预算当年拨款结构情况</w:t>
      </w:r>
      <w:bookmarkEnd w:id="22"/>
      <w:bookmarkEnd w:id="2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文化旅游体育与传媒支出2397.03万元，占87.34%；社会保障和就业支出188.33万元，占6.86%；卫生健康支出44.53万元，占1.62%；住房保障支出114.58万元，占4.18%。</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24" w:name="_Toc20924"/>
      <w:bookmarkStart w:id="25" w:name="_Toc27532"/>
      <w:r>
        <w:rPr>
          <w:rFonts w:hint="eastAsia" w:ascii="楷体_GB2312" w:hAnsi="楷体_GB2312" w:eastAsia="楷体_GB2312" w:cs="楷体_GB2312"/>
          <w:sz w:val="32"/>
          <w:szCs w:val="32"/>
          <w:lang w:val="en-US" w:eastAsia="zh-CN"/>
        </w:rPr>
        <w:t>（三）一般公共预算当年拨款具体使用情况</w:t>
      </w:r>
      <w:bookmarkEnd w:id="24"/>
      <w:bookmarkEnd w:id="2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文化旅游体育与传媒支出（类）新闻出版电影（款）出版发行（项）2024年预算数为2397.03万元，主要用于：基本工资、绩效工资、津贴补贴、奖金、其他工资福利支出、办公费、咨询费、电费、水费、邮电费、物业管理费、差旅费、维修（护）费、会议费、培训费、公务接待费、劳务费、工会经费、福利费、公务用车运行维护费、其他交通费、党建经费、退休人员活动费、对个人和家庭的补助、其他商品和服务支出等。</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2.社会保障和就业支出（类）行政事业单位养老支出（款）机关事业单位基本养老保险缴费支出（项）2024年预算数为136.32万元，主要用于：实施养老保险制度由单位缴纳的基本养老保险支出。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3.社会保障和就业（类）行政事业单位养老支出（款）机关事业单位职业年金缴费支出（项）2024年预算数为47.50万元，主要用于：实施养老保险制度由单位缴纳的职业年金支出。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default"/>
          <w:lang w:val="en-US" w:eastAsia="zh-CN"/>
        </w:rPr>
      </w:pPr>
      <w:r>
        <w:rPr>
          <w:rFonts w:hint="eastAsia" w:ascii="仿宋_GB2312" w:hAnsi="仿宋_GB2312" w:eastAsia="仿宋_GB2312" w:cs="仿宋_GB2312"/>
          <w:sz w:val="32"/>
          <w:szCs w:val="32"/>
          <w:lang w:val="en-US" w:eastAsia="zh-CN"/>
        </w:rPr>
        <w:t>4.社会保障和就业（类）其他社会保障和就业支出（款）其他社会保障和就业支出（项）2024年预算数为4.51万元，主要用于：按规定由单位缴纳的其他社会保障和就业支出。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5.卫生健康（类）行政事业单位医疗（款）事业单位医疗（项）2024年预算数为44.53万元，主要用于：按规定由单位缴纳的基本医疗保险支出。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sz w:val="32"/>
          <w:szCs w:val="32"/>
          <w:lang w:val="en-US" w:eastAsia="zh-CN"/>
        </w:rPr>
        <w:t>6.住房保障（类）住房改革支出（款）住房公积金（项）2024年预算数为114.58万元，主要用于：按规定由单位缴纳的住房公积金支出。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6" w:name="_Toc32407"/>
      <w:bookmarkStart w:id="27" w:name="_Toc24789"/>
      <w:r>
        <w:rPr>
          <w:rFonts w:hint="eastAsia" w:ascii="黑体" w:hAnsi="黑体" w:eastAsia="黑体" w:cs="黑体"/>
          <w:sz w:val="32"/>
          <w:szCs w:val="32"/>
          <w:lang w:val="en-US" w:eastAsia="zh-CN"/>
        </w:rPr>
        <w:t>六、一般公共预算基本支出情况说明</w:t>
      </w:r>
      <w:bookmarkEnd w:id="26"/>
      <w:bookmarkEnd w:id="2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广元日报社2024年一般公共预算基本支出1466.24万元，其中：</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人员经费1319.29万元，主要包括：基本工资、津贴补贴、奖金、绩效工资、机关事业单位基本养老保险缴费、职业年金缴费、职工基本医疗保险缴费、其他社会保障缴费、住房公积金、生活补助等支出。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sz w:val="32"/>
          <w:szCs w:val="32"/>
          <w:lang w:val="en-US" w:eastAsia="zh-CN"/>
        </w:rPr>
        <w:t>公用经费146.96万元，主要包括：办公费、咨询费、水费、电费、物业管理费、差旅费、培训费、公务接待费、劳务费、工会经费、福利费、公务用车运行维护费、其他交通费用、其他商品和服务支出等支出。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28" w:name="_Toc25434"/>
      <w:bookmarkStart w:id="29" w:name="_Toc30972"/>
      <w:r>
        <w:rPr>
          <w:rFonts w:hint="eastAsia" w:ascii="黑体" w:hAnsi="黑体" w:eastAsia="黑体" w:cs="黑体"/>
          <w:sz w:val="32"/>
          <w:szCs w:val="32"/>
          <w:lang w:val="en-US" w:eastAsia="zh-CN"/>
        </w:rPr>
        <w:t>七、“三公”经费财政拨款预算安排情况说明</w:t>
      </w:r>
      <w:bookmarkEnd w:id="28"/>
      <w:bookmarkEnd w:id="29"/>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广元日报社2024年“三公”经费财政拨款预算数12万元，其中：公务接待费3.5万元，公务用车购置及运行维护费8.5万元，因公出国（境）经费0万元。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0" w:name="_Toc21198"/>
      <w:bookmarkStart w:id="31" w:name="_Toc13226"/>
      <w:r>
        <w:rPr>
          <w:rFonts w:hint="eastAsia" w:ascii="楷体_GB2312" w:hAnsi="楷体_GB2312" w:eastAsia="楷体_GB2312" w:cs="楷体_GB2312"/>
          <w:sz w:val="32"/>
          <w:szCs w:val="32"/>
          <w:lang w:val="en-US" w:eastAsia="zh-CN"/>
        </w:rPr>
        <w:t>（一）公务接待费</w:t>
      </w:r>
      <w:bookmarkEnd w:id="30"/>
      <w:bookmarkEnd w:id="3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公务接待费与2023年预算相比减少0.5万元，下降12.5%。主要原因是与上年支出相比适当调整。</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2024年公务接待费计划用于执行接待考察调研、检查指导等公务活动开支的交通费、住宿费、用餐费等。</w:t>
      </w:r>
    </w:p>
    <w:p>
      <w:pPr>
        <w:keepNext w:val="0"/>
        <w:keepLines w:val="0"/>
        <w:pageBreakBefore w:val="0"/>
        <w:widowControl w:val="0"/>
        <w:numPr>
          <w:ilvl w:val="0"/>
          <w:numId w:val="2"/>
        </w:numPr>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32" w:name="_Toc30906"/>
      <w:bookmarkStart w:id="33" w:name="_Toc19480"/>
      <w:r>
        <w:rPr>
          <w:rFonts w:hint="eastAsia" w:ascii="楷体_GB2312" w:hAnsi="楷体_GB2312" w:eastAsia="楷体_GB2312" w:cs="楷体_GB2312"/>
          <w:sz w:val="32"/>
          <w:szCs w:val="32"/>
          <w:lang w:val="en-US" w:eastAsia="zh-CN"/>
        </w:rPr>
        <w:t>公务用车购置及运行维护费</w:t>
      </w:r>
      <w:bookmarkEnd w:id="32"/>
      <w:bookmarkEnd w:id="33"/>
    </w:p>
    <w:p>
      <w:pPr>
        <w:keepNext w:val="0"/>
        <w:keepLines w:val="0"/>
        <w:pageBreakBefore w:val="0"/>
        <w:widowControl w:val="0"/>
        <w:numPr>
          <w:ilvl w:val="0"/>
          <w:numId w:val="0"/>
        </w:numPr>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lang w:val="en-US" w:eastAsia="zh-CN"/>
        </w:rPr>
        <w:t>公务用车购置及运行维护费与2023年预算相比增加0.5万元，增长6.25%。主要原因是</w:t>
      </w:r>
      <w:r>
        <w:rPr>
          <w:rFonts w:hint="eastAsia" w:ascii="仿宋_GB2312" w:hAnsi="仿宋_GB2312" w:eastAsia="仿宋_GB2312" w:cs="仿宋_GB2312"/>
          <w:sz w:val="32"/>
          <w:szCs w:val="32"/>
          <w:highlight w:val="none"/>
          <w:u w:val="none"/>
          <w:lang w:val="en-US" w:eastAsia="zh-CN"/>
        </w:rPr>
        <w:t>车龄长大修增加。</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单位现有公务用车2辆，其中：轿车1辆，越野车1辆。2024年无公务用车购置计划。</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2024年安排公务用车运行维护费8.5万元，用于2辆公务用车燃油、过路（桥）、维修、保险费等支出，主要保障重大宣传采访、大型活动策划、因公外出等用车。</w:t>
      </w:r>
    </w:p>
    <w:p>
      <w:pPr>
        <w:keepNext w:val="0"/>
        <w:keepLines w:val="0"/>
        <w:pageBreakBefore w:val="0"/>
        <w:widowControl w:val="0"/>
        <w:shd w:val="clear"/>
        <w:kinsoku/>
        <w:wordWrap/>
        <w:overflowPunct/>
        <w:topLinePunct w:val="0"/>
        <w:autoSpaceDE/>
        <w:autoSpaceDN/>
        <w:bidi w:val="0"/>
        <w:adjustRightInd/>
        <w:snapToGrid/>
        <w:spacing w:line="576" w:lineRule="exact"/>
        <w:textAlignment w:val="auto"/>
        <w:outlineLvl w:val="1"/>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bookmarkStart w:id="34" w:name="_Toc12846"/>
      <w:bookmarkStart w:id="35" w:name="_Toc17208"/>
      <w:r>
        <w:rPr>
          <w:rFonts w:hint="eastAsia" w:ascii="仿宋_GB2312" w:hAnsi="仿宋_GB2312" w:eastAsia="仿宋_GB2312" w:cs="仿宋_GB2312"/>
          <w:sz w:val="32"/>
          <w:szCs w:val="32"/>
          <w:lang w:val="en-US" w:eastAsia="zh-CN"/>
        </w:rPr>
        <w:t>（</w:t>
      </w:r>
      <w:r>
        <w:rPr>
          <w:rFonts w:hint="eastAsia" w:ascii="楷体_GB2312" w:hAnsi="楷体_GB2312" w:eastAsia="楷体_GB2312" w:cs="楷体_GB2312"/>
          <w:sz w:val="32"/>
          <w:szCs w:val="32"/>
          <w:lang w:val="en-US" w:eastAsia="zh-CN"/>
        </w:rPr>
        <w:t>三）因公出国（境）经费</w:t>
      </w:r>
      <w:bookmarkEnd w:id="34"/>
      <w:bookmarkEnd w:id="3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因公出国（境）经费与2023年预算持平，未安排预算资金。</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36" w:name="_Toc18188"/>
      <w:bookmarkStart w:id="37" w:name="_Toc29719"/>
      <w:r>
        <w:rPr>
          <w:rFonts w:hint="eastAsia" w:ascii="黑体" w:hAnsi="黑体" w:eastAsia="黑体" w:cs="黑体"/>
          <w:sz w:val="32"/>
          <w:szCs w:val="32"/>
          <w:lang w:val="en-US" w:eastAsia="zh-CN"/>
        </w:rPr>
        <w:t>八、政府性基金预算支出情况说明</w:t>
      </w:r>
      <w:bookmarkEnd w:id="36"/>
      <w:bookmarkEnd w:id="3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广元日报社2024年无政府性基金预算拨款安排的支出。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lang w:val="en-US" w:eastAsia="zh-CN"/>
        </w:rPr>
      </w:pPr>
      <w:bookmarkStart w:id="38" w:name="_Toc2817"/>
      <w:bookmarkStart w:id="39" w:name="_Toc2407"/>
      <w:r>
        <w:rPr>
          <w:rFonts w:hint="eastAsia" w:ascii="黑体" w:hAnsi="黑体" w:eastAsia="黑体" w:cs="黑体"/>
          <w:sz w:val="32"/>
          <w:szCs w:val="32"/>
          <w:lang w:val="en-US" w:eastAsia="zh-CN"/>
        </w:rPr>
        <w:t>九、国有资本经营预算支出情况说明</w:t>
      </w:r>
      <w:bookmarkEnd w:id="38"/>
      <w:bookmarkEnd w:id="39"/>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广元日报社2024年无国有资本经营预算拨款安排的支出。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40" w:name="_Toc31233"/>
      <w:bookmarkStart w:id="41" w:name="_Toc31877"/>
      <w:r>
        <w:rPr>
          <w:rFonts w:hint="eastAsia" w:ascii="黑体" w:hAnsi="黑体" w:eastAsia="黑体" w:cs="黑体"/>
          <w:sz w:val="32"/>
          <w:szCs w:val="32"/>
          <w:lang w:val="en-US" w:eastAsia="zh-CN"/>
        </w:rPr>
        <w:t>十、其他重要事项的情况说明</w:t>
      </w:r>
      <w:bookmarkEnd w:id="40"/>
      <w:bookmarkEnd w:id="41"/>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42" w:name="_Toc18825"/>
      <w:bookmarkStart w:id="43" w:name="_Toc29885"/>
      <w:r>
        <w:rPr>
          <w:rFonts w:hint="eastAsia" w:ascii="楷体_GB2312" w:hAnsi="楷体_GB2312" w:eastAsia="楷体_GB2312" w:cs="楷体_GB2312"/>
          <w:sz w:val="32"/>
          <w:szCs w:val="32"/>
          <w:lang w:val="en-US" w:eastAsia="zh-CN"/>
        </w:rPr>
        <w:t>（一）机关运行经费</w:t>
      </w:r>
      <w:bookmarkEnd w:id="42"/>
      <w:bookmarkEnd w:id="4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广元日报社为事业单位，按规定未使用机关运行的相关科目。</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44" w:name="_Toc12433"/>
      <w:bookmarkStart w:id="45" w:name="_Toc17539"/>
      <w:r>
        <w:rPr>
          <w:rFonts w:hint="eastAsia" w:ascii="楷体_GB2312" w:hAnsi="楷体_GB2312" w:eastAsia="楷体_GB2312" w:cs="楷体_GB2312"/>
          <w:sz w:val="32"/>
          <w:szCs w:val="32"/>
          <w:lang w:val="en-US" w:eastAsia="zh-CN"/>
        </w:rPr>
        <w:t>（二）政府采购情况</w:t>
      </w:r>
      <w:bookmarkEnd w:id="44"/>
      <w:bookmarkEnd w:id="45"/>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2024年，广元日报社安排政府采购预算0.55万元，其中：政府采购货物预算0.55万元。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lang w:val="en-US" w:eastAsia="zh-CN"/>
        </w:rPr>
      </w:pPr>
      <w:bookmarkStart w:id="46" w:name="_Toc3502"/>
      <w:bookmarkStart w:id="47" w:name="_Toc4014"/>
      <w:r>
        <w:rPr>
          <w:rFonts w:hint="eastAsia" w:ascii="楷体_GB2312" w:hAnsi="楷体_GB2312" w:eastAsia="楷体_GB2312" w:cs="楷体_GB2312"/>
          <w:sz w:val="32"/>
          <w:szCs w:val="32"/>
          <w:lang w:val="en-US" w:eastAsia="zh-CN"/>
        </w:rPr>
        <w:t>（三）国有资产占有使用情况</w:t>
      </w:r>
      <w:bookmarkEnd w:id="46"/>
      <w:bookmarkEnd w:id="47"/>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截至2023年底，广元日报社共有车辆2辆，其中，其他公务用车2辆。单位无价值200万元以上的大型设备。</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2024年部门预算未安排购置车辆及单位价值200万元以上大型设备。</w:t>
      </w:r>
      <w:bookmarkStart w:id="53" w:name="_GoBack"/>
      <w:bookmarkEnd w:id="53"/>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1"/>
        <w:rPr>
          <w:rFonts w:hint="eastAsia" w:ascii="楷体_GB2312" w:hAnsi="楷体_GB2312" w:eastAsia="楷体_GB2312" w:cs="楷体_GB2312"/>
          <w:sz w:val="32"/>
          <w:szCs w:val="32"/>
          <w:highlight w:val="none"/>
        </w:rPr>
      </w:pPr>
      <w:bookmarkStart w:id="48" w:name="_Toc2669"/>
      <w:bookmarkStart w:id="49" w:name="_Toc20327"/>
      <w:r>
        <w:rPr>
          <w:rFonts w:hint="eastAsia" w:ascii="楷体_GB2312" w:hAnsi="楷体_GB2312" w:eastAsia="楷体_GB2312" w:cs="楷体_GB2312"/>
          <w:sz w:val="32"/>
          <w:szCs w:val="32"/>
          <w:highlight w:val="none"/>
          <w:lang w:val="en-US" w:eastAsia="zh-CN"/>
        </w:rPr>
        <w:t>（四）绩效目标设置情况</w:t>
      </w:r>
      <w:bookmarkEnd w:id="48"/>
      <w:bookmarkEnd w:id="49"/>
    </w:p>
    <w:p>
      <w:pPr>
        <w:shd w:val="clear"/>
        <w:bidi w:val="0"/>
        <w:ind w:firstLine="640" w:firstLineChars="20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2024年广元日报社开展绩效目标管理的项目13个，涉及预算2744.47万元。其中：人员类项目6个，涉及预算 1319.29万元；运转类项目3个，涉及预算146.96万元；特定目标类项目4个，涉及预算1278.23万元。</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outlineLvl w:val="0"/>
        <w:rPr>
          <w:rFonts w:hint="eastAsia" w:ascii="黑体" w:hAnsi="黑体" w:eastAsia="黑体" w:cs="黑体"/>
          <w:sz w:val="32"/>
          <w:szCs w:val="32"/>
        </w:rPr>
      </w:pPr>
      <w:bookmarkStart w:id="50" w:name="_Toc14297"/>
      <w:bookmarkStart w:id="51" w:name="_Toc31356"/>
      <w:r>
        <w:rPr>
          <w:rFonts w:hint="eastAsia" w:ascii="黑体" w:hAnsi="黑体" w:eastAsia="黑体" w:cs="黑体"/>
          <w:sz w:val="32"/>
          <w:szCs w:val="32"/>
          <w:lang w:val="en-US" w:eastAsia="zh-CN"/>
        </w:rPr>
        <w:t>十一、名词解释</w:t>
      </w:r>
      <w:bookmarkEnd w:id="50"/>
      <w:bookmarkEnd w:id="51"/>
    </w:p>
    <w:p>
      <w:pPr>
        <w:numPr>
          <w:ilvl w:val="0"/>
          <w:numId w:val="3"/>
        </w:numPr>
        <w:shd w:val="clear"/>
        <w:bidi w:val="0"/>
        <w:ind w:left="0" w:leftChars="0" w:firstLine="420" w:firstLineChars="0"/>
        <w:outlineLvl w:val="1"/>
        <w:rPr>
          <w:rFonts w:hint="eastAsia" w:ascii="仿宋_GB2312" w:hAnsi="仿宋_GB2312" w:eastAsia="仿宋_GB2312" w:cs="仿宋_GB2312"/>
          <w:sz w:val="32"/>
          <w:szCs w:val="32"/>
          <w:lang w:val="en-US" w:eastAsia="zh-CN"/>
        </w:rPr>
      </w:pPr>
      <w:bookmarkStart w:id="52" w:name="_Toc25798"/>
      <w:r>
        <w:rPr>
          <w:rFonts w:hint="eastAsia" w:ascii="仿宋_GB2312" w:hAnsi="仿宋_GB2312" w:eastAsia="仿宋_GB2312" w:cs="仿宋_GB2312"/>
          <w:sz w:val="32"/>
          <w:szCs w:val="32"/>
          <w:lang w:val="en-US" w:eastAsia="zh-CN"/>
        </w:rPr>
        <w:t>一般公共预算拨款收入：指市级财政当年拨付的资金。</w:t>
      </w:r>
      <w:bookmarkEnd w:id="52"/>
    </w:p>
    <w:p>
      <w:pPr>
        <w:numPr>
          <w:ilvl w:val="0"/>
          <w:numId w:val="3"/>
        </w:numPr>
        <w:shd w:val="clear"/>
        <w:bidi w:val="0"/>
        <w:ind w:left="0" w:leftChars="0" w:firstLine="420" w:firstLine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文化旅游体育与传媒支出（类）新闻出版电影（款）出版发行（项）：指反映政府在新闻出版等方面的支出。</w:t>
      </w:r>
    </w:p>
    <w:p>
      <w:pPr>
        <w:numPr>
          <w:ilvl w:val="0"/>
          <w:numId w:val="3"/>
        </w:numPr>
        <w:shd w:val="clear"/>
        <w:bidi w:val="0"/>
        <w:ind w:left="0" w:leftChars="0" w:firstLine="420" w:firstLine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社会保障和就业（类）行政事业单位养老支出（款）机关事业单位基本养老保险缴费支出（项）：指部门实施养老保险制度由单位缴纳的养老保险的支出。</w:t>
      </w:r>
    </w:p>
    <w:p>
      <w:pPr>
        <w:numPr>
          <w:ilvl w:val="0"/>
          <w:numId w:val="3"/>
        </w:numPr>
        <w:shd w:val="clear"/>
        <w:bidi w:val="0"/>
        <w:ind w:left="0" w:leftChars="0" w:firstLine="420" w:firstLine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社会保障和就业（类）行政事业单位养老支出（款）对机关事业单位职业年金的补助（项）：指部门实施养老保险制度由单位缴纳的职业年金的支出。</w:t>
      </w:r>
    </w:p>
    <w:p>
      <w:pPr>
        <w:numPr>
          <w:ilvl w:val="0"/>
          <w:numId w:val="3"/>
        </w:numPr>
        <w:shd w:val="clear"/>
        <w:bidi w:val="0"/>
        <w:ind w:left="0" w:leftChars="0" w:firstLine="420" w:firstLine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社会保障和就业（类）其他社会保障和就业支出（款）其他社会保障和就业支出（项）：指部门实施养老保险制度缴纳单位缴纳的生育、工伤保险和失业保险支出。　</w:t>
      </w:r>
    </w:p>
    <w:p>
      <w:pPr>
        <w:numPr>
          <w:ilvl w:val="0"/>
          <w:numId w:val="3"/>
        </w:numPr>
        <w:shd w:val="clear"/>
        <w:bidi w:val="0"/>
        <w:ind w:left="0" w:leftChars="0" w:firstLine="420" w:firstLine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卫生健康（类）行政事业单位医疗（款）事业单位医疗（项）：指事业单位用于单位应缴纳基本医疗保险支出。</w:t>
      </w:r>
    </w:p>
    <w:p>
      <w:pPr>
        <w:numPr>
          <w:ilvl w:val="0"/>
          <w:numId w:val="3"/>
        </w:numPr>
        <w:shd w:val="clear"/>
        <w:bidi w:val="0"/>
        <w:ind w:left="0" w:leftChars="0" w:firstLine="420" w:firstLine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住房保障（类）住房改革支出（款）住房公积金（项）：指按照《住房公积金管理条例》的规定，由单位及其在职职工缴存的长期住房储金。</w:t>
      </w:r>
    </w:p>
    <w:p>
      <w:pPr>
        <w:numPr>
          <w:ilvl w:val="0"/>
          <w:numId w:val="3"/>
        </w:numPr>
        <w:shd w:val="clear"/>
        <w:bidi w:val="0"/>
        <w:ind w:left="0" w:leftChars="0" w:firstLine="420" w:firstLine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基本支出：指为保证机构正常运转，完成日常工作任务而发生的人员支出和公用支出。</w:t>
      </w:r>
    </w:p>
    <w:p>
      <w:pPr>
        <w:numPr>
          <w:ilvl w:val="0"/>
          <w:numId w:val="3"/>
        </w:numPr>
        <w:shd w:val="clear"/>
        <w:bidi w:val="0"/>
        <w:ind w:left="0" w:leftChars="0" w:firstLine="420" w:firstLineChars="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项目支出：指在基本支出之外为完成特定行政任务和事业发展目标所发生的支出。</w:t>
      </w:r>
    </w:p>
    <w:p>
      <w:pPr>
        <w:keepNext w:val="0"/>
        <w:keepLines w:val="0"/>
        <w:pageBreakBefore w:val="0"/>
        <w:widowControl w:val="0"/>
        <w:numPr>
          <w:ilvl w:val="0"/>
          <w:numId w:val="3"/>
        </w:numPr>
        <w:shd w:val="clear"/>
        <w:kinsoku/>
        <w:wordWrap/>
        <w:overflowPunct/>
        <w:topLinePunct w:val="0"/>
        <w:autoSpaceDE/>
        <w:autoSpaceDN/>
        <w:bidi w:val="0"/>
        <w:adjustRightInd/>
        <w:snapToGrid/>
        <w:spacing w:line="576" w:lineRule="exact"/>
        <w:ind w:left="0" w:leftChars="0" w:firstLine="420" w:firstLineChars="0"/>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公”经费：纳入部门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lang w:val="en-US" w:eastAsia="zh-CN"/>
        </w:rPr>
      </w:pPr>
    </w:p>
    <w:p>
      <w:pPr>
        <w:keepNext w:val="0"/>
        <w:keepLines w:val="0"/>
        <w:pageBreakBefore w:val="0"/>
        <w:widowControl w:val="0"/>
        <w:shd w:val="clear"/>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b/>
          <w:bCs/>
          <w:sz w:val="32"/>
          <w:szCs w:val="32"/>
          <w:lang w:eastAsia="zh-CN"/>
        </w:rPr>
      </w:pPr>
      <w:r>
        <w:rPr>
          <w:rFonts w:hint="eastAsia" w:ascii="仿宋_GB2312" w:hAnsi="仿宋_GB2312" w:eastAsia="仿宋_GB2312" w:cs="仿宋_GB2312"/>
          <w:sz w:val="32"/>
          <w:szCs w:val="32"/>
          <w:lang w:val="en-US" w:eastAsia="zh-CN"/>
        </w:rPr>
        <w:t>附件：部门预算公开表</w:t>
      </w:r>
    </w:p>
    <w:sectPr>
      <w:footerReference r:id="rId3" w:type="default"/>
      <w:pgSz w:w="11906" w:h="16838"/>
      <w:pgMar w:top="2098" w:right="1474" w:bottom="1984" w:left="1587" w:header="720" w:footer="1559"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FB" w:usb2="0000002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Lucida Sans"/>
    <w:panose1 w:val="020F0502020204030204"/>
    <w:charset w:val="00"/>
    <w:family w:val="swiss"/>
    <w:pitch w:val="default"/>
    <w:sig w:usb0="00000000" w:usb1="00000000" w:usb2="00000001" w:usb3="00000000" w:csb0="0000019F" w:csb1="00000000"/>
  </w:font>
  <w:font w:name="Lucida Sans">
    <w:panose1 w:val="020B0602030504020204"/>
    <w:charset w:val="00"/>
    <w:family w:val="auto"/>
    <w:pitch w:val="default"/>
    <w:sig w:usb0="00000000" w:usb1="00000000" w:usb2="00000000" w:usb3="00000000" w:csb0="00003F00" w:csb1="01000000"/>
  </w:font>
  <w:font w:name="楷体">
    <w:altName w:val="方正楷体_GBK"/>
    <w:panose1 w:val="02010609060101010101"/>
    <w:charset w:val="86"/>
    <w:family w:val="auto"/>
    <w:pitch w:val="default"/>
    <w:sig w:usb0="00000000" w:usb1="00000000" w:usb2="00000016" w:usb3="00000000" w:csb0="00040001" w:csb1="00000000"/>
  </w:font>
  <w:font w:name="方正楷体_GBK">
    <w:panose1 w:val="02000000000000000000"/>
    <w:charset w:val="86"/>
    <w:family w:val="auto"/>
    <w:pitch w:val="default"/>
    <w:sig w:usb0="00000001" w:usb1="08000000" w:usb2="00000000" w:usb3="00000000" w:csb0="00040000" w:csb1="00000000"/>
  </w:font>
  <w:font w:name="Liberation Sans">
    <w:panose1 w:val="020B0604020202020204"/>
    <w:charset w:val="00"/>
    <w:family w:val="swiss"/>
    <w:pitch w:val="default"/>
    <w:sig w:usb0="A00002AF" w:usb1="500078FB" w:usb2="00000000" w:usb3="00000000" w:csb0="6000009F" w:csb1="DFD70000"/>
  </w:font>
  <w:font w:name="Noto Sans CJK SC Regular">
    <w:panose1 w:val="020B0500000000000000"/>
    <w:charset w:val="86"/>
    <w:family w:val="auto"/>
    <w:pitch w:val="default"/>
    <w:sig w:usb0="30000003" w:usb1="2BDF3C10" w:usb2="00000016" w:usb3="00000000" w:csb0="602E0107" w:csb1="00000000"/>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modern"/>
    <w:pitch w:val="default"/>
    <w:sig w:usb0="00000000" w:usb1="00000000" w:usb2="00000016" w:usb3="00000000" w:csb0="00040001" w:csb1="00000000"/>
  </w:font>
  <w:font w:name="Comic Sans MS">
    <w:panose1 w:val="030F0702030302020204"/>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pPr>
                          <w:r>
                            <w:fldChar w:fldCharType="begin"/>
                          </w:r>
                          <w:r>
                            <w:instrText xml:space="preserve"> PAGE  \* MERGEFORMAT </w:instrText>
                          </w:r>
                          <w:r>
                            <w:fldChar w:fldCharType="separate"/>
                          </w:r>
                          <w:r>
                            <w:t>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">
              <v:fill on="f" focussize="0,0"/>
              <v:stroke on="f" weight="0.5pt"/>
              <v:imagedata o:title=""/>
              <o:lock v:ext="edit" aspectratio="f"/>
              <v:textbox inset="0mm,0mm,0mm,0mm" style="mso-fit-shape-to-text:t;">
                <w:txbxContent>
                  <w:p>
                    <w:pPr>
                      <w:pStyle w:val="7"/>
                    </w:pPr>
                    <w:r>
                      <w:fldChar w:fldCharType="begin"/>
                    </w:r>
                    <w:r>
                      <w:instrText xml:space="preserve"> PAGE  \* MERGEFORMAT </w:instrText>
                    </w:r>
                    <w:r>
                      <w:fldChar w:fldCharType="separate"/>
                    </w:r>
                    <w:r>
                      <w:t>2</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65C7A43"/>
    <w:multiLevelType w:val="singleLevel"/>
    <w:tmpl w:val="C65C7A43"/>
    <w:lvl w:ilvl="0" w:tentative="0">
      <w:start w:val="1"/>
      <w:numFmt w:val="chineseCounting"/>
      <w:suff w:val="nothing"/>
      <w:lvlText w:val="（%1）"/>
      <w:lvlJc w:val="left"/>
      <w:pPr>
        <w:ind w:left="0" w:firstLine="420"/>
      </w:pPr>
      <w:rPr>
        <w:rFonts w:hint="eastAsia"/>
      </w:rPr>
    </w:lvl>
  </w:abstractNum>
  <w:abstractNum w:abstractNumId="1">
    <w:nsid w:val="0CF328D9"/>
    <w:multiLevelType w:val="singleLevel"/>
    <w:tmpl w:val="0CF328D9"/>
    <w:lvl w:ilvl="0" w:tentative="0">
      <w:start w:val="2"/>
      <w:numFmt w:val="chineseCounting"/>
      <w:suff w:val="nothing"/>
      <w:lvlText w:val="（%1）"/>
      <w:lvlJc w:val="left"/>
      <w:rPr>
        <w:rFonts w:hint="eastAsia"/>
      </w:rPr>
    </w:lvl>
  </w:abstractNum>
  <w:abstractNum w:abstractNumId="2">
    <w:nsid w:val="5BFCE1D6"/>
    <w:multiLevelType w:val="singleLevel"/>
    <w:tmpl w:val="5BFCE1D6"/>
    <w:lvl w:ilvl="0" w:tentative="0">
      <w:start w:val="2"/>
      <w:numFmt w:val="chineseCounting"/>
      <w:suff w:val="nothing"/>
      <w:lvlText w:val="（%1）"/>
      <w:lvlJc w:val="left"/>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isplayBackgroundShape w:val="1"/>
  <w:embedTrueTypeFonts/>
  <w:saveSubset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1"/>
  <w:drawingGridVerticalSpacing w:val="1"/>
  <w:displayHorizontalDrawingGridEvery w:val="1"/>
  <w:displayVerticalDrawingGridEvery w:val="1"/>
  <w:doNotUseMarginsForDrawingGridOrigin w:val="1"/>
  <w:drawingGridHorizontalOrigin w:val="0"/>
  <w:drawingGridVerticalOrigin w:val="0"/>
  <w:noPunctuationKerning w:val="1"/>
  <w:characterSpacingControl w:val="compressPunctuation"/>
  <w:doNotValidateAgainstSchema/>
  <w:doNotDemarcateInvalidXml/>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000000"/>
    <w:rsid w:val="012352D1"/>
    <w:rsid w:val="01D152A8"/>
    <w:rsid w:val="02BC0A7B"/>
    <w:rsid w:val="05226C2F"/>
    <w:rsid w:val="05362C51"/>
    <w:rsid w:val="0622786B"/>
    <w:rsid w:val="07626C9B"/>
    <w:rsid w:val="08A51783"/>
    <w:rsid w:val="0C9870EE"/>
    <w:rsid w:val="0DD64694"/>
    <w:rsid w:val="0FBA55CD"/>
    <w:rsid w:val="11096883"/>
    <w:rsid w:val="11DA5AB3"/>
    <w:rsid w:val="12883761"/>
    <w:rsid w:val="13B810B9"/>
    <w:rsid w:val="190B2B65"/>
    <w:rsid w:val="1B3A6B29"/>
    <w:rsid w:val="1BA618D6"/>
    <w:rsid w:val="1C292F28"/>
    <w:rsid w:val="1F7BF06F"/>
    <w:rsid w:val="1FEE4B73"/>
    <w:rsid w:val="20140D2A"/>
    <w:rsid w:val="20D87EF1"/>
    <w:rsid w:val="21641C3A"/>
    <w:rsid w:val="21AC3DB3"/>
    <w:rsid w:val="23CE9849"/>
    <w:rsid w:val="25441769"/>
    <w:rsid w:val="274A3283"/>
    <w:rsid w:val="27A43656"/>
    <w:rsid w:val="292B244E"/>
    <w:rsid w:val="2A9444EB"/>
    <w:rsid w:val="2B41697A"/>
    <w:rsid w:val="2BBE1B4A"/>
    <w:rsid w:val="2BDB094E"/>
    <w:rsid w:val="2BDD431B"/>
    <w:rsid w:val="309D5057"/>
    <w:rsid w:val="31253703"/>
    <w:rsid w:val="31496359"/>
    <w:rsid w:val="321D4E26"/>
    <w:rsid w:val="325E3906"/>
    <w:rsid w:val="36485D02"/>
    <w:rsid w:val="36B61EC0"/>
    <w:rsid w:val="38051970"/>
    <w:rsid w:val="38D854C1"/>
    <w:rsid w:val="39F304DD"/>
    <w:rsid w:val="3ABE56C2"/>
    <w:rsid w:val="3B312C44"/>
    <w:rsid w:val="3B6153E4"/>
    <w:rsid w:val="3E3D5194"/>
    <w:rsid w:val="3F367F1D"/>
    <w:rsid w:val="42FA4AC8"/>
    <w:rsid w:val="47EA2934"/>
    <w:rsid w:val="488537DD"/>
    <w:rsid w:val="48982655"/>
    <w:rsid w:val="49E862B8"/>
    <w:rsid w:val="4AF726FA"/>
    <w:rsid w:val="4CA94424"/>
    <w:rsid w:val="4F9615EB"/>
    <w:rsid w:val="51703ACD"/>
    <w:rsid w:val="52AD009F"/>
    <w:rsid w:val="531C6FD2"/>
    <w:rsid w:val="54244390"/>
    <w:rsid w:val="54662A63"/>
    <w:rsid w:val="54D44008"/>
    <w:rsid w:val="56633896"/>
    <w:rsid w:val="58064E12"/>
    <w:rsid w:val="5BFEE015"/>
    <w:rsid w:val="5C0109E0"/>
    <w:rsid w:val="5C776994"/>
    <w:rsid w:val="5C7D31D8"/>
    <w:rsid w:val="5DE82DA0"/>
    <w:rsid w:val="60C82547"/>
    <w:rsid w:val="620D0B5A"/>
    <w:rsid w:val="63EDCF55"/>
    <w:rsid w:val="63FBFBCF"/>
    <w:rsid w:val="64154AF9"/>
    <w:rsid w:val="66310659"/>
    <w:rsid w:val="66456B14"/>
    <w:rsid w:val="669360FD"/>
    <w:rsid w:val="675E59B4"/>
    <w:rsid w:val="682F7047"/>
    <w:rsid w:val="68452CCF"/>
    <w:rsid w:val="68531116"/>
    <w:rsid w:val="68FF6A83"/>
    <w:rsid w:val="69337EA1"/>
    <w:rsid w:val="697C33F4"/>
    <w:rsid w:val="6A0523DD"/>
    <w:rsid w:val="6A731776"/>
    <w:rsid w:val="6BA0659B"/>
    <w:rsid w:val="6D196605"/>
    <w:rsid w:val="6D7478EE"/>
    <w:rsid w:val="6D786DC9"/>
    <w:rsid w:val="6E3F209B"/>
    <w:rsid w:val="6ECE06F6"/>
    <w:rsid w:val="6FBBC9CF"/>
    <w:rsid w:val="70DC715C"/>
    <w:rsid w:val="7173644E"/>
    <w:rsid w:val="72BDE561"/>
    <w:rsid w:val="742D29EC"/>
    <w:rsid w:val="75C15A8B"/>
    <w:rsid w:val="76F93003"/>
    <w:rsid w:val="78462278"/>
    <w:rsid w:val="797B6D4E"/>
    <w:rsid w:val="7997EA6C"/>
    <w:rsid w:val="7A2E1215"/>
    <w:rsid w:val="7AEAE675"/>
    <w:rsid w:val="7BAFCE5D"/>
    <w:rsid w:val="7C5D6902"/>
    <w:rsid w:val="7D46598C"/>
    <w:rsid w:val="7DB95359"/>
    <w:rsid w:val="7DFB240B"/>
    <w:rsid w:val="7E0935ED"/>
    <w:rsid w:val="7FCF2AF7"/>
    <w:rsid w:val="9FEF033D"/>
    <w:rsid w:val="A27FF1E5"/>
    <w:rsid w:val="AFDEB5A7"/>
    <w:rsid w:val="AFEA7FBF"/>
    <w:rsid w:val="B83F4767"/>
    <w:rsid w:val="BF930F07"/>
    <w:rsid w:val="BFCE8436"/>
    <w:rsid w:val="C3F7EB7A"/>
    <w:rsid w:val="CFF5FEEC"/>
    <w:rsid w:val="D3DD9064"/>
    <w:rsid w:val="D6F76A0C"/>
    <w:rsid w:val="D7ECE8D2"/>
    <w:rsid w:val="DFDD4FB5"/>
    <w:rsid w:val="E7F748B5"/>
    <w:rsid w:val="EE5F3713"/>
    <w:rsid w:val="EFC9D62C"/>
    <w:rsid w:val="F6BE9755"/>
    <w:rsid w:val="F6FFA89B"/>
    <w:rsid w:val="FAE4EFE1"/>
    <w:rsid w:val="FB9B6F12"/>
    <w:rsid w:val="FBB66A4A"/>
    <w:rsid w:val="FDEE6989"/>
    <w:rsid w:val="FEDA55AA"/>
    <w:rsid w:val="FF5E7DB8"/>
    <w:rsid w:val="FF77E367"/>
    <w:rsid w:val="FFD576EB"/>
    <w:rsid w:val="FFFBE8B7"/>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qFormat="1" w:unhideWhenUsed="0" w:uiPriority="99"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uppressAutoHyphens/>
      <w:bidi w:val="0"/>
      <w:jc w:val="both"/>
    </w:pPr>
    <w:rPr>
      <w:rFonts w:ascii="Calibri" w:hAnsi="Calibri" w:eastAsia="宋体" w:cs="Times New Roman"/>
      <w:color w:val="auto"/>
      <w:kern w:val="2"/>
      <w:sz w:val="21"/>
      <w:szCs w:val="24"/>
      <w:lang w:val="en-US" w:eastAsia="zh-CN" w:bidi="ar-SA"/>
    </w:rPr>
  </w:style>
  <w:style w:type="paragraph" w:styleId="5">
    <w:name w:val="heading 2"/>
    <w:basedOn w:val="1"/>
    <w:next w:val="1"/>
    <w:unhideWhenUsed/>
    <w:qFormat/>
    <w:uiPriority w:val="0"/>
    <w:pPr>
      <w:keepNext/>
      <w:keepLines/>
      <w:spacing w:beforeLines="0" w:beforeAutospacing="0" w:afterLines="0" w:afterAutospacing="0" w:line="576" w:lineRule="exact"/>
      <w:ind w:firstLine="880" w:firstLineChars="200"/>
      <w:outlineLvl w:val="1"/>
    </w:pPr>
    <w:rPr>
      <w:rFonts w:ascii="楷体" w:hAnsi="楷体" w:eastAsia="楷体"/>
    </w:rPr>
  </w:style>
  <w:style w:type="character" w:default="1" w:styleId="13">
    <w:name w:val="Default Paragraph Font"/>
    <w:qFormat/>
    <w:uiPriority w:val="0"/>
  </w:style>
  <w:style w:type="table" w:default="1" w:styleId="12">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ind w:firstLine="420" w:firstLineChars="200"/>
    </w:pPr>
  </w:style>
  <w:style w:type="paragraph" w:styleId="3">
    <w:name w:val="Body Text Indent"/>
    <w:basedOn w:val="1"/>
    <w:next w:val="4"/>
    <w:qFormat/>
    <w:uiPriority w:val="0"/>
    <w:pPr>
      <w:spacing w:line="600" w:lineRule="exact"/>
      <w:ind w:firstLine="640" w:firstLineChars="200"/>
    </w:pPr>
    <w:rPr>
      <w:rFonts w:ascii="仿宋_GB2312" w:hAnsi="Times New Roman" w:eastAsia="仿宋_GB2312"/>
      <w:sz w:val="32"/>
      <w:szCs w:val="24"/>
    </w:rPr>
  </w:style>
  <w:style w:type="paragraph" w:styleId="4">
    <w:name w:val="Body Text"/>
    <w:basedOn w:val="1"/>
    <w:next w:val="1"/>
    <w:qFormat/>
    <w:uiPriority w:val="0"/>
    <w:pPr>
      <w:spacing w:before="0" w:after="140" w:line="276" w:lineRule="auto"/>
    </w:pPr>
  </w:style>
  <w:style w:type="paragraph" w:styleId="6">
    <w:name w:val="caption"/>
    <w:basedOn w:val="1"/>
    <w:qFormat/>
    <w:uiPriority w:val="0"/>
    <w:pPr>
      <w:widowControl w:val="0"/>
      <w:suppressLineNumbers/>
      <w:suppressAutoHyphens/>
      <w:spacing w:before="120" w:after="120"/>
    </w:pPr>
    <w:rPr>
      <w:i/>
      <w:iCs/>
      <w:sz w:val="24"/>
      <w:szCs w:val="24"/>
    </w:rPr>
  </w:style>
  <w:style w:type="paragraph" w:styleId="7">
    <w:name w:val="footer"/>
    <w:basedOn w:val="1"/>
    <w:qFormat/>
    <w:uiPriority w:val="0"/>
    <w:pPr>
      <w:tabs>
        <w:tab w:val="center" w:pos="4153"/>
        <w:tab w:val="right" w:pos="8306"/>
      </w:tabs>
      <w:snapToGrid w:val="0"/>
      <w:jc w:val="left"/>
    </w:pPr>
    <w:rPr>
      <w:sz w:val="18"/>
    </w:rPr>
  </w:style>
  <w:style w:type="paragraph" w:styleId="8">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9">
    <w:name w:val="List"/>
    <w:basedOn w:val="4"/>
    <w:qFormat/>
    <w:uiPriority w:val="0"/>
  </w:style>
  <w:style w:type="paragraph" w:styleId="10">
    <w:name w:val="table of figures"/>
    <w:basedOn w:val="1"/>
    <w:next w:val="1"/>
    <w:semiHidden/>
    <w:qFormat/>
    <w:uiPriority w:val="99"/>
    <w:pPr>
      <w:ind w:left="200" w:leftChars="200" w:hanging="200" w:hangingChars="200"/>
    </w:pPr>
  </w:style>
  <w:style w:type="paragraph" w:styleId="11">
    <w:name w:val="Normal (Web)"/>
    <w:basedOn w:val="1"/>
    <w:qFormat/>
    <w:uiPriority w:val="0"/>
    <w:rPr>
      <w:sz w:val="24"/>
    </w:rPr>
  </w:style>
  <w:style w:type="character" w:customStyle="1" w:styleId="14">
    <w:name w:val="默认段落字体1"/>
    <w:qFormat/>
    <w:uiPriority w:val="0"/>
  </w:style>
  <w:style w:type="paragraph" w:customStyle="1" w:styleId="15">
    <w:name w:val="Heading"/>
    <w:basedOn w:val="1"/>
    <w:next w:val="4"/>
    <w:qFormat/>
    <w:uiPriority w:val="0"/>
    <w:pPr>
      <w:keepNext/>
      <w:widowControl w:val="0"/>
      <w:suppressAutoHyphens/>
      <w:spacing w:before="240" w:after="120"/>
    </w:pPr>
    <w:rPr>
      <w:rFonts w:ascii="Liberation Sans" w:hAnsi="Liberation Sans" w:eastAsia="Noto Sans CJK SC Regular" w:cs="Noto Sans CJK SC Regular"/>
      <w:sz w:val="28"/>
      <w:szCs w:val="28"/>
      <w:lang w:bidi="ar-SA"/>
    </w:rPr>
  </w:style>
  <w:style w:type="paragraph" w:customStyle="1" w:styleId="16">
    <w:name w:val="Index"/>
    <w:basedOn w:val="1"/>
    <w:qFormat/>
    <w:uiPriority w:val="0"/>
    <w:pPr>
      <w:widowControl w:val="0"/>
      <w:suppressLineNumbers/>
      <w:suppressAutoHyphens/>
    </w:pPr>
  </w:style>
  <w:style w:type="paragraph" w:customStyle="1" w:styleId="17">
    <w:name w:val="WPSOffice手动目录 1"/>
    <w:qFormat/>
    <w:uiPriority w:val="0"/>
    <w:pPr>
      <w:ind w:leftChars="0"/>
    </w:pPr>
    <w:rPr>
      <w:rFonts w:ascii="Times New Roman" w:hAnsi="Times New Roman" w:eastAsia="宋体" w:cs="Times New Roman"/>
      <w:sz w:val="20"/>
      <w:szCs w:val="20"/>
    </w:rPr>
  </w:style>
  <w:style w:type="paragraph" w:customStyle="1" w:styleId="18">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Office_11.8.2.1125_F1E327BC-269C-435d-A152-05C5408002CA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2018-11-29T17:47:00Z</dcterms:created>
  <dc:creator>admin</dc:creator>
  <cp:lastModifiedBy> </cp:lastModifiedBy>
  <dcterms:modified xsi:type="dcterms:W3CDTF">2024-02-18T10:47:57Z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2052-11.8.2.1125</vt:lpwstr>
  </property>
  <property fmtid="{D5CDD505-2E9C-101B-9397-08002B2CF9AE}" pid="3" name="ICV">
    <vt:lpwstr>96081F72B7444D3C8C1C7DDAED24732C_13</vt:lpwstr>
  </property>
</Properties>
</file>