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仿宋"/>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仿宋" w:hAnsi="仿宋" w:eastAsia="仿宋" w:cs="仿宋"/>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广元市林业局</w:t>
      </w:r>
    </w:p>
    <w:p>
      <w:pPr>
        <w:jc w:val="center"/>
        <w:rPr>
          <w:rFonts w:hint="eastAsia" w:ascii="仿宋" w:hAnsi="仿宋" w:eastAsia="仿宋" w:cs="仿宋"/>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sectPr>
          <w:footerReference r:id="rId3" w:type="default"/>
          <w:pgSz w:w="11906" w:h="16838"/>
          <w:pgMar w:top="2098" w:right="1474" w:bottom="1984" w:left="1587" w:header="720" w:footer="1559" w:gutter="0"/>
          <w:pgNumType w:fmt="decimal"/>
          <w:cols w:space="720" w:num="1"/>
          <w:docGrid w:type="lines" w:linePitch="312" w:charSpace="0"/>
        </w:sectPr>
      </w:pPr>
      <w:r>
        <w:rPr>
          <w:rFonts w:hint="eastAsia" w:ascii="仿宋" w:hAnsi="仿宋" w:eastAsia="仿宋" w:cs="仿宋"/>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2024年部门预算编制说明</w:t>
      </w:r>
    </w:p>
    <w:p>
      <w:pPr>
        <w:pStyle w:val="2"/>
        <w:rPr>
          <w:rFonts w:hint="eastAsia"/>
          <w:lang w:val="en-US" w:eastAsia="zh-CN"/>
        </w:rPr>
      </w:pPr>
    </w:p>
    <w:sdt>
      <w:sdtPr>
        <w:rPr>
          <w:rFonts w:ascii="宋体" w:hAnsi="宋体" w:eastAsia="宋体" w:cs="Times New Roman"/>
          <w:color w:val="auto"/>
          <w:kern w:val="2"/>
          <w:sz w:val="21"/>
          <w:szCs w:val="24"/>
          <w:lang w:val="en-US" w:eastAsia="zh-CN" w:bidi="ar-SA"/>
        </w:rPr>
        <w:id w:val="147472150"/>
        <w15:color w:val="DBDBDB"/>
        <w:docPartObj>
          <w:docPartGallery w:val="Table of Contents"/>
          <w:docPartUnique/>
        </w:docPartObj>
      </w:sdtPr>
      <w:sdtEndPr>
        <w:rPr>
          <w:rFonts w:hint="eastAsia" w:ascii="仿宋" w:hAnsi="仿宋" w:eastAsia="仿宋" w:cs="仿宋"/>
          <w:b/>
          <w:color w:val="auto"/>
          <w:kern w:val="2"/>
          <w:sz w:val="21"/>
          <w:szCs w:val="32"/>
          <w:lang w:val="en-US" w:eastAsia="zh-CN" w:bidi="ar-SA"/>
        </w:rPr>
      </w:sdtEndPr>
      <w:sdtContent>
        <w:p>
          <w:pPr>
            <w:keepNext w:val="0"/>
            <w:keepLines w:val="0"/>
            <w:pageBreakBefore w:val="0"/>
            <w:widowControl w:val="0"/>
            <w:kinsoku/>
            <w:wordWrap/>
            <w:overflowPunct/>
            <w:topLinePunct w:val="0"/>
            <w:autoSpaceDE/>
            <w:autoSpaceDN/>
            <w:bidi w:val="0"/>
            <w:adjustRightInd/>
            <w:snapToGrid/>
            <w:spacing w:before="0" w:beforeLines="0" w:after="0" w:afterLines="0" w:line="440" w:lineRule="exact"/>
            <w:ind w:left="0" w:leftChars="0" w:right="0" w:rightChars="0" w:firstLine="0" w:firstLineChars="0"/>
            <w:jc w:val="center"/>
            <w:textAlignment w:val="auto"/>
          </w:pPr>
          <w:r>
            <w:rPr>
              <w:rFonts w:ascii="宋体" w:hAnsi="宋体" w:eastAsia="宋体"/>
              <w:sz w:val="21"/>
            </w:rPr>
            <w:t>目录</w:t>
          </w:r>
        </w:p>
        <w:p>
          <w:pPr>
            <w:pStyle w:val="8"/>
            <w:keepNext w:val="0"/>
            <w:keepLines w:val="0"/>
            <w:pageBreakBefore w:val="0"/>
            <w:widowControl w:val="0"/>
            <w:tabs>
              <w:tab w:val="right" w:leader="dot" w:pos="8845"/>
            </w:tabs>
            <w:kinsoku/>
            <w:wordWrap/>
            <w:overflowPunct/>
            <w:topLinePunct w:val="0"/>
            <w:autoSpaceDE/>
            <w:autoSpaceDN/>
            <w:bidi w:val="0"/>
            <w:adjustRightInd/>
            <w:snapToGrid/>
            <w:spacing w:line="440" w:lineRule="exact"/>
            <w:textAlignment w:val="auto"/>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TOC \o "1-2" \h \u </w:instrText>
          </w:r>
          <w:r>
            <w:rPr>
              <w:rFonts w:hint="eastAsia" w:ascii="仿宋" w:hAnsi="仿宋" w:eastAsia="仿宋" w:cs="仿宋"/>
              <w:sz w:val="32"/>
              <w:szCs w:val="32"/>
              <w:lang w:val="en-US" w:eastAsia="zh-CN"/>
            </w:rPr>
            <w:fldChar w:fldCharType="separate"/>
          </w:r>
          <w:r>
            <w:rPr>
              <w:rFonts w:hint="eastAsia" w:ascii="仿宋" w:hAnsi="仿宋" w:eastAsia="仿宋" w:cs="仿宋"/>
              <w:szCs w:val="32"/>
              <w:lang w:val="en-US" w:eastAsia="zh-CN"/>
            </w:rPr>
            <w:fldChar w:fldCharType="begin"/>
          </w:r>
          <w:r>
            <w:rPr>
              <w:rFonts w:hint="eastAsia" w:ascii="仿宋" w:hAnsi="仿宋" w:eastAsia="仿宋" w:cs="仿宋"/>
              <w:szCs w:val="32"/>
              <w:lang w:val="en-US" w:eastAsia="zh-CN"/>
            </w:rPr>
            <w:instrText xml:space="preserve"> HYPERLINK \l _Toc375 </w:instrText>
          </w:r>
          <w:r>
            <w:rPr>
              <w:rFonts w:hint="eastAsia" w:ascii="仿宋" w:hAnsi="仿宋" w:eastAsia="仿宋" w:cs="仿宋"/>
              <w:szCs w:val="32"/>
              <w:lang w:val="en-US" w:eastAsia="zh-CN"/>
            </w:rPr>
            <w:fldChar w:fldCharType="separate"/>
          </w:r>
          <w:r>
            <w:rPr>
              <w:rFonts w:hint="eastAsia"/>
              <w:lang w:val="en-US" w:eastAsia="zh-CN"/>
            </w:rPr>
            <w:t>一、基本职能及主要工作</w:t>
          </w:r>
          <w:r>
            <w:tab/>
          </w:r>
          <w:r>
            <w:fldChar w:fldCharType="begin"/>
          </w:r>
          <w:r>
            <w:instrText xml:space="preserve"> PAGEREF _Toc375 \h </w:instrText>
          </w:r>
          <w:r>
            <w:fldChar w:fldCharType="separate"/>
          </w:r>
          <w:r>
            <w:t>1</w:t>
          </w:r>
          <w:r>
            <w:fldChar w:fldCharType="end"/>
          </w:r>
          <w:r>
            <w:rPr>
              <w:rFonts w:hint="eastAsia" w:ascii="仿宋" w:hAnsi="仿宋" w:eastAsia="仿宋" w:cs="仿宋"/>
              <w:szCs w:val="32"/>
              <w:lang w:val="en-US" w:eastAsia="zh-CN"/>
            </w:rPr>
            <w:fldChar w:fldCharType="end"/>
          </w:r>
        </w:p>
        <w:p>
          <w:pPr>
            <w:pStyle w:val="10"/>
            <w:keepNext w:val="0"/>
            <w:keepLines w:val="0"/>
            <w:pageBreakBefore w:val="0"/>
            <w:widowControl w:val="0"/>
            <w:tabs>
              <w:tab w:val="right" w:leader="dot" w:pos="8845"/>
            </w:tabs>
            <w:kinsoku/>
            <w:wordWrap/>
            <w:overflowPunct/>
            <w:topLinePunct w:val="0"/>
            <w:autoSpaceDE/>
            <w:autoSpaceDN/>
            <w:bidi w:val="0"/>
            <w:adjustRightInd/>
            <w:snapToGrid/>
            <w:spacing w:line="440" w:lineRule="exact"/>
            <w:textAlignment w:val="auto"/>
          </w:pPr>
          <w:r>
            <w:rPr>
              <w:rFonts w:hint="eastAsia" w:ascii="仿宋" w:hAnsi="仿宋" w:eastAsia="仿宋" w:cs="仿宋"/>
              <w:szCs w:val="32"/>
              <w:lang w:val="en-US" w:eastAsia="zh-CN"/>
            </w:rPr>
            <w:fldChar w:fldCharType="begin"/>
          </w:r>
          <w:r>
            <w:rPr>
              <w:rFonts w:hint="eastAsia" w:ascii="仿宋" w:hAnsi="仿宋" w:eastAsia="仿宋" w:cs="仿宋"/>
              <w:szCs w:val="32"/>
              <w:lang w:val="en-US" w:eastAsia="zh-CN"/>
            </w:rPr>
            <w:instrText xml:space="preserve"> HYPERLINK \l _Toc17774 </w:instrText>
          </w:r>
          <w:r>
            <w:rPr>
              <w:rFonts w:hint="eastAsia" w:ascii="仿宋" w:hAnsi="仿宋" w:eastAsia="仿宋" w:cs="仿宋"/>
              <w:szCs w:val="32"/>
              <w:lang w:val="en-US" w:eastAsia="zh-CN"/>
            </w:rPr>
            <w:fldChar w:fldCharType="separate"/>
          </w:r>
          <w:r>
            <w:rPr>
              <w:rFonts w:hint="eastAsia"/>
            </w:rPr>
            <w:t>（一）</w:t>
          </w:r>
          <w:r>
            <w:rPr>
              <w:rFonts w:hint="eastAsia"/>
              <w:lang w:val="en-US" w:eastAsia="zh-CN"/>
            </w:rPr>
            <w:t>广元市林业局</w:t>
          </w:r>
          <w:r>
            <w:rPr>
              <w:rFonts w:hint="eastAsia"/>
            </w:rPr>
            <w:t>职能简介</w:t>
          </w:r>
          <w:r>
            <w:tab/>
          </w:r>
          <w:r>
            <w:fldChar w:fldCharType="begin"/>
          </w:r>
          <w:r>
            <w:instrText xml:space="preserve"> PAGEREF _Toc17774 \h </w:instrText>
          </w:r>
          <w:r>
            <w:fldChar w:fldCharType="separate"/>
          </w:r>
          <w:r>
            <w:t>1</w:t>
          </w:r>
          <w:r>
            <w:fldChar w:fldCharType="end"/>
          </w:r>
          <w:r>
            <w:rPr>
              <w:rFonts w:hint="eastAsia" w:ascii="仿宋" w:hAnsi="仿宋" w:eastAsia="仿宋" w:cs="仿宋"/>
              <w:szCs w:val="32"/>
              <w:lang w:val="en-US" w:eastAsia="zh-CN"/>
            </w:rPr>
            <w:fldChar w:fldCharType="end"/>
          </w:r>
        </w:p>
        <w:p>
          <w:pPr>
            <w:pStyle w:val="10"/>
            <w:keepNext w:val="0"/>
            <w:keepLines w:val="0"/>
            <w:pageBreakBefore w:val="0"/>
            <w:widowControl w:val="0"/>
            <w:tabs>
              <w:tab w:val="right" w:leader="dot" w:pos="8845"/>
            </w:tabs>
            <w:kinsoku/>
            <w:wordWrap/>
            <w:overflowPunct/>
            <w:topLinePunct w:val="0"/>
            <w:autoSpaceDE/>
            <w:autoSpaceDN/>
            <w:bidi w:val="0"/>
            <w:adjustRightInd/>
            <w:snapToGrid/>
            <w:spacing w:line="440" w:lineRule="exact"/>
            <w:textAlignment w:val="auto"/>
          </w:pPr>
          <w:r>
            <w:rPr>
              <w:rFonts w:hint="eastAsia" w:ascii="仿宋" w:hAnsi="仿宋" w:eastAsia="仿宋" w:cs="仿宋"/>
              <w:szCs w:val="32"/>
              <w:lang w:val="en-US" w:eastAsia="zh-CN"/>
            </w:rPr>
            <w:fldChar w:fldCharType="begin"/>
          </w:r>
          <w:r>
            <w:rPr>
              <w:rFonts w:hint="eastAsia" w:ascii="仿宋" w:hAnsi="仿宋" w:eastAsia="仿宋" w:cs="仿宋"/>
              <w:szCs w:val="32"/>
              <w:lang w:val="en-US" w:eastAsia="zh-CN"/>
            </w:rPr>
            <w:instrText xml:space="preserve"> HYPERLINK \l _Toc31287 </w:instrText>
          </w:r>
          <w:r>
            <w:rPr>
              <w:rFonts w:hint="eastAsia" w:ascii="仿宋" w:hAnsi="仿宋" w:eastAsia="仿宋" w:cs="仿宋"/>
              <w:szCs w:val="32"/>
              <w:lang w:val="en-US" w:eastAsia="zh-CN"/>
            </w:rPr>
            <w:fldChar w:fldCharType="separate"/>
          </w:r>
          <w:r>
            <w:rPr>
              <w:rFonts w:hint="eastAsia"/>
            </w:rPr>
            <w:t>（二）</w:t>
          </w:r>
          <w:r>
            <w:rPr>
              <w:rFonts w:hint="eastAsia"/>
              <w:lang w:val="en-US" w:eastAsia="zh-CN"/>
            </w:rPr>
            <w:t>广元市林业局</w:t>
          </w:r>
          <w:r>
            <w:rPr>
              <w:rFonts w:hint="eastAsia"/>
              <w:lang w:val="en-US"/>
            </w:rPr>
            <w:t>2024</w:t>
          </w:r>
          <w:r>
            <w:rPr>
              <w:rFonts w:hint="eastAsia"/>
            </w:rPr>
            <w:t>年重点工作</w:t>
          </w:r>
          <w:r>
            <w:tab/>
          </w:r>
          <w:r>
            <w:fldChar w:fldCharType="begin"/>
          </w:r>
          <w:r>
            <w:instrText xml:space="preserve"> PAGEREF _Toc31287 \h </w:instrText>
          </w:r>
          <w:r>
            <w:fldChar w:fldCharType="separate"/>
          </w:r>
          <w:r>
            <w:t>3</w:t>
          </w:r>
          <w:r>
            <w:fldChar w:fldCharType="end"/>
          </w:r>
          <w:r>
            <w:rPr>
              <w:rFonts w:hint="eastAsia" w:ascii="仿宋" w:hAnsi="仿宋" w:eastAsia="仿宋" w:cs="仿宋"/>
              <w:szCs w:val="32"/>
              <w:lang w:val="en-US" w:eastAsia="zh-CN"/>
            </w:rPr>
            <w:fldChar w:fldCharType="end"/>
          </w:r>
        </w:p>
        <w:p>
          <w:pPr>
            <w:pStyle w:val="8"/>
            <w:keepNext w:val="0"/>
            <w:keepLines w:val="0"/>
            <w:pageBreakBefore w:val="0"/>
            <w:widowControl w:val="0"/>
            <w:tabs>
              <w:tab w:val="right" w:leader="dot" w:pos="8845"/>
            </w:tabs>
            <w:kinsoku/>
            <w:wordWrap/>
            <w:overflowPunct/>
            <w:topLinePunct w:val="0"/>
            <w:autoSpaceDE/>
            <w:autoSpaceDN/>
            <w:bidi w:val="0"/>
            <w:adjustRightInd/>
            <w:snapToGrid/>
            <w:spacing w:line="440" w:lineRule="exact"/>
            <w:textAlignment w:val="auto"/>
          </w:pPr>
          <w:r>
            <w:rPr>
              <w:rFonts w:hint="eastAsia" w:ascii="仿宋" w:hAnsi="仿宋" w:eastAsia="仿宋" w:cs="仿宋"/>
              <w:szCs w:val="32"/>
              <w:lang w:val="en-US" w:eastAsia="zh-CN"/>
            </w:rPr>
            <w:fldChar w:fldCharType="begin"/>
          </w:r>
          <w:r>
            <w:rPr>
              <w:rFonts w:hint="eastAsia" w:ascii="仿宋" w:hAnsi="仿宋" w:eastAsia="仿宋" w:cs="仿宋"/>
              <w:szCs w:val="32"/>
              <w:lang w:val="en-US" w:eastAsia="zh-CN"/>
            </w:rPr>
            <w:instrText xml:space="preserve"> HYPERLINK \l _Toc24639 </w:instrText>
          </w:r>
          <w:r>
            <w:rPr>
              <w:rFonts w:hint="eastAsia" w:ascii="仿宋" w:hAnsi="仿宋" w:eastAsia="仿宋" w:cs="仿宋"/>
              <w:szCs w:val="32"/>
              <w:lang w:val="en-US" w:eastAsia="zh-CN"/>
            </w:rPr>
            <w:fldChar w:fldCharType="separate"/>
          </w:r>
          <w:r>
            <w:rPr>
              <w:rFonts w:hint="eastAsia"/>
              <w:lang w:val="en-US" w:eastAsia="zh-CN"/>
            </w:rPr>
            <w:t>二、部门预算单位构成</w:t>
          </w:r>
          <w:r>
            <w:tab/>
          </w:r>
          <w:r>
            <w:fldChar w:fldCharType="begin"/>
          </w:r>
          <w:r>
            <w:instrText xml:space="preserve"> PAGEREF _Toc24639 \h </w:instrText>
          </w:r>
          <w:r>
            <w:fldChar w:fldCharType="separate"/>
          </w:r>
          <w:r>
            <w:t>16</w:t>
          </w:r>
          <w:r>
            <w:fldChar w:fldCharType="end"/>
          </w:r>
          <w:r>
            <w:rPr>
              <w:rFonts w:hint="eastAsia" w:ascii="仿宋" w:hAnsi="仿宋" w:eastAsia="仿宋" w:cs="仿宋"/>
              <w:szCs w:val="32"/>
              <w:lang w:val="en-US" w:eastAsia="zh-CN"/>
            </w:rPr>
            <w:fldChar w:fldCharType="end"/>
          </w:r>
        </w:p>
        <w:p>
          <w:pPr>
            <w:pStyle w:val="8"/>
            <w:keepNext w:val="0"/>
            <w:keepLines w:val="0"/>
            <w:pageBreakBefore w:val="0"/>
            <w:widowControl w:val="0"/>
            <w:tabs>
              <w:tab w:val="right" w:leader="dot" w:pos="8845"/>
            </w:tabs>
            <w:kinsoku/>
            <w:wordWrap/>
            <w:overflowPunct/>
            <w:topLinePunct w:val="0"/>
            <w:autoSpaceDE/>
            <w:autoSpaceDN/>
            <w:bidi w:val="0"/>
            <w:adjustRightInd/>
            <w:snapToGrid/>
            <w:spacing w:line="440" w:lineRule="exact"/>
            <w:textAlignment w:val="auto"/>
          </w:pPr>
          <w:r>
            <w:rPr>
              <w:rFonts w:hint="eastAsia" w:ascii="仿宋" w:hAnsi="仿宋" w:eastAsia="仿宋" w:cs="仿宋"/>
              <w:szCs w:val="32"/>
              <w:lang w:val="en-US" w:eastAsia="zh-CN"/>
            </w:rPr>
            <w:fldChar w:fldCharType="begin"/>
          </w:r>
          <w:r>
            <w:rPr>
              <w:rFonts w:hint="eastAsia" w:ascii="仿宋" w:hAnsi="仿宋" w:eastAsia="仿宋" w:cs="仿宋"/>
              <w:szCs w:val="32"/>
              <w:lang w:val="en-US" w:eastAsia="zh-CN"/>
            </w:rPr>
            <w:instrText xml:space="preserve"> HYPERLINK \l _Toc19884 </w:instrText>
          </w:r>
          <w:r>
            <w:rPr>
              <w:rFonts w:hint="eastAsia" w:ascii="仿宋" w:hAnsi="仿宋" w:eastAsia="仿宋" w:cs="仿宋"/>
              <w:szCs w:val="32"/>
              <w:lang w:val="en-US" w:eastAsia="zh-CN"/>
            </w:rPr>
            <w:fldChar w:fldCharType="separate"/>
          </w:r>
          <w:r>
            <w:rPr>
              <w:rFonts w:hint="eastAsia"/>
              <w:lang w:val="en-US" w:eastAsia="zh-CN"/>
            </w:rPr>
            <w:t>三、收支预算情况说明</w:t>
          </w:r>
          <w:r>
            <w:tab/>
          </w:r>
          <w:r>
            <w:fldChar w:fldCharType="begin"/>
          </w:r>
          <w:r>
            <w:instrText xml:space="preserve"> PAGEREF _Toc19884 \h </w:instrText>
          </w:r>
          <w:r>
            <w:fldChar w:fldCharType="separate"/>
          </w:r>
          <w:r>
            <w:t>16</w:t>
          </w:r>
          <w:r>
            <w:fldChar w:fldCharType="end"/>
          </w:r>
          <w:r>
            <w:rPr>
              <w:rFonts w:hint="eastAsia" w:ascii="仿宋" w:hAnsi="仿宋" w:eastAsia="仿宋" w:cs="仿宋"/>
              <w:szCs w:val="32"/>
              <w:lang w:val="en-US" w:eastAsia="zh-CN"/>
            </w:rPr>
            <w:fldChar w:fldCharType="end"/>
          </w:r>
        </w:p>
        <w:p>
          <w:pPr>
            <w:pStyle w:val="10"/>
            <w:keepNext w:val="0"/>
            <w:keepLines w:val="0"/>
            <w:pageBreakBefore w:val="0"/>
            <w:widowControl w:val="0"/>
            <w:tabs>
              <w:tab w:val="right" w:leader="dot" w:pos="8845"/>
            </w:tabs>
            <w:kinsoku/>
            <w:wordWrap/>
            <w:overflowPunct/>
            <w:topLinePunct w:val="0"/>
            <w:autoSpaceDE/>
            <w:autoSpaceDN/>
            <w:bidi w:val="0"/>
            <w:adjustRightInd/>
            <w:snapToGrid/>
            <w:spacing w:line="440" w:lineRule="exact"/>
            <w:textAlignment w:val="auto"/>
          </w:pPr>
          <w:r>
            <w:rPr>
              <w:rFonts w:hint="eastAsia" w:ascii="仿宋" w:hAnsi="仿宋" w:eastAsia="仿宋" w:cs="仿宋"/>
              <w:szCs w:val="32"/>
              <w:lang w:val="en-US" w:eastAsia="zh-CN"/>
            </w:rPr>
            <w:fldChar w:fldCharType="begin"/>
          </w:r>
          <w:r>
            <w:rPr>
              <w:rFonts w:hint="eastAsia" w:ascii="仿宋" w:hAnsi="仿宋" w:eastAsia="仿宋" w:cs="仿宋"/>
              <w:szCs w:val="32"/>
              <w:lang w:val="en-US" w:eastAsia="zh-CN"/>
            </w:rPr>
            <w:instrText xml:space="preserve"> HYPERLINK \l _Toc24772 </w:instrText>
          </w:r>
          <w:r>
            <w:rPr>
              <w:rFonts w:hint="eastAsia" w:ascii="仿宋" w:hAnsi="仿宋" w:eastAsia="仿宋" w:cs="仿宋"/>
              <w:szCs w:val="32"/>
              <w:lang w:val="en-US" w:eastAsia="zh-CN"/>
            </w:rPr>
            <w:fldChar w:fldCharType="separate"/>
          </w:r>
          <w:r>
            <w:rPr>
              <w:rFonts w:hint="eastAsia"/>
              <w:lang w:val="en-US" w:eastAsia="zh-CN"/>
            </w:rPr>
            <w:t>（一）收入预算情况</w:t>
          </w:r>
          <w:r>
            <w:tab/>
          </w:r>
          <w:r>
            <w:fldChar w:fldCharType="begin"/>
          </w:r>
          <w:r>
            <w:instrText xml:space="preserve"> PAGEREF _Toc24772 \h </w:instrText>
          </w:r>
          <w:r>
            <w:fldChar w:fldCharType="separate"/>
          </w:r>
          <w:r>
            <w:t>16</w:t>
          </w:r>
          <w:r>
            <w:fldChar w:fldCharType="end"/>
          </w:r>
          <w:r>
            <w:rPr>
              <w:rFonts w:hint="eastAsia" w:ascii="仿宋" w:hAnsi="仿宋" w:eastAsia="仿宋" w:cs="仿宋"/>
              <w:szCs w:val="32"/>
              <w:lang w:val="en-US" w:eastAsia="zh-CN"/>
            </w:rPr>
            <w:fldChar w:fldCharType="end"/>
          </w:r>
        </w:p>
        <w:p>
          <w:pPr>
            <w:pStyle w:val="10"/>
            <w:keepNext w:val="0"/>
            <w:keepLines w:val="0"/>
            <w:pageBreakBefore w:val="0"/>
            <w:widowControl w:val="0"/>
            <w:tabs>
              <w:tab w:val="right" w:leader="dot" w:pos="8845"/>
            </w:tabs>
            <w:kinsoku/>
            <w:wordWrap/>
            <w:overflowPunct/>
            <w:topLinePunct w:val="0"/>
            <w:autoSpaceDE/>
            <w:autoSpaceDN/>
            <w:bidi w:val="0"/>
            <w:adjustRightInd/>
            <w:snapToGrid/>
            <w:spacing w:line="440" w:lineRule="exact"/>
            <w:textAlignment w:val="auto"/>
          </w:pPr>
          <w:r>
            <w:rPr>
              <w:rFonts w:hint="eastAsia" w:ascii="仿宋" w:hAnsi="仿宋" w:eastAsia="仿宋" w:cs="仿宋"/>
              <w:szCs w:val="32"/>
              <w:lang w:val="en-US" w:eastAsia="zh-CN"/>
            </w:rPr>
            <w:fldChar w:fldCharType="begin"/>
          </w:r>
          <w:r>
            <w:rPr>
              <w:rFonts w:hint="eastAsia" w:ascii="仿宋" w:hAnsi="仿宋" w:eastAsia="仿宋" w:cs="仿宋"/>
              <w:szCs w:val="32"/>
              <w:lang w:val="en-US" w:eastAsia="zh-CN"/>
            </w:rPr>
            <w:instrText xml:space="preserve"> HYPERLINK \l _Toc10127 </w:instrText>
          </w:r>
          <w:r>
            <w:rPr>
              <w:rFonts w:hint="eastAsia" w:ascii="仿宋" w:hAnsi="仿宋" w:eastAsia="仿宋" w:cs="仿宋"/>
              <w:szCs w:val="32"/>
              <w:lang w:val="en-US" w:eastAsia="zh-CN"/>
            </w:rPr>
            <w:fldChar w:fldCharType="separate"/>
          </w:r>
          <w:r>
            <w:rPr>
              <w:rFonts w:hint="eastAsia"/>
              <w:lang w:val="en-US" w:eastAsia="zh-CN"/>
            </w:rPr>
            <w:t>（二）支出预算情况</w:t>
          </w:r>
          <w:r>
            <w:tab/>
          </w:r>
          <w:r>
            <w:fldChar w:fldCharType="begin"/>
          </w:r>
          <w:r>
            <w:instrText xml:space="preserve"> PAGEREF _Toc10127 \h </w:instrText>
          </w:r>
          <w:r>
            <w:fldChar w:fldCharType="separate"/>
          </w:r>
          <w:r>
            <w:t>16</w:t>
          </w:r>
          <w:r>
            <w:fldChar w:fldCharType="end"/>
          </w:r>
          <w:r>
            <w:rPr>
              <w:rFonts w:hint="eastAsia" w:ascii="仿宋" w:hAnsi="仿宋" w:eastAsia="仿宋" w:cs="仿宋"/>
              <w:szCs w:val="32"/>
              <w:lang w:val="en-US" w:eastAsia="zh-CN"/>
            </w:rPr>
            <w:fldChar w:fldCharType="end"/>
          </w:r>
        </w:p>
        <w:p>
          <w:pPr>
            <w:pStyle w:val="8"/>
            <w:keepNext w:val="0"/>
            <w:keepLines w:val="0"/>
            <w:pageBreakBefore w:val="0"/>
            <w:widowControl w:val="0"/>
            <w:tabs>
              <w:tab w:val="right" w:leader="dot" w:pos="8845"/>
            </w:tabs>
            <w:kinsoku/>
            <w:wordWrap/>
            <w:overflowPunct/>
            <w:topLinePunct w:val="0"/>
            <w:autoSpaceDE/>
            <w:autoSpaceDN/>
            <w:bidi w:val="0"/>
            <w:adjustRightInd/>
            <w:snapToGrid/>
            <w:spacing w:line="440" w:lineRule="exact"/>
            <w:textAlignment w:val="auto"/>
          </w:pPr>
          <w:r>
            <w:rPr>
              <w:rFonts w:hint="eastAsia" w:ascii="仿宋" w:hAnsi="仿宋" w:eastAsia="仿宋" w:cs="仿宋"/>
              <w:szCs w:val="32"/>
              <w:lang w:val="en-US" w:eastAsia="zh-CN"/>
            </w:rPr>
            <w:fldChar w:fldCharType="begin"/>
          </w:r>
          <w:r>
            <w:rPr>
              <w:rFonts w:hint="eastAsia" w:ascii="仿宋" w:hAnsi="仿宋" w:eastAsia="仿宋" w:cs="仿宋"/>
              <w:szCs w:val="32"/>
              <w:lang w:val="en-US" w:eastAsia="zh-CN"/>
            </w:rPr>
            <w:instrText xml:space="preserve"> HYPERLINK \l _Toc23653 </w:instrText>
          </w:r>
          <w:r>
            <w:rPr>
              <w:rFonts w:hint="eastAsia" w:ascii="仿宋" w:hAnsi="仿宋" w:eastAsia="仿宋" w:cs="仿宋"/>
              <w:szCs w:val="32"/>
              <w:lang w:val="en-US" w:eastAsia="zh-CN"/>
            </w:rPr>
            <w:fldChar w:fldCharType="separate"/>
          </w:r>
          <w:r>
            <w:rPr>
              <w:rFonts w:hint="eastAsia"/>
              <w:lang w:val="en-US" w:eastAsia="zh-CN"/>
            </w:rPr>
            <w:t>四、财政拨款收支预算情况说明</w:t>
          </w:r>
          <w:r>
            <w:tab/>
          </w:r>
          <w:r>
            <w:fldChar w:fldCharType="begin"/>
          </w:r>
          <w:r>
            <w:instrText xml:space="preserve"> PAGEREF _Toc23653 \h </w:instrText>
          </w:r>
          <w:r>
            <w:fldChar w:fldCharType="separate"/>
          </w:r>
          <w:r>
            <w:t>16</w:t>
          </w:r>
          <w:r>
            <w:fldChar w:fldCharType="end"/>
          </w:r>
          <w:r>
            <w:rPr>
              <w:rFonts w:hint="eastAsia" w:ascii="仿宋" w:hAnsi="仿宋" w:eastAsia="仿宋" w:cs="仿宋"/>
              <w:szCs w:val="32"/>
              <w:lang w:val="en-US" w:eastAsia="zh-CN"/>
            </w:rPr>
            <w:fldChar w:fldCharType="end"/>
          </w:r>
        </w:p>
        <w:p>
          <w:pPr>
            <w:pStyle w:val="8"/>
            <w:keepNext w:val="0"/>
            <w:keepLines w:val="0"/>
            <w:pageBreakBefore w:val="0"/>
            <w:widowControl w:val="0"/>
            <w:tabs>
              <w:tab w:val="right" w:leader="dot" w:pos="8845"/>
            </w:tabs>
            <w:kinsoku/>
            <w:wordWrap/>
            <w:overflowPunct/>
            <w:topLinePunct w:val="0"/>
            <w:autoSpaceDE/>
            <w:autoSpaceDN/>
            <w:bidi w:val="0"/>
            <w:adjustRightInd/>
            <w:snapToGrid/>
            <w:spacing w:line="440" w:lineRule="exact"/>
            <w:textAlignment w:val="auto"/>
          </w:pPr>
          <w:r>
            <w:rPr>
              <w:rFonts w:hint="eastAsia" w:ascii="仿宋" w:hAnsi="仿宋" w:eastAsia="仿宋" w:cs="仿宋"/>
              <w:szCs w:val="32"/>
              <w:lang w:val="en-US" w:eastAsia="zh-CN"/>
            </w:rPr>
            <w:fldChar w:fldCharType="begin"/>
          </w:r>
          <w:r>
            <w:rPr>
              <w:rFonts w:hint="eastAsia" w:ascii="仿宋" w:hAnsi="仿宋" w:eastAsia="仿宋" w:cs="仿宋"/>
              <w:szCs w:val="32"/>
              <w:lang w:val="en-US" w:eastAsia="zh-CN"/>
            </w:rPr>
            <w:instrText xml:space="preserve"> HYPERLINK \l _Toc17909 </w:instrText>
          </w:r>
          <w:r>
            <w:rPr>
              <w:rFonts w:hint="eastAsia" w:ascii="仿宋" w:hAnsi="仿宋" w:eastAsia="仿宋" w:cs="仿宋"/>
              <w:szCs w:val="32"/>
              <w:lang w:val="en-US" w:eastAsia="zh-CN"/>
            </w:rPr>
            <w:fldChar w:fldCharType="separate"/>
          </w:r>
          <w:r>
            <w:rPr>
              <w:rFonts w:hint="eastAsia"/>
              <w:lang w:val="en-US" w:eastAsia="zh-CN"/>
            </w:rPr>
            <w:t>五、一般公共预算当年拨款情况说明</w:t>
          </w:r>
          <w:r>
            <w:tab/>
          </w:r>
          <w:r>
            <w:fldChar w:fldCharType="begin"/>
          </w:r>
          <w:r>
            <w:instrText xml:space="preserve"> PAGEREF _Toc17909 \h </w:instrText>
          </w:r>
          <w:r>
            <w:fldChar w:fldCharType="separate"/>
          </w:r>
          <w:r>
            <w:t>17</w:t>
          </w:r>
          <w:r>
            <w:fldChar w:fldCharType="end"/>
          </w:r>
          <w:r>
            <w:rPr>
              <w:rFonts w:hint="eastAsia" w:ascii="仿宋" w:hAnsi="仿宋" w:eastAsia="仿宋" w:cs="仿宋"/>
              <w:szCs w:val="32"/>
              <w:lang w:val="en-US" w:eastAsia="zh-CN"/>
            </w:rPr>
            <w:fldChar w:fldCharType="end"/>
          </w:r>
        </w:p>
        <w:p>
          <w:pPr>
            <w:pStyle w:val="10"/>
            <w:keepNext w:val="0"/>
            <w:keepLines w:val="0"/>
            <w:pageBreakBefore w:val="0"/>
            <w:widowControl w:val="0"/>
            <w:tabs>
              <w:tab w:val="right" w:leader="dot" w:pos="8845"/>
            </w:tabs>
            <w:kinsoku/>
            <w:wordWrap/>
            <w:overflowPunct/>
            <w:topLinePunct w:val="0"/>
            <w:autoSpaceDE/>
            <w:autoSpaceDN/>
            <w:bidi w:val="0"/>
            <w:adjustRightInd/>
            <w:snapToGrid/>
            <w:spacing w:line="440" w:lineRule="exact"/>
            <w:textAlignment w:val="auto"/>
          </w:pPr>
          <w:r>
            <w:rPr>
              <w:rFonts w:hint="eastAsia" w:ascii="仿宋" w:hAnsi="仿宋" w:eastAsia="仿宋" w:cs="仿宋"/>
              <w:szCs w:val="32"/>
              <w:lang w:val="en-US" w:eastAsia="zh-CN"/>
            </w:rPr>
            <w:fldChar w:fldCharType="begin"/>
          </w:r>
          <w:r>
            <w:rPr>
              <w:rFonts w:hint="eastAsia" w:ascii="仿宋" w:hAnsi="仿宋" w:eastAsia="仿宋" w:cs="仿宋"/>
              <w:szCs w:val="32"/>
              <w:lang w:val="en-US" w:eastAsia="zh-CN"/>
            </w:rPr>
            <w:instrText xml:space="preserve"> HYPERLINK \l _Toc17923 </w:instrText>
          </w:r>
          <w:r>
            <w:rPr>
              <w:rFonts w:hint="eastAsia" w:ascii="仿宋" w:hAnsi="仿宋" w:eastAsia="仿宋" w:cs="仿宋"/>
              <w:szCs w:val="32"/>
              <w:lang w:val="en-US" w:eastAsia="zh-CN"/>
            </w:rPr>
            <w:fldChar w:fldCharType="separate"/>
          </w:r>
          <w:r>
            <w:rPr>
              <w:rFonts w:hint="eastAsia"/>
              <w:lang w:val="en-US" w:eastAsia="zh-CN"/>
            </w:rPr>
            <w:t>（一）一般公共预算当年拨款规模变化情况</w:t>
          </w:r>
          <w:r>
            <w:tab/>
          </w:r>
          <w:r>
            <w:fldChar w:fldCharType="begin"/>
          </w:r>
          <w:r>
            <w:instrText xml:space="preserve"> PAGEREF _Toc17923 \h </w:instrText>
          </w:r>
          <w:r>
            <w:fldChar w:fldCharType="separate"/>
          </w:r>
          <w:r>
            <w:t>17</w:t>
          </w:r>
          <w:r>
            <w:fldChar w:fldCharType="end"/>
          </w:r>
          <w:r>
            <w:rPr>
              <w:rFonts w:hint="eastAsia" w:ascii="仿宋" w:hAnsi="仿宋" w:eastAsia="仿宋" w:cs="仿宋"/>
              <w:szCs w:val="32"/>
              <w:lang w:val="en-US" w:eastAsia="zh-CN"/>
            </w:rPr>
            <w:fldChar w:fldCharType="end"/>
          </w:r>
        </w:p>
        <w:p>
          <w:pPr>
            <w:pStyle w:val="10"/>
            <w:keepNext w:val="0"/>
            <w:keepLines w:val="0"/>
            <w:pageBreakBefore w:val="0"/>
            <w:widowControl w:val="0"/>
            <w:tabs>
              <w:tab w:val="right" w:leader="dot" w:pos="8845"/>
            </w:tabs>
            <w:kinsoku/>
            <w:wordWrap/>
            <w:overflowPunct/>
            <w:topLinePunct w:val="0"/>
            <w:autoSpaceDE/>
            <w:autoSpaceDN/>
            <w:bidi w:val="0"/>
            <w:adjustRightInd/>
            <w:snapToGrid/>
            <w:spacing w:line="440" w:lineRule="exact"/>
            <w:textAlignment w:val="auto"/>
          </w:pPr>
          <w:r>
            <w:rPr>
              <w:rFonts w:hint="eastAsia" w:ascii="仿宋" w:hAnsi="仿宋" w:eastAsia="仿宋" w:cs="仿宋"/>
              <w:szCs w:val="32"/>
              <w:lang w:val="en-US" w:eastAsia="zh-CN"/>
            </w:rPr>
            <w:fldChar w:fldCharType="begin"/>
          </w:r>
          <w:r>
            <w:rPr>
              <w:rFonts w:hint="eastAsia" w:ascii="仿宋" w:hAnsi="仿宋" w:eastAsia="仿宋" w:cs="仿宋"/>
              <w:szCs w:val="32"/>
              <w:lang w:val="en-US" w:eastAsia="zh-CN"/>
            </w:rPr>
            <w:instrText xml:space="preserve"> HYPERLINK \l _Toc20685 </w:instrText>
          </w:r>
          <w:r>
            <w:rPr>
              <w:rFonts w:hint="eastAsia" w:ascii="仿宋" w:hAnsi="仿宋" w:eastAsia="仿宋" w:cs="仿宋"/>
              <w:szCs w:val="32"/>
              <w:lang w:val="en-US" w:eastAsia="zh-CN"/>
            </w:rPr>
            <w:fldChar w:fldCharType="separate"/>
          </w:r>
          <w:r>
            <w:rPr>
              <w:rFonts w:hint="eastAsia"/>
              <w:lang w:val="en-US" w:eastAsia="zh-CN"/>
            </w:rPr>
            <w:t>（二）一般公共预算当年拨款结构情况</w:t>
          </w:r>
          <w:r>
            <w:tab/>
          </w:r>
          <w:r>
            <w:fldChar w:fldCharType="begin"/>
          </w:r>
          <w:r>
            <w:instrText xml:space="preserve"> PAGEREF _Toc20685 \h </w:instrText>
          </w:r>
          <w:r>
            <w:fldChar w:fldCharType="separate"/>
          </w:r>
          <w:r>
            <w:t>17</w:t>
          </w:r>
          <w:r>
            <w:fldChar w:fldCharType="end"/>
          </w:r>
          <w:r>
            <w:rPr>
              <w:rFonts w:hint="eastAsia" w:ascii="仿宋" w:hAnsi="仿宋" w:eastAsia="仿宋" w:cs="仿宋"/>
              <w:szCs w:val="32"/>
              <w:lang w:val="en-US" w:eastAsia="zh-CN"/>
            </w:rPr>
            <w:fldChar w:fldCharType="end"/>
          </w:r>
        </w:p>
        <w:p>
          <w:pPr>
            <w:pStyle w:val="10"/>
            <w:keepNext w:val="0"/>
            <w:keepLines w:val="0"/>
            <w:pageBreakBefore w:val="0"/>
            <w:widowControl w:val="0"/>
            <w:tabs>
              <w:tab w:val="right" w:leader="dot" w:pos="8845"/>
            </w:tabs>
            <w:kinsoku/>
            <w:wordWrap/>
            <w:overflowPunct/>
            <w:topLinePunct w:val="0"/>
            <w:autoSpaceDE/>
            <w:autoSpaceDN/>
            <w:bidi w:val="0"/>
            <w:adjustRightInd/>
            <w:snapToGrid/>
            <w:spacing w:line="440" w:lineRule="exact"/>
            <w:textAlignment w:val="auto"/>
          </w:pPr>
          <w:r>
            <w:rPr>
              <w:rFonts w:hint="eastAsia" w:ascii="仿宋" w:hAnsi="仿宋" w:eastAsia="仿宋" w:cs="仿宋"/>
              <w:szCs w:val="32"/>
              <w:lang w:val="en-US" w:eastAsia="zh-CN"/>
            </w:rPr>
            <w:fldChar w:fldCharType="begin"/>
          </w:r>
          <w:r>
            <w:rPr>
              <w:rFonts w:hint="eastAsia" w:ascii="仿宋" w:hAnsi="仿宋" w:eastAsia="仿宋" w:cs="仿宋"/>
              <w:szCs w:val="32"/>
              <w:lang w:val="en-US" w:eastAsia="zh-CN"/>
            </w:rPr>
            <w:instrText xml:space="preserve"> HYPERLINK \l _Toc3074 </w:instrText>
          </w:r>
          <w:r>
            <w:rPr>
              <w:rFonts w:hint="eastAsia" w:ascii="仿宋" w:hAnsi="仿宋" w:eastAsia="仿宋" w:cs="仿宋"/>
              <w:szCs w:val="32"/>
              <w:lang w:val="en-US" w:eastAsia="zh-CN"/>
            </w:rPr>
            <w:fldChar w:fldCharType="separate"/>
          </w:r>
          <w:r>
            <w:rPr>
              <w:rFonts w:hint="eastAsia"/>
              <w:lang w:val="en-US" w:eastAsia="zh-CN"/>
            </w:rPr>
            <w:t>（三）一般公共预算当年拨款具体使用情况</w:t>
          </w:r>
          <w:r>
            <w:tab/>
          </w:r>
          <w:r>
            <w:fldChar w:fldCharType="begin"/>
          </w:r>
          <w:r>
            <w:instrText xml:space="preserve"> PAGEREF _Toc3074 \h </w:instrText>
          </w:r>
          <w:r>
            <w:fldChar w:fldCharType="separate"/>
          </w:r>
          <w:r>
            <w:t>17</w:t>
          </w:r>
          <w:r>
            <w:fldChar w:fldCharType="end"/>
          </w:r>
          <w:r>
            <w:rPr>
              <w:rFonts w:hint="eastAsia" w:ascii="仿宋" w:hAnsi="仿宋" w:eastAsia="仿宋" w:cs="仿宋"/>
              <w:szCs w:val="32"/>
              <w:lang w:val="en-US" w:eastAsia="zh-CN"/>
            </w:rPr>
            <w:fldChar w:fldCharType="end"/>
          </w:r>
        </w:p>
        <w:p>
          <w:pPr>
            <w:pStyle w:val="8"/>
            <w:keepNext w:val="0"/>
            <w:keepLines w:val="0"/>
            <w:pageBreakBefore w:val="0"/>
            <w:widowControl w:val="0"/>
            <w:tabs>
              <w:tab w:val="right" w:leader="dot" w:pos="8845"/>
            </w:tabs>
            <w:kinsoku/>
            <w:wordWrap/>
            <w:overflowPunct/>
            <w:topLinePunct w:val="0"/>
            <w:autoSpaceDE/>
            <w:autoSpaceDN/>
            <w:bidi w:val="0"/>
            <w:adjustRightInd/>
            <w:snapToGrid/>
            <w:spacing w:line="440" w:lineRule="exact"/>
            <w:textAlignment w:val="auto"/>
          </w:pPr>
          <w:r>
            <w:rPr>
              <w:rFonts w:hint="eastAsia" w:ascii="仿宋" w:hAnsi="仿宋" w:eastAsia="仿宋" w:cs="仿宋"/>
              <w:szCs w:val="32"/>
              <w:lang w:val="en-US" w:eastAsia="zh-CN"/>
            </w:rPr>
            <w:fldChar w:fldCharType="begin"/>
          </w:r>
          <w:r>
            <w:rPr>
              <w:rFonts w:hint="eastAsia" w:ascii="仿宋" w:hAnsi="仿宋" w:eastAsia="仿宋" w:cs="仿宋"/>
              <w:szCs w:val="32"/>
              <w:lang w:val="en-US" w:eastAsia="zh-CN"/>
            </w:rPr>
            <w:instrText xml:space="preserve"> HYPERLINK \l _Toc4699 </w:instrText>
          </w:r>
          <w:r>
            <w:rPr>
              <w:rFonts w:hint="eastAsia" w:ascii="仿宋" w:hAnsi="仿宋" w:eastAsia="仿宋" w:cs="仿宋"/>
              <w:szCs w:val="32"/>
              <w:lang w:val="en-US" w:eastAsia="zh-CN"/>
            </w:rPr>
            <w:fldChar w:fldCharType="separate"/>
          </w:r>
          <w:r>
            <w:rPr>
              <w:rFonts w:hint="eastAsia"/>
              <w:lang w:val="en-US" w:eastAsia="zh-CN"/>
            </w:rPr>
            <w:t>六、一般公共预算基本支出情况说明</w:t>
          </w:r>
          <w:r>
            <w:tab/>
          </w:r>
          <w:r>
            <w:fldChar w:fldCharType="begin"/>
          </w:r>
          <w:r>
            <w:instrText xml:space="preserve"> PAGEREF _Toc4699 \h </w:instrText>
          </w:r>
          <w:r>
            <w:fldChar w:fldCharType="separate"/>
          </w:r>
          <w:r>
            <w:t>19</w:t>
          </w:r>
          <w:r>
            <w:fldChar w:fldCharType="end"/>
          </w:r>
          <w:r>
            <w:rPr>
              <w:rFonts w:hint="eastAsia" w:ascii="仿宋" w:hAnsi="仿宋" w:eastAsia="仿宋" w:cs="仿宋"/>
              <w:szCs w:val="32"/>
              <w:lang w:val="en-US" w:eastAsia="zh-CN"/>
            </w:rPr>
            <w:fldChar w:fldCharType="end"/>
          </w:r>
        </w:p>
        <w:p>
          <w:pPr>
            <w:pStyle w:val="8"/>
            <w:keepNext w:val="0"/>
            <w:keepLines w:val="0"/>
            <w:pageBreakBefore w:val="0"/>
            <w:widowControl w:val="0"/>
            <w:tabs>
              <w:tab w:val="right" w:leader="dot" w:pos="8845"/>
            </w:tabs>
            <w:kinsoku/>
            <w:wordWrap/>
            <w:overflowPunct/>
            <w:topLinePunct w:val="0"/>
            <w:autoSpaceDE/>
            <w:autoSpaceDN/>
            <w:bidi w:val="0"/>
            <w:adjustRightInd/>
            <w:snapToGrid/>
            <w:spacing w:line="440" w:lineRule="exact"/>
            <w:textAlignment w:val="auto"/>
          </w:pPr>
          <w:r>
            <w:rPr>
              <w:rFonts w:hint="eastAsia" w:ascii="仿宋" w:hAnsi="仿宋" w:eastAsia="仿宋" w:cs="仿宋"/>
              <w:szCs w:val="32"/>
              <w:lang w:val="en-US" w:eastAsia="zh-CN"/>
            </w:rPr>
            <w:fldChar w:fldCharType="begin"/>
          </w:r>
          <w:r>
            <w:rPr>
              <w:rFonts w:hint="eastAsia" w:ascii="仿宋" w:hAnsi="仿宋" w:eastAsia="仿宋" w:cs="仿宋"/>
              <w:szCs w:val="32"/>
              <w:lang w:val="en-US" w:eastAsia="zh-CN"/>
            </w:rPr>
            <w:instrText xml:space="preserve"> HYPERLINK \l _Toc14170 </w:instrText>
          </w:r>
          <w:r>
            <w:rPr>
              <w:rFonts w:hint="eastAsia" w:ascii="仿宋" w:hAnsi="仿宋" w:eastAsia="仿宋" w:cs="仿宋"/>
              <w:szCs w:val="32"/>
              <w:lang w:val="en-US" w:eastAsia="zh-CN"/>
            </w:rPr>
            <w:fldChar w:fldCharType="separate"/>
          </w:r>
          <w:r>
            <w:rPr>
              <w:rFonts w:hint="eastAsia"/>
              <w:lang w:val="en-US" w:eastAsia="zh-CN"/>
            </w:rPr>
            <w:t>七、“三公”经费财政拨款预算安排情况说明</w:t>
          </w:r>
          <w:r>
            <w:tab/>
          </w:r>
          <w:r>
            <w:fldChar w:fldCharType="begin"/>
          </w:r>
          <w:r>
            <w:instrText xml:space="preserve"> PAGEREF _Toc14170 \h </w:instrText>
          </w:r>
          <w:r>
            <w:fldChar w:fldCharType="separate"/>
          </w:r>
          <w:r>
            <w:t>20</w:t>
          </w:r>
          <w:r>
            <w:fldChar w:fldCharType="end"/>
          </w:r>
          <w:r>
            <w:rPr>
              <w:rFonts w:hint="eastAsia" w:ascii="仿宋" w:hAnsi="仿宋" w:eastAsia="仿宋" w:cs="仿宋"/>
              <w:szCs w:val="32"/>
              <w:lang w:val="en-US" w:eastAsia="zh-CN"/>
            </w:rPr>
            <w:fldChar w:fldCharType="end"/>
          </w:r>
        </w:p>
        <w:p>
          <w:pPr>
            <w:pStyle w:val="10"/>
            <w:keepNext w:val="0"/>
            <w:keepLines w:val="0"/>
            <w:pageBreakBefore w:val="0"/>
            <w:widowControl w:val="0"/>
            <w:tabs>
              <w:tab w:val="right" w:leader="dot" w:pos="8845"/>
            </w:tabs>
            <w:kinsoku/>
            <w:wordWrap/>
            <w:overflowPunct/>
            <w:topLinePunct w:val="0"/>
            <w:autoSpaceDE/>
            <w:autoSpaceDN/>
            <w:bidi w:val="0"/>
            <w:adjustRightInd/>
            <w:snapToGrid/>
            <w:spacing w:line="440" w:lineRule="exact"/>
            <w:textAlignment w:val="auto"/>
          </w:pPr>
          <w:r>
            <w:rPr>
              <w:rFonts w:hint="eastAsia" w:ascii="仿宋" w:hAnsi="仿宋" w:eastAsia="仿宋" w:cs="仿宋"/>
              <w:szCs w:val="32"/>
              <w:lang w:val="en-US" w:eastAsia="zh-CN"/>
            </w:rPr>
            <w:fldChar w:fldCharType="begin"/>
          </w:r>
          <w:r>
            <w:rPr>
              <w:rFonts w:hint="eastAsia" w:ascii="仿宋" w:hAnsi="仿宋" w:eastAsia="仿宋" w:cs="仿宋"/>
              <w:szCs w:val="32"/>
              <w:lang w:val="en-US" w:eastAsia="zh-CN"/>
            </w:rPr>
            <w:instrText xml:space="preserve"> HYPERLINK \l _Toc16493 </w:instrText>
          </w:r>
          <w:r>
            <w:rPr>
              <w:rFonts w:hint="eastAsia" w:ascii="仿宋" w:hAnsi="仿宋" w:eastAsia="仿宋" w:cs="仿宋"/>
              <w:szCs w:val="32"/>
              <w:lang w:val="en-US" w:eastAsia="zh-CN"/>
            </w:rPr>
            <w:fldChar w:fldCharType="separate"/>
          </w:r>
          <w:r>
            <w:rPr>
              <w:rFonts w:hint="eastAsia"/>
              <w:lang w:val="en-US" w:eastAsia="zh-CN"/>
            </w:rPr>
            <w:t>（一）公务接待费</w:t>
          </w:r>
          <w:r>
            <w:tab/>
          </w:r>
          <w:r>
            <w:fldChar w:fldCharType="begin"/>
          </w:r>
          <w:r>
            <w:instrText xml:space="preserve"> PAGEREF _Toc16493 \h </w:instrText>
          </w:r>
          <w:r>
            <w:fldChar w:fldCharType="separate"/>
          </w:r>
          <w:r>
            <w:t>20</w:t>
          </w:r>
          <w:r>
            <w:fldChar w:fldCharType="end"/>
          </w:r>
          <w:r>
            <w:rPr>
              <w:rFonts w:hint="eastAsia" w:ascii="仿宋" w:hAnsi="仿宋" w:eastAsia="仿宋" w:cs="仿宋"/>
              <w:szCs w:val="32"/>
              <w:lang w:val="en-US" w:eastAsia="zh-CN"/>
            </w:rPr>
            <w:fldChar w:fldCharType="end"/>
          </w:r>
        </w:p>
        <w:p>
          <w:pPr>
            <w:pStyle w:val="10"/>
            <w:keepNext w:val="0"/>
            <w:keepLines w:val="0"/>
            <w:pageBreakBefore w:val="0"/>
            <w:widowControl w:val="0"/>
            <w:tabs>
              <w:tab w:val="right" w:leader="dot" w:pos="8845"/>
            </w:tabs>
            <w:kinsoku/>
            <w:wordWrap/>
            <w:overflowPunct/>
            <w:topLinePunct w:val="0"/>
            <w:autoSpaceDE/>
            <w:autoSpaceDN/>
            <w:bidi w:val="0"/>
            <w:adjustRightInd/>
            <w:snapToGrid/>
            <w:spacing w:line="440" w:lineRule="exact"/>
            <w:textAlignment w:val="auto"/>
          </w:pPr>
          <w:r>
            <w:rPr>
              <w:rFonts w:hint="eastAsia" w:ascii="仿宋" w:hAnsi="仿宋" w:eastAsia="仿宋" w:cs="仿宋"/>
              <w:szCs w:val="32"/>
              <w:lang w:val="en-US" w:eastAsia="zh-CN"/>
            </w:rPr>
            <w:fldChar w:fldCharType="begin"/>
          </w:r>
          <w:r>
            <w:rPr>
              <w:rFonts w:hint="eastAsia" w:ascii="仿宋" w:hAnsi="仿宋" w:eastAsia="仿宋" w:cs="仿宋"/>
              <w:szCs w:val="32"/>
              <w:lang w:val="en-US" w:eastAsia="zh-CN"/>
            </w:rPr>
            <w:instrText xml:space="preserve"> HYPERLINK \l _Toc7280 </w:instrText>
          </w:r>
          <w:r>
            <w:rPr>
              <w:rFonts w:hint="eastAsia" w:ascii="仿宋" w:hAnsi="仿宋" w:eastAsia="仿宋" w:cs="仿宋"/>
              <w:szCs w:val="32"/>
              <w:lang w:val="en-US" w:eastAsia="zh-CN"/>
            </w:rPr>
            <w:fldChar w:fldCharType="separate"/>
          </w:r>
          <w:r>
            <w:rPr>
              <w:rFonts w:hint="eastAsia"/>
              <w:lang w:val="en-US" w:eastAsia="zh-CN"/>
            </w:rPr>
            <w:t>（二）公务用车购置及运行维护费</w:t>
          </w:r>
          <w:r>
            <w:tab/>
          </w:r>
          <w:r>
            <w:fldChar w:fldCharType="begin"/>
          </w:r>
          <w:r>
            <w:instrText xml:space="preserve"> PAGEREF _Toc7280 \h </w:instrText>
          </w:r>
          <w:r>
            <w:fldChar w:fldCharType="separate"/>
          </w:r>
          <w:r>
            <w:t>20</w:t>
          </w:r>
          <w:r>
            <w:fldChar w:fldCharType="end"/>
          </w:r>
          <w:r>
            <w:rPr>
              <w:rFonts w:hint="eastAsia" w:ascii="仿宋" w:hAnsi="仿宋" w:eastAsia="仿宋" w:cs="仿宋"/>
              <w:szCs w:val="32"/>
              <w:lang w:val="en-US" w:eastAsia="zh-CN"/>
            </w:rPr>
            <w:fldChar w:fldCharType="end"/>
          </w:r>
        </w:p>
        <w:p>
          <w:pPr>
            <w:pStyle w:val="10"/>
            <w:keepNext w:val="0"/>
            <w:keepLines w:val="0"/>
            <w:pageBreakBefore w:val="0"/>
            <w:widowControl w:val="0"/>
            <w:tabs>
              <w:tab w:val="right" w:leader="dot" w:pos="8845"/>
            </w:tabs>
            <w:kinsoku/>
            <w:wordWrap/>
            <w:overflowPunct/>
            <w:topLinePunct w:val="0"/>
            <w:autoSpaceDE/>
            <w:autoSpaceDN/>
            <w:bidi w:val="0"/>
            <w:adjustRightInd/>
            <w:snapToGrid/>
            <w:spacing w:line="440" w:lineRule="exact"/>
            <w:textAlignment w:val="auto"/>
          </w:pPr>
          <w:r>
            <w:rPr>
              <w:rFonts w:hint="eastAsia" w:ascii="仿宋" w:hAnsi="仿宋" w:eastAsia="仿宋" w:cs="仿宋"/>
              <w:szCs w:val="32"/>
              <w:lang w:val="en-US" w:eastAsia="zh-CN"/>
            </w:rPr>
            <w:fldChar w:fldCharType="begin"/>
          </w:r>
          <w:r>
            <w:rPr>
              <w:rFonts w:hint="eastAsia" w:ascii="仿宋" w:hAnsi="仿宋" w:eastAsia="仿宋" w:cs="仿宋"/>
              <w:szCs w:val="32"/>
              <w:lang w:val="en-US" w:eastAsia="zh-CN"/>
            </w:rPr>
            <w:instrText xml:space="preserve"> HYPERLINK \l _Toc17506 </w:instrText>
          </w:r>
          <w:r>
            <w:rPr>
              <w:rFonts w:hint="eastAsia" w:ascii="仿宋" w:hAnsi="仿宋" w:eastAsia="仿宋" w:cs="仿宋"/>
              <w:szCs w:val="32"/>
              <w:lang w:val="en-US" w:eastAsia="zh-CN"/>
            </w:rPr>
            <w:fldChar w:fldCharType="separate"/>
          </w:r>
          <w:r>
            <w:rPr>
              <w:rFonts w:hint="eastAsia"/>
              <w:lang w:val="en-US" w:eastAsia="zh-CN"/>
            </w:rPr>
            <w:t>（三）因公出国（境）经费</w:t>
          </w:r>
          <w:r>
            <w:tab/>
          </w:r>
          <w:r>
            <w:fldChar w:fldCharType="begin"/>
          </w:r>
          <w:r>
            <w:instrText xml:space="preserve"> PAGEREF _Toc17506 \h </w:instrText>
          </w:r>
          <w:r>
            <w:fldChar w:fldCharType="separate"/>
          </w:r>
          <w:r>
            <w:t>21</w:t>
          </w:r>
          <w:r>
            <w:fldChar w:fldCharType="end"/>
          </w:r>
          <w:r>
            <w:rPr>
              <w:rFonts w:hint="eastAsia" w:ascii="仿宋" w:hAnsi="仿宋" w:eastAsia="仿宋" w:cs="仿宋"/>
              <w:szCs w:val="32"/>
              <w:lang w:val="en-US" w:eastAsia="zh-CN"/>
            </w:rPr>
            <w:fldChar w:fldCharType="end"/>
          </w:r>
        </w:p>
        <w:p>
          <w:pPr>
            <w:pStyle w:val="8"/>
            <w:keepNext w:val="0"/>
            <w:keepLines w:val="0"/>
            <w:pageBreakBefore w:val="0"/>
            <w:widowControl w:val="0"/>
            <w:tabs>
              <w:tab w:val="right" w:leader="dot" w:pos="8845"/>
            </w:tabs>
            <w:kinsoku/>
            <w:wordWrap/>
            <w:overflowPunct/>
            <w:topLinePunct w:val="0"/>
            <w:autoSpaceDE/>
            <w:autoSpaceDN/>
            <w:bidi w:val="0"/>
            <w:adjustRightInd/>
            <w:snapToGrid/>
            <w:spacing w:line="440" w:lineRule="exact"/>
            <w:textAlignment w:val="auto"/>
          </w:pPr>
          <w:r>
            <w:rPr>
              <w:rFonts w:hint="eastAsia" w:ascii="仿宋" w:hAnsi="仿宋" w:eastAsia="仿宋" w:cs="仿宋"/>
              <w:szCs w:val="32"/>
              <w:lang w:val="en-US" w:eastAsia="zh-CN"/>
            </w:rPr>
            <w:fldChar w:fldCharType="begin"/>
          </w:r>
          <w:r>
            <w:rPr>
              <w:rFonts w:hint="eastAsia" w:ascii="仿宋" w:hAnsi="仿宋" w:eastAsia="仿宋" w:cs="仿宋"/>
              <w:szCs w:val="32"/>
              <w:lang w:val="en-US" w:eastAsia="zh-CN"/>
            </w:rPr>
            <w:instrText xml:space="preserve"> HYPERLINK \l _Toc29580 </w:instrText>
          </w:r>
          <w:r>
            <w:rPr>
              <w:rFonts w:hint="eastAsia" w:ascii="仿宋" w:hAnsi="仿宋" w:eastAsia="仿宋" w:cs="仿宋"/>
              <w:szCs w:val="32"/>
              <w:lang w:val="en-US" w:eastAsia="zh-CN"/>
            </w:rPr>
            <w:fldChar w:fldCharType="separate"/>
          </w:r>
          <w:r>
            <w:rPr>
              <w:rFonts w:hint="eastAsia"/>
              <w:lang w:val="en-US" w:eastAsia="zh-CN"/>
            </w:rPr>
            <w:t>八、政府性基金预算支出情况说明</w:t>
          </w:r>
          <w:r>
            <w:tab/>
          </w:r>
          <w:r>
            <w:fldChar w:fldCharType="begin"/>
          </w:r>
          <w:r>
            <w:instrText xml:space="preserve"> PAGEREF _Toc29580 \h </w:instrText>
          </w:r>
          <w:r>
            <w:fldChar w:fldCharType="separate"/>
          </w:r>
          <w:r>
            <w:t>21</w:t>
          </w:r>
          <w:r>
            <w:fldChar w:fldCharType="end"/>
          </w:r>
          <w:r>
            <w:rPr>
              <w:rFonts w:hint="eastAsia" w:ascii="仿宋" w:hAnsi="仿宋" w:eastAsia="仿宋" w:cs="仿宋"/>
              <w:szCs w:val="32"/>
              <w:lang w:val="en-US" w:eastAsia="zh-CN"/>
            </w:rPr>
            <w:fldChar w:fldCharType="end"/>
          </w:r>
        </w:p>
        <w:p>
          <w:pPr>
            <w:pStyle w:val="8"/>
            <w:keepNext w:val="0"/>
            <w:keepLines w:val="0"/>
            <w:pageBreakBefore w:val="0"/>
            <w:widowControl w:val="0"/>
            <w:tabs>
              <w:tab w:val="right" w:leader="dot" w:pos="8845"/>
            </w:tabs>
            <w:kinsoku/>
            <w:wordWrap/>
            <w:overflowPunct/>
            <w:topLinePunct w:val="0"/>
            <w:autoSpaceDE/>
            <w:autoSpaceDN/>
            <w:bidi w:val="0"/>
            <w:adjustRightInd/>
            <w:snapToGrid/>
            <w:spacing w:line="440" w:lineRule="exact"/>
            <w:textAlignment w:val="auto"/>
          </w:pPr>
          <w:r>
            <w:rPr>
              <w:rFonts w:hint="eastAsia" w:ascii="仿宋" w:hAnsi="仿宋" w:eastAsia="仿宋" w:cs="仿宋"/>
              <w:szCs w:val="32"/>
              <w:lang w:val="en-US" w:eastAsia="zh-CN"/>
            </w:rPr>
            <w:fldChar w:fldCharType="begin"/>
          </w:r>
          <w:r>
            <w:rPr>
              <w:rFonts w:hint="eastAsia" w:ascii="仿宋" w:hAnsi="仿宋" w:eastAsia="仿宋" w:cs="仿宋"/>
              <w:szCs w:val="32"/>
              <w:lang w:val="en-US" w:eastAsia="zh-CN"/>
            </w:rPr>
            <w:instrText xml:space="preserve"> HYPERLINK \l _Toc8250 </w:instrText>
          </w:r>
          <w:r>
            <w:rPr>
              <w:rFonts w:hint="eastAsia" w:ascii="仿宋" w:hAnsi="仿宋" w:eastAsia="仿宋" w:cs="仿宋"/>
              <w:szCs w:val="32"/>
              <w:lang w:val="en-US" w:eastAsia="zh-CN"/>
            </w:rPr>
            <w:fldChar w:fldCharType="separate"/>
          </w:r>
          <w:r>
            <w:rPr>
              <w:rFonts w:hint="eastAsia"/>
              <w:lang w:val="en-US" w:eastAsia="zh-CN"/>
            </w:rPr>
            <w:t>九、国有资本经营预算支出情况说明</w:t>
          </w:r>
          <w:r>
            <w:tab/>
          </w:r>
          <w:r>
            <w:fldChar w:fldCharType="begin"/>
          </w:r>
          <w:r>
            <w:instrText xml:space="preserve"> PAGEREF _Toc8250 \h </w:instrText>
          </w:r>
          <w:r>
            <w:fldChar w:fldCharType="separate"/>
          </w:r>
          <w:r>
            <w:t>21</w:t>
          </w:r>
          <w:r>
            <w:fldChar w:fldCharType="end"/>
          </w:r>
          <w:r>
            <w:rPr>
              <w:rFonts w:hint="eastAsia" w:ascii="仿宋" w:hAnsi="仿宋" w:eastAsia="仿宋" w:cs="仿宋"/>
              <w:szCs w:val="32"/>
              <w:lang w:val="en-US" w:eastAsia="zh-CN"/>
            </w:rPr>
            <w:fldChar w:fldCharType="end"/>
          </w:r>
        </w:p>
        <w:p>
          <w:pPr>
            <w:pStyle w:val="8"/>
            <w:keepNext w:val="0"/>
            <w:keepLines w:val="0"/>
            <w:pageBreakBefore w:val="0"/>
            <w:widowControl w:val="0"/>
            <w:tabs>
              <w:tab w:val="right" w:leader="dot" w:pos="8845"/>
            </w:tabs>
            <w:kinsoku/>
            <w:wordWrap/>
            <w:overflowPunct/>
            <w:topLinePunct w:val="0"/>
            <w:autoSpaceDE/>
            <w:autoSpaceDN/>
            <w:bidi w:val="0"/>
            <w:adjustRightInd/>
            <w:snapToGrid/>
            <w:spacing w:line="440" w:lineRule="exact"/>
            <w:textAlignment w:val="auto"/>
          </w:pPr>
          <w:r>
            <w:rPr>
              <w:rFonts w:hint="eastAsia" w:ascii="仿宋" w:hAnsi="仿宋" w:eastAsia="仿宋" w:cs="仿宋"/>
              <w:szCs w:val="32"/>
              <w:lang w:val="en-US" w:eastAsia="zh-CN"/>
            </w:rPr>
            <w:fldChar w:fldCharType="begin"/>
          </w:r>
          <w:r>
            <w:rPr>
              <w:rFonts w:hint="eastAsia" w:ascii="仿宋" w:hAnsi="仿宋" w:eastAsia="仿宋" w:cs="仿宋"/>
              <w:szCs w:val="32"/>
              <w:lang w:val="en-US" w:eastAsia="zh-CN"/>
            </w:rPr>
            <w:instrText xml:space="preserve"> HYPERLINK \l _Toc7715 </w:instrText>
          </w:r>
          <w:r>
            <w:rPr>
              <w:rFonts w:hint="eastAsia" w:ascii="仿宋" w:hAnsi="仿宋" w:eastAsia="仿宋" w:cs="仿宋"/>
              <w:szCs w:val="32"/>
              <w:lang w:val="en-US" w:eastAsia="zh-CN"/>
            </w:rPr>
            <w:fldChar w:fldCharType="separate"/>
          </w:r>
          <w:r>
            <w:rPr>
              <w:rFonts w:hint="eastAsia"/>
              <w:lang w:val="en-US" w:eastAsia="zh-CN"/>
            </w:rPr>
            <w:t>十、其他重要事项的情况说明</w:t>
          </w:r>
          <w:r>
            <w:tab/>
          </w:r>
          <w:r>
            <w:fldChar w:fldCharType="begin"/>
          </w:r>
          <w:r>
            <w:instrText xml:space="preserve"> PAGEREF _Toc7715 \h </w:instrText>
          </w:r>
          <w:r>
            <w:fldChar w:fldCharType="separate"/>
          </w:r>
          <w:r>
            <w:t>21</w:t>
          </w:r>
          <w:r>
            <w:fldChar w:fldCharType="end"/>
          </w:r>
          <w:r>
            <w:rPr>
              <w:rFonts w:hint="eastAsia" w:ascii="仿宋" w:hAnsi="仿宋" w:eastAsia="仿宋" w:cs="仿宋"/>
              <w:szCs w:val="32"/>
              <w:lang w:val="en-US" w:eastAsia="zh-CN"/>
            </w:rPr>
            <w:fldChar w:fldCharType="end"/>
          </w:r>
        </w:p>
        <w:p>
          <w:pPr>
            <w:pStyle w:val="10"/>
            <w:keepNext w:val="0"/>
            <w:keepLines w:val="0"/>
            <w:pageBreakBefore w:val="0"/>
            <w:widowControl w:val="0"/>
            <w:tabs>
              <w:tab w:val="right" w:leader="dot" w:pos="8845"/>
            </w:tabs>
            <w:kinsoku/>
            <w:wordWrap/>
            <w:overflowPunct/>
            <w:topLinePunct w:val="0"/>
            <w:autoSpaceDE/>
            <w:autoSpaceDN/>
            <w:bidi w:val="0"/>
            <w:adjustRightInd/>
            <w:snapToGrid/>
            <w:spacing w:line="440" w:lineRule="exact"/>
            <w:textAlignment w:val="auto"/>
          </w:pPr>
          <w:r>
            <w:rPr>
              <w:rFonts w:hint="eastAsia" w:ascii="仿宋" w:hAnsi="仿宋" w:eastAsia="仿宋" w:cs="仿宋"/>
              <w:szCs w:val="32"/>
              <w:lang w:val="en-US" w:eastAsia="zh-CN"/>
            </w:rPr>
            <w:fldChar w:fldCharType="begin"/>
          </w:r>
          <w:r>
            <w:rPr>
              <w:rFonts w:hint="eastAsia" w:ascii="仿宋" w:hAnsi="仿宋" w:eastAsia="仿宋" w:cs="仿宋"/>
              <w:szCs w:val="32"/>
              <w:lang w:val="en-US" w:eastAsia="zh-CN"/>
            </w:rPr>
            <w:instrText xml:space="preserve"> HYPERLINK \l _Toc16703 </w:instrText>
          </w:r>
          <w:r>
            <w:rPr>
              <w:rFonts w:hint="eastAsia" w:ascii="仿宋" w:hAnsi="仿宋" w:eastAsia="仿宋" w:cs="仿宋"/>
              <w:szCs w:val="32"/>
              <w:lang w:val="en-US" w:eastAsia="zh-CN"/>
            </w:rPr>
            <w:fldChar w:fldCharType="separate"/>
          </w:r>
          <w:r>
            <w:rPr>
              <w:rFonts w:hint="eastAsia"/>
              <w:lang w:val="en-US" w:eastAsia="zh-CN"/>
            </w:rPr>
            <w:t>（一）机关运行经费</w:t>
          </w:r>
          <w:r>
            <w:tab/>
          </w:r>
          <w:r>
            <w:fldChar w:fldCharType="begin"/>
          </w:r>
          <w:r>
            <w:instrText xml:space="preserve"> PAGEREF _Toc16703 \h </w:instrText>
          </w:r>
          <w:r>
            <w:fldChar w:fldCharType="separate"/>
          </w:r>
          <w:r>
            <w:t>21</w:t>
          </w:r>
          <w:r>
            <w:fldChar w:fldCharType="end"/>
          </w:r>
          <w:r>
            <w:rPr>
              <w:rFonts w:hint="eastAsia" w:ascii="仿宋" w:hAnsi="仿宋" w:eastAsia="仿宋" w:cs="仿宋"/>
              <w:szCs w:val="32"/>
              <w:lang w:val="en-US" w:eastAsia="zh-CN"/>
            </w:rPr>
            <w:fldChar w:fldCharType="end"/>
          </w:r>
        </w:p>
        <w:p>
          <w:pPr>
            <w:pStyle w:val="10"/>
            <w:keepNext w:val="0"/>
            <w:keepLines w:val="0"/>
            <w:pageBreakBefore w:val="0"/>
            <w:widowControl w:val="0"/>
            <w:tabs>
              <w:tab w:val="right" w:leader="dot" w:pos="8845"/>
            </w:tabs>
            <w:kinsoku/>
            <w:wordWrap/>
            <w:overflowPunct/>
            <w:topLinePunct w:val="0"/>
            <w:autoSpaceDE/>
            <w:autoSpaceDN/>
            <w:bidi w:val="0"/>
            <w:adjustRightInd/>
            <w:snapToGrid/>
            <w:spacing w:line="440" w:lineRule="exact"/>
            <w:textAlignment w:val="auto"/>
          </w:pPr>
          <w:r>
            <w:rPr>
              <w:rFonts w:hint="eastAsia" w:ascii="仿宋" w:hAnsi="仿宋" w:eastAsia="仿宋" w:cs="仿宋"/>
              <w:szCs w:val="32"/>
              <w:lang w:val="en-US" w:eastAsia="zh-CN"/>
            </w:rPr>
            <w:fldChar w:fldCharType="begin"/>
          </w:r>
          <w:r>
            <w:rPr>
              <w:rFonts w:hint="eastAsia" w:ascii="仿宋" w:hAnsi="仿宋" w:eastAsia="仿宋" w:cs="仿宋"/>
              <w:szCs w:val="32"/>
              <w:lang w:val="en-US" w:eastAsia="zh-CN"/>
            </w:rPr>
            <w:instrText xml:space="preserve"> HYPERLINK \l _Toc18257 </w:instrText>
          </w:r>
          <w:r>
            <w:rPr>
              <w:rFonts w:hint="eastAsia" w:ascii="仿宋" w:hAnsi="仿宋" w:eastAsia="仿宋" w:cs="仿宋"/>
              <w:szCs w:val="32"/>
              <w:lang w:val="en-US" w:eastAsia="zh-CN"/>
            </w:rPr>
            <w:fldChar w:fldCharType="separate"/>
          </w:r>
          <w:r>
            <w:rPr>
              <w:rFonts w:hint="eastAsia"/>
              <w:lang w:val="en-US" w:eastAsia="zh-CN"/>
            </w:rPr>
            <w:t>（二）政府采购情况</w:t>
          </w:r>
          <w:r>
            <w:tab/>
          </w:r>
          <w:r>
            <w:fldChar w:fldCharType="begin"/>
          </w:r>
          <w:r>
            <w:instrText xml:space="preserve"> PAGEREF _Toc18257 \h </w:instrText>
          </w:r>
          <w:r>
            <w:fldChar w:fldCharType="separate"/>
          </w:r>
          <w:r>
            <w:t>21</w:t>
          </w:r>
          <w:r>
            <w:fldChar w:fldCharType="end"/>
          </w:r>
          <w:r>
            <w:rPr>
              <w:rFonts w:hint="eastAsia" w:ascii="仿宋" w:hAnsi="仿宋" w:eastAsia="仿宋" w:cs="仿宋"/>
              <w:szCs w:val="32"/>
              <w:lang w:val="en-US" w:eastAsia="zh-CN"/>
            </w:rPr>
            <w:fldChar w:fldCharType="end"/>
          </w:r>
        </w:p>
        <w:p>
          <w:pPr>
            <w:pStyle w:val="10"/>
            <w:keepNext w:val="0"/>
            <w:keepLines w:val="0"/>
            <w:pageBreakBefore w:val="0"/>
            <w:widowControl w:val="0"/>
            <w:tabs>
              <w:tab w:val="right" w:leader="dot" w:pos="8845"/>
            </w:tabs>
            <w:kinsoku/>
            <w:wordWrap/>
            <w:overflowPunct/>
            <w:topLinePunct w:val="0"/>
            <w:autoSpaceDE/>
            <w:autoSpaceDN/>
            <w:bidi w:val="0"/>
            <w:adjustRightInd/>
            <w:snapToGrid/>
            <w:spacing w:line="440" w:lineRule="exact"/>
            <w:textAlignment w:val="auto"/>
          </w:pPr>
          <w:r>
            <w:rPr>
              <w:rFonts w:hint="eastAsia" w:ascii="仿宋" w:hAnsi="仿宋" w:eastAsia="仿宋" w:cs="仿宋"/>
              <w:szCs w:val="32"/>
              <w:lang w:val="en-US" w:eastAsia="zh-CN"/>
            </w:rPr>
            <w:fldChar w:fldCharType="begin"/>
          </w:r>
          <w:r>
            <w:rPr>
              <w:rFonts w:hint="eastAsia" w:ascii="仿宋" w:hAnsi="仿宋" w:eastAsia="仿宋" w:cs="仿宋"/>
              <w:szCs w:val="32"/>
              <w:lang w:val="en-US" w:eastAsia="zh-CN"/>
            </w:rPr>
            <w:instrText xml:space="preserve"> HYPERLINK \l _Toc21787 </w:instrText>
          </w:r>
          <w:r>
            <w:rPr>
              <w:rFonts w:hint="eastAsia" w:ascii="仿宋" w:hAnsi="仿宋" w:eastAsia="仿宋" w:cs="仿宋"/>
              <w:szCs w:val="32"/>
              <w:lang w:val="en-US" w:eastAsia="zh-CN"/>
            </w:rPr>
            <w:fldChar w:fldCharType="separate"/>
          </w:r>
          <w:r>
            <w:rPr>
              <w:rFonts w:hint="eastAsia"/>
              <w:lang w:val="en-US" w:eastAsia="zh-CN"/>
            </w:rPr>
            <w:t>（三）国有资产占有使用情况</w:t>
          </w:r>
          <w:r>
            <w:tab/>
          </w:r>
          <w:r>
            <w:fldChar w:fldCharType="begin"/>
          </w:r>
          <w:r>
            <w:instrText xml:space="preserve"> PAGEREF _Toc21787 \h </w:instrText>
          </w:r>
          <w:r>
            <w:fldChar w:fldCharType="separate"/>
          </w:r>
          <w:r>
            <w:t>21</w:t>
          </w:r>
          <w:r>
            <w:fldChar w:fldCharType="end"/>
          </w:r>
          <w:r>
            <w:rPr>
              <w:rFonts w:hint="eastAsia" w:ascii="仿宋" w:hAnsi="仿宋" w:eastAsia="仿宋" w:cs="仿宋"/>
              <w:szCs w:val="32"/>
              <w:lang w:val="en-US" w:eastAsia="zh-CN"/>
            </w:rPr>
            <w:fldChar w:fldCharType="end"/>
          </w:r>
        </w:p>
        <w:p>
          <w:pPr>
            <w:pStyle w:val="10"/>
            <w:keepNext w:val="0"/>
            <w:keepLines w:val="0"/>
            <w:pageBreakBefore w:val="0"/>
            <w:widowControl w:val="0"/>
            <w:tabs>
              <w:tab w:val="right" w:leader="dot" w:pos="8845"/>
            </w:tabs>
            <w:kinsoku/>
            <w:wordWrap/>
            <w:overflowPunct/>
            <w:topLinePunct w:val="0"/>
            <w:autoSpaceDE/>
            <w:autoSpaceDN/>
            <w:bidi w:val="0"/>
            <w:adjustRightInd/>
            <w:snapToGrid/>
            <w:spacing w:line="440" w:lineRule="exact"/>
            <w:textAlignment w:val="auto"/>
          </w:pPr>
          <w:r>
            <w:rPr>
              <w:rFonts w:hint="eastAsia" w:ascii="仿宋" w:hAnsi="仿宋" w:eastAsia="仿宋" w:cs="仿宋"/>
              <w:szCs w:val="32"/>
              <w:lang w:val="en-US" w:eastAsia="zh-CN"/>
            </w:rPr>
            <w:fldChar w:fldCharType="begin"/>
          </w:r>
          <w:r>
            <w:rPr>
              <w:rFonts w:hint="eastAsia" w:ascii="仿宋" w:hAnsi="仿宋" w:eastAsia="仿宋" w:cs="仿宋"/>
              <w:szCs w:val="32"/>
              <w:lang w:val="en-US" w:eastAsia="zh-CN"/>
            </w:rPr>
            <w:instrText xml:space="preserve"> HYPERLINK \l _Toc16688 </w:instrText>
          </w:r>
          <w:r>
            <w:rPr>
              <w:rFonts w:hint="eastAsia" w:ascii="仿宋" w:hAnsi="仿宋" w:eastAsia="仿宋" w:cs="仿宋"/>
              <w:szCs w:val="32"/>
              <w:lang w:val="en-US" w:eastAsia="zh-CN"/>
            </w:rPr>
            <w:fldChar w:fldCharType="separate"/>
          </w:r>
          <w:r>
            <w:rPr>
              <w:rFonts w:hint="eastAsia"/>
              <w:lang w:val="en-US" w:eastAsia="zh-CN"/>
            </w:rPr>
            <w:t>（四）绩效目标设置情况</w:t>
          </w:r>
          <w:r>
            <w:tab/>
          </w:r>
          <w:r>
            <w:fldChar w:fldCharType="begin"/>
          </w:r>
          <w:r>
            <w:instrText xml:space="preserve"> PAGEREF _Toc16688 \h </w:instrText>
          </w:r>
          <w:r>
            <w:fldChar w:fldCharType="separate"/>
          </w:r>
          <w:r>
            <w:t>21</w:t>
          </w:r>
          <w:r>
            <w:fldChar w:fldCharType="end"/>
          </w:r>
          <w:r>
            <w:rPr>
              <w:rFonts w:hint="eastAsia" w:ascii="仿宋" w:hAnsi="仿宋" w:eastAsia="仿宋" w:cs="仿宋"/>
              <w:szCs w:val="32"/>
              <w:lang w:val="en-US" w:eastAsia="zh-CN"/>
            </w:rPr>
            <w:fldChar w:fldCharType="end"/>
          </w:r>
        </w:p>
        <w:p>
          <w:pPr>
            <w:pStyle w:val="8"/>
            <w:keepNext w:val="0"/>
            <w:keepLines w:val="0"/>
            <w:pageBreakBefore w:val="0"/>
            <w:widowControl w:val="0"/>
            <w:tabs>
              <w:tab w:val="right" w:leader="dot" w:pos="8845"/>
            </w:tabs>
            <w:kinsoku/>
            <w:wordWrap/>
            <w:overflowPunct/>
            <w:topLinePunct w:val="0"/>
            <w:autoSpaceDE/>
            <w:autoSpaceDN/>
            <w:bidi w:val="0"/>
            <w:adjustRightInd/>
            <w:snapToGrid/>
            <w:spacing w:line="440" w:lineRule="exact"/>
            <w:textAlignment w:val="auto"/>
          </w:pPr>
          <w:r>
            <w:rPr>
              <w:rFonts w:hint="eastAsia" w:ascii="仿宋" w:hAnsi="仿宋" w:eastAsia="仿宋" w:cs="仿宋"/>
              <w:szCs w:val="32"/>
              <w:lang w:val="en-US" w:eastAsia="zh-CN"/>
            </w:rPr>
            <w:fldChar w:fldCharType="begin"/>
          </w:r>
          <w:r>
            <w:rPr>
              <w:rFonts w:hint="eastAsia" w:ascii="仿宋" w:hAnsi="仿宋" w:eastAsia="仿宋" w:cs="仿宋"/>
              <w:szCs w:val="32"/>
              <w:lang w:val="en-US" w:eastAsia="zh-CN"/>
            </w:rPr>
            <w:instrText xml:space="preserve"> HYPERLINK \l _Toc7238 </w:instrText>
          </w:r>
          <w:r>
            <w:rPr>
              <w:rFonts w:hint="eastAsia" w:ascii="仿宋" w:hAnsi="仿宋" w:eastAsia="仿宋" w:cs="仿宋"/>
              <w:szCs w:val="32"/>
              <w:lang w:val="en-US" w:eastAsia="zh-CN"/>
            </w:rPr>
            <w:fldChar w:fldCharType="separate"/>
          </w:r>
          <w:r>
            <w:rPr>
              <w:rFonts w:hint="eastAsia"/>
              <w:lang w:val="en-US" w:eastAsia="zh-CN"/>
            </w:rPr>
            <w:t>十一、名词解释</w:t>
          </w:r>
          <w:r>
            <w:tab/>
          </w:r>
          <w:r>
            <w:fldChar w:fldCharType="begin"/>
          </w:r>
          <w:r>
            <w:instrText xml:space="preserve"> PAGEREF _Toc7238 \h </w:instrText>
          </w:r>
          <w:r>
            <w:fldChar w:fldCharType="separate"/>
          </w:r>
          <w:r>
            <w:t>22</w:t>
          </w:r>
          <w:r>
            <w:fldChar w:fldCharType="end"/>
          </w:r>
          <w:r>
            <w:rPr>
              <w:rFonts w:hint="eastAsia" w:ascii="仿宋" w:hAnsi="仿宋" w:eastAsia="仿宋" w:cs="仿宋"/>
              <w:szCs w:val="32"/>
              <w:lang w:val="en-US" w:eastAsia="zh-CN"/>
            </w:rPr>
            <w:fldChar w:fldCharType="end"/>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32"/>
              <w:szCs w:val="32"/>
              <w:lang w:val="en-US" w:eastAsia="zh-CN"/>
            </w:rPr>
            <w:sectPr>
              <w:pgSz w:w="11906" w:h="16838"/>
              <w:pgMar w:top="2098" w:right="1474" w:bottom="1984" w:left="1587" w:header="720" w:footer="1559" w:gutter="0"/>
              <w:pgNumType w:fmt="decimal"/>
              <w:cols w:space="720" w:num="1"/>
              <w:docGrid w:type="lines" w:linePitch="312" w:charSpace="0"/>
            </w:sectPr>
          </w:pPr>
          <w:r>
            <w:rPr>
              <w:rFonts w:hint="eastAsia" w:ascii="仿宋" w:hAnsi="仿宋" w:eastAsia="仿宋" w:cs="仿宋"/>
              <w:szCs w:val="32"/>
              <w:lang w:val="en-US" w:eastAsia="zh-CN"/>
            </w:rPr>
            <w:fldChar w:fldCharType="end"/>
          </w:r>
        </w:p>
      </w:sdtContent>
    </w:sdt>
    <w:p>
      <w:pPr>
        <w:pStyle w:val="3"/>
        <w:bidi w:val="0"/>
        <w:rPr>
          <w:rFonts w:hint="eastAsia"/>
        </w:rPr>
      </w:pPr>
      <w:bookmarkStart w:id="0" w:name="_Toc375"/>
      <w:r>
        <w:rPr>
          <w:rFonts w:hint="eastAsia"/>
          <w:lang w:val="en-US" w:eastAsia="zh-CN"/>
        </w:rPr>
        <w:t>一、基本职能及主要工作</w:t>
      </w:r>
      <w:bookmarkEnd w:id="0"/>
    </w:p>
    <w:p>
      <w:pPr>
        <w:pStyle w:val="4"/>
        <w:bidi w:val="0"/>
        <w:rPr>
          <w:rFonts w:hint="eastAsia"/>
        </w:rPr>
      </w:pPr>
      <w:bookmarkStart w:id="1" w:name="_Toc17774"/>
      <w:r>
        <w:rPr>
          <w:rFonts w:hint="eastAsia"/>
        </w:rPr>
        <w:t>（一）</w:t>
      </w:r>
      <w:r>
        <w:rPr>
          <w:rFonts w:hint="eastAsia"/>
          <w:lang w:val="en-US" w:eastAsia="zh-CN"/>
        </w:rPr>
        <w:t>广元市林业局</w:t>
      </w:r>
      <w:r>
        <w:rPr>
          <w:rFonts w:hint="eastAsia"/>
        </w:rPr>
        <w:t>职能简介</w:t>
      </w:r>
      <w:bookmarkEnd w:id="1"/>
    </w:p>
    <w:p>
      <w:pPr>
        <w:overflowPunct w:val="0"/>
        <w:spacing w:line="540" w:lineRule="exact"/>
        <w:ind w:firstLine="640"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1.</w:t>
      </w:r>
      <w:r>
        <w:rPr>
          <w:rFonts w:hint="eastAsia" w:ascii="仿宋" w:hAnsi="仿宋" w:eastAsia="仿宋" w:cs="仿宋"/>
          <w:color w:val="000000"/>
          <w:sz w:val="32"/>
          <w:szCs w:val="32"/>
        </w:rPr>
        <w:t>负责全市林业及其生态保护修复的监督管理。拟订全市林业及其生态保护修复的相关政策、规划和起草相关规范性文件并组织实施。组织拟订有关地方标准并指导实施，组织开展全市森林、陆生野生动植物、湿地、自然保护地和荒漠等资源的动态监测与评价。推进全市林业数字化建设。</w:t>
      </w:r>
    </w:p>
    <w:p>
      <w:pPr>
        <w:overflowPunct w:val="0"/>
        <w:spacing w:line="540" w:lineRule="exact"/>
        <w:ind w:firstLine="640"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2.</w:t>
      </w:r>
      <w:r>
        <w:rPr>
          <w:rFonts w:hint="eastAsia" w:ascii="仿宋" w:hAnsi="仿宋" w:eastAsia="仿宋" w:cs="仿宋"/>
          <w:color w:val="000000"/>
          <w:sz w:val="32"/>
          <w:szCs w:val="32"/>
        </w:rPr>
        <w:t>组织全市生态保护修复和造林绿化工作。组织实施林业重点生态保护修复工程，指导公益林和商品林的培育，指导和监</w:t>
      </w:r>
      <w:r>
        <w:rPr>
          <w:rFonts w:hint="eastAsia" w:ascii="仿宋" w:hAnsi="仿宋" w:eastAsia="仿宋" w:cs="仿宋"/>
          <w:sz w:val="32"/>
          <w:szCs w:val="32"/>
        </w:rPr>
        <w:t>督全民义务植树、城乡绿化工作，指导林业有害生物防治、检疫工作。承担林业应对气候变化的相关工作。负责全市荒漠化、石漠化防治工</w:t>
      </w:r>
      <w:r>
        <w:rPr>
          <w:rFonts w:hint="eastAsia" w:ascii="仿宋" w:hAnsi="仿宋" w:eastAsia="仿宋" w:cs="仿宋"/>
          <w:color w:val="000000"/>
          <w:sz w:val="32"/>
          <w:szCs w:val="32"/>
        </w:rPr>
        <w:t>作。承担广元市绿化委员会的具体工作。</w:t>
      </w:r>
    </w:p>
    <w:p>
      <w:pPr>
        <w:overflowPunct w:val="0"/>
        <w:spacing w:line="540" w:lineRule="exact"/>
        <w:ind w:firstLine="640"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3.</w:t>
      </w:r>
      <w:r>
        <w:rPr>
          <w:rFonts w:hint="eastAsia" w:ascii="仿宋" w:hAnsi="仿宋" w:eastAsia="仿宋" w:cs="仿宋"/>
          <w:color w:val="000000"/>
          <w:sz w:val="32"/>
          <w:szCs w:val="32"/>
        </w:rPr>
        <w:t>负责全市森林资源的监督管理。贯彻执行全省森林采伐限额和林地保护利用规划。组织编制并监督执行全市森林采伐限额，监督检查林木凭证采伐、经营加工、运输。负责林地管理，拟订林地保护利用规划并组织实施，组织实施公益林划定管理工作，管理国有森林资源。</w:t>
      </w:r>
    </w:p>
    <w:p>
      <w:pPr>
        <w:overflowPunct w:val="0"/>
        <w:spacing w:line="540" w:lineRule="exact"/>
        <w:ind w:firstLine="640"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4.</w:t>
      </w:r>
      <w:r>
        <w:rPr>
          <w:rFonts w:hint="eastAsia" w:ascii="仿宋" w:hAnsi="仿宋" w:eastAsia="仿宋" w:cs="仿宋"/>
          <w:color w:val="000000"/>
          <w:sz w:val="32"/>
          <w:szCs w:val="32"/>
        </w:rPr>
        <w:t>负责全市湿地资源的监督管理。贯彻执行全省有关湿地保护规划及其相关的标准规定，拟订全市湿地保护规划及其相关的地方标准。负责湿地生态保护修复工作，监督管理湿地的合理利用。</w:t>
      </w:r>
    </w:p>
    <w:p>
      <w:pPr>
        <w:overflowPunct w:val="0"/>
        <w:spacing w:line="540" w:lineRule="exact"/>
        <w:ind w:firstLine="640"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5.</w:t>
      </w:r>
      <w:r>
        <w:rPr>
          <w:rFonts w:hint="eastAsia" w:ascii="仿宋" w:hAnsi="仿宋" w:eastAsia="仿宋" w:cs="仿宋"/>
          <w:color w:val="000000"/>
          <w:sz w:val="32"/>
          <w:szCs w:val="32"/>
        </w:rPr>
        <w:t>负责全市陆生野生动植物资源的监督管理。组织开展陆生野生动植物资源调查，拟订及调整全市重点保护陆生野生动物、植物名录，指导陆生野生动植物的救护繁育、栖息地恢复发展、疫源疫病监测，监督管理全市陆生野生动植物猎捕或采集、驯养繁殖或培植、经营利用，按分工监督管理野生动植物进出口。</w:t>
      </w:r>
    </w:p>
    <w:p>
      <w:pPr>
        <w:overflowPunct w:val="0"/>
        <w:spacing w:line="540" w:lineRule="exact"/>
        <w:ind w:firstLine="640"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6.</w:t>
      </w:r>
      <w:r>
        <w:rPr>
          <w:rFonts w:hint="eastAsia" w:ascii="仿宋" w:hAnsi="仿宋" w:eastAsia="仿宋" w:cs="仿宋"/>
          <w:color w:val="000000"/>
          <w:sz w:val="32"/>
          <w:szCs w:val="32"/>
        </w:rPr>
        <w:t>负责监督管理全市各类自然保护地。拟订全市自然保护区、森林公园、地质公园、风景名胜区、自然遗产等各类自然保护地规划和相关地方标准。负责生物多样性保护相关工作。承担自然遗产申报的相关工作。</w:t>
      </w:r>
    </w:p>
    <w:p>
      <w:pPr>
        <w:overflowPunct w:val="0"/>
        <w:spacing w:line="540" w:lineRule="exact"/>
        <w:ind w:firstLine="640"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7.</w:t>
      </w:r>
      <w:r>
        <w:rPr>
          <w:rFonts w:hint="eastAsia" w:ascii="仿宋" w:hAnsi="仿宋" w:eastAsia="仿宋" w:cs="仿宋"/>
          <w:color w:val="000000"/>
          <w:sz w:val="32"/>
          <w:szCs w:val="32"/>
        </w:rPr>
        <w:t>负责推进全市林业改革相关工作。拟订集体林权制度、国有林区、国有林场（苗圃）等重大改革意见并监督实施。拟订农村林业发展、维护林业经营者合法权益的政策措施。指导农村林地承包经营工作。开展退耕还林，负责天然林保护工作。</w:t>
      </w:r>
    </w:p>
    <w:p>
      <w:pPr>
        <w:overflowPunct w:val="0"/>
        <w:spacing w:line="540" w:lineRule="exact"/>
        <w:ind w:firstLine="640"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8.</w:t>
      </w:r>
      <w:r>
        <w:rPr>
          <w:rFonts w:hint="eastAsia" w:ascii="仿宋" w:hAnsi="仿宋" w:eastAsia="仿宋" w:cs="仿宋"/>
          <w:color w:val="000000"/>
          <w:sz w:val="32"/>
          <w:szCs w:val="32"/>
        </w:rPr>
        <w:t>拟订全市林业资源优化配置及木材利用政策，拟订相关林业产业地方标准并监督实施，组织、指导林产品质量监督。指导生态扶贫相关工作。指导现代林业园区建设、低产低效林改造、花卉、特色</w:t>
      </w:r>
      <w:r>
        <w:rPr>
          <w:rFonts w:hint="eastAsia" w:ascii="仿宋" w:hAnsi="仿宋" w:eastAsia="仿宋" w:cs="仿宋"/>
          <w:sz w:val="32"/>
          <w:szCs w:val="32"/>
        </w:rPr>
        <w:t>经济林、森林林下经济、森</w:t>
      </w:r>
      <w:r>
        <w:rPr>
          <w:rFonts w:hint="eastAsia" w:ascii="仿宋" w:hAnsi="仿宋" w:eastAsia="仿宋" w:cs="仿宋"/>
          <w:color w:val="000000"/>
          <w:sz w:val="32"/>
          <w:szCs w:val="32"/>
        </w:rPr>
        <w:t>林康养和生态旅游等产业发展，推进林业绿色产业发展。</w:t>
      </w:r>
    </w:p>
    <w:p>
      <w:pPr>
        <w:overflowPunct w:val="0"/>
        <w:spacing w:line="540" w:lineRule="exact"/>
        <w:ind w:firstLine="640"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9.</w:t>
      </w:r>
      <w:r>
        <w:rPr>
          <w:rFonts w:hint="eastAsia" w:ascii="仿宋" w:hAnsi="仿宋" w:eastAsia="仿宋" w:cs="仿宋"/>
          <w:color w:val="000000"/>
          <w:sz w:val="32"/>
          <w:szCs w:val="32"/>
        </w:rPr>
        <w:t>指导全市国有林场（苗圃）基本建设、发展，组织林木种质资源普查，组织建立种质资源库，负责良种选育推广，管理林木种苗生产经营行为，监管林木种苗质量。监督管理林业生物种质资源、转基因生物安全、植物新品种保护。</w:t>
      </w:r>
    </w:p>
    <w:p>
      <w:pPr>
        <w:overflowPunct w:val="0"/>
        <w:spacing w:line="540" w:lineRule="exact"/>
        <w:ind w:firstLine="640"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10.</w:t>
      </w:r>
      <w:r>
        <w:rPr>
          <w:rFonts w:hint="eastAsia" w:ascii="仿宋" w:hAnsi="仿宋" w:eastAsia="仿宋" w:cs="仿宋"/>
          <w:color w:val="000000"/>
          <w:sz w:val="32"/>
          <w:szCs w:val="32"/>
        </w:rPr>
        <w:t>指导全市森林公安工作，监督管理森林公安队伍，指导全市林业重大违法案件的查处，指导林区社会治安治理工作。负责林业相关行政执法监管工作。</w:t>
      </w:r>
    </w:p>
    <w:p>
      <w:pPr>
        <w:overflowPunct w:val="0"/>
        <w:spacing w:line="540" w:lineRule="exact"/>
        <w:ind w:firstLine="640"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11.</w:t>
      </w:r>
      <w:r>
        <w:rPr>
          <w:rFonts w:hint="eastAsia" w:ascii="仿宋" w:hAnsi="仿宋" w:eastAsia="仿宋" w:cs="仿宋"/>
          <w:color w:val="000000"/>
          <w:sz w:val="32"/>
          <w:szCs w:val="32"/>
        </w:rPr>
        <w:t>负责落实全市综合防灾减灾规划相关要求，组织编制全市森林火灾防治规划并指导实施，组织、指导开展防火巡护、火源管理、防火设施建设等工作。负责森林火情监测预警、火灾预防和统计评估相关工作，发送森林火险信息。组织指导国有林场林区开展宣传教育、监测预警、督促检查等防火工作。</w:t>
      </w:r>
    </w:p>
    <w:p>
      <w:pPr>
        <w:overflowPunct w:val="0"/>
        <w:spacing w:line="540"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12.</w:t>
      </w:r>
      <w:r>
        <w:rPr>
          <w:rFonts w:hint="eastAsia" w:ascii="仿宋" w:hAnsi="仿宋" w:eastAsia="仿宋" w:cs="仿宋"/>
          <w:color w:val="000000"/>
          <w:sz w:val="32"/>
          <w:szCs w:val="32"/>
        </w:rPr>
        <w:t>监督管理全市林业市级及以上资金和国有资产，提出林业预算内投资、市级及以上财政性资金安排建议，按市政府规定权限，核报、监督管理规划内和年度计划内投资项目。参与拟订全市林业经济调节政策，组织实施林业生态补偿工作。</w:t>
      </w:r>
    </w:p>
    <w:p>
      <w:pPr>
        <w:overflowPunct w:val="0"/>
        <w:spacing w:line="540" w:lineRule="exact"/>
        <w:ind w:firstLine="640"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13.</w:t>
      </w:r>
      <w:r>
        <w:rPr>
          <w:rFonts w:hint="eastAsia" w:ascii="仿宋" w:hAnsi="仿宋" w:eastAsia="仿宋" w:cs="仿宋"/>
          <w:color w:val="000000"/>
          <w:sz w:val="32"/>
          <w:szCs w:val="32"/>
        </w:rPr>
        <w:t>负责林业科技、教育、对外交流和宣传工作。组织重点科技项目攻关和科技成果转化、推广。指导全市林业人才队伍建设。组织实施林业对外交流与合作事务，承担湿地、防治荒漠化、濒危野生动植物等国际公约履约有关工作。负责林业行业宣传工作。</w:t>
      </w:r>
    </w:p>
    <w:p>
      <w:pPr>
        <w:overflowPunct w:val="0"/>
        <w:spacing w:line="540" w:lineRule="exact"/>
        <w:ind w:firstLine="640"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14.</w:t>
      </w:r>
      <w:r>
        <w:rPr>
          <w:rFonts w:hint="eastAsia" w:ascii="仿宋" w:hAnsi="仿宋" w:eastAsia="仿宋" w:cs="仿宋"/>
          <w:color w:val="000000"/>
          <w:sz w:val="32"/>
          <w:szCs w:val="32"/>
        </w:rPr>
        <w:t>承担职责范围内安全生产和职业健康、生态环境保护、审批服务便民化等工作。</w:t>
      </w:r>
    </w:p>
    <w:p>
      <w:pPr>
        <w:overflowPunct w:val="0"/>
        <w:spacing w:line="540" w:lineRule="exact"/>
        <w:ind w:firstLine="640"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15.</w:t>
      </w:r>
      <w:r>
        <w:rPr>
          <w:rFonts w:hint="eastAsia" w:ascii="仿宋" w:hAnsi="仿宋" w:eastAsia="仿宋" w:cs="仿宋"/>
          <w:color w:val="000000"/>
          <w:sz w:val="32"/>
          <w:szCs w:val="32"/>
        </w:rPr>
        <w:t>完成市委、市政府交办的其他任务。</w:t>
      </w:r>
    </w:p>
    <w:p>
      <w:pPr>
        <w:pStyle w:val="4"/>
        <w:bidi w:val="0"/>
        <w:rPr>
          <w:rFonts w:hint="eastAsia"/>
        </w:rPr>
      </w:pPr>
      <w:bookmarkStart w:id="2" w:name="_Toc31287"/>
      <w:r>
        <w:rPr>
          <w:rFonts w:hint="eastAsia"/>
        </w:rPr>
        <w:t>（二）</w:t>
      </w:r>
      <w:r>
        <w:rPr>
          <w:rFonts w:hint="eastAsia"/>
          <w:lang w:val="en-US" w:eastAsia="zh-CN"/>
        </w:rPr>
        <w:t>广元市林业局</w:t>
      </w:r>
      <w:r>
        <w:rPr>
          <w:rFonts w:hint="eastAsia"/>
          <w:lang w:val="en-US"/>
        </w:rPr>
        <w:t>2024</w:t>
      </w:r>
      <w:r>
        <w:rPr>
          <w:rFonts w:hint="eastAsia"/>
        </w:rPr>
        <w:t>年重点工作</w:t>
      </w:r>
      <w:bookmarkEnd w:id="2"/>
    </w:p>
    <w:p>
      <w:pPr>
        <w:overflowPunct w:val="0"/>
        <w:spacing w:line="540" w:lineRule="exact"/>
        <w:ind w:firstLine="640" w:firstLineChars="200"/>
        <w:jc w:val="left"/>
        <w:rPr>
          <w:rFonts w:hint="default" w:ascii="仿宋" w:hAnsi="仿宋" w:eastAsia="仿宋" w:cs="仿宋"/>
          <w:color w:val="000000"/>
          <w:sz w:val="32"/>
          <w:szCs w:val="32"/>
          <w:lang w:val="en-US" w:eastAsia="zh-CN"/>
        </w:rPr>
      </w:pPr>
      <w:r>
        <w:rPr>
          <w:rFonts w:hint="eastAsia" w:ascii="仿宋" w:hAnsi="仿宋" w:eastAsia="仿宋" w:cs="仿宋"/>
          <w:sz w:val="32"/>
          <w:szCs w:val="32"/>
          <w:lang w:val="en-US" w:eastAsia="zh-CN"/>
        </w:rPr>
        <w:t xml:space="preserve"> </w:t>
      </w:r>
      <w:r>
        <w:rPr>
          <w:rFonts w:hint="eastAsia" w:ascii="仿宋" w:hAnsi="仿宋" w:eastAsia="仿宋" w:cs="仿宋"/>
          <w:color w:val="000000"/>
          <w:sz w:val="32"/>
          <w:szCs w:val="32"/>
          <w:lang w:eastAsia="zh-CN"/>
        </w:rPr>
        <w:t>202</w:t>
      </w:r>
      <w:r>
        <w:rPr>
          <w:rFonts w:hint="eastAsia" w:ascii="仿宋" w:hAnsi="仿宋" w:eastAsia="仿宋" w:cs="仿宋"/>
          <w:color w:val="000000"/>
          <w:sz w:val="32"/>
          <w:szCs w:val="32"/>
          <w:lang w:val="en-US" w:eastAsia="zh-CN"/>
        </w:rPr>
        <w:t>4年</w:t>
      </w:r>
      <w:r>
        <w:rPr>
          <w:rFonts w:hint="eastAsia" w:ascii="仿宋" w:hAnsi="仿宋" w:eastAsia="仿宋" w:cs="仿宋"/>
          <w:color w:val="000000"/>
          <w:sz w:val="32"/>
          <w:szCs w:val="32"/>
          <w:lang w:eastAsia="zh-CN"/>
        </w:rPr>
        <w:t>全市林业工作总体要求是：坚</w:t>
      </w:r>
      <w:r>
        <w:rPr>
          <w:rFonts w:hint="eastAsia" w:ascii="仿宋" w:hAnsi="仿宋" w:eastAsia="仿宋" w:cs="仿宋"/>
          <w:color w:val="000000"/>
          <w:sz w:val="32"/>
          <w:szCs w:val="32"/>
          <w:lang w:val="en-US" w:eastAsia="zh-CN"/>
        </w:rPr>
        <w:t>定</w:t>
      </w:r>
      <w:r>
        <w:rPr>
          <w:rFonts w:hint="eastAsia" w:ascii="仿宋" w:hAnsi="仿宋" w:eastAsia="仿宋" w:cs="仿宋"/>
          <w:color w:val="000000"/>
          <w:sz w:val="32"/>
          <w:szCs w:val="32"/>
          <w:lang w:eastAsia="zh-CN"/>
        </w:rPr>
        <w:t>以习近平新时代中国特色社会主义思想为指导，深入贯彻党的二十大精神</w:t>
      </w:r>
      <w:r>
        <w:rPr>
          <w:rFonts w:hint="eastAsia" w:ascii="仿宋" w:hAnsi="仿宋" w:eastAsia="仿宋" w:cs="仿宋"/>
          <w:color w:val="000000"/>
          <w:sz w:val="32"/>
          <w:szCs w:val="32"/>
          <w:lang w:val="en-US" w:eastAsia="zh-CN"/>
        </w:rPr>
        <w:t>和</w:t>
      </w:r>
      <w:r>
        <w:rPr>
          <w:rFonts w:hint="eastAsia" w:ascii="仿宋" w:hAnsi="仿宋" w:eastAsia="仿宋" w:cs="仿宋"/>
          <w:color w:val="000000"/>
          <w:sz w:val="32"/>
          <w:szCs w:val="32"/>
          <w:lang w:eastAsia="zh-CN"/>
        </w:rPr>
        <w:t>习近平总书记来川视察重要指示精神，全面贯彻十二届省委历次全会、八届市委历次全会精神，</w:t>
      </w:r>
      <w:r>
        <w:rPr>
          <w:rFonts w:hint="eastAsia" w:ascii="仿宋" w:hAnsi="仿宋" w:eastAsia="仿宋" w:cs="仿宋"/>
          <w:color w:val="000000"/>
          <w:sz w:val="32"/>
          <w:szCs w:val="32"/>
          <w:lang w:val="en-US" w:eastAsia="zh-CN"/>
        </w:rPr>
        <w:t>认真</w:t>
      </w:r>
      <w:r>
        <w:rPr>
          <w:rFonts w:hint="eastAsia" w:ascii="仿宋" w:hAnsi="仿宋" w:eastAsia="仿宋" w:cs="仿宋"/>
          <w:color w:val="000000"/>
          <w:sz w:val="32"/>
          <w:szCs w:val="32"/>
          <w:lang w:eastAsia="zh-CN"/>
        </w:rPr>
        <w:t>落实中央、省委、市委经济工作会议、农村工作会议和全国、全省林草工作会议决策部署，</w:t>
      </w:r>
      <w:r>
        <w:rPr>
          <w:rFonts w:hint="eastAsia" w:ascii="仿宋" w:hAnsi="仿宋" w:eastAsia="仿宋" w:cs="仿宋"/>
          <w:color w:val="000000"/>
          <w:sz w:val="32"/>
          <w:szCs w:val="32"/>
          <w:lang w:val="en-US" w:eastAsia="zh-CN"/>
        </w:rPr>
        <w:t>践行</w:t>
      </w:r>
      <w:r>
        <w:rPr>
          <w:rFonts w:hint="eastAsia" w:ascii="仿宋" w:hAnsi="仿宋" w:eastAsia="仿宋" w:cs="仿宋"/>
          <w:color w:val="000000"/>
          <w:sz w:val="32"/>
          <w:szCs w:val="32"/>
          <w:lang w:eastAsia="zh-CN"/>
        </w:rPr>
        <w:t>绿水青山就是金山银山理念，</w:t>
      </w:r>
      <w:r>
        <w:rPr>
          <w:rFonts w:hint="eastAsia" w:ascii="仿宋" w:hAnsi="仿宋" w:eastAsia="仿宋" w:cs="仿宋"/>
          <w:color w:val="000000"/>
          <w:sz w:val="32"/>
          <w:szCs w:val="32"/>
          <w:lang w:val="en-US" w:eastAsia="zh-CN"/>
        </w:rPr>
        <w:t>围绕“1345”发展战略，坚持“两业并举、双轮驱动”，以全面从严治党为引领，以推深做实林长制为抓手，以古树名木保护、“天府森林粮库”建设、增发国债森林防火阻隔系统项目建设为重点，</w:t>
      </w:r>
      <w:r>
        <w:rPr>
          <w:rFonts w:hint="eastAsia" w:ascii="仿宋" w:hAnsi="仿宋" w:eastAsia="仿宋" w:cs="仿宋"/>
          <w:color w:val="000000"/>
          <w:sz w:val="32"/>
          <w:szCs w:val="32"/>
          <w:lang w:eastAsia="zh-CN"/>
        </w:rPr>
        <w:t>扎实做好林业生态保护、发展、安全各项工作，推动广元林业高质量发展取得更大成效，为加快建设川陕甘结合部现代化中心城市作出更大贡献。</w:t>
      </w:r>
    </w:p>
    <w:p>
      <w:pPr>
        <w:overflowPunct w:val="0"/>
        <w:spacing w:line="540" w:lineRule="exact"/>
        <w:ind w:firstLine="640" w:firstLineChars="200"/>
        <w:jc w:val="left"/>
        <w:rPr>
          <w:rFonts w:hint="eastAsia" w:ascii="仿宋" w:hAnsi="仿宋" w:eastAsia="仿宋" w:cs="仿宋"/>
          <w:color w:val="auto"/>
          <w:sz w:val="32"/>
          <w:szCs w:val="32"/>
          <w:lang w:eastAsia="zh-CN"/>
        </w:rPr>
      </w:pPr>
      <w:r>
        <w:rPr>
          <w:rFonts w:hint="eastAsia" w:ascii="仿宋" w:hAnsi="仿宋" w:eastAsia="仿宋" w:cs="仿宋"/>
          <w:color w:val="auto"/>
          <w:sz w:val="32"/>
          <w:szCs w:val="32"/>
          <w:lang w:val="en-US" w:eastAsia="zh-CN"/>
        </w:rPr>
        <w:t>1.</w:t>
      </w:r>
      <w:r>
        <w:rPr>
          <w:rFonts w:hint="eastAsia" w:ascii="仿宋" w:hAnsi="仿宋" w:eastAsia="仿宋" w:cs="仿宋"/>
          <w:color w:val="auto"/>
          <w:sz w:val="32"/>
          <w:szCs w:val="32"/>
          <w:lang w:eastAsia="zh-CN"/>
        </w:rPr>
        <w:t>突出保护优先，筑牢嘉陵江上游生态屏障</w:t>
      </w:r>
    </w:p>
    <w:p>
      <w:pPr>
        <w:overflowPunct w:val="0"/>
        <w:spacing w:line="540" w:lineRule="exact"/>
        <w:ind w:firstLine="640" w:firstLineChars="200"/>
        <w:jc w:val="left"/>
        <w:rPr>
          <w:rFonts w:hint="eastAsia" w:ascii="仿宋" w:hAnsi="仿宋" w:eastAsia="仿宋" w:cs="仿宋"/>
          <w:color w:val="000000"/>
          <w:sz w:val="32"/>
          <w:szCs w:val="32"/>
          <w:lang w:eastAsia="zh-CN"/>
        </w:rPr>
      </w:pPr>
      <w:r>
        <w:rPr>
          <w:rFonts w:hint="eastAsia" w:ascii="仿宋" w:hAnsi="仿宋" w:eastAsia="仿宋" w:cs="仿宋"/>
          <w:color w:val="auto"/>
          <w:sz w:val="32"/>
          <w:szCs w:val="32"/>
          <w:lang w:val="en-US" w:eastAsia="zh-CN"/>
        </w:rPr>
        <w:t>（1）</w:t>
      </w:r>
      <w:r>
        <w:rPr>
          <w:rFonts w:hint="eastAsia" w:ascii="仿宋" w:hAnsi="仿宋" w:eastAsia="仿宋" w:cs="仿宋"/>
          <w:color w:val="auto"/>
          <w:sz w:val="32"/>
          <w:szCs w:val="32"/>
          <w:lang w:eastAsia="zh-CN"/>
        </w:rPr>
        <w:t>加</w:t>
      </w:r>
      <w:r>
        <w:rPr>
          <w:rFonts w:hint="eastAsia" w:ascii="仿宋" w:hAnsi="仿宋" w:eastAsia="仿宋" w:cs="仿宋"/>
          <w:color w:val="000000"/>
          <w:sz w:val="32"/>
          <w:szCs w:val="32"/>
          <w:lang w:eastAsia="zh-CN"/>
        </w:rPr>
        <w:t>强古树名木保护。</w:t>
      </w:r>
      <w:r>
        <w:rPr>
          <w:rFonts w:hint="eastAsia" w:ascii="仿宋" w:hAnsi="仿宋" w:eastAsia="仿宋" w:cs="仿宋"/>
          <w:color w:val="000000"/>
          <w:sz w:val="32"/>
          <w:szCs w:val="32"/>
          <w:lang w:val="en-US" w:eastAsia="zh-CN"/>
        </w:rPr>
        <w:t>认真</w:t>
      </w:r>
      <w:r>
        <w:rPr>
          <w:rFonts w:hint="eastAsia" w:ascii="仿宋" w:hAnsi="仿宋" w:eastAsia="仿宋" w:cs="仿宋"/>
          <w:color w:val="000000"/>
          <w:sz w:val="32"/>
          <w:szCs w:val="32"/>
          <w:lang w:eastAsia="zh-CN"/>
        </w:rPr>
        <w:t>落实《进一步加强古树名木保护十九条措施》。健全古树名木市、县（区）、乡（镇）行政首长负责制和离任交接制度。编制《广元市古树名木保护专项规划（2024—2033年）》《古树名木综合防护应急预案》。充实古树名木保护专家库。完成全市古树名木资源普查。做好古树名木主动性预防性保护和濒危衰弱古树名木救护复壮，</w:t>
      </w:r>
      <w:r>
        <w:rPr>
          <w:rFonts w:hint="eastAsia" w:ascii="仿宋" w:hAnsi="仿宋" w:eastAsia="仿宋" w:cs="仿宋"/>
          <w:color w:val="000000"/>
          <w:sz w:val="32"/>
          <w:szCs w:val="32"/>
          <w:lang w:val="en-US" w:eastAsia="zh-CN"/>
        </w:rPr>
        <w:t>加强翠云廊古柏等重点古树（群）保护，</w:t>
      </w:r>
      <w:r>
        <w:rPr>
          <w:rFonts w:hint="eastAsia" w:ascii="仿宋" w:hAnsi="仿宋" w:eastAsia="仿宋" w:cs="仿宋"/>
          <w:color w:val="000000"/>
          <w:sz w:val="32"/>
          <w:szCs w:val="32"/>
          <w:lang w:eastAsia="zh-CN"/>
        </w:rPr>
        <w:t>建设古树</w:t>
      </w:r>
      <w:r>
        <w:rPr>
          <w:rFonts w:hint="eastAsia" w:ascii="仿宋" w:hAnsi="仿宋" w:eastAsia="仿宋" w:cs="仿宋"/>
          <w:color w:val="000000"/>
          <w:sz w:val="32"/>
          <w:szCs w:val="32"/>
          <w:lang w:val="en-US" w:eastAsia="zh-CN"/>
        </w:rPr>
        <w:t>名木</w:t>
      </w:r>
      <w:r>
        <w:rPr>
          <w:rFonts w:hint="eastAsia" w:ascii="仿宋" w:hAnsi="仿宋" w:eastAsia="仿宋" w:cs="仿宋"/>
          <w:color w:val="000000"/>
          <w:sz w:val="32"/>
          <w:szCs w:val="32"/>
          <w:lang w:eastAsia="zh-CN"/>
        </w:rPr>
        <w:t>公园。</w:t>
      </w:r>
      <w:r>
        <w:rPr>
          <w:rFonts w:hint="eastAsia" w:ascii="仿宋" w:hAnsi="仿宋" w:eastAsia="仿宋" w:cs="仿宋"/>
          <w:color w:val="000000"/>
          <w:sz w:val="32"/>
          <w:szCs w:val="32"/>
          <w:lang w:val="en-US" w:eastAsia="zh-CN"/>
        </w:rPr>
        <w:t>启动千岁古树保护三年行动，</w:t>
      </w:r>
      <w:r>
        <w:rPr>
          <w:rFonts w:hint="eastAsia" w:ascii="仿宋" w:hAnsi="仿宋" w:eastAsia="仿宋" w:cs="仿宋"/>
          <w:color w:val="000000"/>
          <w:sz w:val="32"/>
          <w:szCs w:val="32"/>
          <w:lang w:eastAsia="zh-CN"/>
        </w:rPr>
        <w:t>开展“植绿古蜀道，文脉耀中华”网上植树、古树名木保护年、“最美古树、最美古树群、最美古树守护人”评选等活动。汇编古树名木故事集，</w:t>
      </w:r>
      <w:r>
        <w:rPr>
          <w:rFonts w:hint="eastAsia" w:ascii="仿宋" w:hAnsi="仿宋" w:eastAsia="仿宋" w:cs="仿宋"/>
          <w:color w:val="000000"/>
          <w:sz w:val="32"/>
          <w:szCs w:val="32"/>
          <w:lang w:val="en-US" w:eastAsia="zh-CN"/>
        </w:rPr>
        <w:t>加强</w:t>
      </w:r>
      <w:r>
        <w:rPr>
          <w:rFonts w:hint="eastAsia" w:ascii="仿宋" w:hAnsi="仿宋" w:eastAsia="仿宋" w:cs="仿宋"/>
          <w:color w:val="000000"/>
          <w:sz w:val="32"/>
          <w:szCs w:val="32"/>
          <w:lang w:eastAsia="zh-CN"/>
        </w:rPr>
        <w:t>古树名木科普宣传，营造全社会关心支持古树名木保护的</w:t>
      </w:r>
      <w:r>
        <w:rPr>
          <w:rFonts w:hint="eastAsia" w:ascii="仿宋" w:hAnsi="仿宋" w:eastAsia="仿宋" w:cs="仿宋"/>
          <w:color w:val="000000"/>
          <w:sz w:val="32"/>
          <w:szCs w:val="32"/>
          <w:lang w:val="en-US" w:eastAsia="zh-CN"/>
        </w:rPr>
        <w:t>浓厚</w:t>
      </w:r>
      <w:r>
        <w:rPr>
          <w:rFonts w:hint="eastAsia" w:ascii="仿宋" w:hAnsi="仿宋" w:eastAsia="仿宋" w:cs="仿宋"/>
          <w:color w:val="000000"/>
          <w:sz w:val="32"/>
          <w:szCs w:val="32"/>
          <w:lang w:eastAsia="zh-CN"/>
        </w:rPr>
        <w:t>氛围</w:t>
      </w:r>
      <w:r>
        <w:rPr>
          <w:rFonts w:hint="eastAsia" w:ascii="仿宋" w:hAnsi="仿宋" w:eastAsia="仿宋" w:cs="仿宋"/>
          <w:color w:val="000000"/>
          <w:sz w:val="32"/>
          <w:szCs w:val="32"/>
          <w:lang w:val="en-US" w:eastAsia="zh-CN"/>
        </w:rPr>
        <w:t>。配合开</w:t>
      </w:r>
      <w:r>
        <w:rPr>
          <w:rFonts w:hint="eastAsia" w:ascii="仿宋" w:hAnsi="仿宋" w:eastAsia="仿宋" w:cs="仿宋"/>
          <w:color w:val="000000"/>
          <w:sz w:val="32"/>
          <w:szCs w:val="32"/>
          <w:lang w:eastAsia="zh-CN"/>
        </w:rPr>
        <w:t>好全国古树名木保护</w:t>
      </w:r>
      <w:r>
        <w:rPr>
          <w:rFonts w:hint="eastAsia" w:ascii="仿宋" w:hAnsi="仿宋" w:eastAsia="仿宋" w:cs="仿宋"/>
          <w:color w:val="000000"/>
          <w:sz w:val="32"/>
          <w:szCs w:val="32"/>
          <w:lang w:val="en-US" w:eastAsia="zh-CN"/>
        </w:rPr>
        <w:t>会议</w:t>
      </w:r>
      <w:r>
        <w:rPr>
          <w:rFonts w:hint="eastAsia" w:ascii="仿宋" w:hAnsi="仿宋" w:eastAsia="仿宋" w:cs="仿宋"/>
          <w:color w:val="000000"/>
          <w:sz w:val="32"/>
          <w:szCs w:val="32"/>
          <w:lang w:eastAsia="zh-CN"/>
        </w:rPr>
        <w:t>。</w:t>
      </w:r>
    </w:p>
    <w:p>
      <w:pPr>
        <w:overflowPunct w:val="0"/>
        <w:spacing w:line="540" w:lineRule="exact"/>
        <w:ind w:firstLine="640" w:firstLineChars="200"/>
        <w:jc w:val="left"/>
        <w:rPr>
          <w:rFonts w:hint="eastAsia" w:ascii="仿宋" w:hAnsi="仿宋" w:eastAsia="仿宋" w:cs="仿宋"/>
          <w:color w:val="000000"/>
          <w:sz w:val="32"/>
          <w:szCs w:val="32"/>
          <w:lang w:eastAsia="zh-CN"/>
        </w:rPr>
      </w:pPr>
      <w:r>
        <w:rPr>
          <w:rFonts w:hint="eastAsia" w:ascii="仿宋" w:hAnsi="仿宋" w:eastAsia="仿宋" w:cs="仿宋"/>
          <w:color w:val="auto"/>
          <w:sz w:val="32"/>
          <w:szCs w:val="32"/>
          <w:lang w:val="en-US" w:eastAsia="zh-CN"/>
        </w:rPr>
        <w:t>（2）</w:t>
      </w:r>
      <w:r>
        <w:rPr>
          <w:rFonts w:hint="eastAsia" w:ascii="仿宋" w:hAnsi="仿宋" w:eastAsia="仿宋" w:cs="仿宋"/>
          <w:color w:val="000000"/>
          <w:sz w:val="32"/>
          <w:szCs w:val="32"/>
          <w:lang w:eastAsia="zh-CN"/>
        </w:rPr>
        <w:t>加强</w:t>
      </w:r>
      <w:r>
        <w:rPr>
          <w:rFonts w:hint="eastAsia" w:ascii="仿宋" w:hAnsi="仿宋" w:eastAsia="仿宋" w:cs="仿宋"/>
          <w:color w:val="000000"/>
          <w:sz w:val="32"/>
          <w:szCs w:val="32"/>
          <w:lang w:val="en-US" w:eastAsia="zh-CN"/>
        </w:rPr>
        <w:t>林草湿</w:t>
      </w:r>
      <w:r>
        <w:rPr>
          <w:rFonts w:hint="eastAsia" w:ascii="仿宋" w:hAnsi="仿宋" w:eastAsia="仿宋" w:cs="仿宋"/>
          <w:color w:val="000000"/>
          <w:sz w:val="32"/>
          <w:szCs w:val="32"/>
          <w:lang w:eastAsia="zh-CN"/>
        </w:rPr>
        <w:t>资源管理。组织完善国土“三调”数据对接融合成果，加快全市林地管理边界划定，推动新一轮林地保护利用规划编制。依法科学调整优化集体公益林占比，开展公益林管理“回头看”。严格执行林木凭证采伐、限额管理制度，优化简化采伐审批程序，规范林木采伐许可证办理，强化林木采伐更新管理。推动木材精深加工和综合利用，支持中国西部（广元）绿色家居产业城建设。严格林地用途管制和定额管理制度，加强临时使用林地的审批、使用和回收。加大森林督查力度，扎实开展卫片自主监测，推动2023年森林督查案件查处销号，努力做到动态清存量、遏增量、降总量。</w:t>
      </w:r>
      <w:r>
        <w:rPr>
          <w:rFonts w:hint="eastAsia" w:ascii="仿宋" w:hAnsi="仿宋" w:eastAsia="仿宋" w:cs="仿宋"/>
          <w:color w:val="000000"/>
          <w:sz w:val="32"/>
          <w:szCs w:val="32"/>
        </w:rPr>
        <w:t>森林蓄积增加80万立方米。</w:t>
      </w:r>
      <w:r>
        <w:rPr>
          <w:rFonts w:hint="eastAsia" w:ascii="仿宋" w:hAnsi="仿宋" w:eastAsia="仿宋" w:cs="仿宋"/>
          <w:color w:val="000000"/>
          <w:sz w:val="32"/>
          <w:szCs w:val="32"/>
          <w:lang w:val="en-US" w:eastAsia="zh-CN"/>
        </w:rPr>
        <w:t>强化对草地（坡）的日常监管。</w:t>
      </w:r>
      <w:r>
        <w:rPr>
          <w:rFonts w:hint="eastAsia" w:ascii="仿宋" w:hAnsi="仿宋" w:eastAsia="仿宋" w:cs="仿宋"/>
          <w:color w:val="000000"/>
          <w:sz w:val="32"/>
          <w:szCs w:val="32"/>
          <w:lang w:eastAsia="zh-CN"/>
        </w:rPr>
        <w:t>常态化监测湿地图斑，确保全市湿地面积不减少。持续推进南河湿地公园、柏林湖湿地公园申报省重要湿地工作。推动林草湿一体化调查监测（普查）。</w:t>
      </w:r>
    </w:p>
    <w:p>
      <w:pPr>
        <w:overflowPunct w:val="0"/>
        <w:spacing w:line="540" w:lineRule="exact"/>
        <w:ind w:firstLine="640" w:firstLineChars="200"/>
        <w:jc w:val="left"/>
        <w:rPr>
          <w:rFonts w:hint="eastAsia" w:ascii="仿宋" w:hAnsi="仿宋" w:eastAsia="仿宋" w:cs="仿宋"/>
          <w:color w:val="000000"/>
          <w:sz w:val="32"/>
          <w:szCs w:val="32"/>
          <w:lang w:eastAsia="zh-CN"/>
        </w:rPr>
      </w:pPr>
      <w:r>
        <w:rPr>
          <w:rFonts w:hint="eastAsia" w:ascii="仿宋" w:hAnsi="仿宋" w:eastAsia="仿宋" w:cs="仿宋"/>
          <w:color w:val="auto"/>
          <w:sz w:val="32"/>
          <w:szCs w:val="32"/>
          <w:lang w:val="en-US" w:eastAsia="zh-CN"/>
        </w:rPr>
        <w:t>（3）</w:t>
      </w:r>
      <w:r>
        <w:rPr>
          <w:rFonts w:hint="eastAsia" w:ascii="仿宋" w:hAnsi="仿宋" w:eastAsia="仿宋" w:cs="仿宋"/>
          <w:color w:val="000000"/>
          <w:sz w:val="32"/>
          <w:szCs w:val="32"/>
          <w:lang w:eastAsia="zh-CN"/>
        </w:rPr>
        <w:t>加强自然保护地</w:t>
      </w:r>
      <w:r>
        <w:rPr>
          <w:rFonts w:hint="eastAsia" w:ascii="仿宋" w:hAnsi="仿宋" w:eastAsia="仿宋" w:cs="仿宋"/>
          <w:color w:val="000000"/>
          <w:sz w:val="32"/>
          <w:szCs w:val="32"/>
          <w:lang w:val="en-US" w:eastAsia="zh-CN"/>
        </w:rPr>
        <w:t>体系建设</w:t>
      </w:r>
      <w:r>
        <w:rPr>
          <w:rFonts w:hint="eastAsia" w:ascii="仿宋" w:hAnsi="仿宋" w:eastAsia="仿宋" w:cs="仿宋"/>
          <w:color w:val="000000"/>
          <w:sz w:val="32"/>
          <w:szCs w:val="32"/>
          <w:lang w:eastAsia="zh-CN"/>
        </w:rPr>
        <w:t>。集中整治自然保护地内生态环境突出问题，自查整改自然保护地内违规违法建设，做好迎接第三轮中央环保督察工作。持续推进自然保护地整合优化，谋划规划编制、勘界立标等“后半篇”</w:t>
      </w:r>
      <w:r>
        <w:rPr>
          <w:rFonts w:hint="eastAsia" w:ascii="仿宋" w:hAnsi="仿宋" w:eastAsia="仿宋" w:cs="仿宋"/>
          <w:color w:val="000000"/>
          <w:sz w:val="32"/>
          <w:szCs w:val="32"/>
          <w:lang w:val="en-US" w:eastAsia="zh-CN"/>
        </w:rPr>
        <w:t>文章</w:t>
      </w:r>
      <w:r>
        <w:rPr>
          <w:rFonts w:hint="eastAsia" w:ascii="仿宋" w:hAnsi="仿宋" w:eastAsia="仿宋" w:cs="仿宋"/>
          <w:color w:val="000000"/>
          <w:sz w:val="32"/>
          <w:szCs w:val="32"/>
          <w:lang w:eastAsia="zh-CN"/>
        </w:rPr>
        <w:t>，协同推动大熊猫国家公园建设，加快构建以大熊猫国家公园为主体的自然保护地体系，推动创建示范自然保护地工作。加强自然保护地建设管理，严格执行建设项目进入自然保护地审查审批制度，强化监管和执法检查。推动翠云廊创建生态文明教育示范基地，新申报省级自然教育基地2处，积极推进全民自然教育和森林研学活动，</w:t>
      </w:r>
      <w:r>
        <w:rPr>
          <w:rFonts w:hint="eastAsia" w:ascii="仿宋" w:hAnsi="仿宋" w:eastAsia="仿宋" w:cs="仿宋"/>
          <w:color w:val="000000"/>
          <w:sz w:val="32"/>
          <w:szCs w:val="32"/>
          <w:lang w:val="en-US" w:eastAsia="zh-CN"/>
        </w:rPr>
        <w:t>推动</w:t>
      </w:r>
      <w:r>
        <w:rPr>
          <w:rFonts w:hint="eastAsia" w:ascii="仿宋" w:hAnsi="仿宋" w:eastAsia="仿宋" w:cs="仿宋"/>
          <w:color w:val="000000"/>
          <w:sz w:val="32"/>
          <w:szCs w:val="32"/>
          <w:lang w:eastAsia="zh-CN"/>
        </w:rPr>
        <w:t>唐家河自然保护区、鸳鸯池森林公园开展国家青少年自然教育绿色营地试点建设。推动开展剑门蜀道风景名胜区、白龙湖风景名胜区总规修编评估论证和南河湿地公园、曾家山鸳鸯池森林公园总体规划修编工作。</w:t>
      </w:r>
    </w:p>
    <w:p>
      <w:pPr>
        <w:overflowPunct w:val="0"/>
        <w:spacing w:line="540" w:lineRule="exact"/>
        <w:ind w:firstLine="640" w:firstLineChars="200"/>
        <w:jc w:val="left"/>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lang w:val="en-US" w:eastAsia="zh-CN"/>
        </w:rPr>
        <w:t>4</w:t>
      </w:r>
      <w:r>
        <w:rPr>
          <w:rFonts w:hint="eastAsia" w:ascii="仿宋" w:hAnsi="仿宋" w:eastAsia="仿宋" w:cs="仿宋"/>
          <w:color w:val="000000"/>
          <w:sz w:val="32"/>
          <w:szCs w:val="32"/>
          <w:lang w:eastAsia="zh-CN"/>
        </w:rPr>
        <w:t>）加强野生动植物保护管理。</w:t>
      </w:r>
      <w:r>
        <w:rPr>
          <w:rFonts w:hint="eastAsia" w:ascii="仿宋" w:hAnsi="仿宋" w:eastAsia="仿宋" w:cs="仿宋"/>
          <w:color w:val="000000"/>
          <w:sz w:val="32"/>
          <w:szCs w:val="32"/>
        </w:rPr>
        <w:t>完善野生动植物保护协作机制，</w:t>
      </w:r>
      <w:r>
        <w:rPr>
          <w:rFonts w:hint="eastAsia" w:ascii="仿宋" w:hAnsi="仿宋" w:eastAsia="仿宋" w:cs="仿宋"/>
          <w:color w:val="000000"/>
          <w:sz w:val="32"/>
          <w:szCs w:val="32"/>
          <w:lang w:val="en-US" w:eastAsia="zh-CN"/>
        </w:rPr>
        <w:t>落实</w:t>
      </w:r>
      <w:r>
        <w:rPr>
          <w:rFonts w:hint="eastAsia" w:ascii="仿宋" w:hAnsi="仿宋" w:eastAsia="仿宋" w:cs="仿宋"/>
          <w:color w:val="000000"/>
          <w:sz w:val="32"/>
          <w:szCs w:val="32"/>
        </w:rPr>
        <w:t>巡护</w:t>
      </w:r>
      <w:r>
        <w:rPr>
          <w:rFonts w:hint="eastAsia" w:ascii="仿宋" w:hAnsi="仿宋" w:eastAsia="仿宋" w:cs="仿宋"/>
          <w:color w:val="000000"/>
          <w:sz w:val="32"/>
          <w:szCs w:val="32"/>
          <w:lang w:val="en-US" w:eastAsia="zh-CN"/>
        </w:rPr>
        <w:t>责任</w:t>
      </w:r>
      <w:r>
        <w:rPr>
          <w:rFonts w:hint="eastAsia" w:ascii="仿宋" w:hAnsi="仿宋" w:eastAsia="仿宋" w:cs="仿宋"/>
          <w:color w:val="000000"/>
          <w:sz w:val="32"/>
          <w:szCs w:val="32"/>
        </w:rPr>
        <w:t>，</w:t>
      </w:r>
      <w:r>
        <w:rPr>
          <w:rFonts w:hint="eastAsia" w:ascii="仿宋" w:hAnsi="仿宋" w:eastAsia="仿宋" w:cs="仿宋"/>
          <w:color w:val="000000"/>
          <w:sz w:val="32"/>
          <w:szCs w:val="32"/>
          <w:lang w:val="en-US" w:eastAsia="zh-CN"/>
        </w:rPr>
        <w:t>加强</w:t>
      </w:r>
      <w:r>
        <w:rPr>
          <w:rFonts w:hint="eastAsia" w:ascii="仿宋" w:hAnsi="仿宋" w:eastAsia="仿宋" w:cs="仿宋"/>
          <w:color w:val="000000"/>
          <w:sz w:val="32"/>
          <w:szCs w:val="32"/>
        </w:rPr>
        <w:t>国家重点保护野生动植物及其栖息地（生境）保护，确保大熊猫、川金丝猴、林麝、红豆杉等珍稀濒危野生动植物野生种群保持相对稳定。做好野生动物疫源疫病监测，加强人工繁育及经营利用监管，科学开展野生动物收容救护。推进林麝、蛇、蟾蜍等药用动物规范</w:t>
      </w:r>
      <w:r>
        <w:rPr>
          <w:rFonts w:hint="eastAsia" w:ascii="仿宋" w:hAnsi="仿宋" w:eastAsia="仿宋" w:cs="仿宋"/>
          <w:color w:val="000000"/>
          <w:sz w:val="32"/>
          <w:szCs w:val="32"/>
          <w:lang w:val="en-US" w:eastAsia="zh-CN"/>
        </w:rPr>
        <w:t>养殖</w:t>
      </w:r>
      <w:r>
        <w:rPr>
          <w:rFonts w:hint="eastAsia" w:ascii="仿宋" w:hAnsi="仿宋" w:eastAsia="仿宋" w:cs="仿宋"/>
          <w:color w:val="000000"/>
          <w:sz w:val="32"/>
          <w:szCs w:val="32"/>
        </w:rPr>
        <w:t>及科学利用。开展市域内鸟类资源及禽流感调查。落实《四川省陆生野生动物致害补偿办法》实施细则，做好致害补偿。推动青川县野猪种群调控和致害防控国家试点示范项目实施，配合做好启动建设中国大熊猫保护野外展示基地。</w:t>
      </w:r>
    </w:p>
    <w:p>
      <w:pPr>
        <w:overflowPunct w:val="0"/>
        <w:spacing w:line="540" w:lineRule="exact"/>
        <w:ind w:firstLine="640" w:firstLineChars="200"/>
        <w:jc w:val="left"/>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2.坚持发展为要，兼顾生态、经济和社会效益</w:t>
      </w:r>
    </w:p>
    <w:p>
      <w:pPr>
        <w:overflowPunct w:val="0"/>
        <w:spacing w:line="540" w:lineRule="exact"/>
        <w:ind w:firstLine="640" w:firstLineChars="200"/>
        <w:jc w:val="left"/>
        <w:rPr>
          <w:rFonts w:hint="default"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（5）推进“天府森林粮库”建设广元行动。</w:t>
      </w:r>
      <w:r>
        <w:rPr>
          <w:rFonts w:hint="eastAsia" w:ascii="仿宋" w:hAnsi="仿宋" w:eastAsia="仿宋" w:cs="仿宋"/>
          <w:color w:val="000000"/>
          <w:sz w:val="32"/>
          <w:szCs w:val="32"/>
          <w:lang w:eastAsia="zh-CN"/>
        </w:rPr>
        <w:t>制定《广元市建设“天府森林粮库”实施方案》，召开全市“天府森林粮库”建设工作推进会。昭化区加快实施林下中药材“天府森林粮库”示范项目，朝天区、青川县做好第二批“天府森林粮库”示范项目申报工作。昭化区、朝天区争创“天府森林粮库”高质量发展县。各县区争创省级林粮示范基地。认真履行核桃、油橄榄产业专班牵头单位职责，持续壮大特色优势“林粮”产业。核桃产业建成稳产丰产示范基地75万亩，完成品种改良5万亩，实现产量26万吨。加快推进朝天区国家农村产业融合发展示范园、中子镇国家农业产业强镇等项目建设。油橄榄产业新扩种面积1.3万亩，巩固稳产丰产基地5万亩，实现产量6500吨；积极推进油茶发展，新增油茶林1.22万亩；青川县巩固</w:t>
      </w:r>
      <w:r>
        <w:rPr>
          <w:rFonts w:hint="eastAsia" w:ascii="仿宋" w:hAnsi="仿宋" w:eastAsia="仿宋" w:cs="仿宋"/>
          <w:color w:val="000000"/>
          <w:sz w:val="32"/>
          <w:szCs w:val="32"/>
          <w:lang w:val="en-US" w:eastAsia="zh-CN"/>
        </w:rPr>
        <w:t>提升</w:t>
      </w:r>
      <w:r>
        <w:rPr>
          <w:rFonts w:hint="eastAsia" w:ascii="仿宋" w:hAnsi="仿宋" w:eastAsia="仿宋" w:cs="仿宋"/>
          <w:color w:val="000000"/>
          <w:sz w:val="32"/>
          <w:szCs w:val="32"/>
          <w:lang w:eastAsia="zh-CN"/>
        </w:rPr>
        <w:t>山桐子</w:t>
      </w:r>
      <w:r>
        <w:rPr>
          <w:rFonts w:hint="eastAsia" w:ascii="仿宋" w:hAnsi="仿宋" w:eastAsia="仿宋" w:cs="仿宋"/>
          <w:color w:val="000000"/>
          <w:sz w:val="32"/>
          <w:szCs w:val="32"/>
          <w:lang w:val="en-US" w:eastAsia="zh-CN"/>
        </w:rPr>
        <w:t>3</w:t>
      </w:r>
      <w:r>
        <w:rPr>
          <w:rFonts w:hint="eastAsia" w:ascii="仿宋" w:hAnsi="仿宋" w:eastAsia="仿宋" w:cs="仿宋"/>
          <w:color w:val="000000"/>
          <w:sz w:val="32"/>
          <w:szCs w:val="32"/>
          <w:lang w:eastAsia="zh-CN"/>
        </w:rPr>
        <w:t>.5万亩；剑阁县试点</w:t>
      </w:r>
      <w:r>
        <w:rPr>
          <w:rFonts w:hint="eastAsia" w:ascii="仿宋" w:hAnsi="仿宋" w:eastAsia="仿宋" w:cs="仿宋"/>
          <w:color w:val="000000"/>
          <w:sz w:val="32"/>
          <w:szCs w:val="32"/>
          <w:lang w:val="en-US" w:eastAsia="zh-CN"/>
        </w:rPr>
        <w:t>发展</w:t>
      </w:r>
      <w:r>
        <w:rPr>
          <w:rFonts w:hint="eastAsia" w:ascii="仿宋" w:hAnsi="仿宋" w:eastAsia="仿宋" w:cs="仿宋"/>
          <w:color w:val="000000"/>
          <w:sz w:val="32"/>
          <w:szCs w:val="32"/>
          <w:lang w:eastAsia="zh-CN"/>
        </w:rPr>
        <w:t>元宝枫。笋用竹产业</w:t>
      </w:r>
      <w:r>
        <w:rPr>
          <w:rFonts w:hint="eastAsia" w:ascii="仿宋" w:hAnsi="仿宋" w:eastAsia="仿宋" w:cs="仿宋"/>
          <w:color w:val="000000"/>
          <w:sz w:val="32"/>
          <w:szCs w:val="32"/>
          <w:lang w:val="en-US" w:eastAsia="zh-CN"/>
        </w:rPr>
        <w:t>巩固提升</w:t>
      </w:r>
      <w:r>
        <w:rPr>
          <w:rFonts w:hint="eastAsia" w:ascii="仿宋" w:hAnsi="仿宋" w:eastAsia="仿宋" w:cs="仿宋"/>
          <w:color w:val="000000"/>
          <w:sz w:val="32"/>
          <w:szCs w:val="32"/>
          <w:lang w:eastAsia="zh-CN"/>
        </w:rPr>
        <w:t>示范基地6.1万亩，实现鲜笋产量6000吨以上，昭化区创建省级现代竹产业基地1个，青川县提升青龙湖沿线12公里翠竹长廊建设成效。以朝天区、旺苍县、利州区为重点，逐步盘活华山松等木本粮食资源5万亩。积极发展林下种养，建成林下经济示范基地10万亩以上，争创国家林下经济示范基地和省林草中药材规范化种植（养殖）示范基地。</w:t>
      </w:r>
      <w:r>
        <w:rPr>
          <w:rFonts w:hint="eastAsia" w:ascii="仿宋" w:hAnsi="仿宋" w:eastAsia="仿宋" w:cs="仿宋"/>
          <w:color w:val="000000"/>
          <w:sz w:val="32"/>
          <w:szCs w:val="32"/>
          <w:lang w:val="en-US" w:eastAsia="zh-CN"/>
        </w:rPr>
        <w:t>深入推进“有机广元”建设，巩固现有林产品有机认证规模，每个县区新增有机（转换）认证面积500亩以上。</w:t>
      </w:r>
    </w:p>
    <w:p>
      <w:pPr>
        <w:overflowPunct w:val="0"/>
        <w:spacing w:line="540" w:lineRule="exact"/>
        <w:ind w:firstLine="640" w:firstLineChars="200"/>
        <w:jc w:val="left"/>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val="en-US" w:eastAsia="zh-CN"/>
        </w:rPr>
        <w:t>（6）抓好现代林业园区建设。青川县油橄榄省级培育园区申报认定省级“林粮”现代产业园区</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lang w:val="en-US" w:eastAsia="zh-CN"/>
        </w:rPr>
        <w:t>旺苍县核桃省级培育园区按照省级“林粮”现代产业园区标准补短强弱，达到申报条件。修订完善市级现代林业园区认定管理办法，每个县区新建市级现代林业园区1个，规划建设一批县级现代林业园区。巩固拓展国家广元绿色家居产业示范园区、国家朝天核桃产业示范园区、昭化区林下中药材省级现代林业园区、剑阁县核桃省级现代林业园区创建成果。持续巩固提升2023年认定的7个市级园区，统筹抓好已建市级园区提质增效。</w:t>
      </w:r>
    </w:p>
    <w:p>
      <w:pPr>
        <w:overflowPunct w:val="0"/>
        <w:spacing w:line="540" w:lineRule="exact"/>
        <w:ind w:firstLine="640" w:firstLineChars="200"/>
        <w:jc w:val="left"/>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val="en-US" w:eastAsia="zh-CN"/>
        </w:rPr>
        <w:t>（7）持续科学推进国土绿化。出台国家储备林项目管理办法，抓好国家储备林建设。深化与金融机构合作，推动储备林项目授信放款，加快营造林项目落地，完成营</w:t>
      </w:r>
      <w:r>
        <w:rPr>
          <w:rFonts w:hint="eastAsia" w:ascii="仿宋" w:hAnsi="仿宋" w:eastAsia="仿宋" w:cs="仿宋"/>
          <w:color w:val="000000"/>
          <w:sz w:val="32"/>
          <w:szCs w:val="32"/>
          <w:lang w:eastAsia="zh-CN"/>
        </w:rPr>
        <w:t>造林</w:t>
      </w:r>
      <w:r>
        <w:rPr>
          <w:rFonts w:hint="eastAsia" w:ascii="仿宋" w:hAnsi="仿宋" w:eastAsia="仿宋" w:cs="仿宋"/>
          <w:color w:val="000000"/>
          <w:sz w:val="32"/>
          <w:szCs w:val="32"/>
          <w:lang w:val="en-US" w:eastAsia="zh-CN"/>
        </w:rPr>
        <w:t>8</w:t>
      </w:r>
      <w:r>
        <w:rPr>
          <w:rFonts w:hint="eastAsia" w:ascii="仿宋" w:hAnsi="仿宋" w:eastAsia="仿宋" w:cs="仿宋"/>
          <w:color w:val="000000"/>
          <w:sz w:val="32"/>
          <w:szCs w:val="32"/>
          <w:lang w:eastAsia="zh-CN"/>
        </w:rPr>
        <w:t>万亩以上，</w:t>
      </w:r>
      <w:r>
        <w:rPr>
          <w:rFonts w:hint="eastAsia" w:ascii="仿宋" w:hAnsi="仿宋" w:eastAsia="仿宋" w:cs="仿宋"/>
          <w:color w:val="000000"/>
          <w:sz w:val="32"/>
          <w:szCs w:val="32"/>
          <w:lang w:val="en-US" w:eastAsia="zh-CN"/>
        </w:rPr>
        <w:t>每个</w:t>
      </w:r>
      <w:r>
        <w:rPr>
          <w:rFonts w:hint="eastAsia" w:ascii="仿宋" w:hAnsi="仿宋" w:eastAsia="仿宋" w:cs="仿宋"/>
          <w:color w:val="000000"/>
          <w:sz w:val="32"/>
          <w:szCs w:val="32"/>
          <w:lang w:eastAsia="zh-CN"/>
        </w:rPr>
        <w:t>县区建成不</w:t>
      </w:r>
      <w:r>
        <w:rPr>
          <w:rFonts w:hint="eastAsia" w:ascii="仿宋" w:hAnsi="仿宋" w:eastAsia="仿宋" w:cs="仿宋"/>
          <w:color w:val="000000"/>
          <w:sz w:val="32"/>
          <w:szCs w:val="32"/>
          <w:lang w:val="en-US" w:eastAsia="zh-CN"/>
        </w:rPr>
        <w:t>少</w:t>
      </w:r>
      <w:r>
        <w:rPr>
          <w:rFonts w:hint="eastAsia" w:ascii="仿宋" w:hAnsi="仿宋" w:eastAsia="仿宋" w:cs="仿宋"/>
          <w:color w:val="000000"/>
          <w:sz w:val="32"/>
          <w:szCs w:val="32"/>
          <w:lang w:eastAsia="zh-CN"/>
        </w:rPr>
        <w:t>于1000亩的国家储备林示范基地。积极谋划包装二期项目。加强森林分类经营，市鸳鸯池国有林保护有限公司和剑阁县完成森林可持续经营试点任务1.3万亩。强</w:t>
      </w:r>
      <w:r>
        <w:rPr>
          <w:rFonts w:hint="eastAsia" w:ascii="仿宋" w:hAnsi="仿宋" w:eastAsia="仿宋" w:cs="仿宋"/>
          <w:color w:val="000000"/>
          <w:sz w:val="32"/>
          <w:szCs w:val="32"/>
          <w:lang w:val="en-US" w:eastAsia="zh-CN"/>
        </w:rPr>
        <w:t>化</w:t>
      </w:r>
      <w:r>
        <w:rPr>
          <w:rFonts w:hint="eastAsia" w:ascii="仿宋" w:hAnsi="仿宋" w:eastAsia="仿宋" w:cs="仿宋"/>
          <w:color w:val="000000"/>
          <w:sz w:val="32"/>
          <w:szCs w:val="32"/>
          <w:lang w:eastAsia="zh-CN"/>
        </w:rPr>
        <w:t>天然林保护修复，</w:t>
      </w:r>
      <w:r>
        <w:rPr>
          <w:rFonts w:hint="eastAsia" w:ascii="仿宋" w:hAnsi="仿宋" w:eastAsia="仿宋" w:cs="仿宋"/>
          <w:color w:val="000000"/>
          <w:sz w:val="32"/>
          <w:szCs w:val="32"/>
          <w:lang w:val="en-US" w:eastAsia="zh-CN"/>
        </w:rPr>
        <w:t>完善</w:t>
      </w:r>
      <w:r>
        <w:rPr>
          <w:rFonts w:hint="eastAsia" w:ascii="仿宋" w:hAnsi="仿宋" w:eastAsia="仿宋" w:cs="仿宋"/>
          <w:color w:val="000000"/>
          <w:sz w:val="32"/>
          <w:szCs w:val="32"/>
          <w:lang w:eastAsia="zh-CN"/>
        </w:rPr>
        <w:t>市、县天然林保护修复实施方案。</w:t>
      </w:r>
      <w:r>
        <w:rPr>
          <w:rFonts w:hint="eastAsia" w:ascii="仿宋" w:hAnsi="仿宋" w:eastAsia="仿宋" w:cs="仿宋"/>
          <w:color w:val="000000"/>
          <w:sz w:val="32"/>
          <w:szCs w:val="32"/>
          <w:lang w:val="en-US" w:eastAsia="zh-CN"/>
        </w:rPr>
        <w:t>编制退耕还林提质增效实施方案。以“我为剑门蜀道植棵树”为主题组织开展全民义务植树活动。</w:t>
      </w:r>
    </w:p>
    <w:p>
      <w:pPr>
        <w:overflowPunct w:val="0"/>
        <w:spacing w:line="540" w:lineRule="exact"/>
        <w:ind w:firstLine="640" w:firstLineChars="200"/>
        <w:jc w:val="left"/>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val="en-US" w:eastAsia="zh-CN"/>
        </w:rPr>
        <w:t>（8）稳慎推进林草碳汇工作。</w:t>
      </w:r>
      <w:r>
        <w:rPr>
          <w:rFonts w:hint="eastAsia" w:ascii="仿宋" w:hAnsi="仿宋" w:eastAsia="仿宋" w:cs="仿宋"/>
          <w:color w:val="000000"/>
          <w:sz w:val="32"/>
          <w:szCs w:val="32"/>
          <w:lang w:eastAsia="zh-CN"/>
        </w:rPr>
        <w:t>围绕生态产品价值实现和服务“双碳”战略目标，</w:t>
      </w:r>
      <w:r>
        <w:rPr>
          <w:rFonts w:hint="eastAsia" w:ascii="仿宋" w:hAnsi="仿宋" w:eastAsia="仿宋" w:cs="仿宋"/>
          <w:color w:val="000000"/>
          <w:sz w:val="32"/>
          <w:szCs w:val="32"/>
          <w:lang w:val="en-US" w:eastAsia="zh-CN"/>
        </w:rPr>
        <w:t>推进林草碳普惠机制建设和林业碳汇开发。加强与专业机构、高等院校交流合作，稳步推进</w:t>
      </w:r>
      <w:r>
        <w:rPr>
          <w:rFonts w:hint="eastAsia" w:ascii="仿宋" w:hAnsi="仿宋" w:eastAsia="仿宋" w:cs="仿宋"/>
          <w:color w:val="000000"/>
          <w:sz w:val="32"/>
          <w:szCs w:val="32"/>
          <w:lang w:eastAsia="zh-CN"/>
        </w:rPr>
        <w:t>碳汇能力巩固提升行动，强化</w:t>
      </w:r>
      <w:r>
        <w:rPr>
          <w:rFonts w:hint="eastAsia" w:ascii="仿宋" w:hAnsi="仿宋" w:eastAsia="仿宋" w:cs="仿宋"/>
          <w:color w:val="000000"/>
          <w:sz w:val="32"/>
          <w:szCs w:val="32"/>
          <w:lang w:val="en-US" w:eastAsia="zh-CN"/>
        </w:rPr>
        <w:t>林草碳普惠机制和</w:t>
      </w:r>
      <w:r>
        <w:rPr>
          <w:rFonts w:hint="eastAsia" w:ascii="仿宋" w:hAnsi="仿宋" w:eastAsia="仿宋" w:cs="仿宋"/>
          <w:color w:val="000000"/>
          <w:sz w:val="32"/>
          <w:szCs w:val="32"/>
          <w:lang w:eastAsia="zh-CN"/>
        </w:rPr>
        <w:t>林业碳汇项目政策宣传，开展计量监测、项目开发和交易等能力培训，</w:t>
      </w:r>
      <w:r>
        <w:rPr>
          <w:rFonts w:hint="eastAsia" w:ascii="仿宋" w:hAnsi="仿宋" w:eastAsia="仿宋" w:cs="仿宋"/>
          <w:color w:val="000000"/>
          <w:sz w:val="32"/>
          <w:szCs w:val="32"/>
          <w:lang w:val="en-US" w:eastAsia="zh-CN"/>
        </w:rPr>
        <w:t>加强</w:t>
      </w:r>
      <w:r>
        <w:rPr>
          <w:rFonts w:hint="eastAsia" w:ascii="仿宋" w:hAnsi="仿宋" w:eastAsia="仿宋" w:cs="仿宋"/>
          <w:color w:val="000000"/>
          <w:sz w:val="32"/>
          <w:szCs w:val="32"/>
          <w:lang w:eastAsia="zh-CN"/>
        </w:rPr>
        <w:t>林业碳汇专业人才储备。</w:t>
      </w:r>
      <w:r>
        <w:rPr>
          <w:rFonts w:hint="eastAsia" w:ascii="仿宋" w:hAnsi="仿宋" w:eastAsia="仿宋" w:cs="仿宋"/>
          <w:color w:val="000000"/>
          <w:sz w:val="32"/>
          <w:szCs w:val="32"/>
          <w:lang w:val="en-US" w:eastAsia="zh-CN"/>
        </w:rPr>
        <w:t>加强对林业碳汇开发的服务指导</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lang w:val="en-US" w:eastAsia="zh-CN"/>
        </w:rPr>
        <w:t>防控资源无序圈占、盲目开发、弄虚作假等风险。</w:t>
      </w:r>
      <w:r>
        <w:rPr>
          <w:rFonts w:hint="eastAsia" w:ascii="仿宋" w:hAnsi="仿宋" w:eastAsia="仿宋" w:cs="仿宋"/>
          <w:color w:val="000000"/>
          <w:sz w:val="32"/>
          <w:szCs w:val="32"/>
          <w:lang w:eastAsia="zh-CN"/>
        </w:rPr>
        <w:t>持续推进朝天区省</w:t>
      </w:r>
      <w:r>
        <w:rPr>
          <w:rFonts w:hint="eastAsia" w:ascii="仿宋" w:hAnsi="仿宋" w:eastAsia="仿宋" w:cs="仿宋"/>
          <w:color w:val="000000"/>
          <w:sz w:val="32"/>
          <w:szCs w:val="32"/>
          <w:lang w:val="en-US" w:eastAsia="zh-CN"/>
        </w:rPr>
        <w:t>级</w:t>
      </w:r>
      <w:r>
        <w:rPr>
          <w:rFonts w:hint="eastAsia" w:ascii="仿宋" w:hAnsi="仿宋" w:eastAsia="仿宋" w:cs="仿宋"/>
          <w:color w:val="000000"/>
          <w:sz w:val="32"/>
          <w:szCs w:val="32"/>
          <w:lang w:eastAsia="zh-CN"/>
        </w:rPr>
        <w:t>林草碳汇项目开发试点。</w:t>
      </w:r>
    </w:p>
    <w:p>
      <w:pPr>
        <w:overflowPunct w:val="0"/>
        <w:spacing w:line="540" w:lineRule="exact"/>
        <w:ind w:firstLine="640" w:firstLineChars="200"/>
        <w:jc w:val="left"/>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3.守牢安全底线，加强防灾减灾和安全生产</w:t>
      </w:r>
    </w:p>
    <w:p>
      <w:pPr>
        <w:overflowPunct w:val="0"/>
        <w:spacing w:line="540" w:lineRule="exact"/>
        <w:ind w:firstLine="640"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（9）加强森林火灾防控。</w:t>
      </w:r>
      <w:r>
        <w:rPr>
          <w:rFonts w:hint="eastAsia" w:ascii="仿宋" w:hAnsi="仿宋" w:eastAsia="仿宋" w:cs="仿宋"/>
          <w:color w:val="000000"/>
          <w:sz w:val="32"/>
          <w:szCs w:val="32"/>
        </w:rPr>
        <w:t>贯彻落实中</w:t>
      </w:r>
      <w:r>
        <w:rPr>
          <w:rFonts w:hint="eastAsia" w:ascii="仿宋" w:hAnsi="仿宋" w:eastAsia="仿宋" w:cs="仿宋"/>
          <w:color w:val="000000"/>
          <w:sz w:val="32"/>
          <w:szCs w:val="32"/>
          <w:lang w:val="en-US" w:eastAsia="zh-CN"/>
        </w:rPr>
        <w:t>央</w:t>
      </w:r>
      <w:r>
        <w:rPr>
          <w:rFonts w:hint="eastAsia" w:ascii="仿宋" w:hAnsi="仿宋" w:eastAsia="仿宋" w:cs="仿宋"/>
          <w:color w:val="000000"/>
          <w:sz w:val="32"/>
          <w:szCs w:val="32"/>
        </w:rPr>
        <w:t>关于做好新形势下森林草原防灭火工作的意见，认真履行火灾预防职责，将林长履职与森林防灭火工作一体化推进，织密</w:t>
      </w:r>
      <w:r>
        <w:rPr>
          <w:rFonts w:hint="default" w:ascii="仿宋" w:hAnsi="仿宋" w:eastAsia="仿宋" w:cs="仿宋"/>
          <w:color w:val="000000"/>
          <w:sz w:val="32"/>
          <w:szCs w:val="32"/>
        </w:rPr>
        <w:t>“</w:t>
      </w:r>
      <w:r>
        <w:rPr>
          <w:rFonts w:hint="eastAsia" w:ascii="仿宋" w:hAnsi="仿宋" w:eastAsia="仿宋" w:cs="仿宋"/>
          <w:color w:val="000000"/>
          <w:sz w:val="32"/>
          <w:szCs w:val="32"/>
        </w:rPr>
        <w:t>林长+防火</w:t>
      </w:r>
      <w:r>
        <w:rPr>
          <w:rFonts w:hint="default" w:ascii="仿宋" w:hAnsi="仿宋" w:eastAsia="仿宋" w:cs="仿宋"/>
          <w:color w:val="000000"/>
          <w:sz w:val="32"/>
          <w:szCs w:val="32"/>
        </w:rPr>
        <w:t>”</w:t>
      </w:r>
      <w:r>
        <w:rPr>
          <w:rFonts w:hint="eastAsia" w:ascii="仿宋" w:hAnsi="仿宋" w:eastAsia="仿宋" w:cs="仿宋"/>
          <w:color w:val="000000"/>
          <w:sz w:val="32"/>
          <w:szCs w:val="32"/>
        </w:rPr>
        <w:t>网络体系。常态化推进防火巡护，防火期护林员使用监测即报系统APP开展巡山护林，上线率不低于90%，接入即报系统视频监控正常使用率不低于90%。严格火源管控，强化用火审批、日常检查，加强自然保护地、城市面山、国有林场林区等重要区域和林区输配电等重要目标火灾风险隐患排查整治及可燃物清除，多渠道、全覆盖开展防火宣传教育</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严查违规用火行为</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lang w:val="en-US" w:eastAsia="zh-CN"/>
        </w:rPr>
        <w:t>建</w:t>
      </w:r>
      <w:r>
        <w:rPr>
          <w:rFonts w:hint="eastAsia" w:ascii="仿宋" w:hAnsi="仿宋" w:eastAsia="仿宋" w:cs="仿宋"/>
          <w:color w:val="000000"/>
          <w:sz w:val="32"/>
          <w:szCs w:val="32"/>
        </w:rPr>
        <w:t>强火情早期处置队伍，督促有防火任务的乡镇（街道）全覆盖开展应急培训演练。推进防火基础设施建设，实施好增发国债森林防火应急道路和生物阻隔带、森林火灾高风险区综合治理、防灭火预警空天地一体化监测体系等项目。剑阁县、昭化区推进蜀道古柏等古树集中区域消防水源点建设。加强森林防灭火规范化、标准化建设，</w:t>
      </w:r>
      <w:r>
        <w:rPr>
          <w:rFonts w:hint="eastAsia" w:ascii="仿宋" w:hAnsi="仿宋" w:eastAsia="仿宋" w:cs="仿宋"/>
          <w:color w:val="000000"/>
          <w:sz w:val="32"/>
          <w:szCs w:val="32"/>
          <w:lang w:val="en-US" w:eastAsia="zh-CN"/>
        </w:rPr>
        <w:t>推动</w:t>
      </w:r>
      <w:r>
        <w:rPr>
          <w:rFonts w:hint="eastAsia" w:ascii="仿宋" w:hAnsi="仿宋" w:eastAsia="仿宋" w:cs="仿宋"/>
          <w:color w:val="000000"/>
          <w:sz w:val="32"/>
          <w:szCs w:val="32"/>
        </w:rPr>
        <w:t>县区在重点林区开展以水灭火、防火卡点、隐患治理等示范点建设，牢牢守住</w:t>
      </w:r>
      <w:r>
        <w:rPr>
          <w:rFonts w:hint="default" w:ascii="仿宋" w:hAnsi="仿宋" w:eastAsia="仿宋" w:cs="仿宋"/>
          <w:color w:val="000000"/>
          <w:sz w:val="32"/>
          <w:szCs w:val="32"/>
        </w:rPr>
        <w:t>“</w:t>
      </w:r>
      <w:r>
        <w:rPr>
          <w:rFonts w:hint="eastAsia" w:ascii="仿宋" w:hAnsi="仿宋" w:eastAsia="仿宋" w:cs="仿宋"/>
          <w:color w:val="000000"/>
          <w:sz w:val="32"/>
          <w:szCs w:val="32"/>
        </w:rPr>
        <w:t>两个确保</w:t>
      </w:r>
      <w:r>
        <w:rPr>
          <w:rFonts w:hint="default" w:ascii="仿宋" w:hAnsi="仿宋" w:eastAsia="仿宋" w:cs="仿宋"/>
          <w:color w:val="000000"/>
          <w:sz w:val="32"/>
          <w:szCs w:val="32"/>
        </w:rPr>
        <w:t>”</w:t>
      </w:r>
      <w:r>
        <w:rPr>
          <w:rFonts w:hint="eastAsia" w:ascii="仿宋" w:hAnsi="仿宋" w:eastAsia="仿宋" w:cs="仿宋"/>
          <w:color w:val="000000"/>
          <w:sz w:val="32"/>
          <w:szCs w:val="32"/>
        </w:rPr>
        <w:t>安全底线。</w:t>
      </w:r>
    </w:p>
    <w:p>
      <w:pPr>
        <w:overflowPunct w:val="0"/>
        <w:spacing w:line="540" w:lineRule="exact"/>
        <w:ind w:firstLine="640" w:firstLineChars="200"/>
        <w:jc w:val="left"/>
        <w:rPr>
          <w:rFonts w:hint="default"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（10）抓好松材线虫病等林业有害生物防治。</w:t>
      </w:r>
      <w:r>
        <w:rPr>
          <w:rFonts w:hint="default" w:ascii="仿宋" w:hAnsi="仿宋" w:eastAsia="仿宋" w:cs="仿宋"/>
          <w:color w:val="000000"/>
          <w:sz w:val="32"/>
          <w:szCs w:val="32"/>
          <w:lang w:val="en-US" w:eastAsia="zh-CN"/>
        </w:rPr>
        <w:t>开展松材线虫病专项普查和日常监测，</w:t>
      </w:r>
      <w:r>
        <w:rPr>
          <w:rFonts w:hint="eastAsia" w:ascii="仿宋" w:hAnsi="仿宋" w:eastAsia="仿宋" w:cs="仿宋"/>
          <w:color w:val="000000"/>
          <w:sz w:val="32"/>
          <w:szCs w:val="32"/>
          <w:lang w:val="en-US" w:eastAsia="zh-CN"/>
        </w:rPr>
        <w:t>持续</w:t>
      </w:r>
      <w:r>
        <w:rPr>
          <w:rFonts w:hint="default" w:ascii="仿宋" w:hAnsi="仿宋" w:eastAsia="仿宋" w:cs="仿宋"/>
          <w:color w:val="000000"/>
          <w:sz w:val="32"/>
          <w:szCs w:val="32"/>
          <w:lang w:val="en-US" w:eastAsia="zh-CN"/>
        </w:rPr>
        <w:t>推进松材线虫病疫情防控五年攻坚行动，剑阁县实现下寺镇疫点拔除和剑门关镇无疫情，朝天区实现中子镇、两河口镇疫点拔除，旺苍</w:t>
      </w:r>
      <w:r>
        <w:rPr>
          <w:rFonts w:hint="eastAsia" w:ascii="仿宋" w:hAnsi="仿宋" w:eastAsia="仿宋" w:cs="仿宋"/>
          <w:color w:val="000000"/>
          <w:sz w:val="32"/>
          <w:szCs w:val="32"/>
          <w:lang w:val="en-US" w:eastAsia="zh-CN"/>
        </w:rPr>
        <w:t>县、利州区、青川县等加大枯死松树除治力度。剑阁县、朝天区加强对松材线虫病疫木定点加工企业的技术支撑和运行监管，确保松材线虫病疫木得到安全处理。强化市内外相邻交界区域松材线虫病疫情联防联控，加强松材线虫病疫木检疫执法和违法案件查办工作协作，遏制疫情扩散蔓延。加强蜀柏毒蛾、云南松毛虫、落叶松叶蜂等本土林业有害生物及红火蚁等外来有害生物的监测预报，及时开展综合防治。</w:t>
      </w:r>
      <w:r>
        <w:rPr>
          <w:rFonts w:hint="default" w:ascii="仿宋" w:hAnsi="仿宋" w:eastAsia="仿宋" w:cs="仿宋"/>
          <w:color w:val="000000"/>
          <w:sz w:val="32"/>
          <w:szCs w:val="32"/>
          <w:lang w:val="en-US" w:eastAsia="zh-CN"/>
        </w:rPr>
        <w:t>全年林业有害生物成灾率控制在2.46‰以内。</w:t>
      </w:r>
    </w:p>
    <w:p>
      <w:pPr>
        <w:overflowPunct w:val="0"/>
        <w:spacing w:line="540" w:lineRule="exact"/>
        <w:ind w:firstLine="640" w:firstLineChars="200"/>
        <w:jc w:val="left"/>
        <w:rPr>
          <w:rFonts w:hint="default"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11）统筹抓好行业安全稳定工作。坚持“党政同责、一岗双责、齐抓共管、失职追责”和“三管三必须”，认真落实安全生产十五条措施，全面深入排查整治涉林安全隐患，确保本质安全。严格落实管控治理措施，抓好防汛减灾和地质灾害防控工作。</w:t>
      </w:r>
      <w:r>
        <w:rPr>
          <w:rFonts w:hint="eastAsia" w:ascii="仿宋" w:hAnsi="仿宋" w:eastAsia="仿宋" w:cs="仿宋"/>
          <w:color w:val="000000"/>
          <w:sz w:val="32"/>
          <w:szCs w:val="32"/>
        </w:rPr>
        <w:t>扎实开展食用林产品安全监测及风险处置工作，助力创建国家食品安全示范城市。</w:t>
      </w:r>
      <w:r>
        <w:rPr>
          <w:rFonts w:hint="eastAsia" w:ascii="仿宋" w:hAnsi="仿宋" w:eastAsia="仿宋" w:cs="仿宋"/>
          <w:color w:val="000000"/>
          <w:sz w:val="32"/>
          <w:szCs w:val="32"/>
          <w:lang w:val="en-US" w:eastAsia="zh-CN"/>
        </w:rPr>
        <w:t>做好全市年度安全防范综合督查工作。统筹抓好网络安全、信访稳定等工作。</w:t>
      </w:r>
    </w:p>
    <w:p>
      <w:pPr>
        <w:overflowPunct w:val="0"/>
        <w:spacing w:line="540" w:lineRule="exact"/>
        <w:ind w:firstLine="640" w:firstLineChars="200"/>
        <w:jc w:val="left"/>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4.夯实基础支撑，汇聚林业发展内生动力</w:t>
      </w:r>
    </w:p>
    <w:p>
      <w:pPr>
        <w:overflowPunct w:val="0"/>
        <w:spacing w:line="540" w:lineRule="exact"/>
        <w:ind w:firstLine="640" w:firstLineChars="200"/>
        <w:jc w:val="left"/>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12）推深做实林长制。落实省、市林长制全体会议和林长令各项要求。动态调整优化林长制组织责任体系。推动各级林长通过签发林长令、召开林长会议、林长批示、林长巡林等方式履职尽责。持续推行林长制任务清单、问题清单、整改反馈清单、工作提示督办函“三单一函”和“林长离任交接”“项目林长”“林长+法院院长+检察长”等工作机制。深化森林资源保护升级、森林资源安全守护、森林质量精准提升、林业生态产品价值实现、智慧森林建设提速等“五大行动”。深入实施“林长制+林业重点工作”行动计划，重点推进“林长+古树名木保护”“林长+国家储备林项目建设”“林长+深化集体林权制度改革”“林长+森林粮库建设”等试点示范，高质量打造一批“林长示范林”。一体推进林长制与森林防灭火信息平台建设。开展乡镇林长制规范化运行试点，每个县区建成1个示范乡镇。修订完善林长制考核办法，强化林长制督查考核和结果运用，推动林长制末端发力、终端见效。</w:t>
      </w:r>
    </w:p>
    <w:p>
      <w:pPr>
        <w:overflowPunct w:val="0"/>
        <w:spacing w:line="540" w:lineRule="exact"/>
        <w:ind w:firstLine="640" w:firstLineChars="200"/>
        <w:jc w:val="left"/>
        <w:rPr>
          <w:rFonts w:hint="default"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13）抓好林业项目资金管理。市县（区）联动建立项目研究策划机制，全面精准把握国家、省政策支持方向和资金投向，围绕“双重”规划、生态保护支撑体系规划，聚焦长江经济带建设、主动融入成渝地区双城经济圈等政策，常态化储备各类项目投资320亿元以上，做深做实项目前期工作，完成项目可行性研究报告或实施方案10个以上。紧盯古树名木保护、“天府森林粮库”、林业科技支撑等重点方向，抢抓增发国债、超长期特别国债等机遇，积极争取项目资金，力争中省到位资金增长10%以上。深入实施招商引资“双提”行动，强化市县（区）林业招商协同联动，完成年度招商引资任务。完成增发国债森林防火阻隔系统项目建设。加快推进中省项目、市重点项目、地方政府专项债券项目、中央预算内投资项目建设，确保项目早开工、早建成、早见效。加强项目管理，落实项目预审、抄送、限时完成制度，常态化开展项目调度通报，加大提醒和约谈力度。开展全市林业资金稽查和绩效评价。强化项目资金管理，确保资金规范安全高效使用。开展林业内部审计工作。</w:t>
      </w:r>
    </w:p>
    <w:p>
      <w:pPr>
        <w:overflowPunct w:val="0"/>
        <w:spacing w:line="540" w:lineRule="exact"/>
        <w:ind w:firstLine="640" w:firstLineChars="200"/>
        <w:jc w:val="left"/>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14）纵深推进集体林权制度改革。深化集体林地“三权分置”改革，总结推广散小林地股份量化、折股联营“柳桥模式”，推动林地适度规模经营。持续推进朝天区集体林地地役权制度改革试点。洽谈、招引森林资源资产调查评估机构3个，规范流转林地经营权、林木所有权和使用权不少于8万亩，助力国家储备林项目建设。进一步完善政策性森林保险机制，将森林参保率提高至75％以上。完成核桃自然灾害和价格指数保险10万亩以上。建立健全林业社会化服务体系，推动对规模化、集约化经营的基地（园区）实行统防统治统管。支持国有林场林区与集体经济组织、林农开展联合经营，扶持培育新型林业经营主体，深入探索联农带农利益联结机制。推动市国有林场创建首批省级示范国有林场，有条件的国有林场积极开展新一轮创建工作。推动县区围绕重点产业引进培育精深加工龙头企业，有序建设油茶初加工厂和配置笋用竹初加工点。全市新培育市级以上龙头企业、示范社（场）10家，新培育10～50亩适度规模经营的家庭林场、业主大户和新型职业农民100户以上。</w:t>
      </w:r>
    </w:p>
    <w:p>
      <w:pPr>
        <w:overflowPunct w:val="0"/>
        <w:spacing w:line="540" w:lineRule="exact"/>
        <w:ind w:firstLine="640" w:firstLineChars="200"/>
        <w:jc w:val="left"/>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15）加强林业科技和种业振兴工作。推动开展林产业高效培育、加工利用、实用机械装备研发，加快科技成果转化运用。加强与四川农业大学在油茶良种选育上技术合作；支持广元棒仁食品科技股份有限公司与中国农业科学院持续合作，力求在核桃肽产品研发上取得突破；支持广元古柏道农业开发有限公司与西北农林科技大学、中国元宝枫产业技术创新战略联盟等科研机构在元宝枫良种选育、元宝枫系列产品研发上深度合作；支持朝天区与国机集团（中国农机院）进一步加强交流合作，量身定制研发升级核桃管理采收系列农机设备；加强核桃、油橄榄、笋用竹、油茶、林草中药材等本土丰产实用技术研究及成果推广应用。推动构建朝天核桃、广元油橄榄、昭化茯苓等地标产品全产业链标准化体系工作。开展“文化大篷车”送服务下基层活动，做好科普宣传、科技示范和技术培训，全年培训技术“明白人”1万人次以上。规范管理中央财政林草科技推广示范项目，组织验收到期项目3个，启动实施项目4个。持续推进核桃“一号工程”和油茶、毛叶山桐子、元宝枫等林木良种选育工作。大力推广本地适生良种，确保主要造林树种良种使用率达到75%以上。巩固剑阁县省级保障性苗圃建设成效，完成油茶良种苗木生产200万株。推进毛叶山桐子、水青冈国家林木种质资源库和朝天核桃国家良种基地建设，完成年度建设任务并通过省级考核。完成市级林木种质资源普查成果编制。加大种苗质量监管力度，规范林木种苗市场。</w:t>
      </w:r>
    </w:p>
    <w:p>
      <w:pPr>
        <w:overflowPunct w:val="0"/>
        <w:spacing w:line="540" w:lineRule="exact"/>
        <w:ind w:firstLine="640" w:firstLineChars="200"/>
        <w:jc w:val="left"/>
        <w:rPr>
          <w:rFonts w:hint="default" w:ascii="仿宋" w:hAnsi="仿宋" w:eastAsia="仿宋" w:cs="仿宋"/>
          <w:color w:val="000000"/>
          <w:sz w:val="32"/>
          <w:szCs w:val="32"/>
          <w:lang w:val="en" w:eastAsia="zh-CN"/>
        </w:rPr>
      </w:pPr>
      <w:r>
        <w:rPr>
          <w:rFonts w:hint="eastAsia" w:ascii="仿宋" w:hAnsi="仿宋" w:eastAsia="仿宋" w:cs="仿宋"/>
          <w:color w:val="000000"/>
          <w:sz w:val="32"/>
          <w:szCs w:val="32"/>
          <w:lang w:val="en-US" w:eastAsia="zh-CN"/>
        </w:rPr>
        <w:t>（16）全面推进依法治林。转变认识，适应改革，主动作为，深化新形势下依法治林工作。持续推进“学法考法用法”和“八五”普法，加强《宪法》《民法典》和林业法律法规的学习宣传。强化行政执法监督和法制审核，落实行政执法“三项制度”，执行《四川省行政裁量权基准管理规定》《广元市提升行政执法质量三年行动计划实施方案（2023—2025）》，推进行政执法标准化、规范化、信息化建设。严格行政执法人员资格管理和持证上岗，开展打击毁林开垦、制售假劣林木种苗和侵犯植物新品种权等专项行动，强化林业行政执法与刑事司法有效衔接，应查尽查严厉打击破坏林草湿资源等涉林违法犯罪行为，每个县区查处野外违规用火不少于10起，办理林木种苗案件不少于1个，案件查结率不低于95%。严格林业生态环境损害赔偿和责任追究。持续开展建设项目使用林地、林木采伐行政许可后续监督检查和木材经营加工、林草种子生产经营“双随机、一公开”检查。抓好行业治乱、禁毒、防邪等工作。</w:t>
      </w:r>
    </w:p>
    <w:p>
      <w:pPr>
        <w:overflowPunct w:val="0"/>
        <w:spacing w:line="540" w:lineRule="exact"/>
        <w:ind w:firstLine="640" w:firstLineChars="200"/>
        <w:jc w:val="left"/>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5.强化协同保障，助力经济社会高质量发展</w:t>
      </w:r>
    </w:p>
    <w:p>
      <w:pPr>
        <w:overflowPunct w:val="0"/>
        <w:spacing w:line="540" w:lineRule="exact"/>
        <w:ind w:firstLine="640" w:firstLineChars="200"/>
        <w:jc w:val="left"/>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val="en-US" w:eastAsia="zh-CN"/>
        </w:rPr>
        <w:t>（17）做好涉林要素保障。</w:t>
      </w:r>
      <w:r>
        <w:rPr>
          <w:rFonts w:hint="eastAsia" w:ascii="仿宋" w:hAnsi="仿宋" w:eastAsia="仿宋" w:cs="仿宋"/>
          <w:color w:val="000000"/>
          <w:sz w:val="32"/>
          <w:szCs w:val="32"/>
          <w:lang w:eastAsia="zh-CN"/>
        </w:rPr>
        <w:t>主动加强</w:t>
      </w:r>
      <w:r>
        <w:rPr>
          <w:rFonts w:hint="eastAsia" w:ascii="仿宋" w:hAnsi="仿宋" w:eastAsia="仿宋" w:cs="仿宋"/>
          <w:color w:val="000000"/>
          <w:sz w:val="32"/>
          <w:szCs w:val="32"/>
          <w:lang w:val="en-US" w:eastAsia="zh-CN"/>
        </w:rPr>
        <w:t>与相关部门</w:t>
      </w:r>
      <w:r>
        <w:rPr>
          <w:rFonts w:hint="eastAsia" w:ascii="仿宋" w:hAnsi="仿宋" w:eastAsia="仿宋" w:cs="仿宋"/>
          <w:color w:val="000000"/>
          <w:sz w:val="32"/>
          <w:szCs w:val="32"/>
          <w:lang w:eastAsia="zh-CN"/>
        </w:rPr>
        <w:t>沟通对接，动态掌握重点项目涉自然保护地准入许可和使用林地需求，积极争取林地定额指标支持。指导项目用地单位科学选址，合理避让自然保护地，节约集约使用林地。</w:t>
      </w:r>
      <w:r>
        <w:rPr>
          <w:rFonts w:hint="eastAsia" w:ascii="仿宋" w:hAnsi="仿宋" w:eastAsia="仿宋" w:cs="仿宋"/>
          <w:color w:val="000000"/>
          <w:sz w:val="32"/>
          <w:szCs w:val="32"/>
          <w:lang w:val="en-US" w:eastAsia="zh-CN"/>
        </w:rPr>
        <w:t>做好省林草局委托审批事项承接工作，规范开展行政审批，</w:t>
      </w:r>
      <w:r>
        <w:rPr>
          <w:rFonts w:hint="eastAsia" w:ascii="仿宋" w:hAnsi="仿宋" w:eastAsia="仿宋" w:cs="仿宋"/>
          <w:color w:val="000000"/>
          <w:sz w:val="32"/>
          <w:szCs w:val="32"/>
          <w:lang w:eastAsia="zh-CN"/>
        </w:rPr>
        <w:t>推行一窗受理、并联办理等审批模式，全力做好项目投资、产业发展、城乡建设、社会民生等重点领域</w:t>
      </w:r>
      <w:r>
        <w:rPr>
          <w:rFonts w:hint="eastAsia" w:ascii="仿宋" w:hAnsi="仿宋" w:eastAsia="仿宋" w:cs="仿宋"/>
          <w:color w:val="000000"/>
          <w:sz w:val="32"/>
          <w:szCs w:val="32"/>
          <w:lang w:val="en-US" w:eastAsia="zh-CN"/>
        </w:rPr>
        <w:t>涉林</w:t>
      </w:r>
      <w:r>
        <w:rPr>
          <w:rFonts w:hint="eastAsia" w:ascii="仿宋" w:hAnsi="仿宋" w:eastAsia="仿宋" w:cs="仿宋"/>
          <w:color w:val="000000"/>
          <w:sz w:val="32"/>
          <w:szCs w:val="32"/>
          <w:lang w:eastAsia="zh-CN"/>
        </w:rPr>
        <w:t>要素保障。</w:t>
      </w:r>
    </w:p>
    <w:p>
      <w:pPr>
        <w:overflowPunct w:val="0"/>
        <w:spacing w:line="540" w:lineRule="exact"/>
        <w:ind w:firstLine="640" w:firstLineChars="200"/>
        <w:jc w:val="left"/>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val="en-US" w:eastAsia="zh-CN"/>
        </w:rPr>
        <w:t>（18）落实最严格的耕地保护制度。牢固树立耕地保护意识</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lang w:val="en-US" w:eastAsia="zh-CN"/>
        </w:rPr>
        <w:t>扛稳扛牢耕地保护政治责任，落实耕地保护主体责任和涉林田长责任，杜绝</w:t>
      </w:r>
      <w:r>
        <w:rPr>
          <w:rFonts w:hint="eastAsia" w:ascii="仿宋" w:hAnsi="仿宋" w:eastAsia="仿宋" w:cs="仿宋"/>
          <w:color w:val="000000"/>
          <w:sz w:val="32"/>
          <w:szCs w:val="32"/>
          <w:lang w:eastAsia="zh-CN"/>
        </w:rPr>
        <w:t>违规占用耕地造林绿化</w:t>
      </w:r>
      <w:r>
        <w:rPr>
          <w:rFonts w:hint="eastAsia" w:ascii="仿宋" w:hAnsi="仿宋" w:eastAsia="仿宋" w:cs="仿宋"/>
          <w:color w:val="000000"/>
          <w:sz w:val="32"/>
          <w:szCs w:val="32"/>
          <w:lang w:val="en-US" w:eastAsia="zh-CN"/>
        </w:rPr>
        <w:t>，防止耕地“非粮化”“非农化”</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lang w:val="en-US" w:eastAsia="zh-CN"/>
        </w:rPr>
        <w:t>强化各类造林种草项目管理，严格带图斑、带位置上报和下达造林任务，全面落地上图管理，立足存量林地积极拓展造林绿化空间</w:t>
      </w:r>
      <w:r>
        <w:rPr>
          <w:rFonts w:hint="eastAsia" w:ascii="仿宋" w:hAnsi="仿宋" w:eastAsia="仿宋" w:cs="仿宋"/>
          <w:color w:val="000000"/>
          <w:sz w:val="32"/>
          <w:szCs w:val="32"/>
          <w:lang w:eastAsia="zh-CN"/>
        </w:rPr>
        <w:t>。宣传引导林业经营主体认真执行耕地保护有关制度，新发生违规占用耕地绿化造林、生产经营花卉苗木的，一律不核实造林面积、不享受财政补助政策、不核发种苗生产经营许可证。</w:t>
      </w:r>
    </w:p>
    <w:p>
      <w:pPr>
        <w:overflowPunct w:val="0"/>
        <w:spacing w:line="540" w:lineRule="exact"/>
        <w:ind w:firstLine="640" w:firstLineChars="200"/>
        <w:jc w:val="left"/>
        <w:rPr>
          <w:rFonts w:hint="default"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19）全力助推乡村振兴。积极助推脱贫地区特色产业高质量发展引领区建设，优先支持乡村振兴重点帮扶县（村）发展林业生态产业，提升乡村产业发展水平，及时足额兑现涉林惠民资金，加强生态护林员选聘和管理，促进林农稳定增收。全力抓好驻村帮扶工作，突出帮扶实效。旺苍县承办好2024年四川红叶生态旅游节主会场活动。举办好苍溪梨花节和猕猴桃采摘节、旺苍米仓山高山杜鹃花节、青川红叶节、朝天核桃文化旅游节等花卉（果类）生态旅游节会子活动。持续开展关注森林活动，积极申报创建森林乡镇、森林村庄、森林人家，争取省级森林步道建设试点。</w:t>
      </w:r>
    </w:p>
    <w:p>
      <w:pPr>
        <w:overflowPunct w:val="0"/>
        <w:spacing w:line="540" w:lineRule="exact"/>
        <w:ind w:firstLine="640" w:firstLineChars="200"/>
        <w:jc w:val="left"/>
        <w:rPr>
          <w:rFonts w:hint="default"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6.全面从严治党，确保各项决策部署落地落实</w:t>
      </w:r>
    </w:p>
    <w:p>
      <w:pPr>
        <w:overflowPunct w:val="0"/>
        <w:spacing w:line="540" w:lineRule="exact"/>
        <w:ind w:firstLine="640"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（20）始终把政治建设摆在首位。</w:t>
      </w:r>
      <w:r>
        <w:rPr>
          <w:rFonts w:hint="eastAsia" w:ascii="仿宋" w:hAnsi="仿宋" w:eastAsia="仿宋" w:cs="仿宋"/>
          <w:color w:val="000000"/>
          <w:sz w:val="32"/>
          <w:szCs w:val="32"/>
        </w:rPr>
        <w:t>坚持不懈用习近平新时代中国特色社会主义思想凝心铸魂，巩固主题教育成果，深刻领悟“两个确立”的决定性意义，切实把增强“四个意识”、坚定“四个自信”、做到“两个维护”贯穿林业工作全过程、各方面。严守政治纪律和政治规矩，坚持“第一议题”制度，全面落实意识形态工作责任制，不断增强政治判断力、政治领悟力、政治执行力，努力营造林业系统良好政治生态。</w:t>
      </w:r>
      <w:r>
        <w:rPr>
          <w:rFonts w:hint="eastAsia" w:ascii="仿宋" w:hAnsi="仿宋" w:eastAsia="仿宋" w:cs="仿宋"/>
          <w:color w:val="000000"/>
          <w:sz w:val="32"/>
          <w:szCs w:val="32"/>
          <w:lang w:val="en-US" w:eastAsia="zh-CN"/>
        </w:rPr>
        <w:t>注重信息宣传与业务工作的协同联动，用好报、刊、网、微、屏等资源，讲好广元林业故事，传播广元林业正能量。</w:t>
      </w:r>
    </w:p>
    <w:p>
      <w:pPr>
        <w:overflowPunct w:val="0"/>
        <w:spacing w:line="540" w:lineRule="exact"/>
        <w:ind w:firstLine="640" w:firstLineChars="200"/>
        <w:jc w:val="left"/>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lang w:val="en-US" w:eastAsia="zh-CN"/>
        </w:rPr>
        <w:t>21</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驰而不息推进正风肃纪。认真履行全面从严治党主体责任，深入推进“清廉广元·生态社会”建设，在建设清廉机关、清廉“窗口”、清廉企业上合力攻坚，奋力推动风清气正的政治生态与林业高质量发展环境相融共生。以学习贯彻新修订的纪律处分条例为契机，全面深化纪律教育，严格落实中央八项规定和省委、省政府十项规定、市委“六个带头”及其实施细则要求，深入推进纪律作风建设三年提升行动，增强全局党员干部纪律自觉。加强调查研究，着力解决突出问题，坚决纠治侵害群众利益、违规使用项目资金以及不作为、乱作为等问题，抓好林业专项审计发现问题整改销号工作。精准有效运用监督执纪问责“四种形态”，坚定不移推进党风廉政建设和反腐败工作。</w:t>
      </w:r>
    </w:p>
    <w:p>
      <w:pPr>
        <w:overflowPunct w:val="0"/>
        <w:spacing w:line="540" w:lineRule="exact"/>
        <w:ind w:firstLine="640" w:firstLineChars="200"/>
        <w:jc w:val="left"/>
        <w:rPr>
          <w:rFonts w:hint="default" w:eastAsia="仿宋"/>
          <w:lang w:val="en-US" w:eastAsia="zh-CN"/>
        </w:rPr>
      </w:pP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lang w:val="en-US" w:eastAsia="zh-CN"/>
        </w:rPr>
        <w:t>22</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加强干部队伍建设。坚持党管干部原则，鲜明用人导向，持续优化选人用人环境。加强干部教育培训，深入开展争先提能行动，不断加强干部培养锻炼。发挥专业技术人员技术优势，示范推广林业实用技术，开展科研攻关和课题研究。加强干部日常监督管理，努力锻造一支忠诚干净、务实担当、作风过硬的高素质干部队伍。</w:t>
      </w:r>
    </w:p>
    <w:p>
      <w:pPr>
        <w:pStyle w:val="3"/>
        <w:bidi w:val="0"/>
        <w:rPr>
          <w:rFonts w:hint="eastAsia"/>
          <w:lang w:val="en-US" w:eastAsia="zh-CN"/>
        </w:rPr>
      </w:pPr>
      <w:bookmarkStart w:id="3" w:name="_Toc24639"/>
      <w:r>
        <w:rPr>
          <w:rFonts w:hint="eastAsia"/>
          <w:lang w:val="en-US" w:eastAsia="zh-CN"/>
        </w:rPr>
        <w:t>二、部门预算单位构成</w:t>
      </w:r>
      <w:bookmarkEnd w:id="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广元市林业局下属二级预算单位3个，其中行政单位1个，其他事业单位2个。主要包括：广元市林业局本级、广元市国有林场和广元市林业科学研究院。</w:t>
      </w:r>
    </w:p>
    <w:p>
      <w:pPr>
        <w:pStyle w:val="3"/>
        <w:bidi w:val="0"/>
        <w:rPr>
          <w:rFonts w:hint="eastAsia"/>
        </w:rPr>
      </w:pPr>
      <w:bookmarkStart w:id="4" w:name="_Toc19884"/>
      <w:r>
        <w:rPr>
          <w:rFonts w:hint="eastAsia"/>
          <w:lang w:val="en-US" w:eastAsia="zh-CN"/>
        </w:rPr>
        <w:t>三、收支预算情况说明</w:t>
      </w:r>
      <w:bookmarkEnd w:id="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按照综合预算的原则，广元市林业局所有收入和支出均纳入部门预算管理。收入包括：一般公共预算拨款收入；支出包括：社会保障和就业支出、卫生健康支出、农林水支出、住房保障支出。广元市林业局2024年收支预算总数3663.74万元，比2023年收支预算总数增加232.36万元，主要原因是项目经费增加。</w:t>
      </w:r>
    </w:p>
    <w:p>
      <w:pPr>
        <w:pStyle w:val="4"/>
        <w:bidi w:val="0"/>
        <w:rPr>
          <w:rFonts w:hint="eastAsia"/>
          <w:lang w:val="en-US" w:eastAsia="zh-CN"/>
        </w:rPr>
      </w:pPr>
      <w:bookmarkStart w:id="5" w:name="_Toc24772"/>
      <w:r>
        <w:rPr>
          <w:rFonts w:hint="eastAsia"/>
          <w:lang w:val="en-US" w:eastAsia="zh-CN"/>
        </w:rPr>
        <w:t>（一）收入预算情况</w:t>
      </w:r>
      <w:bookmarkEnd w:id="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广元市林业局2024年收入预算3663.74万元，其中：一般公共预算拨款收入3663.74万元，占100%。</w:t>
      </w:r>
    </w:p>
    <w:p>
      <w:pPr>
        <w:pStyle w:val="4"/>
        <w:bidi w:val="0"/>
        <w:rPr>
          <w:rFonts w:hint="eastAsia"/>
          <w:lang w:val="en-US" w:eastAsia="zh-CN"/>
        </w:rPr>
      </w:pPr>
      <w:bookmarkStart w:id="6" w:name="_Toc10127"/>
      <w:r>
        <w:rPr>
          <w:rFonts w:hint="eastAsia"/>
          <w:lang w:val="en-US" w:eastAsia="zh-CN"/>
        </w:rPr>
        <w:t>（二）支出预算情况</w:t>
      </w:r>
      <w:bookmarkEnd w:id="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b w:val="0"/>
          <w:bCs w:val="0"/>
          <w:sz w:val="32"/>
          <w:szCs w:val="32"/>
          <w:lang w:val="en-US" w:eastAsia="zh-CN"/>
        </w:rPr>
      </w:pPr>
      <w:r>
        <w:rPr>
          <w:rFonts w:hint="eastAsia" w:ascii="仿宋" w:hAnsi="仿宋" w:eastAsia="仿宋" w:cs="仿宋"/>
          <w:sz w:val="32"/>
          <w:szCs w:val="32"/>
          <w:lang w:val="en-US" w:eastAsia="zh-CN"/>
        </w:rPr>
        <w:t>广元市林业局2024年支出预算3663.74万元，其中：基本支出3350.27万元，占91%；项目支出313.47万元，占9%</w:t>
      </w:r>
      <w:r>
        <w:rPr>
          <w:rFonts w:hint="eastAsia" w:ascii="仿宋" w:hAnsi="仿宋" w:eastAsia="仿宋" w:cs="仿宋"/>
          <w:b w:val="0"/>
          <w:bCs w:val="0"/>
          <w:sz w:val="32"/>
          <w:szCs w:val="32"/>
          <w:lang w:val="en-US" w:eastAsia="zh-CN"/>
        </w:rPr>
        <w:t>。</w:t>
      </w:r>
    </w:p>
    <w:p>
      <w:pPr>
        <w:pStyle w:val="3"/>
        <w:bidi w:val="0"/>
        <w:rPr>
          <w:rFonts w:hint="eastAsia"/>
        </w:rPr>
      </w:pPr>
      <w:bookmarkStart w:id="7" w:name="_Toc23653"/>
      <w:r>
        <w:rPr>
          <w:rFonts w:hint="eastAsia"/>
          <w:lang w:val="en-US" w:eastAsia="zh-CN"/>
        </w:rPr>
        <w:t>四、财政拨款收支预算情况说明</w:t>
      </w:r>
      <w:bookmarkEnd w:id="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highlight w:val="red"/>
          <w:lang w:val="en-US" w:eastAsia="zh-CN"/>
        </w:rPr>
      </w:pPr>
      <w:r>
        <w:rPr>
          <w:rFonts w:hint="eastAsia" w:ascii="仿宋" w:hAnsi="仿宋" w:eastAsia="仿宋" w:cs="仿宋"/>
          <w:sz w:val="32"/>
          <w:szCs w:val="32"/>
          <w:lang w:val="en-US" w:eastAsia="zh-CN"/>
        </w:rPr>
        <w:t>广元市林业局2024年财政拨款收支预算总数3663.74万元，比2023年财政拨款收支预算总数增加232.36万元，主要原因是项目经费增加。</w:t>
      </w: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 xml:space="preserve"> </w:t>
      </w:r>
      <w:r>
        <w:rPr>
          <w:rFonts w:hint="eastAsia" w:ascii="仿宋" w:hAnsi="仿宋" w:eastAsia="仿宋" w:cs="仿宋"/>
          <w:sz w:val="32"/>
          <w:szCs w:val="32"/>
          <w:lang w:val="en-US" w:eastAsia="zh-CN"/>
        </w:rPr>
        <w:t>收入包括：本年一般公共预算拨款收入</w:t>
      </w:r>
      <w:r>
        <w:rPr>
          <w:rFonts w:hint="default" w:ascii="仿宋" w:hAnsi="仿宋" w:eastAsia="仿宋" w:cs="仿宋"/>
          <w:sz w:val="32"/>
          <w:szCs w:val="32"/>
          <w:lang w:val="en-US" w:eastAsia="zh-CN"/>
        </w:rPr>
        <w:t>3663.74</w:t>
      </w:r>
      <w:r>
        <w:rPr>
          <w:rFonts w:hint="eastAsia" w:ascii="仿宋" w:hAnsi="仿宋" w:eastAsia="仿宋" w:cs="仿宋"/>
          <w:sz w:val="32"/>
          <w:szCs w:val="32"/>
          <w:lang w:val="en-US" w:eastAsia="zh-CN"/>
        </w:rPr>
        <w:t>万元；支出包括：社会保障和就业支出</w:t>
      </w:r>
      <w:r>
        <w:rPr>
          <w:rFonts w:hint="default" w:ascii="仿宋" w:hAnsi="仿宋" w:eastAsia="仿宋" w:cs="仿宋"/>
          <w:sz w:val="32"/>
          <w:szCs w:val="32"/>
          <w:lang w:val="en-US" w:eastAsia="zh-CN"/>
        </w:rPr>
        <w:t>539.53</w:t>
      </w:r>
      <w:r>
        <w:rPr>
          <w:rFonts w:hint="eastAsia" w:ascii="仿宋" w:hAnsi="仿宋" w:eastAsia="仿宋" w:cs="仿宋"/>
          <w:sz w:val="32"/>
          <w:szCs w:val="32"/>
          <w:lang w:val="en-US" w:eastAsia="zh-CN"/>
        </w:rPr>
        <w:t>万元、卫生健康支出</w:t>
      </w:r>
      <w:r>
        <w:rPr>
          <w:rFonts w:hint="default" w:ascii="仿宋" w:hAnsi="仿宋" w:eastAsia="仿宋" w:cs="仿宋"/>
          <w:sz w:val="32"/>
          <w:szCs w:val="32"/>
          <w:lang w:val="en-US" w:eastAsia="zh-CN"/>
        </w:rPr>
        <w:t>99</w:t>
      </w:r>
      <w:r>
        <w:rPr>
          <w:rFonts w:hint="eastAsia" w:ascii="仿宋" w:hAnsi="仿宋" w:eastAsia="仿宋" w:cs="仿宋"/>
          <w:sz w:val="32"/>
          <w:szCs w:val="32"/>
          <w:lang w:val="en-US" w:eastAsia="zh-CN"/>
        </w:rPr>
        <w:t>万元、农林水支出2767.6万元、住房保障支出257.62万元</w:t>
      </w:r>
    </w:p>
    <w:p>
      <w:pPr>
        <w:pStyle w:val="3"/>
        <w:bidi w:val="0"/>
        <w:rPr>
          <w:rFonts w:hint="eastAsia"/>
          <w:lang w:val="en-US" w:eastAsia="zh-CN"/>
        </w:rPr>
      </w:pPr>
      <w:bookmarkStart w:id="8" w:name="_Toc17909"/>
      <w:r>
        <w:rPr>
          <w:rFonts w:hint="eastAsia"/>
          <w:lang w:val="en-US" w:eastAsia="zh-CN"/>
        </w:rPr>
        <w:t>五、一般公共预算当年拨款情况说明</w:t>
      </w:r>
      <w:bookmarkEnd w:id="8"/>
    </w:p>
    <w:p>
      <w:pPr>
        <w:pStyle w:val="4"/>
        <w:bidi w:val="0"/>
        <w:rPr>
          <w:rFonts w:hint="eastAsia"/>
          <w:lang w:val="en-US" w:eastAsia="zh-CN"/>
        </w:rPr>
      </w:pPr>
      <w:bookmarkStart w:id="9" w:name="_Toc17923"/>
      <w:r>
        <w:rPr>
          <w:rFonts w:hint="eastAsia"/>
          <w:lang w:val="en-US" w:eastAsia="zh-CN"/>
        </w:rPr>
        <w:t>（一）一般公共预算当年拨款规模变化情况</w:t>
      </w:r>
      <w:bookmarkEnd w:id="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广元市林业局2024年一般公共预算当年拨款3663.74万元，比2023年预算数增加232.36万元，主要原因是项目经费增加。</w:t>
      </w:r>
    </w:p>
    <w:p>
      <w:pPr>
        <w:pStyle w:val="4"/>
        <w:bidi w:val="0"/>
        <w:rPr>
          <w:rFonts w:hint="eastAsia"/>
          <w:lang w:val="en-US" w:eastAsia="zh-CN"/>
        </w:rPr>
      </w:pPr>
      <w:bookmarkStart w:id="10" w:name="_Toc20685"/>
      <w:r>
        <w:rPr>
          <w:rFonts w:hint="eastAsia"/>
          <w:lang w:val="en-US" w:eastAsia="zh-CN"/>
        </w:rPr>
        <w:t>（二）一般公共预算当年拨款结构情况</w:t>
      </w:r>
      <w:bookmarkEnd w:id="1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社会保障和就业支出539.53万元，占14.73%；卫生健康支出99万元，占2.7%；农林水支出2767.6万元，占75.54%；住房保障支出257.62万元，占7.03%。</w:t>
      </w:r>
    </w:p>
    <w:p>
      <w:pPr>
        <w:pStyle w:val="4"/>
        <w:bidi w:val="0"/>
        <w:rPr>
          <w:rFonts w:hint="eastAsia"/>
          <w:lang w:val="en-US" w:eastAsia="zh-CN"/>
        </w:rPr>
      </w:pPr>
      <w:bookmarkStart w:id="11" w:name="_Toc3074"/>
      <w:r>
        <w:rPr>
          <w:rFonts w:hint="eastAsia"/>
          <w:lang w:val="en-US" w:eastAsia="zh-CN"/>
        </w:rPr>
        <w:t>（三）一般公共预算当年拨款具体使用情况</w:t>
      </w:r>
      <w:bookmarkEnd w:id="1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1.社会保障和就业（类）行政事业单位养老支出（款）行政单位离退休（项）2024年预算数为191.52万元，主要用于：行政单位（包括实行公务员管理的事业单位）开支的离退休经费。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2.社会保障和就业（类）行政事业单位养老支出（款）事业单位离退休（项）2024年预算数为35.28万元，主要用于：事业单位离退休人员经费支出。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3.社会保障和就业（类）行政事业单位养老支出（款）机关事业单位基本养老保险缴费支出（项）2024年预算数为304.23万元，主要用于：机关事业单位实施养老保险制度由单位缴纳的基本养老保险支出。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4.社会保障和就业（类）其他社会保障和就业支出（款）其他社会保障和就业支出（项）2024年预算数为8.49万元，主要用于：除上述项目以外其他用于社会保障和就业方面的支出。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5.行政单位医疗（类）行政事业单位医疗（款）行政单位医疗（项）2024年预算数为70.51万元，主要用于：财政部门安排的行政单位（包括实行公务员管理的事业单位，下同）基本医疗保险缴费经费，未参加医疗保险的行政单位的医疗经费，按国家规定享受离休人员、红军老战士待遇人员的医疗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6.行政单位医疗（类）行政事业单位医疗（款）事业单位医疗（项）2024年预算数为28.49万元，主要用于：财政部门安排的事业单位基本医疗保险缴费经费，未参加医疗保险的事业单位的医疗经费，按国家规定享受离休人员、红军老战士待遇人员的医疗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7.农林水（类）农业农村（款）一般行政管理事务（项）2024年预算数为51.28万元，主要用于：行政单位（包括实行公务员管理的事业单位）未单独设置顶级科目的其他项目支出。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sz w:val="32"/>
          <w:szCs w:val="32"/>
          <w:lang w:val="en-US" w:eastAsia="zh-CN"/>
        </w:rPr>
        <w:t>8.农林水（类）林业和草原（</w:t>
      </w:r>
      <w:r>
        <w:rPr>
          <w:rFonts w:hint="eastAsia" w:ascii="仿宋" w:hAnsi="仿宋" w:eastAsia="仿宋" w:cs="仿宋"/>
          <w:color w:val="auto"/>
          <w:sz w:val="32"/>
          <w:szCs w:val="32"/>
          <w:lang w:val="en-US" w:eastAsia="zh-CN"/>
        </w:rPr>
        <w:t>款）行政运行（项）2024年预算数为595.33万元，主要用于：行政单位（包括实行公务员管理的事业单位）基本支出。</w:t>
      </w:r>
    </w:p>
    <w:p>
      <w:pPr>
        <w:keepNext w:val="0"/>
        <w:keepLines w:val="0"/>
        <w:pageBreakBefore w:val="0"/>
        <w:widowControl w:val="0"/>
        <w:kinsoku/>
        <w:wordWrap/>
        <w:overflowPunct/>
        <w:topLinePunct w:val="0"/>
        <w:autoSpaceDE/>
        <w:autoSpaceDN/>
        <w:bidi w:val="0"/>
        <w:adjustRightInd/>
        <w:snapToGrid/>
        <w:spacing w:line="576" w:lineRule="exact"/>
        <w:ind w:firstLine="420" w:firstLineChars="200"/>
        <w:textAlignment w:val="auto"/>
        <w:rPr>
          <w:rFonts w:hint="eastAsia" w:ascii="仿宋" w:hAnsi="仿宋" w:eastAsia="仿宋" w:cs="仿宋"/>
          <w:sz w:val="32"/>
          <w:szCs w:val="32"/>
          <w:lang w:val="en-US" w:eastAsia="zh-CN"/>
        </w:rPr>
      </w:pPr>
      <w:r>
        <w:rPr>
          <w:rFonts w:hint="eastAsia"/>
          <w:lang w:val="en-US" w:eastAsia="zh-CN"/>
        </w:rPr>
        <w:t xml:space="preserve">  </w:t>
      </w:r>
      <w:r>
        <w:rPr>
          <w:rFonts w:hint="eastAsia" w:ascii="仿宋" w:hAnsi="仿宋" w:eastAsia="仿宋" w:cs="仿宋"/>
          <w:sz w:val="32"/>
          <w:szCs w:val="32"/>
          <w:lang w:val="en-US" w:eastAsia="zh-CN"/>
        </w:rPr>
        <w:t>9.农林水（类）林业和草原（款</w:t>
      </w:r>
      <w:r>
        <w:rPr>
          <w:rFonts w:hint="eastAsia" w:ascii="仿宋" w:hAnsi="仿宋" w:eastAsia="仿宋" w:cs="仿宋"/>
          <w:color w:val="auto"/>
          <w:sz w:val="32"/>
          <w:szCs w:val="32"/>
          <w:lang w:val="en-US" w:eastAsia="zh-CN"/>
        </w:rPr>
        <w:t>） 一般行政管理事务（项）2024年预算数为126.92万元，主要用于：行政单</w:t>
      </w:r>
      <w:r>
        <w:rPr>
          <w:rFonts w:hint="eastAsia" w:ascii="仿宋" w:hAnsi="仿宋" w:eastAsia="仿宋" w:cs="仿宋"/>
          <w:sz w:val="32"/>
          <w:szCs w:val="32"/>
          <w:lang w:val="en-US" w:eastAsia="zh-CN"/>
        </w:rPr>
        <w:t>位（包括实行公务员管理的事业单位）未单独设置顶级科目的其他项目支出。</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10.农林水（类）林业和草原（款） 事业机构（项）2024年预算数为1862.44万元，主要用于：事业单位的基本支出，不包括行政单位（含实行公务员管理的事业单位）后勤中心等附属事业单位的支出。   </w:t>
      </w:r>
    </w:p>
    <w:p>
      <w:pPr>
        <w:keepNext w:val="0"/>
        <w:keepLines w:val="0"/>
        <w:pageBreakBefore w:val="0"/>
        <w:widowControl w:val="0"/>
        <w:kinsoku/>
        <w:wordWrap/>
        <w:overflowPunct/>
        <w:topLinePunct w:val="0"/>
        <w:autoSpaceDE/>
        <w:autoSpaceDN/>
        <w:bidi w:val="0"/>
        <w:adjustRightInd/>
        <w:snapToGrid/>
        <w:spacing w:line="576" w:lineRule="exact"/>
        <w:ind w:firstLine="64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11.农林水（类）林业和草原（款）技术推广与转化（项）2024年预算数为60万元，主要用于：良种繁育、新技术引进、区域化试验、示范、技术推广、成果转化、科学普及等方面的支出。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12.农林水（类）林业和草原（款）林业草原防灾减灾（项）2024年预算数为61.23万元，主要用于：病虫害等有害生物灾害、森林草原防火、野生动物疫病灾害等方面的支出。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13.农林水（类）林业和草原（款）其他林业和草原支出（项）2024年预算数为10.4万元，主要用于：除上述项目以外用于林业和草原方面的支出。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14.住房保障（类）住房改革支出（款）住房公积金（项）2024年预算数为257.62万元，主要用于：行政事业单位按人力资源和社会保障部、财政部规定的基本工资和津贴补贴以及规定比例为职工缴纳的住房公积金。</w:t>
      </w:r>
    </w:p>
    <w:p>
      <w:pPr>
        <w:pStyle w:val="3"/>
        <w:bidi w:val="0"/>
        <w:rPr>
          <w:rFonts w:hint="eastAsia"/>
          <w:lang w:val="en-US" w:eastAsia="zh-CN"/>
        </w:rPr>
      </w:pPr>
      <w:bookmarkStart w:id="12" w:name="_Toc4699"/>
      <w:r>
        <w:rPr>
          <w:rFonts w:hint="eastAsia"/>
          <w:lang w:val="en-US" w:eastAsia="zh-CN"/>
        </w:rPr>
        <w:t>六、一般公共预算基本支出情况说明</w:t>
      </w:r>
      <w:bookmarkEnd w:id="1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广元市林业局2024年一般公共预算基本支出3350.27万元，其中：</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人员经费2966.40万元，主要包括：基本工资、津贴补贴、奖金、绩效工资、机关事业单位基本养老保险缴费、职工基本医疗保险缴费、其他社会保障缴费、住房公积金、生活补助等支出。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公用经费383.87万元，主要包括：办公费、印刷费、咨询费、水费、电费、手续费、邮电费、物业管理费、差旅费、维修（护）费、会议费、租赁费、培训费、公务接待费、专用材料费、劳务费、委托业务费、工会经费、福利费、公务用车运行维护费、其他交通费用、其他商品和服务支出等支出。</w:t>
      </w:r>
    </w:p>
    <w:p>
      <w:pPr>
        <w:pStyle w:val="3"/>
        <w:bidi w:val="0"/>
        <w:rPr>
          <w:rFonts w:hint="eastAsia"/>
          <w:lang w:val="en-US" w:eastAsia="zh-CN"/>
        </w:rPr>
      </w:pPr>
      <w:bookmarkStart w:id="13" w:name="_Toc14170"/>
      <w:r>
        <w:rPr>
          <w:rFonts w:hint="eastAsia"/>
          <w:lang w:val="en-US" w:eastAsia="zh-CN"/>
        </w:rPr>
        <w:t>七、“三公”经费财政拨款预算安排情况说明</w:t>
      </w:r>
      <w:bookmarkEnd w:id="1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广元市林业局2024年“三公”经费财政拨款预算数43.97万元，其中：公务接待费4.57万元，公务用车购置及运行维护费39.4万元，因公出国（境）经费0万元。</w:t>
      </w:r>
    </w:p>
    <w:p>
      <w:pPr>
        <w:pStyle w:val="4"/>
        <w:bidi w:val="0"/>
        <w:rPr>
          <w:rFonts w:hint="eastAsia"/>
          <w:lang w:val="en-US" w:eastAsia="zh-CN"/>
        </w:rPr>
      </w:pPr>
      <w:bookmarkStart w:id="14" w:name="_Toc16493"/>
      <w:r>
        <w:rPr>
          <w:rFonts w:hint="eastAsia"/>
          <w:lang w:val="en-US" w:eastAsia="zh-CN"/>
        </w:rPr>
        <w:t>（一）公务接待费</w:t>
      </w:r>
      <w:bookmarkEnd w:id="1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公务接待费与2023年预算相比下降0.11万元，主要原因是严格执行中央“八项”规定，加强管理，厉行节约。</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2024年公务接待费计划用于执行接待考察调研、检查指导等公务活动开支的交通费、住宿费、用餐费等。</w:t>
      </w:r>
    </w:p>
    <w:p>
      <w:pPr>
        <w:pStyle w:val="4"/>
        <w:bidi w:val="0"/>
        <w:rPr>
          <w:rFonts w:hint="eastAsia"/>
          <w:lang w:val="en-US" w:eastAsia="zh-CN"/>
        </w:rPr>
      </w:pPr>
      <w:bookmarkStart w:id="15" w:name="_Toc7280"/>
      <w:r>
        <w:rPr>
          <w:rFonts w:hint="eastAsia"/>
          <w:lang w:val="en-US" w:eastAsia="zh-CN"/>
        </w:rPr>
        <w:t>（二）公务用车购置及运行维护费</w:t>
      </w:r>
      <w:bookmarkEnd w:id="1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公务用车购置及运行维护费与2023年预算相比下降0.4万元，主要原因是严格执行中央“八项”规定，加强管理，厉行节约。</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单位现有公务用车12辆，其中：一般执法执勤用车3辆、应急保障用车3辆、特种专业技术用车6辆。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2024年无公务用车购置费。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2024年安排公务用车运行维护费39.4万元，用于12辆公务用车燃油、过路（桥）、维修、保险等方面支出，主要保障单位工作顺利开展。</w:t>
      </w:r>
    </w:p>
    <w:p>
      <w:pPr>
        <w:pStyle w:val="4"/>
        <w:bidi w:val="0"/>
        <w:rPr>
          <w:rFonts w:hint="eastAsia"/>
          <w:lang w:val="en-US" w:eastAsia="zh-CN"/>
        </w:rPr>
      </w:pPr>
      <w:bookmarkStart w:id="16" w:name="_Toc17506"/>
      <w:r>
        <w:rPr>
          <w:rFonts w:hint="eastAsia"/>
          <w:lang w:val="en-US" w:eastAsia="zh-CN"/>
        </w:rPr>
        <w:t>（三）因公出国（境）经费</w:t>
      </w:r>
      <w:bookmarkEnd w:id="1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因公出国（境）经费与2023年预算持平，未安排预算资金。</w:t>
      </w:r>
    </w:p>
    <w:p>
      <w:pPr>
        <w:pStyle w:val="3"/>
        <w:bidi w:val="0"/>
        <w:rPr>
          <w:rFonts w:hint="eastAsia"/>
          <w:lang w:val="en-US" w:eastAsia="zh-CN"/>
        </w:rPr>
      </w:pPr>
      <w:bookmarkStart w:id="17" w:name="_Toc29580"/>
      <w:r>
        <w:rPr>
          <w:rFonts w:hint="eastAsia"/>
          <w:lang w:val="en-US" w:eastAsia="zh-CN"/>
        </w:rPr>
        <w:t>八、政府性基金预算支出情况说明</w:t>
      </w:r>
      <w:bookmarkEnd w:id="1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广元市林业局2024年无政府性基金预算拨款安排的支出。</w:t>
      </w:r>
    </w:p>
    <w:p>
      <w:pPr>
        <w:pStyle w:val="3"/>
        <w:bidi w:val="0"/>
        <w:rPr>
          <w:rFonts w:hint="eastAsia"/>
          <w:lang w:val="en-US" w:eastAsia="zh-CN"/>
        </w:rPr>
      </w:pPr>
      <w:bookmarkStart w:id="18" w:name="_Toc8250"/>
      <w:r>
        <w:rPr>
          <w:rFonts w:hint="eastAsia"/>
          <w:lang w:val="en-US" w:eastAsia="zh-CN"/>
        </w:rPr>
        <w:t>九、国有资本经营预算支出情况说明</w:t>
      </w:r>
      <w:bookmarkEnd w:id="18"/>
    </w:p>
    <w:p>
      <w:pPr>
        <w:pStyle w:val="3"/>
        <w:bidi w:val="0"/>
        <w:ind w:left="638" w:leftChars="304" w:firstLine="0" w:firstLineChars="0"/>
        <w:rPr>
          <w:rFonts w:hint="eastAsia"/>
          <w:lang w:val="en-US" w:eastAsia="zh-CN"/>
        </w:rPr>
      </w:pPr>
      <w:bookmarkStart w:id="19" w:name="_Toc7715"/>
      <w:r>
        <w:rPr>
          <w:rFonts w:hint="eastAsia" w:ascii="仿宋" w:hAnsi="仿宋" w:eastAsia="仿宋" w:cs="仿宋"/>
          <w:b w:val="0"/>
          <w:color w:val="auto"/>
          <w:kern w:val="2"/>
          <w:sz w:val="32"/>
          <w:szCs w:val="32"/>
          <w:lang w:val="en-US" w:eastAsia="zh-CN" w:bidi="ar-SA"/>
        </w:rPr>
        <w:t>广元市林业局2024年无国有资本经营预算拨款安排的支出</w:t>
      </w:r>
      <w:r>
        <w:rPr>
          <w:rFonts w:hint="eastAsia"/>
          <w:lang w:val="en-US" w:eastAsia="zh-CN"/>
        </w:rPr>
        <w:t>。十、其他重要事项的情况说明</w:t>
      </w:r>
      <w:bookmarkEnd w:id="19"/>
    </w:p>
    <w:p>
      <w:pPr>
        <w:pStyle w:val="4"/>
        <w:bidi w:val="0"/>
        <w:rPr>
          <w:rFonts w:hint="eastAsia"/>
          <w:lang w:val="en-US" w:eastAsia="zh-CN"/>
        </w:rPr>
      </w:pPr>
      <w:bookmarkStart w:id="20" w:name="_Toc16703"/>
      <w:r>
        <w:rPr>
          <w:rFonts w:hint="eastAsia"/>
          <w:lang w:val="en-US" w:eastAsia="zh-CN"/>
        </w:rPr>
        <w:t>（一）机关运行经费</w:t>
      </w:r>
      <w:bookmarkEnd w:id="2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2024年，广元市林业局下属1个行政单位</w:t>
      </w:r>
      <w:bookmarkStart w:id="25" w:name="_GoBack"/>
      <w:bookmarkEnd w:id="25"/>
      <w:r>
        <w:rPr>
          <w:rFonts w:hint="eastAsia" w:ascii="仿宋" w:hAnsi="仿宋" w:eastAsia="仿宋" w:cs="仿宋"/>
          <w:sz w:val="32"/>
          <w:szCs w:val="32"/>
          <w:lang w:val="en-US" w:eastAsia="zh-CN"/>
        </w:rPr>
        <w:t>的机关运行经费财政拨款预算为303.63万元，比2023年预算增加3.15万元，增长1.04%。</w:t>
      </w:r>
    </w:p>
    <w:p>
      <w:pPr>
        <w:pStyle w:val="4"/>
        <w:bidi w:val="0"/>
        <w:rPr>
          <w:rFonts w:hint="eastAsia"/>
          <w:lang w:val="en-US" w:eastAsia="zh-CN"/>
        </w:rPr>
      </w:pPr>
      <w:bookmarkStart w:id="21" w:name="_Toc18257"/>
      <w:r>
        <w:rPr>
          <w:rFonts w:hint="eastAsia"/>
          <w:lang w:val="en-US" w:eastAsia="zh-CN"/>
        </w:rPr>
        <w:t>（二）政府采购情况</w:t>
      </w:r>
      <w:bookmarkEnd w:id="2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2024年，广元市林业局安排政府采购预算0万元。</w:t>
      </w:r>
    </w:p>
    <w:p>
      <w:pPr>
        <w:pStyle w:val="4"/>
        <w:bidi w:val="0"/>
        <w:rPr>
          <w:rFonts w:hint="eastAsia"/>
          <w:lang w:val="en-US" w:eastAsia="zh-CN"/>
        </w:rPr>
      </w:pPr>
      <w:bookmarkStart w:id="22" w:name="_Toc21787"/>
      <w:r>
        <w:rPr>
          <w:rFonts w:hint="eastAsia"/>
          <w:lang w:val="en-US" w:eastAsia="zh-CN"/>
        </w:rPr>
        <w:t>（三）国有资产占有使用情况</w:t>
      </w:r>
      <w:bookmarkEnd w:id="2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截至2023年底，广元市林业局共有车辆12辆，其中：一般执法执勤用车3辆、应急保障用车3辆、特种专业技术用车6辆。单位无价值200万元以上的大型设备。</w:t>
      </w:r>
    </w:p>
    <w:p>
      <w:pPr>
        <w:pStyle w:val="4"/>
        <w:bidi w:val="0"/>
        <w:rPr>
          <w:rFonts w:hint="eastAsia"/>
          <w:lang w:val="en-US" w:eastAsia="zh-CN"/>
        </w:rPr>
      </w:pPr>
      <w:bookmarkStart w:id="23" w:name="_Toc16688"/>
      <w:r>
        <w:rPr>
          <w:rFonts w:hint="eastAsia"/>
          <w:lang w:val="en-US" w:eastAsia="zh-CN"/>
        </w:rPr>
        <w:t>（四）绩效目标设置情况</w:t>
      </w:r>
      <w:bookmarkEnd w:id="2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2024年广元市林业局开展绩效目标管理的项目</w:t>
      </w:r>
      <w:r>
        <w:rPr>
          <w:rFonts w:hint="default" w:ascii="仿宋" w:hAnsi="仿宋" w:eastAsia="仿宋" w:cs="仿宋"/>
          <w:sz w:val="32"/>
          <w:szCs w:val="32"/>
          <w:highlight w:val="none"/>
          <w:lang w:eastAsia="zh-CN"/>
        </w:rPr>
        <w:t>46</w:t>
      </w:r>
      <w:r>
        <w:rPr>
          <w:rFonts w:hint="eastAsia" w:ascii="仿宋" w:hAnsi="仿宋" w:eastAsia="仿宋" w:cs="仿宋"/>
          <w:sz w:val="32"/>
          <w:szCs w:val="32"/>
          <w:highlight w:val="none"/>
          <w:lang w:val="en-US" w:eastAsia="zh-CN"/>
        </w:rPr>
        <w:t>个，涉及预算3,663.74万元。其中：人员类项目</w:t>
      </w:r>
      <w:r>
        <w:rPr>
          <w:rFonts w:hint="default" w:ascii="仿宋" w:hAnsi="仿宋" w:eastAsia="仿宋" w:cs="仿宋"/>
          <w:sz w:val="32"/>
          <w:szCs w:val="32"/>
          <w:highlight w:val="none"/>
          <w:lang w:eastAsia="zh-CN"/>
        </w:rPr>
        <w:t>20</w:t>
      </w:r>
      <w:r>
        <w:rPr>
          <w:rFonts w:hint="eastAsia" w:ascii="仿宋" w:hAnsi="仿宋" w:eastAsia="仿宋" w:cs="仿宋"/>
          <w:sz w:val="32"/>
          <w:szCs w:val="32"/>
          <w:highlight w:val="none"/>
          <w:lang w:val="en-US" w:eastAsia="zh-CN"/>
        </w:rPr>
        <w:t>个，涉及预算2966.4万元；运转类项目</w:t>
      </w:r>
      <w:r>
        <w:rPr>
          <w:rFonts w:hint="default" w:ascii="仿宋" w:hAnsi="仿宋" w:eastAsia="仿宋" w:cs="仿宋"/>
          <w:sz w:val="32"/>
          <w:szCs w:val="32"/>
          <w:highlight w:val="none"/>
          <w:lang w:eastAsia="zh-CN"/>
        </w:rPr>
        <w:t>10</w:t>
      </w:r>
      <w:r>
        <w:rPr>
          <w:rFonts w:hint="eastAsia" w:ascii="仿宋" w:hAnsi="仿宋" w:eastAsia="仿宋" w:cs="仿宋"/>
          <w:sz w:val="32"/>
          <w:szCs w:val="32"/>
          <w:highlight w:val="none"/>
          <w:lang w:val="en-US" w:eastAsia="zh-CN"/>
        </w:rPr>
        <w:t>个，涉及预算383.87万元；特定目标类项目16个，涉及预算313.47万元。</w:t>
      </w:r>
    </w:p>
    <w:p>
      <w:pPr>
        <w:pStyle w:val="3"/>
        <w:bidi w:val="0"/>
        <w:rPr>
          <w:rFonts w:hint="eastAsia"/>
          <w:lang w:val="en-US" w:eastAsia="zh-CN"/>
        </w:rPr>
      </w:pPr>
      <w:bookmarkStart w:id="24" w:name="_Toc7238"/>
      <w:r>
        <w:rPr>
          <w:rFonts w:hint="eastAsia"/>
          <w:lang w:val="en-US" w:eastAsia="zh-CN"/>
        </w:rPr>
        <w:t>十一、名词解释</w:t>
      </w:r>
      <w:bookmarkEnd w:id="24"/>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left="0" w:leftChars="0" w:firstLine="420" w:firstLineChars="0"/>
        <w:textAlignment w:val="auto"/>
        <w:rPr>
          <w:rFonts w:hint="eastAsia" w:ascii="仿宋" w:hAnsi="仿宋" w:eastAsia="仿宋" w:cs="仿宋"/>
          <w:sz w:val="32"/>
          <w:szCs w:val="32"/>
          <w:lang w:val="en-US" w:eastAsia="zh-CN"/>
        </w:rPr>
      </w:pPr>
      <w:r>
        <w:rPr>
          <w:rFonts w:hint="eastAsia" w:ascii="仿宋" w:hAnsi="仿宋" w:eastAsia="仿宋" w:cs="仿宋"/>
          <w:color w:val="auto"/>
          <w:sz w:val="32"/>
          <w:szCs w:val="32"/>
          <w:lang w:val="en-US" w:eastAsia="zh-CN"/>
        </w:rPr>
        <w:t>财</w:t>
      </w:r>
      <w:r>
        <w:rPr>
          <w:rFonts w:hint="eastAsia" w:ascii="仿宋" w:hAnsi="仿宋" w:eastAsia="仿宋" w:cs="仿宋"/>
          <w:sz w:val="32"/>
          <w:szCs w:val="32"/>
          <w:lang w:val="en-US" w:eastAsia="zh-CN"/>
        </w:rPr>
        <w:t>政拨款收入：指市财政当年安排的财政预算收入。按现行管理制度，部门预算中反映的财政拨款包括一般公共预算拨款和政府性基金预算拨款。</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left="0" w:leftChars="0" w:firstLine="420" w:firstLineChars="0"/>
        <w:textAlignment w:val="auto"/>
        <w:rPr>
          <w:rFonts w:hint="eastAsia" w:ascii="仿宋" w:hAnsi="仿宋" w:eastAsia="仿宋" w:cs="仿宋"/>
          <w:sz w:val="32"/>
          <w:szCs w:val="32"/>
          <w:lang w:val="en-US" w:eastAsia="zh-CN"/>
        </w:rPr>
      </w:pPr>
      <w:r>
        <w:rPr>
          <w:rFonts w:hint="eastAsia" w:ascii="仿宋" w:hAnsi="仿宋" w:eastAsia="仿宋" w:cs="仿宋"/>
          <w:color w:val="auto"/>
          <w:sz w:val="32"/>
          <w:szCs w:val="32"/>
          <w:lang w:val="en-US" w:eastAsia="zh-CN"/>
        </w:rPr>
        <w:t>社</w:t>
      </w:r>
      <w:r>
        <w:rPr>
          <w:rFonts w:hint="eastAsia" w:ascii="仿宋" w:hAnsi="仿宋" w:eastAsia="仿宋" w:cs="仿宋"/>
          <w:sz w:val="32"/>
          <w:szCs w:val="32"/>
          <w:lang w:val="en-US" w:eastAsia="zh-CN"/>
        </w:rPr>
        <w:t>会保障和就业（类）行政事业单位养老支出（款）行政单位离退休（项）：指行政单位（包括实行公务员管理的事业单位）开支的离退休经费。</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left="0" w:leftChars="0" w:firstLine="42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社会保障和就业（类）行政事业单位养老支出（款）事业单位离退休（项）指事业单位离退休人员经费支出。</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left="0" w:leftChars="0" w:firstLine="42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社会保障和就业（类）行政事业单位养老支出（款）机关事业单位基本养老保险缴费支出（项）指机关事业单位实施养老保险制度由单位缴纳的基本养老保险支出。</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left="0" w:leftChars="0" w:firstLine="42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社会保障和就业（类）其他社会保障和就业支出（款）其他社会保障和就业支出（项）指除上述项目以外其他用于社会保障和就业方面的支出。</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left="0" w:leftChars="0" w:firstLine="42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行政单位医疗（类）行政事业单位医疗（款）行政单位医疗（项）指财政部门安排的行政单位（包括实行公务员管理的事业单位，下同）基本医疗保险缴费经费，未参加医疗保险的行政单位的医疗经费，按国家规定享受离休人员、红军老战士待遇人员的医疗经费。</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left="0" w:leftChars="0" w:firstLine="420" w:firstLineChars="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行政单位医疗（类）行政事业单位医疗（款）事业单位医疗（项）指财政部门安排的事业单位基本医疗保险缴费经费，未参加医疗保险的事业单位的医疗经费，按国家规定享受离休人员、红军老战士待遇人员的医疗经费。 </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left="0" w:leftChars="0" w:firstLine="420" w:firstLineChars="0"/>
        <w:jc w:val="left"/>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lang w:val="en-US" w:eastAsia="zh-CN"/>
        </w:rPr>
        <w:t>农林水（类）农业农村（款）一般行政管理事务（项）指行政单位（包括实行公务员管理的事业单位）未单独设置顶级</w:t>
      </w:r>
      <w:r>
        <w:rPr>
          <w:rFonts w:hint="eastAsia" w:ascii="仿宋" w:hAnsi="仿宋" w:eastAsia="仿宋" w:cs="仿宋"/>
          <w:sz w:val="32"/>
          <w:szCs w:val="32"/>
          <w:highlight w:val="none"/>
          <w:lang w:val="en-US" w:eastAsia="zh-CN"/>
        </w:rPr>
        <w:t>科目的其他项目支出。</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left="0" w:leftChars="0" w:firstLine="420" w:firstLineChars="0"/>
        <w:jc w:val="left"/>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农林水（类）林业和草原（款）行政运行（项）指行政单位（ 包括实行公务员管理的事业单位）的基本支出。</w:t>
      </w:r>
    </w:p>
    <w:p>
      <w:pPr>
        <w:pStyle w:val="2"/>
        <w:numPr>
          <w:ilvl w:val="0"/>
          <w:numId w:val="1"/>
        </w:numPr>
        <w:ind w:left="0" w:leftChars="0" w:firstLine="420" w:firstLineChars="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农林水（类）林业和草原（款）一般行政管理事务（项）指行政单位（包括实行公务员管理的事业单位）基本支出。</w:t>
      </w:r>
    </w:p>
    <w:p>
      <w:pPr>
        <w:pStyle w:val="2"/>
        <w:numPr>
          <w:ilvl w:val="0"/>
          <w:numId w:val="1"/>
        </w:numPr>
        <w:ind w:left="0" w:leftChars="0" w:firstLine="420" w:firstLineChars="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农林水（类）林业和草原（款） 事业机构（项）指事业单位的基本支出，不包括行政单位（含实行公务员管理的事业单位）后勤服务中心等附属事业单位的支出。</w:t>
      </w:r>
    </w:p>
    <w:p>
      <w:pPr>
        <w:pStyle w:val="2"/>
        <w:numPr>
          <w:ilvl w:val="0"/>
          <w:numId w:val="1"/>
        </w:numPr>
        <w:ind w:left="0" w:leftChars="0" w:firstLine="420" w:firstLine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农林水（类）林业和草原（款）技术推广与转化（项）指良种繁育、新技术引进、区域化试验、示范、技术推广、成果转化、科学普及等方面的支出。   </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left="0" w:leftChars="0" w:firstLine="42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农林水（类）林业和草原（款）林业草原防灾减灾（项）指病虫害等有害生物灾害、森林草原防火、野生动物疫病灾害等方面的支出。</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left="0" w:leftChars="0" w:firstLine="42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农林水（类）林业和草原（款）其他林业和草原支出（项）指除上述项目以外用于林业和草原方面的支出。</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left="0" w:leftChars="0" w:firstLine="42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住房保障（类）住房改革支出（款）住房公积金（项）指行政事业单位按人力资源和社会保障部、财政部规定的基本工资和津贴补贴以及规定比例为职工缴纳的住房公积金。</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left="0" w:leftChars="0" w:firstLine="42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基本支出：指为保证机构正常运转，完成日常工作任务而发生的人员支出和公用支出。</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left="0" w:leftChars="0" w:firstLine="42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项目支出：指在基本支出之外为完成特定行政任务和事业发展目标所发生的支出。</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left="0" w:leftChars="0" w:firstLine="42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公”经费：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left="0" w:leftChars="0" w:firstLine="42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机关运行经费：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b/>
          <w:bCs/>
          <w:sz w:val="32"/>
          <w:szCs w:val="32"/>
          <w:lang w:eastAsia="zh-CN"/>
        </w:rPr>
      </w:pPr>
      <w:r>
        <w:rPr>
          <w:rFonts w:hint="eastAsia" w:ascii="仿宋" w:hAnsi="仿宋" w:eastAsia="仿宋" w:cs="仿宋"/>
          <w:sz w:val="32"/>
          <w:szCs w:val="32"/>
          <w:lang w:val="en-US" w:eastAsia="zh-CN"/>
        </w:rPr>
        <w:t>附件：部门预算公开表</w:t>
      </w:r>
    </w:p>
    <w:sectPr>
      <w:footerReference r:id="rId4" w:type="default"/>
      <w:pgSz w:w="11906" w:h="16838"/>
      <w:pgMar w:top="2098" w:right="1474" w:bottom="1984" w:left="1587" w:header="720" w:footer="1559"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swiss"/>
    <w:pitch w:val="default"/>
    <w:sig w:usb0="00000000" w:usb1="00000000" w:usb2="00000001" w:usb3="00000000" w:csb0="0000019F" w:csb1="00000000"/>
  </w:font>
  <w:font w:name="Lucida Sans">
    <w:panose1 w:val="020B0602030504020204"/>
    <w:charset w:val="00"/>
    <w:family w:val="auto"/>
    <w:pitch w:val="default"/>
    <w:sig w:usb0="00000000" w:usb1="00000000" w:usb2="00000000" w:usb3="00000000" w:csb0="00003F00" w:csb1="01000000"/>
  </w:font>
  <w:font w:name="楷体">
    <w:altName w:val="方正楷体_GBK"/>
    <w:panose1 w:val="02010609060101010101"/>
    <w:charset w:val="86"/>
    <w:family w:val="auto"/>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Liberation Sans">
    <w:panose1 w:val="020B0604020202020204"/>
    <w:charset w:val="00"/>
    <w:family w:val="swiss"/>
    <w:pitch w:val="default"/>
    <w:sig w:usb0="A00002AF" w:usb1="500078FB" w:usb2="00000000" w:usb3="00000000" w:csb0="6000009F" w:csb1="DFD70000"/>
  </w:font>
  <w:font w:name="Noto Sans CJK SC Regular">
    <w:panose1 w:val="020B0500000000000000"/>
    <w:charset w:val="86"/>
    <w:family w:val="auto"/>
    <w:pitch w:val="default"/>
    <w:sig w:usb0="30000003" w:usb1="2BDF3C10" w:usb2="00000016" w:usb3="00000000" w:csb0="602E0107" w:csb1="00000000"/>
  </w:font>
  <w:font w:name="仿宋">
    <w:altName w:val="宋体"/>
    <w:panose1 w:val="02010609060101010101"/>
    <w:charset w:val="86"/>
    <w:family w:val="auto"/>
    <w:pitch w:val="default"/>
    <w:sig w:usb0="00000000" w:usb1="00000000" w:usb2="00000016" w:usb3="00000000" w:csb0="00040001" w:csb1="00000000"/>
  </w:font>
  <w:font w:name="Comic Sans MS">
    <w:panose1 w:val="030F0702030302020204"/>
    <w:charset w:val="00"/>
    <w:family w:val="auto"/>
    <w:pitch w:val="default"/>
    <w:sig w:usb0="00000287" w:usb1="00000000" w:usb2="00000000" w:usb3="00000000" w:csb0="2000009F" w:csb1="00000000"/>
  </w:font>
  <w:font w:name="微软雅黑">
    <w:altName w:val="黑体"/>
    <w:panose1 w:val="00000000000000000000"/>
    <w:charset w:val="00"/>
    <w:family w:val="auto"/>
    <w:pitch w:val="default"/>
    <w:sig w:usb0="00000000" w:usb1="00000000" w:usb2="00000000" w:usb3="00000000" w:csb0="00000000" w:csb1="00000000"/>
  </w:font>
  <w:font w:name="Tahoma">
    <w:panose1 w:val="020B0604030504040204"/>
    <w:charset w:val="00"/>
    <w:family w:val="auto"/>
    <w:pitch w:val="default"/>
    <w:sig w:usb0="61007A87" w:usb1="80000000" w:usb2="00000008"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BYAAABkcnMvUEsBAhQAFAAAAAgAh07iQM6p&#10;ebnPAAAABQEAAA8AAAAAAAAAAQAgAAAAOAAAAGRycy9kb3ducmV2LnhtbFBLAQIUABQAAAAIAIdO&#10;4kBteV5o3QEAAL4DAAAOAAAAAAAAAAEAIAAAADQBAABkcnMvZTJvRG9jLnhtbFBLBQYAAAAABgAG&#10;AFkBAACDBQAAAAA=&#10;">
              <v:fill on="f" focussize="0,0"/>
              <v:stroke on="f"/>
              <v:imagedata o:title=""/>
              <o:lock v:ext="edit" aspectratio="f"/>
              <v:textbox inset="0mm,0mm,0mm,0mm" style="mso-fit-shape-to-text:t;">
                <w:txbxContent>
                  <w:p>
                    <w:pPr>
                      <w:pStyle w:val="6"/>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BYAAABkcnMvUEsBAhQAFAAAAAgAh07iQM6p&#10;ebnPAAAABQEAAA8AAAAAAAAAAQAgAAAAOAAAAGRycy9kb3ducmV2LnhtbFBLAQIUABQAAAAIAIdO&#10;4kCzG+uQ3QEAAL4DAAAOAAAAAAAAAAEAIAAAADQBAABkcnMvZTJvRG9jLnhtbFBLBQYAAAAABgAG&#10;AFkBAACDBQAAAAA=&#10;">
              <v:fill on="f" focussize="0,0"/>
              <v:stroke on="f"/>
              <v:imagedata o:title=""/>
              <o:lock v:ext="edit" aspectratio="f"/>
              <v:textbox inset="0mm,0mm,0mm,0mm" style="mso-fit-shape-to-text:t;">
                <w:txbxContent>
                  <w:p>
                    <w:pPr>
                      <w:pStyle w:val="6"/>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0493E6"/>
    <w:multiLevelType w:val="singleLevel"/>
    <w:tmpl w:val="6C0493E6"/>
    <w:lvl w:ilvl="0" w:tentative="0">
      <w:start w:val="1"/>
      <w:numFmt w:val="chineseCounting"/>
      <w:suff w:val="nothing"/>
      <w:lvlText w:val="（%1）"/>
      <w:lvlJc w:val="left"/>
      <w:pPr>
        <w:ind w:left="0"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00000000"/>
    <w:rsid w:val="000E378F"/>
    <w:rsid w:val="012352D1"/>
    <w:rsid w:val="03663821"/>
    <w:rsid w:val="087255EB"/>
    <w:rsid w:val="0C396719"/>
    <w:rsid w:val="118D7096"/>
    <w:rsid w:val="1511433D"/>
    <w:rsid w:val="152F26A1"/>
    <w:rsid w:val="15602403"/>
    <w:rsid w:val="16A32F0F"/>
    <w:rsid w:val="1D9F113A"/>
    <w:rsid w:val="1F7BF06F"/>
    <w:rsid w:val="1FEE4B73"/>
    <w:rsid w:val="23CE9849"/>
    <w:rsid w:val="26353473"/>
    <w:rsid w:val="28B34B9C"/>
    <w:rsid w:val="2E2F6981"/>
    <w:rsid w:val="310D559B"/>
    <w:rsid w:val="31DF2824"/>
    <w:rsid w:val="32FD0C50"/>
    <w:rsid w:val="372799D5"/>
    <w:rsid w:val="384A3AAA"/>
    <w:rsid w:val="39F304DD"/>
    <w:rsid w:val="3BBC396B"/>
    <w:rsid w:val="3E614803"/>
    <w:rsid w:val="43177142"/>
    <w:rsid w:val="4D0A6BDC"/>
    <w:rsid w:val="51DB771F"/>
    <w:rsid w:val="52AE6D35"/>
    <w:rsid w:val="54244390"/>
    <w:rsid w:val="54662A63"/>
    <w:rsid w:val="58064E12"/>
    <w:rsid w:val="58126F23"/>
    <w:rsid w:val="595705B9"/>
    <w:rsid w:val="596F1A62"/>
    <w:rsid w:val="5BFEE015"/>
    <w:rsid w:val="63EDCF55"/>
    <w:rsid w:val="63FBFBCF"/>
    <w:rsid w:val="663E1DB3"/>
    <w:rsid w:val="669360FD"/>
    <w:rsid w:val="68FF6A83"/>
    <w:rsid w:val="6AEF6005"/>
    <w:rsid w:val="6E3DB48E"/>
    <w:rsid w:val="6FBBC9CF"/>
    <w:rsid w:val="72BDE561"/>
    <w:rsid w:val="78462278"/>
    <w:rsid w:val="7997EA6C"/>
    <w:rsid w:val="7AEAE675"/>
    <w:rsid w:val="7BAFCE5D"/>
    <w:rsid w:val="7D46598C"/>
    <w:rsid w:val="7D9F8F0F"/>
    <w:rsid w:val="7DFB240B"/>
    <w:rsid w:val="7DFE05E7"/>
    <w:rsid w:val="7E0935ED"/>
    <w:rsid w:val="7FCF2AF7"/>
    <w:rsid w:val="7FE456B0"/>
    <w:rsid w:val="7FEE7F89"/>
    <w:rsid w:val="7FFBBB54"/>
    <w:rsid w:val="9FEF033D"/>
    <w:rsid w:val="A27FF1E5"/>
    <w:rsid w:val="AF3FEDDD"/>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88D0DC7"/>
    <w:rsid w:val="FAE4EFE1"/>
    <w:rsid w:val="FB9B6F12"/>
    <w:rsid w:val="FBB66A4A"/>
    <w:rsid w:val="FDEE6989"/>
    <w:rsid w:val="FF5E7DB8"/>
    <w:rsid w:val="FF77E367"/>
    <w:rsid w:val="FFD576EB"/>
    <w:rsid w:val="FFDB1578"/>
    <w:rsid w:val="FFFADE43"/>
    <w:rsid w:val="FFFBE8B7"/>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paragraph" w:styleId="3">
    <w:name w:val="heading 1"/>
    <w:basedOn w:val="1"/>
    <w:next w:val="1"/>
    <w:qFormat/>
    <w:uiPriority w:val="0"/>
    <w:pPr>
      <w:keepNext/>
      <w:keepLines/>
      <w:spacing w:line="560" w:lineRule="exact"/>
      <w:ind w:firstLine="880" w:firstLineChars="200"/>
      <w:outlineLvl w:val="0"/>
    </w:pPr>
    <w:rPr>
      <w:rFonts w:ascii="Times New Roman" w:hAnsi="Times New Roman" w:eastAsia="黑体" w:cs="Times New Roman"/>
      <w:kern w:val="44"/>
      <w:sz w:val="32"/>
      <w:szCs w:val="22"/>
    </w:rPr>
  </w:style>
  <w:style w:type="paragraph" w:styleId="4">
    <w:name w:val="heading 2"/>
    <w:basedOn w:val="1"/>
    <w:next w:val="1"/>
    <w:unhideWhenUsed/>
    <w:qFormat/>
    <w:uiPriority w:val="0"/>
    <w:pPr>
      <w:keepNext/>
      <w:keepLines/>
      <w:spacing w:line="560" w:lineRule="exact"/>
      <w:ind w:firstLine="880" w:firstLineChars="200"/>
      <w:jc w:val="left"/>
      <w:outlineLvl w:val="1"/>
    </w:pPr>
    <w:rPr>
      <w:rFonts w:ascii="Arial" w:hAnsi="Arial" w:eastAsia="楷体" w:cs="Times New Roman"/>
      <w:bCs/>
      <w:sz w:val="32"/>
      <w:szCs w:val="32"/>
    </w:rPr>
  </w:style>
  <w:style w:type="character" w:default="1" w:styleId="13">
    <w:name w:val="Default Paragraph Font"/>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before="0" w:after="140" w:line="276" w:lineRule="auto"/>
    </w:pPr>
  </w:style>
  <w:style w:type="paragraph" w:styleId="5">
    <w:name w:val="caption"/>
    <w:basedOn w:val="1"/>
    <w:next w:val="1"/>
    <w:qFormat/>
    <w:uiPriority w:val="0"/>
    <w:pPr>
      <w:widowControl w:val="0"/>
      <w:suppressLineNumbers/>
      <w:suppressAutoHyphens/>
      <w:spacing w:before="120" w:after="120"/>
    </w:pPr>
    <w:rPr>
      <w:i/>
      <w:iCs/>
      <w:sz w:val="24"/>
      <w:szCs w:val="24"/>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oc 1"/>
    <w:basedOn w:val="1"/>
    <w:next w:val="1"/>
    <w:qFormat/>
    <w:uiPriority w:val="0"/>
  </w:style>
  <w:style w:type="paragraph" w:styleId="9">
    <w:name w:val="List"/>
    <w:basedOn w:val="2"/>
    <w:qFormat/>
    <w:uiPriority w:val="0"/>
  </w:style>
  <w:style w:type="paragraph" w:styleId="10">
    <w:name w:val="toc 2"/>
    <w:basedOn w:val="1"/>
    <w:next w:val="1"/>
    <w:qFormat/>
    <w:uiPriority w:val="0"/>
    <w:pPr>
      <w:ind w:left="420" w:leftChars="200"/>
    </w:pPr>
  </w:style>
  <w:style w:type="paragraph" w:styleId="11">
    <w:name w:val="Normal (Web)"/>
    <w:basedOn w:val="1"/>
    <w:qFormat/>
    <w:uiPriority w:val="0"/>
    <w:rPr>
      <w:sz w:val="24"/>
    </w:rPr>
  </w:style>
  <w:style w:type="character" w:customStyle="1" w:styleId="14">
    <w:name w:val="默认段落字体1"/>
    <w:qFormat/>
    <w:uiPriority w:val="0"/>
  </w:style>
  <w:style w:type="paragraph" w:customStyle="1" w:styleId="15">
    <w:name w:val="Heading"/>
    <w:basedOn w:val="1"/>
    <w:next w:val="2"/>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6">
    <w:name w:val="Index"/>
    <w:basedOn w:val="1"/>
    <w:qFormat/>
    <w:uiPriority w:val="0"/>
    <w:pPr>
      <w:widowControl w:val="0"/>
      <w:suppressLineNumbers/>
      <w:suppressAutoHyphens/>
    </w:pPr>
  </w:style>
  <w:style w:type="paragraph" w:customStyle="1" w:styleId="17">
    <w:name w:val="WPSOffice手动目录 1"/>
    <w:qFormat/>
    <w:uiPriority w:val="0"/>
    <w:pPr>
      <w:ind w:leftChars="0"/>
    </w:pPr>
    <w:rPr>
      <w:rFonts w:ascii="Times New Roman" w:hAnsi="Times New Roman" w:eastAsia="宋体" w:cs="Times New Roman"/>
      <w:sz w:val="20"/>
      <w:szCs w:val="20"/>
    </w:rPr>
  </w:style>
  <w:style w:type="paragraph" w:customStyle="1" w:styleId="18">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2018-11-30T17:47:00Z</dcterms:created>
  <dc:creator>admin</dc:creator>
  <cp:lastModifiedBy> </cp:lastModifiedBy>
  <dcterms:modified xsi:type="dcterms:W3CDTF">2024-02-22T09:57:25Z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2052-11.8.2.1125</vt:lpwstr>
  </property>
  <property fmtid="{D5CDD505-2E9C-101B-9397-08002B2CF9AE}" pid="3" name="ICV">
    <vt:lpwstr>FC179EE3ED7F4AA196BC4FCADF49FAF9_13</vt:lpwstr>
  </property>
</Properties>
</file>