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9"/>
        <w:gridCol w:w="985"/>
        <w:gridCol w:w="1067"/>
        <w:gridCol w:w="3482"/>
        <w:gridCol w:w="1208"/>
        <w:gridCol w:w="1470"/>
        <w:gridCol w:w="1871"/>
        <w:gridCol w:w="773"/>
        <w:gridCol w:w="975"/>
        <w:gridCol w:w="660"/>
        <w:gridCol w:w="752"/>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3" w:hRule="atLeast"/>
          <w:tblHeader/>
          <w:jc w:val="center"/>
        </w:trPr>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单位名称</w:t>
            </w:r>
          </w:p>
        </w:tc>
        <w:tc>
          <w:tcPr>
            <w:tcW w:w="98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项目</w:t>
            </w:r>
          </w:p>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名称</w:t>
            </w:r>
          </w:p>
        </w:tc>
        <w:tc>
          <w:tcPr>
            <w:tcW w:w="106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预算数</w:t>
            </w:r>
          </w:p>
        </w:tc>
        <w:tc>
          <w:tcPr>
            <w:tcW w:w="348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年度目标</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一级指标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二级指标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三级指标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指标性质</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指标值</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度量单位</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权重</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指标</w:t>
            </w:r>
          </w:p>
          <w:p>
            <w:pPr>
              <w:keepNext w:val="0"/>
              <w:keepLines w:val="0"/>
              <w:pageBreakBefore w:val="0"/>
              <w:widowControl w:val="0"/>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rPr>
                <w:rFonts w:hint="default" w:ascii="宋体" w:hAnsi="宋体" w:eastAsia="宋体" w:cs="宋体"/>
                <w:b/>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
                <w:bCs/>
                <w:i w:val="0"/>
                <w:iCs w:val="0"/>
                <w:color w:val="000000" w:themeColor="text1"/>
                <w:sz w:val="20"/>
                <w:szCs w:val="20"/>
                <w:u w:val="none"/>
                <w:lang w:val="en-US" w:eastAsia="zh-CN"/>
                <w14:textFill>
                  <w14:solidFill>
                    <w14:schemeClr w14:val="tx1"/>
                  </w14:solidFill>
                </w14:textFill>
              </w:rPr>
              <w:t>方向性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default" w:ascii="宋体" w:hAnsi="宋体" w:eastAsia="宋体" w:cs="宋体"/>
                <w:i w:val="0"/>
                <w:iCs w:val="0"/>
                <w:color w:val="000000" w:themeColor="text1"/>
                <w:sz w:val="20"/>
                <w:szCs w:val="20"/>
                <w:u w:val="none"/>
                <w:lang w:val="en-US"/>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林长制实施运行</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抓实林长“责任制”、用好考核“指挥棒”、打好宣传“主动仗”，实现林长制从全面建立走向全面见效，以林长制为平台推动全市森林资源保护发展和安全各项工作走在全省前列，持续推进林长制创新试点建设。</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林业有害生物</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成灾率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2.46</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森林覆盖率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57</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督导考核</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宣传资料</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万份</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考察学习</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召开会议</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印刷费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车辆运行费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themeColor="text1"/>
                <w:sz w:val="20"/>
                <w:szCs w:val="20"/>
                <w:u w:val="none"/>
                <w:lang w:val="en-US"/>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考核等次</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合格</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营造全社会共同参与森林资源保护发展安全的浓厚氛围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群众满意度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现代林业产业发展2024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导全市林业产业化经营、产业结构调整。推进全市以核桃、油橄榄、油茶等木本油料为主的林业产业发展，统筹推进森林蔬菜（笋用竹）、林下经济、绿色家居等特色产业，构建完善现代林业产业体系，积极推进“森林粮库”示范市建设，助推全市林业高质量发展。</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召开推进会</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林业园区改造提升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品种改良成活率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林农对发展林业</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产业满意率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专家咨询费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开展林业产业发展督导工作</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核桃初加工厂建设建成投产</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助力全市林业综合产值增加</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亿元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木本油料高截换优</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笋用竹基地建设（管护提升）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现代林业产业发展2024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导全市林业产业化经营、产业结构调整。推进全市以核桃、油橄榄、油茶等木本油料为主的林业产业发展，统筹推进森林蔬菜（笋用竹）、林下经济、绿色家居等特色产业，构建完善现代林业产业体系，积极推进“森林粮库”示范市建设，助推全市林业高质量发展。</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成功遴选“天府森林粮库”示范建设项目</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核桃初加工厂建设</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油茶基地建设</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生态保护修复2024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38.00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各县区及直属单位完成全年营造林目标；组织开展全民义务植树活动；抓好天保、退耕等民生工程；积极推进涉林惠民补助资金兑现；开展古树名木保护工作；开展草原、关注森林、森林生态旅游等相关工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加强古树名木保护，森林生态系统生态效益发挥</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指导和督促公益林生态效益补偿兑现</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群众满意度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印刷费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检查验收、督促指导、督查、调研差旅费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车辆租用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生态保护修复2024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38.00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各县区及直属单位完成全年营造林目标；组织开展全民义务植树活动；抓好天保、退耕等民生工程；积极推进涉林惠民补助资金兑现；开展古树名木保护工作；开展草原、关注森林、森林生态旅游等相关工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完成古树名木资源调查</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加强古树名木保护，森林生态系统生态效益发挥</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明显</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车辆维护费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指导和督促天然商品林停伐管护补助兑现</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指导和督促完成国有林管护</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80.11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维护森林资源安全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林业行政执法保障2024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全市林业行政执法工作。开展林业行政案件查处、挂牌督办、机动抽查、案卷评查、“双随机”、“双打”等工作；开展林业执法培训，规范执法行为，提高执法能力；案件查处率达到90%，纠纷调处率达到90%。开展生态环境损害赔偿、打击制售假劣林草种苗和侵犯植物新品种权工作。全面开展禁种铲毒工作，常态化开展扫黑除恶工作。有效保护森林资源和生态安全，促进我市林业事业发展。</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林业执法能力提升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人</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指导和督促县区林业行政执法工作</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办公用品购置</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案件查处率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印刷、宣传费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抽查企业</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家</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林业行政执法保障2024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和督促全市林业行政执法工作。开展林业行政案件查处、挂牌督办、机动抽查、案卷评查、“双随机”、“双打”等工作；开展林业执法培训，规范执法行为，提高执法能力；案件查处率达到90%，纠纷调处率达到90%。开展生态环境损害赔偿、打击制售假劣林草种苗和侵犯植物新品种权工作。全面开展禁种铲毒工作，常态化开展扫黑除恶工作。有效保护森林资源和生态安全，促进我市林业事业发展。</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有效提升民众法律意识和拒绝毒品意识。</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车辆运行费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19000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纠纷调处率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开展禁毒宣传</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人</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群众满意度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保护森林资源</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森林防火专项经费2024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40.50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指导开展宣传教育、隐患排查整治、日常检查、扑火队伍培训演练、安全生产综合督查、森林火险预警监测系统正常运行，确保森林火灾受害率控制在0.9‰以内，保护人民群众生命财产和森林资源安全。</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有效维护森林资源安全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森林防火年度演练</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森林防火督查、检查、安全综合督查等差旅费、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森林防火专项经费2024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40.50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指导开展宣传教育、隐患排查整治、日常检查、扑火队伍培训演练、安全生产综合督查、森林火险预警监测系统正常运行，确保森林火灾受害率控制在0.9‰以内，保护人民群众生命财产和森林资源安全。</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森林火险预警监测系统运行、维护等</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森林火灾受害率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0.9</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森林火险预警监测系统运行、维护等</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会议及培训</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车辆维护费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森林防火年度演练</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资料费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森林防火督查、检查</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森林防火、安全生产会议</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宣传资料</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册</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森林防火物资储备2024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11.50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购置森林消防高压水泵3台。</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部门满意度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森林火灾受害率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0.9</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森林防火物资储备2024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11.50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购置森林消防高压水泵3台。</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森林消防高压水泵合格率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森林消防高压水泵</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台</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森林消防高压水泵3台</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乡村振兴驻村帮扶工作经费2024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认真履行“建强村党组织、推进强村富民、提升治理水平、为民办事服务”4项职责任务，充分发挥支持和帮助作用，与村“两委”共同做好各项工作，圆满完成年度驻村帮扶工作任务。</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村民满意度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四项工作职责完成率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巩固脱贫攻坚成果，助推乡村振兴发展</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重点村（新梁村）</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差率费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65000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争取资金工作经费2024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是抢抓国省稳增长政策机遇，精准对接规划导向，靶向瞄准资金投向，紧盯中省预算内投资、地方政府专项债、高质高效谋划申报符合林业高质量发展要求的项目，实现储备项目60个以上，形成“储备一批、开工一批、建设一批、竣工一批”的良性循环；二是坚持常态化赴国、省林草局开展对接，明确国、省投资政策要求，及时掌握政策动向，加大资金争取成功率，力争实现全市完成央省资金到位3.5亿元以上；三是做好重点项目的调度、实施、管理等工作。四是完成招商引资任务。</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办公用品</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储备项目完成率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印刷费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咨询费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储备项目</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争取资金工作经费2024</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是抢抓国省稳增长政策机遇，精准对接规划导向，靶向瞄准资金投向，紧盯中省预算内投资、地方政府专项债、高质高效谋划申报符合林业高质量发展要求的项目，实现储备项目60个以上，形成“储备一批、开工一批、建设一批、竣工一批”的良性循环；二是坚持常态化赴国、省林草局开展对接，明确国、省投资政策要求，及时掌握政策动向，加大资金争取成功率，力争实现全市完成央省资金到位3.5亿元以上；三是做好重点项目的调度、实施、管理等工作。四是完成招商引资任务。</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全市完成央省资金到位</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有效增加林业行业投资</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是</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车辆运行费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招商引资洽谈次数</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其它费用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资金到位率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有效保护森林生态安全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是</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项目实施单位满意度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国家储备林项目建设</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9.92</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认真落实关于生态文明建设重大决策部署，加快建设践行“绿水青山就是金山银山”理念典范城市，立足广元林业资源禀赋，充分利用开发性政策性金融大力推进国家储备林建设。</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完成营造林</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完成放款</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亿元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会议及培训费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国家储备林项目建设</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9.92</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认真落实关于生态文明建设重大决策部署，加快建设践行“绿水青山就是金山银山”理念典范城市，立足广元林业资源禀赋，充分利用开发性政策性金融大力推进国家储备林建设。</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群众满意度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印刷费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车辆维护费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检查验收、督促指导、督查、调研差旅费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39500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维护森林资源安全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生态成果持续巩固</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办公用品</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完成样板基地</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森林资源综合监管</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加强我市森林、草原、湿地资源管护。一是开展林草湿生态综合监测工作，并通过国家和省级质量检查验收。二是指导和督促县区开展森林督查工作。三是组织开展林地使用、林木采伐、木材经营加工监督检查，确保森林资源安全。四是统筹推进、督促指导县区编制完成全市新一轮林地保护利用规划编制工作。五是开展自然保护地优化整合工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保护地边界不清问题得到解决。</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是</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宣传资料费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车辆维护运行费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生态效益指标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筑牢嘉陵江上游生态屏障</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同上年一样</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林草湿综合监测项目图斑监测数量</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森林资源综合监管</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加强我市森林、草原、湿地资源管护。一是开展林草湿生态综合监测工作，并通过国家和省级质量检查验收。二是指导和督促县区开展森林督查工作。三是组织开展林地使用、林木采伐、木材经营加工监督检查，确保森林资源安全。四是统筹推进、督促指导县区编制完成全市新一轮林地保护利用规划编制工作。五是开展自然保护地优化整合工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指导县区完成新一轮林地保护利用规划编制</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抽查国家林草局下发森林资源遥感判读变化图班</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林农满意度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会议及培训费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林草湿综合监测通过国家和省级质量检查验收</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合格</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对</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技术指导、检查验收、督促指导、督查调研差旅费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自然保护地局部范围及功能区划调整数量</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重点产业专班工作经费</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是核桃产业专班高效运转，工作有序推进，确保专班年度重点工作全面完成；二是坚持常态化赴国、省林草局开展对接，及时掌握政策动向，加大核桃产业发展项目资金争取成功；三是做好重点项目的调度、管理等工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宣传费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召开核桃产业专班工作会</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咨询费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623001-广元市林业局</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重点产业专班工作经费</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是核桃产业专班高效运转，工作有序推进，确保专班年度重点工作全面完成；二是坚持常态化赴国、省林草局开展对接，及时掌握政策动向，加大核桃产业发展项目资金争取成功；三是做好重点项目的调度、管理等工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开展培训</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人次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会议及培训费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工作督导检查或调研</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资料印制</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套</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群众满意度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其它费用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车辆运行费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全面完成年度目标任务</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外出学习考察推介招商</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核桃产量</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24.8</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万吨</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印刷费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623902-广元市国有林场</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乡村振兴工作经费</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1.82</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有效促进帮扶村全面推进乡村振兴,巩固拓展脱贫攻坚成果.</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完成任务率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派驻人员</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人</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可持续发展</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持续发挥经济生态效益（是、否）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是</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级</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到期完成率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森林防灭火和病虫害生物防治</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用于森林防灭火及林业有害生物防治，确保1.6万亩森林资源安全</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可持续影响</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持续发挥生态效益</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是</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级</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项目验收合格率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服务对象</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防灭火资源管理及病虫害防治</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623904-广元市林业科学研究院</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油橄榄提质增效技术研究与示范</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10.40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通过对191亩油橄榄示范基地日常管护，达到提高油橄榄产量，规范管理油橄榄示范基地的目标。</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服务对象</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研究成果使用单位满意度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林业科技推广标准化示范区标准使用率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油橄榄示范基地管理面积</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191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可持续影响</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持续开展油橄榄丰产栽培技术研究</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不断提高鲜果产量</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土地租金</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104000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土地租用时长</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623904-广元市林业科学研究院</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乡村振兴工作经费</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1.82</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通过开展选派驻村第一书记及工作队员，驻村帮扶，从而达到巩固拓展脱贫攻坚成果，促进帮扶村全面推进乡村振兴的目标。</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乡村振兴补贴发放率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驻村工作人员数量</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名</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其他交通费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元/年</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驻村工作时间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差旅费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14000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元/年</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帮扶对象</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帮扶对象满意度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可持续发展</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指导群众开展经济林木管护工作，为群众提供各类技术指导</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不断提高群众经济林木的经济价值</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处</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623904-广元市林业科学研究院</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核桃、油橄榄育种研究及基地运维管护</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完成191亩油橄榄科研基地施肥、打药、灌水、修剪、刷干、病虫害防治等年度管护任务，持续收集保存油橄榄品种19个，开展油橄榄丰产管护技术示范，维修维护科研基地生产管理用房、山坪塘、滴灌、蓄水池、水沟、堡坎等基础设施和植保无人机、割灌机、电动喷雾器等生产用设备设施。2.完成40亩油橄榄种质资源圃的除草、施肥、打药、灌水、修剪、刷干等管护任务，维修维护圃内蓄水池、水沟、堡坎等基础设施和割灌机、电动喷雾器等生产用设备设施。3.完成引进驯化的1200株品种核桃补充嫁接、精细管护任务，观测生长收集数据等；完成杂交获得的F1代240株苗木精细管护任务，观测生长发育情况并收集数据；完成布设杂交育种试验核桃树管护任务，开展人工授粉等工作。4.完成在7个县区开展的核桃、油橄榄、油茶等技术示范活动17场次，完成在7个县区开展的核桃、油橄榄、油茶等技术培训11场、330人次。</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17场次核桃、油橄榄、油茶等技术示范差旅、交通等</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可持续影响</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促进油橄榄产业发展</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油橄榄产业增收</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级</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油橄榄种质资源圃得到科学管护</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满足经济社会发展对林产品的需求</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通过引进驯化、杂交方式，选育2-3个最适宜当地的优良核桃品种，为产业可持续发展提供良种保障</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级</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种质资源圃保护管理技术规范使用率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油橄榄品种收集</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保存</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19</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种</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服务对象满意度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满意度指标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管理部门及培训对象满意度</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有效保护油橄榄种质资源</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份</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1200株引进驯化的品种核桃年度</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管护任务</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624001-广元市林业科学研究院</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核桃、油橄榄育种研究及基地运维管护</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完成191亩油橄榄科研基地施肥、打药、灌水、修剪、刷干、病虫害防治等年度管护任务，持续收集保存油橄榄品种19个，开展油橄榄丰产管护技术示范，维修维护科研基地生产管理用房、山坪塘、滴灌、蓄水池、水沟、堡坎等基础设施和植保无人机、割灌机、电动喷雾器等生产用设备设施。2.完成40亩油橄榄种质资源圃的除草、施肥、打药、灌水、修剪、刷干等管护任务，维修维护圃内蓄水池、水沟、堡坎等基础设施和割灌机、电动喷雾器等生产用设备设施。3.完成引进驯化的1200株品种核桃补充嫁接、精细管护任务，观测生长收集数据等；完成杂交获得的F1代240株苗木精细管护任务，观测生长发育情况并收集数据；完成布设杂交育种试验核桃树管护任务，开展人工授粉等工作。4.完成在7个县区开展的核桃、油橄榄、油茶等技术示范活动17场次，完成在7个县区开展的核桃、油橄榄、油茶等技术培训11场、330人次。</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基地设施设备维修维护费用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5.56</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完成2024年林业技术培训工作</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场次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240株杂交获得的F1代核桃苗木管</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护任务</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11场次核桃、油橄榄、油茶等技术培训差旅、交通等</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191亩油橄榄示范林管护劳务、材料等费用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22.44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油橄榄科研基地得到标准化管理</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191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亩</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2024年林业技术示范工作</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场次</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社会效益指标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满足经济社会发展对油橄榄的需求</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保护管理好油橄榄种质资源圃，有效保护种质资源，为需求者提供优质、多样的油橄榄品种资源</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级</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标准化技术推广率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89"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623904-广元市林业科学研究院</w:t>
            </w:r>
          </w:p>
        </w:tc>
        <w:tc>
          <w:tcPr>
            <w:tcW w:w="985"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核桃、油橄榄育种研究及基地运维管护</w:t>
            </w:r>
          </w:p>
        </w:tc>
        <w:tc>
          <w:tcPr>
            <w:tcW w:w="106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60.00</w:t>
            </w:r>
          </w:p>
        </w:tc>
        <w:tc>
          <w:tcPr>
            <w:tcW w:w="3482"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180" w:lineRule="exact"/>
              <w:jc w:val="both"/>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完成191亩油橄榄科研基地施肥、打药、灌水、修剪、刷干、病虫害防治等年度管护任务，持续收集保存油橄榄品种19个，开展油橄榄丰产管护技术示范，维修维护科研基地生产管理用房、山坪塘、滴灌、蓄水池、水沟、堡坎等基础设施和植保无人机、割灌机、电动喷雾器等生产用设备设施。2.完成40亩油橄榄种质资源圃的除草、施肥、打药、灌水、修剪、刷干等管护任务，维修维护圃内蓄水池、水沟、堡坎等基础设施和割灌机、电动喷雾器等生产用设备设施。3.完成引进驯化的1200株品种核桃补充嫁接、精细管护任务，观测生长收集数据等；完成杂交获得的F1代240株苗木精细管护任务，观测生长发育情况并收集数据；完成布设杂交育种试验核桃树管护任务，开展人工授粉等工作。4.完成在7个县区开展的核桃、油橄榄、油茶等技术示范活动17场次，完成在7个县区开展的核桃、油橄榄、油茶等技术培训11场、330人次。</w:t>
            </w: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时效指标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完成时间</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基地设施设备维修维护等</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产出指标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标准化管护技术使用率</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技术咨询、交通</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等费用</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核桃苗木的管护经费</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成本指标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经济成本指标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油橄榄种质资源圃管护</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万元</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08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7"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8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jc w:val="both"/>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效益指标</w:t>
            </w:r>
          </w:p>
        </w:tc>
        <w:tc>
          <w:tcPr>
            <w:tcW w:w="147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可持续影响</w:t>
            </w:r>
          </w:p>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指标</w:t>
            </w:r>
          </w:p>
        </w:tc>
        <w:tc>
          <w:tcPr>
            <w:tcW w:w="187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促进林业产业发展</w:t>
            </w:r>
          </w:p>
        </w:tc>
        <w:tc>
          <w:tcPr>
            <w:tcW w:w="77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定性</w:t>
            </w:r>
          </w:p>
        </w:tc>
        <w:tc>
          <w:tcPr>
            <w:tcW w:w="97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长期</w:t>
            </w:r>
          </w:p>
        </w:tc>
        <w:tc>
          <w:tcPr>
            <w:tcW w:w="66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级</w:t>
            </w:r>
          </w:p>
        </w:tc>
        <w:tc>
          <w:tcPr>
            <w:tcW w:w="75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正向指标</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hint="eastAsia" w:ascii="方正小标宋简体" w:hAnsi="方正小标宋简体" w:eastAsia="方正小标宋简体" w:cs="方正小标宋简体"/>
          <w:sz w:val="44"/>
          <w:szCs w:val="44"/>
          <w:lang w:eastAsia="zh-CN"/>
        </w:rPr>
      </w:pPr>
      <w:bookmarkStart w:id="0" w:name="_GoBack"/>
      <w:bookmarkEnd w:id="0"/>
    </w:p>
    <w:sectPr>
      <w:footerReference r:id="rId3" w:type="default"/>
      <w:pgSz w:w="16838" w:h="11906" w:orient="landscape"/>
      <w:pgMar w:top="1134" w:right="850" w:bottom="1417" w:left="850" w:header="851" w:footer="1134" w:gutter="0"/>
      <w:pgNumType w:fmt="decimal" w:start="608"/>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iMDk4ZTMyOGNhZDMzYzE1OTQ5NmUyYTVkNjgzODMifQ=="/>
    <w:docVar w:name="KSO_WPS_MARK_KEY" w:val="be4072fd-c136-4331-97a4-3c6ed9c3003c"/>
  </w:docVars>
  <w:rsids>
    <w:rsidRoot w:val="01DA4CAF"/>
    <w:rsid w:val="00830E6B"/>
    <w:rsid w:val="012313A8"/>
    <w:rsid w:val="01DA4CAF"/>
    <w:rsid w:val="020959E5"/>
    <w:rsid w:val="03C24B8A"/>
    <w:rsid w:val="04386F06"/>
    <w:rsid w:val="05464F78"/>
    <w:rsid w:val="071D659A"/>
    <w:rsid w:val="07F92E63"/>
    <w:rsid w:val="084864A5"/>
    <w:rsid w:val="08DD740D"/>
    <w:rsid w:val="091A0AFB"/>
    <w:rsid w:val="0AA265E9"/>
    <w:rsid w:val="0C2A7A8F"/>
    <w:rsid w:val="0C492A1F"/>
    <w:rsid w:val="0CEB1914"/>
    <w:rsid w:val="0CEC743A"/>
    <w:rsid w:val="0DBD4932"/>
    <w:rsid w:val="0E1B1100"/>
    <w:rsid w:val="0EEC3721"/>
    <w:rsid w:val="11377C04"/>
    <w:rsid w:val="13C01759"/>
    <w:rsid w:val="15BE533D"/>
    <w:rsid w:val="172762F6"/>
    <w:rsid w:val="17AD5523"/>
    <w:rsid w:val="18F002B2"/>
    <w:rsid w:val="19A11582"/>
    <w:rsid w:val="1AB107B5"/>
    <w:rsid w:val="1B4B64D7"/>
    <w:rsid w:val="1D956859"/>
    <w:rsid w:val="1E0D78AA"/>
    <w:rsid w:val="1E2C0309"/>
    <w:rsid w:val="1E6E5986"/>
    <w:rsid w:val="1E774679"/>
    <w:rsid w:val="1EBF050A"/>
    <w:rsid w:val="1F673A74"/>
    <w:rsid w:val="1FBE6A14"/>
    <w:rsid w:val="20D02EA3"/>
    <w:rsid w:val="224705F5"/>
    <w:rsid w:val="230961F8"/>
    <w:rsid w:val="23312AC9"/>
    <w:rsid w:val="235D6544"/>
    <w:rsid w:val="2430751B"/>
    <w:rsid w:val="24EC0AF9"/>
    <w:rsid w:val="26892D79"/>
    <w:rsid w:val="26CB56E6"/>
    <w:rsid w:val="28355CE1"/>
    <w:rsid w:val="284B18E0"/>
    <w:rsid w:val="288C138D"/>
    <w:rsid w:val="2960140A"/>
    <w:rsid w:val="296A7A3B"/>
    <w:rsid w:val="2A8C0640"/>
    <w:rsid w:val="2B7B1C0B"/>
    <w:rsid w:val="2D800228"/>
    <w:rsid w:val="2D9B0395"/>
    <w:rsid w:val="2E524E99"/>
    <w:rsid w:val="2E92433A"/>
    <w:rsid w:val="2F2D14C0"/>
    <w:rsid w:val="2F5A02CE"/>
    <w:rsid w:val="32545820"/>
    <w:rsid w:val="349D2048"/>
    <w:rsid w:val="35620BB1"/>
    <w:rsid w:val="366B1769"/>
    <w:rsid w:val="380859A9"/>
    <w:rsid w:val="38E55DB8"/>
    <w:rsid w:val="393A6087"/>
    <w:rsid w:val="39646D1A"/>
    <w:rsid w:val="39C12271"/>
    <w:rsid w:val="3A5503F0"/>
    <w:rsid w:val="3D0C0B0A"/>
    <w:rsid w:val="3D1D0CE0"/>
    <w:rsid w:val="3D6306E3"/>
    <w:rsid w:val="3D8C5F4C"/>
    <w:rsid w:val="43690D26"/>
    <w:rsid w:val="4374114E"/>
    <w:rsid w:val="438E3FD4"/>
    <w:rsid w:val="43BA58A9"/>
    <w:rsid w:val="43DF5027"/>
    <w:rsid w:val="43F5178C"/>
    <w:rsid w:val="45826E17"/>
    <w:rsid w:val="485D2741"/>
    <w:rsid w:val="48611E61"/>
    <w:rsid w:val="490E1F0B"/>
    <w:rsid w:val="49662206"/>
    <w:rsid w:val="4AA52499"/>
    <w:rsid w:val="4ABC5DAA"/>
    <w:rsid w:val="4FE56116"/>
    <w:rsid w:val="50B86C15"/>
    <w:rsid w:val="51D3291B"/>
    <w:rsid w:val="53A1735B"/>
    <w:rsid w:val="53F325F5"/>
    <w:rsid w:val="5406420E"/>
    <w:rsid w:val="54AC316C"/>
    <w:rsid w:val="55DF3526"/>
    <w:rsid w:val="56CD075B"/>
    <w:rsid w:val="578D1526"/>
    <w:rsid w:val="57931F59"/>
    <w:rsid w:val="57EA3B43"/>
    <w:rsid w:val="590C0E87"/>
    <w:rsid w:val="597F280A"/>
    <w:rsid w:val="59A473D8"/>
    <w:rsid w:val="5B1A3FF4"/>
    <w:rsid w:val="5D9004B0"/>
    <w:rsid w:val="5E14191A"/>
    <w:rsid w:val="5EEE2476"/>
    <w:rsid w:val="60516301"/>
    <w:rsid w:val="60840DAD"/>
    <w:rsid w:val="615246AD"/>
    <w:rsid w:val="615F72CF"/>
    <w:rsid w:val="62A41D6A"/>
    <w:rsid w:val="62D056D4"/>
    <w:rsid w:val="632B270C"/>
    <w:rsid w:val="63C07E57"/>
    <w:rsid w:val="641B1DC8"/>
    <w:rsid w:val="64A3732C"/>
    <w:rsid w:val="65281076"/>
    <w:rsid w:val="66B141AA"/>
    <w:rsid w:val="66C93186"/>
    <w:rsid w:val="66EC514D"/>
    <w:rsid w:val="682F3B15"/>
    <w:rsid w:val="686970BD"/>
    <w:rsid w:val="6B2B07E9"/>
    <w:rsid w:val="6D3E606B"/>
    <w:rsid w:val="6F3917A2"/>
    <w:rsid w:val="6F580642"/>
    <w:rsid w:val="6F5C2EC1"/>
    <w:rsid w:val="71D22273"/>
    <w:rsid w:val="7258372B"/>
    <w:rsid w:val="728D5485"/>
    <w:rsid w:val="733F69BE"/>
    <w:rsid w:val="73C92407"/>
    <w:rsid w:val="74B57C2C"/>
    <w:rsid w:val="756920F3"/>
    <w:rsid w:val="757E794D"/>
    <w:rsid w:val="76B63116"/>
    <w:rsid w:val="77D45F4A"/>
    <w:rsid w:val="78143D54"/>
    <w:rsid w:val="797B2758"/>
    <w:rsid w:val="7A1F0C74"/>
    <w:rsid w:val="7B1210B3"/>
    <w:rsid w:val="7BC75E66"/>
    <w:rsid w:val="7CD54CA8"/>
    <w:rsid w:val="7CFD5002"/>
    <w:rsid w:val="7D861965"/>
    <w:rsid w:val="7E615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94</Pages>
  <Words>46110</Words>
  <Characters>49614</Characters>
  <Lines>0</Lines>
  <Paragraphs>0</Paragraphs>
  <TotalTime>4</TotalTime>
  <ScaleCrop>false</ScaleCrop>
  <LinksUpToDate>false</LinksUpToDate>
  <CharactersWithSpaces>49656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2024-01-02T17:33:00Z</dcterms:created>
  <dc:creator>薄荷微凉ζ、</dc:creator>
  <cp:lastModifiedBy>Administrator</cp:lastModifiedBy>
  <dcterms:modified xsi:type="dcterms:W3CDTF">2024-02-21T01:42:28Z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C4A9A2FA1B9142DA83D3465E135AD0F8_13</vt:lpwstr>
  </property>
</Properties>
</file>