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青川县人民法院</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2024年部门预算编制说明</w:t>
      </w: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p>
      <w:pPr>
        <w:jc w:val="cente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pPr>
    </w:p>
    <w:sdt>
      <w:sdtPr>
        <w:rPr>
          <w:rFonts w:ascii="宋体" w:hAnsi="宋体" w:eastAsia="宋体" w:cs="Times New Roman"/>
          <w:kern w:val="2"/>
          <w:sz w:val="21"/>
          <w:szCs w:val="24"/>
          <w:lang w:val="en-US" w:eastAsia="zh-CN" w:bidi="ar-SA"/>
        </w:rPr>
        <w:id w:val="505195856"/>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00" w:lineRule="auto"/>
          </w:pPr>
          <w:r>
            <w:fldChar w:fldCharType="begin"/>
          </w:r>
          <w:r>
            <w:instrText xml:space="preserve">TOC \o "1-3" \h \u </w:instrText>
          </w:r>
          <w:r>
            <w:fldChar w:fldCharType="separate"/>
          </w:r>
        </w:p>
        <w:p>
          <w:pPr>
            <w:pStyle w:val="14"/>
            <w:tabs>
              <w:tab w:val="right" w:leader="dot" w:pos="8845"/>
            </w:tabs>
            <w:spacing w:line="300" w:lineRule="auto"/>
          </w:pPr>
          <w:r>
            <w:fldChar w:fldCharType="begin"/>
          </w:r>
          <w:r>
            <w:instrText xml:space="preserve"> HYPERLINK \l _Toc1233754290 </w:instrText>
          </w:r>
          <w:r>
            <w:fldChar w:fldCharType="separate"/>
          </w:r>
          <w:r>
            <w:rPr>
              <w:rFonts w:hint="eastAsia" w:ascii="黑体" w:hAnsi="黑体" w:eastAsia="黑体" w:cs="黑体"/>
              <w:szCs w:val="32"/>
            </w:rPr>
            <w:t>一、基本职能及主要工作</w:t>
          </w:r>
          <w:r>
            <w:tab/>
          </w:r>
          <w:r>
            <w:fldChar w:fldCharType="begin"/>
          </w:r>
          <w:r>
            <w:instrText xml:space="preserve"> PAGEREF _Toc1233754290 \h </w:instrText>
          </w:r>
          <w:r>
            <w:fldChar w:fldCharType="separate"/>
          </w:r>
          <w:r>
            <w:t>3</w:t>
          </w:r>
          <w:r>
            <w:fldChar w:fldCharType="end"/>
          </w:r>
          <w:r>
            <w:fldChar w:fldCharType="end"/>
          </w:r>
        </w:p>
        <w:p>
          <w:pPr>
            <w:pStyle w:val="15"/>
            <w:tabs>
              <w:tab w:val="right" w:leader="dot" w:pos="8845"/>
            </w:tabs>
            <w:spacing w:line="300" w:lineRule="auto"/>
          </w:pPr>
          <w:r>
            <w:fldChar w:fldCharType="begin"/>
          </w:r>
          <w:r>
            <w:instrText xml:space="preserve"> HYPERLINK \l _Toc2142278283 </w:instrText>
          </w:r>
          <w:r>
            <w:fldChar w:fldCharType="separate"/>
          </w:r>
          <w:r>
            <w:rPr>
              <w:rFonts w:ascii="楷体_GB2312" w:eastAsia="楷体_GB2312" w:cs="楷体_GB2312"/>
              <w:szCs w:val="32"/>
              <w:shd w:val="clear" w:color="auto" w:fill="FFFFFF"/>
            </w:rPr>
            <w:t>（一）</w:t>
          </w:r>
          <w:r>
            <w:rPr>
              <w:rFonts w:hint="eastAsia" w:ascii="楷体_GB2312" w:eastAsia="楷体_GB2312" w:cs="楷体_GB2312"/>
              <w:szCs w:val="32"/>
              <w:shd w:val="clear" w:color="auto" w:fill="FFFFFF"/>
            </w:rPr>
            <w:t>青川县人民法院职能简介</w:t>
          </w:r>
          <w:r>
            <w:tab/>
          </w:r>
          <w:r>
            <w:fldChar w:fldCharType="begin"/>
          </w:r>
          <w:r>
            <w:instrText xml:space="preserve"> PAGEREF _Toc2142278283 \h </w:instrText>
          </w:r>
          <w:r>
            <w:fldChar w:fldCharType="separate"/>
          </w:r>
          <w:r>
            <w:t>3</w:t>
          </w:r>
          <w:r>
            <w:fldChar w:fldCharType="end"/>
          </w:r>
          <w:r>
            <w:fldChar w:fldCharType="end"/>
          </w:r>
        </w:p>
        <w:p>
          <w:pPr>
            <w:pStyle w:val="15"/>
            <w:tabs>
              <w:tab w:val="right" w:leader="dot" w:pos="8845"/>
            </w:tabs>
            <w:spacing w:line="300" w:lineRule="auto"/>
          </w:pPr>
          <w:r>
            <w:fldChar w:fldCharType="begin"/>
          </w:r>
          <w:r>
            <w:instrText xml:space="preserve"> HYPERLINK \l _Toc1368377767 </w:instrText>
          </w:r>
          <w:r>
            <w:fldChar w:fldCharType="separate"/>
          </w:r>
          <w:r>
            <w:rPr>
              <w:rFonts w:hint="eastAsia" w:ascii="楷体_GB2312" w:eastAsia="楷体_GB2312" w:cs="楷体_GB2312"/>
              <w:szCs w:val="32"/>
              <w:shd w:val="clear" w:color="auto" w:fill="FFFFFF"/>
            </w:rPr>
            <w:t>（二）青川县人民法院2024年重点工作</w:t>
          </w:r>
          <w:r>
            <w:tab/>
          </w:r>
          <w:r>
            <w:fldChar w:fldCharType="begin"/>
          </w:r>
          <w:r>
            <w:instrText xml:space="preserve"> PAGEREF _Toc1368377767 \h </w:instrText>
          </w:r>
          <w:r>
            <w:fldChar w:fldCharType="separate"/>
          </w:r>
          <w:r>
            <w:t>3</w:t>
          </w:r>
          <w:r>
            <w:fldChar w:fldCharType="end"/>
          </w:r>
          <w:r>
            <w:fldChar w:fldCharType="end"/>
          </w:r>
        </w:p>
        <w:p>
          <w:pPr>
            <w:pStyle w:val="14"/>
            <w:tabs>
              <w:tab w:val="right" w:leader="dot" w:pos="8845"/>
            </w:tabs>
            <w:spacing w:line="300" w:lineRule="auto"/>
          </w:pPr>
          <w:r>
            <w:fldChar w:fldCharType="begin"/>
          </w:r>
          <w:r>
            <w:instrText xml:space="preserve"> HYPERLINK \l _Toc205611878 </w:instrText>
          </w:r>
          <w:r>
            <w:fldChar w:fldCharType="separate"/>
          </w:r>
          <w:r>
            <w:rPr>
              <w:rFonts w:hint="eastAsia" w:ascii="黑体" w:hAnsi="黑体" w:eastAsia="黑体" w:cs="黑体"/>
              <w:szCs w:val="32"/>
            </w:rPr>
            <w:t>二、部门预算单位构成</w:t>
          </w:r>
          <w:r>
            <w:tab/>
          </w:r>
          <w:r>
            <w:fldChar w:fldCharType="begin"/>
          </w:r>
          <w:r>
            <w:instrText xml:space="preserve"> PAGEREF _Toc205611878 \h </w:instrText>
          </w:r>
          <w:r>
            <w:fldChar w:fldCharType="separate"/>
          </w:r>
          <w:r>
            <w:t>5</w:t>
          </w:r>
          <w:r>
            <w:fldChar w:fldCharType="end"/>
          </w:r>
          <w:r>
            <w:fldChar w:fldCharType="end"/>
          </w:r>
        </w:p>
        <w:p>
          <w:pPr>
            <w:pStyle w:val="14"/>
            <w:tabs>
              <w:tab w:val="right" w:leader="dot" w:pos="8845"/>
            </w:tabs>
            <w:spacing w:line="300" w:lineRule="auto"/>
          </w:pPr>
          <w:r>
            <w:fldChar w:fldCharType="begin"/>
          </w:r>
          <w:r>
            <w:instrText xml:space="preserve"> HYPERLINK \l _Toc137517676 </w:instrText>
          </w:r>
          <w:r>
            <w:fldChar w:fldCharType="separate"/>
          </w:r>
          <w:r>
            <w:rPr>
              <w:rFonts w:hint="eastAsia" w:ascii="黑体" w:hAnsi="黑体" w:eastAsia="黑体" w:cs="黑体"/>
              <w:szCs w:val="32"/>
            </w:rPr>
            <w:t>三、收支预算情况说明</w:t>
          </w:r>
          <w:r>
            <w:tab/>
          </w:r>
          <w:r>
            <w:fldChar w:fldCharType="begin"/>
          </w:r>
          <w:r>
            <w:instrText xml:space="preserve"> PAGEREF _Toc137517676 \h </w:instrText>
          </w:r>
          <w:r>
            <w:fldChar w:fldCharType="separate"/>
          </w:r>
          <w:r>
            <w:t>5</w:t>
          </w:r>
          <w:r>
            <w:fldChar w:fldCharType="end"/>
          </w:r>
          <w:r>
            <w:fldChar w:fldCharType="end"/>
          </w:r>
        </w:p>
        <w:p>
          <w:pPr>
            <w:pStyle w:val="15"/>
            <w:tabs>
              <w:tab w:val="right" w:leader="dot" w:pos="8845"/>
            </w:tabs>
            <w:spacing w:line="300" w:lineRule="auto"/>
          </w:pPr>
          <w:r>
            <w:fldChar w:fldCharType="begin"/>
          </w:r>
          <w:r>
            <w:instrText xml:space="preserve"> HYPERLINK \l _Toc1608000457 </w:instrText>
          </w:r>
          <w:r>
            <w:fldChar w:fldCharType="separate"/>
          </w:r>
          <w:r>
            <w:rPr>
              <w:rFonts w:hint="eastAsia" w:ascii="楷体_GB2312" w:hAnsi="楷体_GB2312" w:eastAsia="楷体_GB2312" w:cs="楷体_GB2312"/>
              <w:szCs w:val="32"/>
            </w:rPr>
            <w:t>（一）收入预算情况</w:t>
          </w:r>
          <w:r>
            <w:tab/>
          </w:r>
          <w:r>
            <w:fldChar w:fldCharType="begin"/>
          </w:r>
          <w:r>
            <w:instrText xml:space="preserve"> PAGEREF _Toc1608000457 \h </w:instrText>
          </w:r>
          <w:r>
            <w:fldChar w:fldCharType="separate"/>
          </w:r>
          <w:r>
            <w:t>5</w:t>
          </w:r>
          <w:r>
            <w:fldChar w:fldCharType="end"/>
          </w:r>
          <w:r>
            <w:fldChar w:fldCharType="end"/>
          </w:r>
        </w:p>
        <w:p>
          <w:pPr>
            <w:pStyle w:val="15"/>
            <w:tabs>
              <w:tab w:val="right" w:leader="dot" w:pos="8845"/>
            </w:tabs>
            <w:spacing w:line="300" w:lineRule="auto"/>
          </w:pPr>
          <w:r>
            <w:fldChar w:fldCharType="begin"/>
          </w:r>
          <w:r>
            <w:instrText xml:space="preserve"> HYPERLINK \l _Toc1477454469 </w:instrText>
          </w:r>
          <w:r>
            <w:fldChar w:fldCharType="separate"/>
          </w:r>
          <w:r>
            <w:rPr>
              <w:rFonts w:hint="eastAsia" w:ascii="楷体_GB2312" w:hAnsi="楷体_GB2312" w:eastAsia="楷体_GB2312" w:cs="楷体_GB2312"/>
              <w:szCs w:val="32"/>
            </w:rPr>
            <w:t>（二）支出预算情况</w:t>
          </w:r>
          <w:r>
            <w:tab/>
          </w:r>
          <w:r>
            <w:fldChar w:fldCharType="begin"/>
          </w:r>
          <w:r>
            <w:instrText xml:space="preserve"> PAGEREF _Toc1477454469 \h </w:instrText>
          </w:r>
          <w:r>
            <w:fldChar w:fldCharType="separate"/>
          </w:r>
          <w:r>
            <w:t>5</w:t>
          </w:r>
          <w:r>
            <w:fldChar w:fldCharType="end"/>
          </w:r>
          <w:r>
            <w:fldChar w:fldCharType="end"/>
          </w:r>
        </w:p>
        <w:p>
          <w:pPr>
            <w:pStyle w:val="14"/>
            <w:tabs>
              <w:tab w:val="right" w:leader="dot" w:pos="8845"/>
            </w:tabs>
            <w:spacing w:line="300" w:lineRule="auto"/>
          </w:pPr>
          <w:r>
            <w:fldChar w:fldCharType="begin"/>
          </w:r>
          <w:r>
            <w:instrText xml:space="preserve"> HYPERLINK \l _Toc376670896 </w:instrText>
          </w:r>
          <w:r>
            <w:fldChar w:fldCharType="separate"/>
          </w:r>
          <w:r>
            <w:rPr>
              <w:rFonts w:hint="eastAsia" w:ascii="黑体" w:hAnsi="黑体" w:eastAsia="黑体" w:cs="黑体"/>
              <w:szCs w:val="32"/>
            </w:rPr>
            <w:t>四、财政拨款收支预算情况说明</w:t>
          </w:r>
          <w:r>
            <w:tab/>
          </w:r>
          <w:r>
            <w:fldChar w:fldCharType="begin"/>
          </w:r>
          <w:r>
            <w:instrText xml:space="preserve"> PAGEREF _Toc376670896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_Toc1736719153 </w:instrText>
          </w:r>
          <w:r>
            <w:fldChar w:fldCharType="separate"/>
          </w:r>
          <w:r>
            <w:rPr>
              <w:rFonts w:hint="eastAsia" w:ascii="黑体" w:hAnsi="黑体" w:eastAsia="黑体" w:cs="黑体"/>
              <w:szCs w:val="32"/>
            </w:rPr>
            <w:t>五、一般公共预算当年拨款情况说明</w:t>
          </w:r>
          <w:r>
            <w:tab/>
          </w:r>
          <w:r>
            <w:fldChar w:fldCharType="begin"/>
          </w:r>
          <w:r>
            <w:instrText xml:space="preserve"> PAGEREF _Toc1736719153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_Toc1191880666 </w:instrText>
          </w:r>
          <w: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_Toc1191880666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_Toc1287242400 </w:instrText>
          </w:r>
          <w: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_Toc1287242400 \h </w:instrText>
          </w:r>
          <w:r>
            <w:fldChar w:fldCharType="separate"/>
          </w:r>
          <w:r>
            <w:t>6</w:t>
          </w:r>
          <w:r>
            <w:fldChar w:fldCharType="end"/>
          </w:r>
          <w:r>
            <w:fldChar w:fldCharType="end"/>
          </w:r>
        </w:p>
        <w:p>
          <w:pPr>
            <w:pStyle w:val="15"/>
            <w:tabs>
              <w:tab w:val="right" w:leader="dot" w:pos="8845"/>
            </w:tabs>
            <w:spacing w:line="300" w:lineRule="auto"/>
          </w:pPr>
          <w:r>
            <w:fldChar w:fldCharType="begin"/>
          </w:r>
          <w:r>
            <w:instrText xml:space="preserve"> HYPERLINK \l _Toc1739117106 </w:instrText>
          </w:r>
          <w: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_Toc1739117106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_Toc98808057 </w:instrText>
          </w:r>
          <w:r>
            <w:fldChar w:fldCharType="separate"/>
          </w:r>
          <w:r>
            <w:rPr>
              <w:rFonts w:hint="eastAsia" w:ascii="黑体" w:hAnsi="黑体" w:eastAsia="黑体" w:cs="黑体"/>
              <w:szCs w:val="32"/>
            </w:rPr>
            <w:t>六、一般公共预算基本支出情况说明</w:t>
          </w:r>
          <w:r>
            <w:tab/>
          </w:r>
          <w:r>
            <w:fldChar w:fldCharType="begin"/>
          </w:r>
          <w:r>
            <w:instrText xml:space="preserve"> PAGEREF _Toc98808057 \h </w:instrText>
          </w:r>
          <w:r>
            <w:fldChar w:fldCharType="separate"/>
          </w:r>
          <w:r>
            <w:t>7</w:t>
          </w:r>
          <w:r>
            <w:fldChar w:fldCharType="end"/>
          </w:r>
          <w:r>
            <w:fldChar w:fldCharType="end"/>
          </w:r>
        </w:p>
        <w:p>
          <w:pPr>
            <w:pStyle w:val="14"/>
            <w:tabs>
              <w:tab w:val="right" w:leader="dot" w:pos="8845"/>
            </w:tabs>
            <w:spacing w:line="300" w:lineRule="auto"/>
          </w:pPr>
          <w:r>
            <w:fldChar w:fldCharType="begin"/>
          </w:r>
          <w:r>
            <w:instrText xml:space="preserve"> HYPERLINK \l _Toc1283660294 </w:instrText>
          </w:r>
          <w:r>
            <w:fldChar w:fldCharType="separate"/>
          </w:r>
          <w:r>
            <w:rPr>
              <w:rFonts w:hint="eastAsia" w:ascii="黑体" w:hAnsi="黑体" w:eastAsia="黑体" w:cs="黑体"/>
              <w:szCs w:val="32"/>
            </w:rPr>
            <w:t>七、“三公”经费财政拨款预算安排情况说明</w:t>
          </w:r>
          <w:r>
            <w:tab/>
          </w:r>
          <w:r>
            <w:fldChar w:fldCharType="begin"/>
          </w:r>
          <w:r>
            <w:instrText xml:space="preserve"> PAGEREF _Toc1283660294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_Toc970149648 </w:instrText>
          </w:r>
          <w:r>
            <w:fldChar w:fldCharType="separate"/>
          </w:r>
          <w:r>
            <w:rPr>
              <w:rFonts w:hint="eastAsia" w:ascii="楷体_GB2312" w:hAnsi="楷体_GB2312" w:eastAsia="楷体_GB2312" w:cs="楷体_GB2312"/>
              <w:szCs w:val="32"/>
            </w:rPr>
            <w:t>（一）公务接待费</w:t>
          </w:r>
          <w:r>
            <w:tab/>
          </w:r>
          <w:r>
            <w:fldChar w:fldCharType="begin"/>
          </w:r>
          <w:r>
            <w:instrText xml:space="preserve"> PAGEREF _Toc970149648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_Toc1699677132 </w:instrText>
          </w:r>
          <w:r>
            <w:fldChar w:fldCharType="separate"/>
          </w:r>
          <w:r>
            <w:rPr>
              <w:rFonts w:hint="eastAsia" w:ascii="楷体_GB2312" w:hAnsi="楷体_GB2312" w:eastAsia="楷体_GB2312" w:cs="楷体_GB2312"/>
              <w:szCs w:val="32"/>
            </w:rPr>
            <w:t>（二） 公务用车购置及运行维护费</w:t>
          </w:r>
          <w:r>
            <w:tab/>
          </w:r>
          <w:r>
            <w:fldChar w:fldCharType="begin"/>
          </w:r>
          <w:r>
            <w:instrText xml:space="preserve"> PAGEREF _Toc1699677132 \h </w:instrText>
          </w:r>
          <w:r>
            <w:fldChar w:fldCharType="separate"/>
          </w:r>
          <w:r>
            <w:t>8</w:t>
          </w:r>
          <w:r>
            <w:fldChar w:fldCharType="end"/>
          </w:r>
          <w:r>
            <w:fldChar w:fldCharType="end"/>
          </w:r>
        </w:p>
        <w:p>
          <w:pPr>
            <w:pStyle w:val="15"/>
            <w:tabs>
              <w:tab w:val="right" w:leader="dot" w:pos="8845"/>
            </w:tabs>
            <w:spacing w:line="300" w:lineRule="auto"/>
          </w:pPr>
          <w:r>
            <w:fldChar w:fldCharType="begin"/>
          </w:r>
          <w:r>
            <w:instrText xml:space="preserve"> HYPERLINK \l _Toc1445636601 </w:instrText>
          </w:r>
          <w: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_Toc1445636601 \h </w:instrText>
          </w:r>
          <w:r>
            <w:fldChar w:fldCharType="separate"/>
          </w:r>
          <w:r>
            <w:t>8</w:t>
          </w:r>
          <w:r>
            <w:fldChar w:fldCharType="end"/>
          </w:r>
          <w:r>
            <w:fldChar w:fldCharType="end"/>
          </w:r>
        </w:p>
        <w:p>
          <w:pPr>
            <w:pStyle w:val="14"/>
            <w:tabs>
              <w:tab w:val="right" w:leader="dot" w:pos="8845"/>
            </w:tabs>
            <w:spacing w:line="300" w:lineRule="auto"/>
          </w:pPr>
          <w:r>
            <w:fldChar w:fldCharType="begin"/>
          </w:r>
          <w:r>
            <w:instrText xml:space="preserve"> HYPERLINK \l _Toc398906060 </w:instrText>
          </w:r>
          <w:r>
            <w:fldChar w:fldCharType="separate"/>
          </w:r>
          <w:r>
            <w:rPr>
              <w:rFonts w:hint="eastAsia" w:ascii="黑体" w:hAnsi="黑体" w:eastAsia="黑体" w:cs="黑体"/>
              <w:szCs w:val="32"/>
            </w:rPr>
            <w:t>八、政府性基金预算支出情况说明</w:t>
          </w:r>
          <w:r>
            <w:tab/>
          </w:r>
          <w:r>
            <w:fldChar w:fldCharType="begin"/>
          </w:r>
          <w:r>
            <w:instrText xml:space="preserve"> PAGEREF _Toc398906060 \h </w:instrText>
          </w:r>
          <w:r>
            <w:fldChar w:fldCharType="separate"/>
          </w:r>
          <w:r>
            <w:t>9</w:t>
          </w:r>
          <w:r>
            <w:fldChar w:fldCharType="end"/>
          </w:r>
          <w:r>
            <w:fldChar w:fldCharType="end"/>
          </w:r>
        </w:p>
        <w:p>
          <w:pPr>
            <w:pStyle w:val="14"/>
            <w:tabs>
              <w:tab w:val="right" w:leader="dot" w:pos="8845"/>
            </w:tabs>
            <w:spacing w:line="300" w:lineRule="auto"/>
          </w:pPr>
          <w:r>
            <w:fldChar w:fldCharType="begin"/>
          </w:r>
          <w:r>
            <w:instrText xml:space="preserve"> HYPERLINK \l _Toc184105230 </w:instrText>
          </w:r>
          <w:r>
            <w:fldChar w:fldCharType="separate"/>
          </w:r>
          <w:r>
            <w:rPr>
              <w:rFonts w:hint="eastAsia" w:ascii="黑体" w:hAnsi="黑体" w:eastAsia="黑体" w:cs="黑体"/>
              <w:szCs w:val="32"/>
            </w:rPr>
            <w:t>九、国有资本经营预算支出情况说明</w:t>
          </w:r>
          <w:r>
            <w:tab/>
          </w:r>
          <w:r>
            <w:fldChar w:fldCharType="begin"/>
          </w:r>
          <w:r>
            <w:instrText xml:space="preserve"> PAGEREF _Toc184105230 \h </w:instrText>
          </w:r>
          <w:r>
            <w:fldChar w:fldCharType="separate"/>
          </w:r>
          <w:r>
            <w:t>9</w:t>
          </w:r>
          <w:r>
            <w:fldChar w:fldCharType="end"/>
          </w:r>
          <w:r>
            <w:fldChar w:fldCharType="end"/>
          </w:r>
        </w:p>
        <w:p>
          <w:pPr>
            <w:pStyle w:val="14"/>
            <w:tabs>
              <w:tab w:val="right" w:leader="dot" w:pos="8845"/>
            </w:tabs>
            <w:spacing w:line="300" w:lineRule="auto"/>
          </w:pPr>
          <w:r>
            <w:fldChar w:fldCharType="begin"/>
          </w:r>
          <w:r>
            <w:instrText xml:space="preserve"> HYPERLINK \l _Toc296145395 </w:instrText>
          </w:r>
          <w:r>
            <w:fldChar w:fldCharType="separate"/>
          </w:r>
          <w:r>
            <w:rPr>
              <w:rFonts w:hint="eastAsia" w:ascii="黑体" w:hAnsi="黑体" w:eastAsia="黑体" w:cs="黑体"/>
              <w:szCs w:val="32"/>
            </w:rPr>
            <w:t>十、其他重要事项的情况说明</w:t>
          </w:r>
          <w:r>
            <w:tab/>
          </w:r>
          <w:r>
            <w:fldChar w:fldCharType="begin"/>
          </w:r>
          <w:r>
            <w:instrText xml:space="preserve"> PAGEREF _Toc296145395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_Toc2086780446 </w:instrText>
          </w:r>
          <w:r>
            <w:fldChar w:fldCharType="separate"/>
          </w:r>
          <w:r>
            <w:rPr>
              <w:rFonts w:hint="eastAsia" w:ascii="楷体_GB2312" w:hAnsi="楷体_GB2312" w:eastAsia="楷体_GB2312" w:cs="楷体_GB2312"/>
              <w:szCs w:val="32"/>
            </w:rPr>
            <w:t>（一）机关运行经费</w:t>
          </w:r>
          <w:r>
            <w:tab/>
          </w:r>
          <w:r>
            <w:fldChar w:fldCharType="begin"/>
          </w:r>
          <w:r>
            <w:instrText xml:space="preserve"> PAGEREF _Toc2086780446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_Toc904417388 </w:instrText>
          </w:r>
          <w:r>
            <w:fldChar w:fldCharType="separate"/>
          </w:r>
          <w:r>
            <w:rPr>
              <w:rFonts w:hint="eastAsia" w:ascii="楷体_GB2312" w:hAnsi="楷体_GB2312" w:eastAsia="楷体_GB2312" w:cs="楷体_GB2312"/>
              <w:szCs w:val="32"/>
            </w:rPr>
            <w:t>（二）政府采购情况</w:t>
          </w:r>
          <w:r>
            <w:tab/>
          </w:r>
          <w:r>
            <w:fldChar w:fldCharType="begin"/>
          </w:r>
          <w:r>
            <w:instrText xml:space="preserve"> PAGEREF _Toc904417388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_Toc383306212 </w:instrText>
          </w:r>
          <w: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_Toc383306212 \h </w:instrText>
          </w:r>
          <w:r>
            <w:fldChar w:fldCharType="separate"/>
          </w:r>
          <w:r>
            <w:t>9</w:t>
          </w:r>
          <w:r>
            <w:fldChar w:fldCharType="end"/>
          </w:r>
          <w:r>
            <w:fldChar w:fldCharType="end"/>
          </w:r>
        </w:p>
        <w:p>
          <w:pPr>
            <w:pStyle w:val="15"/>
            <w:tabs>
              <w:tab w:val="right" w:leader="dot" w:pos="8845"/>
            </w:tabs>
            <w:spacing w:line="300" w:lineRule="auto"/>
          </w:pPr>
          <w:r>
            <w:fldChar w:fldCharType="begin"/>
          </w:r>
          <w:r>
            <w:instrText xml:space="preserve"> HYPERLINK \l _Toc1286434885 </w:instrText>
          </w:r>
          <w: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_Toc1286434885 \h </w:instrText>
          </w:r>
          <w:r>
            <w:fldChar w:fldCharType="separate"/>
          </w:r>
          <w:r>
            <w:t>9</w:t>
          </w:r>
          <w:r>
            <w:fldChar w:fldCharType="end"/>
          </w:r>
          <w:r>
            <w:fldChar w:fldCharType="end"/>
          </w:r>
        </w:p>
        <w:p>
          <w:pPr>
            <w:pStyle w:val="14"/>
            <w:tabs>
              <w:tab w:val="right" w:leader="dot" w:pos="8845"/>
            </w:tabs>
            <w:spacing w:line="300" w:lineRule="auto"/>
          </w:pPr>
          <w:r>
            <w:fldChar w:fldCharType="begin"/>
          </w:r>
          <w:r>
            <w:instrText xml:space="preserve"> HYPERLINK \l _Toc1222206296 </w:instrText>
          </w:r>
          <w:r>
            <w:fldChar w:fldCharType="separate"/>
          </w:r>
          <w:r>
            <w:rPr>
              <w:rFonts w:hint="eastAsia" w:ascii="黑体" w:hAnsi="黑体" w:eastAsia="黑体" w:cs="黑体"/>
              <w:szCs w:val="32"/>
            </w:rPr>
            <w:t>十一、名词解释</w:t>
          </w:r>
          <w:r>
            <w:tab/>
          </w:r>
          <w:r>
            <w:fldChar w:fldCharType="begin"/>
          </w:r>
          <w:r>
            <w:instrText xml:space="preserve"> PAGEREF _Toc1222206296 \h </w:instrText>
          </w:r>
          <w:r>
            <w:fldChar w:fldCharType="separate"/>
          </w:r>
          <w:r>
            <w:t>10</w:t>
          </w:r>
          <w:r>
            <w:fldChar w:fldCharType="end"/>
          </w:r>
          <w:r>
            <w:fldChar w:fldCharType="end"/>
          </w:r>
        </w:p>
        <w:p>
          <w:pPr>
            <w:spacing w:line="300" w:lineRule="auto"/>
          </w:pPr>
          <w:r>
            <w:fldChar w:fldCharType="end"/>
          </w:r>
        </w:p>
      </w:sdtContent>
    </w:sdt>
    <w:p/>
    <w:p>
      <w:pPr>
        <w:pStyle w:val="7"/>
        <w:widowControl/>
        <w:shd w:val="clear" w:color="auto" w:fill="FFFFFF"/>
        <w:spacing w:before="130" w:line="580" w:lineRule="atLeast"/>
        <w:rPr>
          <w:rFonts w:ascii="宋体" w:hAnsi="宋体" w:cs="宋体"/>
          <w:b/>
          <w:color w:val="FF0000"/>
          <w:sz w:val="28"/>
          <w:szCs w:val="28"/>
          <w:shd w:val="clear" w:color="auto" w:fill="FFFFFF"/>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r>
        <w:rPr>
          <w:rFonts w:hint="eastAsia" w:ascii="宋体" w:hAnsi="宋体" w:cs="宋体"/>
          <w:b/>
          <w:color w:val="FF0000"/>
          <w:sz w:val="28"/>
          <w:szCs w:val="28"/>
          <w:shd w:val="clear" w:color="auto" w:fill="FFFFFF"/>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outlineLvl w:val="0"/>
        <w:rPr>
          <w:rFonts w:ascii="黑体" w:hAnsi="黑体" w:eastAsia="黑体" w:cs="黑体"/>
          <w:sz w:val="32"/>
          <w:szCs w:val="32"/>
        </w:rPr>
      </w:pPr>
      <w:bookmarkStart w:id="0" w:name="_Toc1233754290"/>
      <w:r>
        <w:rPr>
          <w:rFonts w:hint="eastAsia" w:ascii="黑体" w:hAnsi="黑体" w:eastAsia="黑体" w:cs="黑体"/>
          <w:sz w:val="32"/>
          <w:szCs w:val="32"/>
        </w:rPr>
        <w:t>一、基本职能及主要工作</w:t>
      </w:r>
      <w:bookmarkEnd w:id="0"/>
    </w:p>
    <w:p>
      <w:pPr>
        <w:pStyle w:val="7"/>
        <w:widowControl/>
        <w:shd w:val="clear" w:color="auto" w:fill="FFFFFF"/>
        <w:spacing w:before="130" w:line="640" w:lineRule="exact"/>
        <w:ind w:firstLine="674"/>
        <w:outlineLvl w:val="1"/>
        <w:rPr>
          <w:rFonts w:ascii="楷体_GB2312" w:eastAsia="楷体_GB2312" w:cs="楷体_GB2312"/>
          <w:b/>
          <w:color w:val="333333"/>
          <w:sz w:val="32"/>
          <w:szCs w:val="32"/>
          <w:shd w:val="clear" w:color="auto" w:fill="FFFFFF"/>
        </w:rPr>
      </w:pPr>
      <w:bookmarkStart w:id="1" w:name="_Toc2142278283"/>
      <w:r>
        <w:rPr>
          <w:rFonts w:ascii="楷体_GB2312" w:eastAsia="楷体_GB2312" w:cs="楷体_GB2312"/>
          <w:b/>
          <w:color w:val="333333"/>
          <w:sz w:val="32"/>
          <w:szCs w:val="32"/>
          <w:shd w:val="clear" w:color="auto" w:fill="FFFFFF"/>
        </w:rPr>
        <w:t>（一）</w:t>
      </w:r>
      <w:r>
        <w:rPr>
          <w:rFonts w:hint="eastAsia" w:ascii="楷体_GB2312" w:eastAsia="楷体_GB2312" w:cs="楷体_GB2312"/>
          <w:b/>
          <w:color w:val="333333"/>
          <w:sz w:val="32"/>
          <w:szCs w:val="32"/>
          <w:shd w:val="clear" w:color="auto" w:fill="FFFFFF"/>
        </w:rPr>
        <w:t>青川县人民法院职能简介</w:t>
      </w:r>
      <w:bookmarkEnd w:id="1"/>
      <w:bookmarkStart w:id="2" w:name="_Toc30332"/>
    </w:p>
    <w:p>
      <w:pPr>
        <w:pStyle w:val="7"/>
        <w:widowControl/>
        <w:shd w:val="clear" w:color="auto" w:fill="FFFFFF"/>
        <w:spacing w:before="130" w:line="640" w:lineRule="exact"/>
        <w:ind w:firstLine="674"/>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人民法院是国家的审判机关，依法独立行使审判权，主要职权是：</w:t>
      </w:r>
      <w:bookmarkEnd w:id="2"/>
      <w:bookmarkStart w:id="3" w:name="_Toc21929"/>
    </w:p>
    <w:p>
      <w:pPr>
        <w:pStyle w:val="7"/>
        <w:widowControl/>
        <w:shd w:val="clear" w:color="auto" w:fill="FFFFFF"/>
        <w:spacing w:before="130" w:line="640" w:lineRule="exact"/>
        <w:ind w:firstLine="674"/>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rPr>
        <w:t>1.</w:t>
      </w:r>
      <w:r>
        <w:rPr>
          <w:rFonts w:hint="eastAsia" w:ascii="仿宋_GB2312" w:hAnsi="宋体" w:eastAsia="仿宋_GB2312" w:cs="宋体"/>
          <w:color w:val="000000"/>
          <w:kern w:val="0"/>
          <w:sz w:val="32"/>
          <w:szCs w:val="32"/>
          <w:shd w:val="clear" w:color="auto" w:fill="FFFFFF"/>
          <w:lang w:val="zh-CN"/>
        </w:rPr>
        <w:t>依法审判符合本辖区内的第一审刑事、民事、商事、行政案件。</w:t>
      </w:r>
      <w:bookmarkEnd w:id="3"/>
      <w:bookmarkStart w:id="4" w:name="_Toc26533"/>
    </w:p>
    <w:p>
      <w:pPr>
        <w:pStyle w:val="7"/>
        <w:widowControl/>
        <w:shd w:val="clear" w:color="auto" w:fill="FFFFFF"/>
        <w:spacing w:before="130" w:line="640" w:lineRule="exact"/>
        <w:ind w:firstLine="674"/>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rPr>
        <w:t>2.</w:t>
      </w:r>
      <w:r>
        <w:rPr>
          <w:rFonts w:hint="eastAsia" w:ascii="仿宋_GB2312" w:hAnsi="宋体" w:eastAsia="仿宋_GB2312" w:cs="宋体"/>
          <w:color w:val="000000"/>
          <w:kern w:val="0"/>
          <w:sz w:val="32"/>
          <w:szCs w:val="32"/>
          <w:shd w:val="clear" w:color="auto" w:fill="FFFFFF"/>
          <w:lang w:val="zh-CN"/>
        </w:rPr>
        <w:t>依法受理符合本辖区内管辖及委托的执行案件。</w:t>
      </w:r>
      <w:bookmarkEnd w:id="4"/>
      <w:bookmarkStart w:id="5" w:name="_Toc31128"/>
    </w:p>
    <w:p>
      <w:pPr>
        <w:pStyle w:val="7"/>
        <w:widowControl/>
        <w:shd w:val="clear" w:color="auto" w:fill="FFFFFF"/>
        <w:spacing w:before="130" w:line="640" w:lineRule="exact"/>
        <w:ind w:firstLine="674"/>
        <w:rPr>
          <w:rFonts w:ascii="楷体_GB2312" w:eastAsia="楷体_GB2312" w:cs="楷体_GB2312"/>
          <w:b/>
          <w:color w:val="333333"/>
          <w:sz w:val="32"/>
          <w:szCs w:val="32"/>
          <w:shd w:val="clear" w:color="auto" w:fill="FFFFFF"/>
        </w:rPr>
      </w:pPr>
      <w:r>
        <w:rPr>
          <w:rFonts w:hint="eastAsia" w:ascii="仿宋_GB2312" w:hAnsi="宋体" w:eastAsia="仿宋_GB2312" w:cs="宋体"/>
          <w:color w:val="000000"/>
          <w:kern w:val="0"/>
          <w:sz w:val="32"/>
          <w:szCs w:val="32"/>
          <w:shd w:val="clear" w:color="auto" w:fill="FFFFFF"/>
          <w:lang w:val="zh-CN"/>
        </w:rPr>
        <w:t>3.受理不服本院已发生法律效力的判决、裁定等各类申诉，并依法对其中确有错误的已发生法律效力的判决、裁定和调解进行再审。</w:t>
      </w:r>
      <w:bookmarkEnd w:id="5"/>
    </w:p>
    <w:p>
      <w:pPr>
        <w:pStyle w:val="7"/>
        <w:widowControl/>
        <w:shd w:val="clear" w:color="auto" w:fill="FFFFFF"/>
        <w:spacing w:before="130" w:line="640" w:lineRule="exact"/>
        <w:ind w:firstLine="674"/>
        <w:outlineLvl w:val="1"/>
        <w:rPr>
          <w:rFonts w:ascii="楷体_GB2312" w:eastAsia="楷体_GB2312" w:cs="楷体_GB2312"/>
          <w:b/>
          <w:color w:val="333333"/>
          <w:sz w:val="32"/>
          <w:szCs w:val="32"/>
          <w:shd w:val="clear" w:color="auto" w:fill="FFFFFF"/>
        </w:rPr>
      </w:pPr>
      <w:bookmarkStart w:id="6" w:name="_Toc1368377767"/>
      <w:r>
        <w:rPr>
          <w:rFonts w:hint="eastAsia" w:ascii="楷体_GB2312" w:eastAsia="楷体_GB2312" w:cs="楷体_GB2312"/>
          <w:b/>
          <w:color w:val="333333"/>
          <w:sz w:val="32"/>
          <w:szCs w:val="32"/>
          <w:shd w:val="clear" w:color="auto" w:fill="FFFFFF"/>
        </w:rPr>
        <w:t>（二）青川县人民法院2024年重点工作</w:t>
      </w:r>
      <w:bookmarkEnd w:id="6"/>
    </w:p>
    <w:p>
      <w:pPr>
        <w:overflowPunct w:val="0"/>
        <w:adjustRightInd w:val="0"/>
        <w:snapToGrid w:val="0"/>
        <w:spacing w:line="576" w:lineRule="exact"/>
        <w:ind w:firstLine="640" w:firstLineChars="200"/>
        <w:rPr>
          <w:rFonts w:ascii="仿宋_GB2312" w:hAnsi="宋体" w:eastAsia="仿宋_GB2312" w:cs="宋体"/>
          <w:color w:val="000000"/>
          <w:kern w:val="0"/>
          <w:sz w:val="32"/>
          <w:szCs w:val="32"/>
          <w:shd w:val="clear" w:color="auto" w:fill="FFFFFF"/>
          <w:lang w:val="zh-CN"/>
        </w:rPr>
      </w:pPr>
      <w:r>
        <w:rPr>
          <w:rFonts w:ascii="仿宋_GB2312" w:hAnsi="宋体" w:eastAsia="仿宋_GB2312" w:cs="宋体"/>
          <w:color w:val="000000"/>
          <w:kern w:val="0"/>
          <w:sz w:val="32"/>
          <w:szCs w:val="32"/>
          <w:shd w:val="clear" w:color="auto" w:fill="FFFFFF"/>
          <w:lang w:val="zh-CN"/>
        </w:rPr>
        <w:t>202</w:t>
      </w:r>
      <w:r>
        <w:rPr>
          <w:rFonts w:hint="eastAsia" w:ascii="仿宋_GB2312" w:hAnsi="宋体" w:eastAsia="仿宋_GB2312" w:cs="宋体"/>
          <w:color w:val="000000"/>
          <w:kern w:val="0"/>
          <w:sz w:val="32"/>
          <w:szCs w:val="32"/>
          <w:shd w:val="clear" w:color="auto" w:fill="FFFFFF"/>
          <w:lang w:val="zh-CN"/>
        </w:rPr>
        <w:t>4年，县法院工作总体思路是：坚持以习近平新时代中国特色社会主义思想为指引，深入学习宣传贯彻党的二十大精神，认真贯彻落实省委十二届二次全会精神，全面贯彻市委八届五次全会和县委十三届三次全会决策部署，紧扣县委“四个一、三个三”发展战略，坚持党的绝对领导，恪守法治公平正义，践行为民服务宗旨，为全面建设社会主义现代化新青川提供坚强有力的司法保障。</w:t>
      </w:r>
    </w:p>
    <w:p>
      <w:pPr>
        <w:overflowPunct w:val="0"/>
        <w:spacing w:line="586"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黑体" w:hAnsi="黑体" w:eastAsia="黑体" w:cs="宋体"/>
          <w:color w:val="000000"/>
          <w:kern w:val="0"/>
          <w:sz w:val="32"/>
          <w:szCs w:val="32"/>
          <w:shd w:val="clear" w:color="auto" w:fill="FFFFFF"/>
          <w:lang w:val="zh-CN"/>
        </w:rPr>
        <w:t>一是励志笃行夯实政治根基。</w:t>
      </w:r>
      <w:r>
        <w:rPr>
          <w:rFonts w:hint="eastAsia" w:ascii="仿宋_GB2312" w:hAnsi="宋体" w:eastAsia="仿宋_GB2312" w:cs="宋体"/>
          <w:color w:val="000000"/>
          <w:kern w:val="0"/>
          <w:sz w:val="32"/>
          <w:szCs w:val="32"/>
          <w:shd w:val="clear" w:color="auto" w:fill="FFFFFF"/>
          <w:lang w:val="zh-CN"/>
        </w:rPr>
        <w:t>把坚持党的全面领导贯穿法院工作全过程，坚定不移走中国特色社会主义法治道路。深入学习贯彻习近平新时代中国特色社会主义思想，真学深悟习近平法治思想，教育引导全体干警自觉做“两个确立”的坚决拥护者和“两个维护”的坚定践行者。增强政治意识，把握政治大局，不断提高政治判断力、政治领悟力、政治执行力。</w:t>
      </w:r>
    </w:p>
    <w:p>
      <w:pPr>
        <w:pStyle w:val="13"/>
        <w:ind w:firstLine="640" w:firstLineChars="200"/>
        <w:rPr>
          <w:rFonts w:ascii="仿宋_GB2312" w:hAnsi="宋体" w:eastAsia="仿宋_GB2312" w:cs="宋体"/>
          <w:sz w:val="32"/>
          <w:szCs w:val="32"/>
          <w:shd w:val="clear" w:color="auto" w:fill="FFFFFF"/>
          <w:lang w:val="zh-CN"/>
        </w:rPr>
      </w:pPr>
      <w:r>
        <w:rPr>
          <w:rFonts w:hint="eastAsia" w:ascii="黑体" w:hAnsi="黑体" w:eastAsia="黑体" w:cs="宋体"/>
          <w:sz w:val="32"/>
          <w:szCs w:val="32"/>
          <w:shd w:val="clear" w:color="auto" w:fill="FFFFFF"/>
          <w:lang w:val="zh-CN"/>
        </w:rPr>
        <w:t>二是多点发力服务中心大局。</w:t>
      </w:r>
      <w:r>
        <w:rPr>
          <w:rFonts w:hint="eastAsia" w:ascii="仿宋_GB2312" w:hAnsi="宋体" w:eastAsia="仿宋_GB2312" w:cs="宋体"/>
          <w:sz w:val="32"/>
          <w:szCs w:val="32"/>
          <w:shd w:val="clear" w:color="auto" w:fill="FFFFFF"/>
          <w:lang w:val="zh-CN"/>
        </w:rPr>
        <w:t>全面贯彻新发展理念，紧扣县委十三届三次全会确定的发展目标任务，积极服务经济社会高质量发展。不断深化司法服务，延伸司法职能，为全县重大战略、重点项目实施提供坚强有力的法律保障，全力服务保障企业发展，打造最优法治化营商环境。践行“两山”理念，精心打造青溪环境资源和旅游法庭，创出青川品牌，为大唐家河旅游区提供优质的司法服务与保障。</w:t>
      </w:r>
    </w:p>
    <w:p>
      <w:pPr>
        <w:pStyle w:val="13"/>
        <w:ind w:firstLine="640" w:firstLineChars="200"/>
        <w:rPr>
          <w:rFonts w:ascii="仿宋_GB2312" w:hAnsi="宋体" w:eastAsia="仿宋_GB2312" w:cs="宋体"/>
          <w:sz w:val="32"/>
          <w:szCs w:val="32"/>
          <w:shd w:val="clear" w:color="auto" w:fill="FFFFFF"/>
          <w:lang w:val="zh-CN"/>
        </w:rPr>
      </w:pPr>
      <w:r>
        <w:rPr>
          <w:rFonts w:hint="eastAsia" w:ascii="黑体" w:hAnsi="黑体" w:eastAsia="黑体" w:cs="宋体"/>
          <w:sz w:val="32"/>
          <w:szCs w:val="32"/>
          <w:shd w:val="clear" w:color="auto" w:fill="FFFFFF"/>
          <w:lang w:val="zh-CN"/>
        </w:rPr>
        <w:t>三是提质增效抓好执法办案。</w:t>
      </w:r>
      <w:r>
        <w:rPr>
          <w:rFonts w:hint="eastAsia" w:ascii="仿宋_GB2312" w:hAnsi="宋体" w:eastAsia="仿宋_GB2312" w:cs="宋体"/>
          <w:sz w:val="32"/>
          <w:szCs w:val="32"/>
          <w:shd w:val="clear" w:color="auto" w:fill="FFFFFF"/>
          <w:lang w:val="zh-CN"/>
        </w:rPr>
        <w:t>狠抓审判执行质效重点指标，确保重点指标全面提升。加强审判管理，强化审判团队的审判质效意识，进一步推进类案专审工作。全力破解执行难题，推动“法庭执行工作”深入开展。巩固提升一站式多元解纷机制成果，让一站式多元解纷落在实处。</w:t>
      </w:r>
    </w:p>
    <w:p>
      <w:pPr>
        <w:overflowPunct w:val="0"/>
        <w:adjustRightInd w:val="0"/>
        <w:snapToGrid w:val="0"/>
        <w:spacing w:line="576"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黑体" w:hAnsi="黑体" w:eastAsia="黑体" w:cs="宋体"/>
          <w:color w:val="000000"/>
          <w:kern w:val="0"/>
          <w:sz w:val="32"/>
          <w:szCs w:val="32"/>
          <w:shd w:val="clear" w:color="auto" w:fill="FFFFFF"/>
          <w:lang w:val="zh-CN"/>
        </w:rPr>
        <w:t>四是强基铸魂锻造过硬队伍。</w:t>
      </w:r>
      <w:r>
        <w:rPr>
          <w:rFonts w:hint="eastAsia" w:ascii="仿宋_GB2312" w:hAnsi="宋体" w:eastAsia="仿宋_GB2312" w:cs="宋体"/>
          <w:color w:val="000000"/>
          <w:kern w:val="0"/>
          <w:sz w:val="32"/>
          <w:szCs w:val="32"/>
          <w:shd w:val="clear" w:color="auto" w:fill="FFFFFF"/>
          <w:lang w:val="zh-CN"/>
        </w:rPr>
        <w:t>以党建为引领，带动和促进审判执行业务发展，切实提高法院工作质量和水平。全面从严管党治院，持之以恒纠治“四风”，坚持严管与厚爱结合、激励和约束并重，以零容忍态度严惩司法腐败。完善人才培养机制，加强专业化能力建设，提高业务工作水平，加快培养储备一批高素质专业化审判人才和后备力量。</w:t>
      </w:r>
    </w:p>
    <w:p>
      <w:pPr>
        <w:overflowPunct w:val="0"/>
        <w:adjustRightInd w:val="0"/>
        <w:snapToGrid w:val="0"/>
        <w:spacing w:line="576"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新时代的奋进号角激荡人心，再出发的壮阔航程风鹏正举。县法院将在新的征程上忠实履行新使命、圆满完成新任务，铸就政治上忠诚、业务上精良、作风上硬朗的人民司法之魂。为加快推进“四个一、三个三”青川振兴发展战略提供有力的司法服务和保障。</w:t>
      </w:r>
    </w:p>
    <w:p>
      <w:pPr>
        <w:spacing w:line="576" w:lineRule="exact"/>
        <w:ind w:firstLine="640" w:firstLineChars="200"/>
        <w:outlineLvl w:val="0"/>
        <w:rPr>
          <w:rFonts w:ascii="黑体" w:hAnsi="黑体" w:eastAsia="黑体" w:cs="黑体"/>
          <w:sz w:val="32"/>
          <w:szCs w:val="32"/>
        </w:rPr>
      </w:pPr>
      <w:bookmarkStart w:id="7" w:name="_Toc205611878"/>
      <w:r>
        <w:rPr>
          <w:rFonts w:hint="eastAsia" w:ascii="黑体" w:hAnsi="黑体" w:eastAsia="黑体" w:cs="黑体"/>
          <w:sz w:val="32"/>
          <w:szCs w:val="32"/>
        </w:rPr>
        <w:t>二、部门预算单位构成</w:t>
      </w:r>
      <w:bookmarkEnd w:id="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青川县人民法院为一级预算单位，本单位无下属机构。</w:t>
      </w:r>
    </w:p>
    <w:p>
      <w:pPr>
        <w:spacing w:line="576" w:lineRule="exact"/>
        <w:ind w:firstLine="640" w:firstLineChars="200"/>
        <w:outlineLvl w:val="0"/>
        <w:rPr>
          <w:rFonts w:ascii="黑体" w:hAnsi="黑体" w:eastAsia="黑体" w:cs="黑体"/>
          <w:sz w:val="32"/>
          <w:szCs w:val="32"/>
        </w:rPr>
      </w:pPr>
      <w:bookmarkStart w:id="8" w:name="_Toc137517676"/>
      <w:r>
        <w:rPr>
          <w:rFonts w:hint="eastAsia" w:ascii="黑体" w:hAnsi="黑体" w:eastAsia="黑体" w:cs="黑体"/>
          <w:sz w:val="32"/>
          <w:szCs w:val="32"/>
        </w:rPr>
        <w:t>三、收支预算情况说明</w:t>
      </w:r>
      <w:bookmarkEnd w:id="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按照综合预算的原则，青川县人民法院所有收入和支出均纳入部门预算管理。收入包括：一般公共预算拨款收入；支出包括：</w:t>
      </w:r>
      <w:r>
        <w:rPr>
          <w:rFonts w:hint="eastAsia" w:ascii="Times New Roman" w:hAnsi="Times New Roman" w:eastAsia="仿宋_GB2312"/>
          <w:color w:val="333333"/>
          <w:kern w:val="0"/>
          <w:sz w:val="32"/>
          <w:szCs w:val="32"/>
          <w:shd w:val="clear" w:color="auto" w:fill="FFFFFF"/>
          <w:lang w:bidi="ar"/>
        </w:rPr>
        <w:t>公共安全支出、社会保障和就业支出、卫生健康支出、住房保障支出。</w:t>
      </w:r>
      <w:r>
        <w:rPr>
          <w:rFonts w:hint="eastAsia" w:ascii="仿宋_GB2312" w:hAnsi="仿宋_GB2312" w:eastAsia="仿宋_GB2312" w:cs="仿宋_GB2312"/>
          <w:sz w:val="32"/>
          <w:szCs w:val="32"/>
        </w:rPr>
        <w:t>青川县人民法院2024年收支预算总数1130.9万元,比2023年收支预算总数减少110.44万元，主要原因是人员减少7人，经费随着降低。</w:t>
      </w:r>
    </w:p>
    <w:p>
      <w:pPr>
        <w:spacing w:line="576" w:lineRule="exact"/>
        <w:ind w:firstLine="640" w:firstLineChars="200"/>
        <w:outlineLvl w:val="1"/>
        <w:rPr>
          <w:rFonts w:ascii="楷体_GB2312" w:hAnsi="楷体_GB2312" w:eastAsia="楷体_GB2312" w:cs="楷体_GB2312"/>
          <w:sz w:val="32"/>
          <w:szCs w:val="32"/>
        </w:rPr>
      </w:pPr>
      <w:bookmarkStart w:id="9" w:name="_Toc1608000457"/>
      <w:r>
        <w:rPr>
          <w:rFonts w:hint="eastAsia" w:ascii="楷体_GB2312" w:hAnsi="楷体_GB2312" w:eastAsia="楷体_GB2312" w:cs="楷体_GB2312"/>
          <w:sz w:val="32"/>
          <w:szCs w:val="32"/>
        </w:rPr>
        <w:t>（一）收入预算情况</w:t>
      </w:r>
      <w:bookmarkEnd w:id="9"/>
    </w:p>
    <w:p>
      <w:pP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青川县人民法院2024年收入预算1130.9万元，其中：一般公共预算拨款收入1130.9万元，占100%。</w:t>
      </w:r>
    </w:p>
    <w:p>
      <w:pPr>
        <w:spacing w:line="576" w:lineRule="exact"/>
        <w:ind w:firstLine="640" w:firstLineChars="200"/>
        <w:outlineLvl w:val="1"/>
        <w:rPr>
          <w:rFonts w:ascii="楷体_GB2312" w:hAnsi="楷体_GB2312" w:eastAsia="楷体_GB2312" w:cs="楷体_GB2312"/>
          <w:sz w:val="32"/>
          <w:szCs w:val="32"/>
        </w:rPr>
      </w:pPr>
      <w:bookmarkStart w:id="10" w:name="_Toc1477454469"/>
      <w:r>
        <w:rPr>
          <w:rFonts w:hint="eastAsia" w:ascii="楷体_GB2312" w:hAnsi="楷体_GB2312" w:eastAsia="楷体_GB2312" w:cs="楷体_GB2312"/>
          <w:sz w:val="32"/>
          <w:szCs w:val="32"/>
        </w:rPr>
        <w:t>（二）支出预算情况</w:t>
      </w:r>
      <w:bookmarkEnd w:id="10"/>
    </w:p>
    <w:p>
      <w:pP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青川县人民法院2024年支出预算1130.9万元，其中：基本支出970.35万元，占86%；项目支出160.55万元，占14%。</w:t>
      </w:r>
    </w:p>
    <w:p>
      <w:pPr>
        <w:spacing w:line="576" w:lineRule="exact"/>
        <w:ind w:firstLine="640" w:firstLineChars="200"/>
        <w:outlineLvl w:val="0"/>
        <w:rPr>
          <w:rFonts w:ascii="黑体" w:hAnsi="黑体" w:eastAsia="黑体" w:cs="黑体"/>
          <w:sz w:val="32"/>
          <w:szCs w:val="32"/>
        </w:rPr>
      </w:pPr>
      <w:bookmarkStart w:id="11" w:name="_Toc376670896"/>
      <w:r>
        <w:rPr>
          <w:rFonts w:hint="eastAsia" w:ascii="黑体" w:hAnsi="黑体" w:eastAsia="黑体" w:cs="黑体"/>
          <w:sz w:val="32"/>
          <w:szCs w:val="32"/>
        </w:rPr>
        <w:t>四、财政拨款收支预算情况说明</w:t>
      </w:r>
      <w:bookmarkEnd w:id="1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青川县人民法院2024年财政拨款收支预算总数1130.9万元,比2023年财政拨款收支预算总数减少110.44万元，主要原因是人员减少7人，经费随着降低。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收入包括：本年一般公共预算拨款收入1130.9万元；支出包括：公共安全支出969.82万元、社会保障和就业支出68.98万元、卫生健康支出32.89万元、住房保障支出59.22万元。</w:t>
      </w:r>
    </w:p>
    <w:p>
      <w:pPr>
        <w:spacing w:line="576" w:lineRule="exact"/>
        <w:ind w:firstLine="640" w:firstLineChars="200"/>
        <w:outlineLvl w:val="0"/>
        <w:rPr>
          <w:rFonts w:ascii="黑体" w:hAnsi="黑体" w:eastAsia="黑体" w:cs="黑体"/>
          <w:sz w:val="32"/>
          <w:szCs w:val="32"/>
        </w:rPr>
      </w:pPr>
      <w:bookmarkStart w:id="12" w:name="_Toc1736719153"/>
      <w:r>
        <w:rPr>
          <w:rFonts w:hint="eastAsia" w:ascii="黑体" w:hAnsi="黑体" w:eastAsia="黑体" w:cs="黑体"/>
          <w:sz w:val="32"/>
          <w:szCs w:val="32"/>
        </w:rPr>
        <w:t>五、一般公共预算当年拨款情况说明</w:t>
      </w:r>
      <w:bookmarkEnd w:id="12"/>
    </w:p>
    <w:p>
      <w:pPr>
        <w:spacing w:line="576" w:lineRule="exact"/>
        <w:ind w:firstLine="640" w:firstLineChars="200"/>
        <w:outlineLvl w:val="1"/>
        <w:rPr>
          <w:rFonts w:ascii="楷体_GB2312" w:hAnsi="楷体_GB2312" w:eastAsia="楷体_GB2312" w:cs="楷体_GB2312"/>
          <w:sz w:val="32"/>
          <w:szCs w:val="32"/>
        </w:rPr>
      </w:pPr>
      <w:bookmarkStart w:id="13" w:name="_Toc1191880666"/>
      <w:r>
        <w:rPr>
          <w:rFonts w:hint="eastAsia" w:ascii="楷体_GB2312" w:hAnsi="楷体_GB2312" w:eastAsia="楷体_GB2312" w:cs="楷体_GB2312"/>
          <w:sz w:val="32"/>
          <w:szCs w:val="32"/>
        </w:rPr>
        <w:t>（一）一般公共预算当年拨款规模变化情况</w:t>
      </w:r>
      <w:bookmarkEnd w:id="13"/>
    </w:p>
    <w:p>
      <w:pP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青川县人民法院2024年一般公共预算当年拨款1130.9万元，比2023年预算数减少110.44万元，主要原因是人员减少7人，经费随着降低。</w:t>
      </w:r>
    </w:p>
    <w:p>
      <w:pPr>
        <w:spacing w:line="576" w:lineRule="exact"/>
        <w:ind w:firstLine="640" w:firstLineChars="200"/>
        <w:outlineLvl w:val="1"/>
        <w:rPr>
          <w:rFonts w:ascii="楷体_GB2312" w:hAnsi="楷体_GB2312" w:eastAsia="楷体_GB2312" w:cs="楷体_GB2312"/>
          <w:sz w:val="32"/>
          <w:szCs w:val="32"/>
        </w:rPr>
      </w:pPr>
      <w:bookmarkStart w:id="14" w:name="_Toc1287242400"/>
      <w:r>
        <w:rPr>
          <w:rFonts w:hint="eastAsia" w:ascii="楷体_GB2312" w:hAnsi="楷体_GB2312" w:eastAsia="楷体_GB2312" w:cs="楷体_GB2312"/>
          <w:sz w:val="32"/>
          <w:szCs w:val="32"/>
        </w:rPr>
        <w:t>（二）一般公共预算当年拨款结构情况</w:t>
      </w:r>
      <w:bookmarkEnd w:id="1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公共安全支出969.82万元，占86%；社会保障和就业支出68.98万元，占6%；卫生健康支出32.89万元，占3%；住房保障支出59.22万元，占5%。</w:t>
      </w:r>
    </w:p>
    <w:p>
      <w:pPr>
        <w:spacing w:line="576" w:lineRule="exact"/>
        <w:ind w:firstLine="640" w:firstLineChars="200"/>
        <w:outlineLvl w:val="1"/>
        <w:rPr>
          <w:rFonts w:ascii="楷体_GB2312" w:hAnsi="楷体_GB2312" w:eastAsia="楷体_GB2312" w:cs="楷体_GB2312"/>
          <w:sz w:val="32"/>
          <w:szCs w:val="32"/>
        </w:rPr>
      </w:pPr>
      <w:bookmarkStart w:id="15" w:name="_Toc1739117106"/>
      <w:r>
        <w:rPr>
          <w:rFonts w:hint="eastAsia" w:ascii="楷体_GB2312" w:hAnsi="楷体_GB2312" w:eastAsia="楷体_GB2312" w:cs="楷体_GB2312"/>
          <w:sz w:val="32"/>
          <w:szCs w:val="32"/>
        </w:rPr>
        <w:t>（三）一般公共预算当年拨款具体使用情况</w:t>
      </w:r>
      <w:bookmarkEnd w:id="15"/>
    </w:p>
    <w:p>
      <w:pPr>
        <w:spacing w:line="576" w:lineRule="exact"/>
        <w:ind w:firstLine="640" w:firstLineChars="200"/>
        <w:rPr>
          <w:rFonts w:ascii="仿宋_GB2312" w:hAnsi="Times New Roman" w:eastAsia="仿宋_GB2312" w:cs="仿宋_GB2312"/>
          <w:color w:val="333333"/>
          <w:kern w:val="0"/>
          <w:sz w:val="32"/>
          <w:szCs w:val="32"/>
          <w:shd w:val="clear" w:color="auto" w:fill="FFFFFF"/>
          <w:lang w:bidi="ar"/>
        </w:rPr>
      </w:pPr>
      <w:r>
        <w:rPr>
          <w:rFonts w:ascii="仿宋_GB2312" w:hAnsi="仿宋_GB2312" w:eastAsia="仿宋_GB2312" w:cs="仿宋_GB2312"/>
          <w:sz w:val="32"/>
          <w:szCs w:val="32"/>
        </w:rPr>
        <w:t>1.</w:t>
      </w:r>
      <w:r>
        <w:rPr>
          <w:rFonts w:hint="eastAsia" w:ascii="仿宋_GB2312" w:hAnsi="Times New Roman" w:eastAsia="仿宋_GB2312" w:cs="仿宋_GB2312"/>
          <w:color w:val="333333"/>
          <w:kern w:val="0"/>
          <w:sz w:val="32"/>
          <w:szCs w:val="32"/>
          <w:shd w:val="clear" w:color="auto" w:fill="FFFFFF"/>
          <w:lang w:bidi="ar"/>
        </w:rPr>
        <w:t xml:space="preserve"> 公共安全（类）法院（款）行政运行（项）</w:t>
      </w:r>
      <w:r>
        <w:rPr>
          <w:rFonts w:hint="eastAsia" w:ascii="仿宋_GB2312" w:hAnsi="仿宋_GB2312" w:eastAsia="仿宋_GB2312" w:cs="仿宋_GB2312"/>
          <w:sz w:val="32"/>
          <w:szCs w:val="32"/>
        </w:rPr>
        <w:t>2024年预算数为900.27万元，主要用于：</w:t>
      </w:r>
      <w:r>
        <w:rPr>
          <w:rFonts w:hint="eastAsia" w:ascii="仿宋_GB2312" w:hAnsi="Times New Roman" w:eastAsia="仿宋_GB2312" w:cs="仿宋_GB2312"/>
          <w:color w:val="333333"/>
          <w:kern w:val="0"/>
          <w:sz w:val="32"/>
          <w:szCs w:val="32"/>
          <w:shd w:val="clear" w:color="auto" w:fill="FFFFFF"/>
          <w:lang w:bidi="ar"/>
        </w:rPr>
        <w:t>职工工资福利支出、办公费、差旅费、培训费、维修(护)费、公务接待费、物业费、会议费、公务车运行维护费、福利费、工会经费、遗属人员补助等。</w:t>
      </w:r>
    </w:p>
    <w:p>
      <w:pPr>
        <w:spacing w:line="576" w:lineRule="exact"/>
        <w:ind w:firstLine="640" w:firstLineChars="200"/>
        <w:rPr>
          <w:rFonts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2. 公共安全（类）法院（款）一般行政管理事务（项）2024年预算数为69.55万元，主要用于：案件审判及辅助等支出。</w:t>
      </w:r>
    </w:p>
    <w:p>
      <w:pPr>
        <w:widowControl/>
        <w:shd w:val="clear" w:color="auto" w:fill="FFFFFF"/>
        <w:spacing w:line="580" w:lineRule="atLeast"/>
        <w:ind w:firstLine="668"/>
        <w:rPr>
          <w:rFonts w:hint="eastAsia" w:ascii="仿宋_GB2312" w:hAnsi="仿宋_GB2312" w:eastAsia="仿宋_GB2312" w:cs="仿宋_GB2312"/>
          <w:color w:val="333333"/>
          <w:kern w:val="0"/>
          <w:sz w:val="32"/>
          <w:szCs w:val="32"/>
          <w:shd w:val="clear" w:color="auto" w:fill="FFFFFF"/>
          <w:lang w:bidi="ar"/>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Times New Roman" w:eastAsia="仿宋_GB2312" w:cs="仿宋_GB2312"/>
          <w:color w:val="333333"/>
          <w:kern w:val="0"/>
          <w:sz w:val="32"/>
          <w:szCs w:val="32"/>
          <w:shd w:val="clear" w:color="auto" w:fill="FFFFFF"/>
          <w:lang w:bidi="ar"/>
        </w:rPr>
        <w:t xml:space="preserve"> </w:t>
      </w:r>
      <w:r>
        <w:rPr>
          <w:rFonts w:hint="eastAsia" w:ascii="仿宋_GB2312" w:hAnsi="仿宋_GB2312" w:eastAsia="仿宋_GB2312" w:cs="仿宋_GB2312"/>
          <w:color w:val="333333"/>
          <w:kern w:val="0"/>
          <w:sz w:val="32"/>
          <w:szCs w:val="32"/>
          <w:shd w:val="clear" w:color="auto" w:fill="FFFFFF"/>
          <w:lang w:bidi="ar"/>
        </w:rPr>
        <w:t>社会保障和就业（类）行政事业单位养老支出（款）机关事业单位基本养老保险缴费支出（项）</w:t>
      </w:r>
      <w:r>
        <w:rPr>
          <w:rFonts w:hint="eastAsia" w:ascii="仿宋_GB2312" w:hAnsi="仿宋_GB2312" w:eastAsia="仿宋_GB2312" w:cs="仿宋_GB2312"/>
          <w:sz w:val="32"/>
          <w:szCs w:val="32"/>
        </w:rPr>
        <w:t>2024年预算数为68.98万元，主要用于：</w:t>
      </w:r>
      <w:r>
        <w:rPr>
          <w:rFonts w:hint="eastAsia" w:ascii="仿宋_GB2312" w:hAnsi="仿宋_GB2312" w:eastAsia="仿宋_GB2312" w:cs="仿宋_GB2312"/>
          <w:color w:val="333333"/>
          <w:kern w:val="0"/>
          <w:sz w:val="32"/>
          <w:szCs w:val="32"/>
          <w:shd w:val="clear" w:color="auto" w:fill="FFFFFF"/>
          <w:lang w:bidi="ar"/>
        </w:rPr>
        <w:t>实施养老保险制度由单位缴纳的基本养老保险支出。</w:t>
      </w:r>
    </w:p>
    <w:p>
      <w:pPr>
        <w:widowControl/>
        <w:shd w:val="clear" w:color="auto" w:fill="FFFFFF"/>
        <w:spacing w:line="640" w:lineRule="exact"/>
        <w:ind w:firstLine="668"/>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Times New Roman" w:eastAsia="仿宋_GB2312" w:cs="仿宋_GB2312"/>
          <w:color w:val="333333"/>
          <w:kern w:val="0"/>
          <w:sz w:val="32"/>
          <w:szCs w:val="32"/>
          <w:shd w:val="clear" w:color="auto" w:fill="FFFFFF"/>
          <w:lang w:bidi="ar"/>
        </w:rPr>
        <w:t xml:space="preserve"> 卫生健康（类）行政事业单位医疗（款）行政单位医疗（项）</w:t>
      </w:r>
      <w:r>
        <w:rPr>
          <w:rFonts w:hint="eastAsia" w:ascii="仿宋_GB2312" w:hAnsi="仿宋_GB2312" w:eastAsia="仿宋_GB2312" w:cs="仿宋_GB2312"/>
          <w:sz w:val="32"/>
          <w:szCs w:val="32"/>
        </w:rPr>
        <w:t>2024年预算数为32.89万元，主要用于：机关及参公管理事业单位按规定由单位缴纳的基本医疗保险支出。</w:t>
      </w:r>
    </w:p>
    <w:p>
      <w:pPr>
        <w:widowControl/>
        <w:shd w:val="clear" w:color="auto" w:fill="FFFFFF"/>
        <w:spacing w:line="640" w:lineRule="exact"/>
        <w:ind w:firstLine="668"/>
        <w:rPr>
          <w:rFonts w:ascii="Times New Roman" w:hAnsi="Times New Roman"/>
          <w:color w:val="333333"/>
          <w:sz w:val="32"/>
          <w:szCs w:val="32"/>
        </w:rPr>
      </w:pPr>
      <w:r>
        <w:rPr>
          <w:rFonts w:hint="eastAsia" w:ascii="仿宋_GB2312" w:hAnsi="仿宋_GB2312" w:eastAsia="仿宋_GB2312" w:cs="仿宋_GB2312"/>
          <w:sz w:val="32"/>
          <w:szCs w:val="32"/>
        </w:rPr>
        <w:t>5.</w:t>
      </w:r>
      <w:r>
        <w:rPr>
          <w:rFonts w:hint="eastAsia" w:ascii="仿宋_GB2312" w:hAnsi="Times New Roman" w:eastAsia="仿宋_GB2312" w:cs="仿宋_GB2312"/>
          <w:color w:val="333333"/>
          <w:kern w:val="0"/>
          <w:sz w:val="32"/>
          <w:szCs w:val="32"/>
          <w:shd w:val="clear" w:color="auto" w:fill="FFFFFF"/>
          <w:lang w:bidi="ar"/>
        </w:rPr>
        <w:t xml:space="preserve"> 住房保障（类）住房改革支出（款）住房公积金（项）</w:t>
      </w:r>
      <w:r>
        <w:rPr>
          <w:rFonts w:hint="eastAsia" w:ascii="仿宋_GB2312" w:hAnsi="仿宋_GB2312" w:eastAsia="仿宋_GB2312" w:cs="仿宋_GB2312"/>
          <w:sz w:val="32"/>
          <w:szCs w:val="32"/>
        </w:rPr>
        <w:t>2024年预算数为59.22万元，主要用于：</w:t>
      </w:r>
      <w:r>
        <w:rPr>
          <w:rFonts w:hint="eastAsia" w:ascii="仿宋_GB2312" w:hAnsi="Times New Roman" w:eastAsia="仿宋_GB2312" w:cs="仿宋_GB2312"/>
          <w:color w:val="333333"/>
          <w:kern w:val="0"/>
          <w:sz w:val="32"/>
          <w:szCs w:val="32"/>
          <w:shd w:val="clear" w:color="auto" w:fill="FFFFFF"/>
          <w:lang w:bidi="ar"/>
        </w:rPr>
        <w:t>部门按规定为职工缴纳的住房公积金支出。</w:t>
      </w:r>
    </w:p>
    <w:p>
      <w:pPr>
        <w:spacing w:line="576" w:lineRule="exact"/>
        <w:ind w:firstLine="640" w:firstLineChars="200"/>
        <w:outlineLvl w:val="0"/>
        <w:rPr>
          <w:rFonts w:ascii="黑体" w:hAnsi="黑体" w:eastAsia="黑体" w:cs="黑体"/>
          <w:sz w:val="32"/>
          <w:szCs w:val="32"/>
        </w:rPr>
      </w:pPr>
      <w:bookmarkStart w:id="16" w:name="_Toc98808057"/>
      <w:r>
        <w:rPr>
          <w:rFonts w:hint="eastAsia" w:ascii="黑体" w:hAnsi="黑体" w:eastAsia="黑体" w:cs="黑体"/>
          <w:sz w:val="32"/>
          <w:szCs w:val="32"/>
        </w:rPr>
        <w:t>六、一般公共预算基本支出情况说明</w:t>
      </w:r>
      <w:bookmarkEnd w:id="1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青川县人民法院2024年一般公共预算基本支出970.35万元，其中：</w:t>
      </w:r>
    </w:p>
    <w:p>
      <w:pPr>
        <w:spacing w:line="576"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人员经费816.66万元，主要包括：基本工资、津贴补贴、奖金、机关事业单位基本养老保险缴费、职工基本医疗保险缴费、其他社会保障缴费、住房公积金、其他工资福利支出、生活补助等支出。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公用经费153.69万元，主要包括：办公费、物业管理费、差旅费、维修（护）费、会议费、培训费、公务接待费、工会经费、福利费、公务用车运行维护费、其他交通费用、其他商品服务支出等支出。</w:t>
      </w:r>
    </w:p>
    <w:p>
      <w:pPr>
        <w:spacing w:line="576" w:lineRule="exact"/>
        <w:ind w:firstLine="640" w:firstLineChars="200"/>
        <w:outlineLvl w:val="0"/>
        <w:rPr>
          <w:rFonts w:ascii="黑体" w:hAnsi="黑体" w:eastAsia="黑体" w:cs="黑体"/>
          <w:sz w:val="32"/>
          <w:szCs w:val="32"/>
        </w:rPr>
      </w:pPr>
      <w:bookmarkStart w:id="17" w:name="_Toc1283660294"/>
      <w:r>
        <w:rPr>
          <w:rFonts w:hint="eastAsia" w:ascii="黑体" w:hAnsi="黑体" w:eastAsia="黑体" w:cs="黑体"/>
          <w:sz w:val="32"/>
          <w:szCs w:val="32"/>
        </w:rPr>
        <w:t>七、“三公”经费财政拨款预算安排情况说明</w:t>
      </w:r>
      <w:bookmarkEnd w:id="1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青川县人民法院2024年“三公”经费财政拨款预算数6.65万元，其中：公务接待费3.12万元，公务用车购置及运行维护费3.53万元，因公出国（境）经费0万元。</w:t>
      </w:r>
    </w:p>
    <w:p>
      <w:pPr>
        <w:spacing w:line="576" w:lineRule="exact"/>
        <w:ind w:firstLine="640" w:firstLineChars="200"/>
        <w:outlineLvl w:val="1"/>
        <w:rPr>
          <w:rFonts w:ascii="楷体_GB2312" w:hAnsi="楷体_GB2312" w:eastAsia="楷体_GB2312" w:cs="楷体_GB2312"/>
          <w:sz w:val="32"/>
          <w:szCs w:val="32"/>
        </w:rPr>
      </w:pPr>
      <w:bookmarkStart w:id="18" w:name="_Toc970149648"/>
      <w:r>
        <w:rPr>
          <w:rFonts w:hint="eastAsia" w:ascii="楷体_GB2312" w:hAnsi="楷体_GB2312" w:eastAsia="楷体_GB2312" w:cs="楷体_GB2312"/>
          <w:sz w:val="32"/>
          <w:szCs w:val="32"/>
        </w:rPr>
        <w:t>（一）公务接待费</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numPr>
          <w:ilvl w:val="0"/>
          <w:numId w:val="1"/>
        </w:numPr>
        <w:spacing w:line="576" w:lineRule="exact"/>
        <w:ind w:firstLine="640" w:firstLineChars="200"/>
        <w:outlineLvl w:val="1"/>
        <w:rPr>
          <w:rFonts w:ascii="楷体_GB2312" w:hAnsi="楷体_GB2312" w:eastAsia="楷体_GB2312" w:cs="楷体_GB2312"/>
          <w:sz w:val="32"/>
          <w:szCs w:val="32"/>
        </w:rPr>
      </w:pPr>
      <w:bookmarkStart w:id="19" w:name="_Toc1699677132"/>
      <w:r>
        <w:rPr>
          <w:rFonts w:hint="eastAsia" w:ascii="楷体_GB2312" w:hAnsi="楷体_GB2312" w:eastAsia="楷体_GB2312" w:cs="楷体_GB2312"/>
          <w:sz w:val="32"/>
          <w:szCs w:val="32"/>
        </w:rPr>
        <w:t>公务用车购置及运行维护费</w:t>
      </w:r>
      <w:bookmarkEnd w:id="1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spacing w:line="576" w:lineRule="exact"/>
        <w:ind w:firstLine="640" w:firstLineChars="200"/>
        <w:rPr>
          <w:rFonts w:ascii="仿宋_GB2312" w:hAnsi="Times New Roman" w:eastAsia="仿宋_GB2312" w:cs="仿宋_GB2312"/>
          <w:color w:val="333333"/>
          <w:kern w:val="0"/>
          <w:sz w:val="32"/>
          <w:szCs w:val="32"/>
          <w:shd w:val="clear" w:color="auto" w:fill="FFFFFF"/>
          <w:lang w:bidi="ar"/>
        </w:rPr>
      </w:pPr>
      <w:r>
        <w:rPr>
          <w:rFonts w:hint="eastAsia" w:ascii="仿宋_GB2312" w:hAnsi="仿宋_GB2312" w:eastAsia="仿宋_GB2312" w:cs="仿宋_GB2312"/>
          <w:sz w:val="32"/>
          <w:szCs w:val="32"/>
        </w:rPr>
        <w:t>单位现有公务用车14辆，其中：轿车9辆，</w:t>
      </w:r>
      <w:r>
        <w:rPr>
          <w:rFonts w:hint="eastAsia" w:ascii="仿宋_GB2312" w:hAnsi="Times New Roman" w:eastAsia="仿宋_GB2312" w:cs="仿宋_GB2312"/>
          <w:color w:val="333333"/>
          <w:kern w:val="0"/>
          <w:sz w:val="32"/>
          <w:szCs w:val="32"/>
          <w:shd w:val="clear" w:color="auto" w:fill="FFFFFF"/>
          <w:lang w:bidi="ar"/>
        </w:rPr>
        <w:t>中巴车（含商务车）</w:t>
      </w:r>
      <w:r>
        <w:rPr>
          <w:rFonts w:hint="eastAsia" w:ascii="Times New Roman" w:hAnsi="Times New Roman" w:eastAsia="仿宋_GB2312"/>
          <w:color w:val="333333"/>
          <w:kern w:val="0"/>
          <w:sz w:val="32"/>
          <w:szCs w:val="32"/>
          <w:shd w:val="clear" w:color="auto" w:fill="FFFFFF"/>
          <w:lang w:bidi="ar"/>
        </w:rPr>
        <w:t>3</w:t>
      </w:r>
      <w:r>
        <w:rPr>
          <w:rFonts w:hint="eastAsia" w:ascii="仿宋_GB2312" w:hAnsi="Times New Roman" w:eastAsia="仿宋_GB2312" w:cs="仿宋_GB2312"/>
          <w:color w:val="333333"/>
          <w:kern w:val="0"/>
          <w:sz w:val="32"/>
          <w:szCs w:val="32"/>
          <w:shd w:val="clear" w:color="auto" w:fill="FFFFFF"/>
          <w:lang w:bidi="ar"/>
        </w:rPr>
        <w:t>辆，越野车</w:t>
      </w:r>
      <w:r>
        <w:rPr>
          <w:rFonts w:hint="eastAsia" w:ascii="Times New Roman" w:hAnsi="Times New Roman" w:eastAsia="仿宋_GB2312"/>
          <w:color w:val="333333"/>
          <w:kern w:val="0"/>
          <w:sz w:val="32"/>
          <w:szCs w:val="32"/>
          <w:shd w:val="clear" w:color="auto" w:fill="FFFFFF"/>
          <w:lang w:bidi="ar"/>
        </w:rPr>
        <w:t>2</w:t>
      </w:r>
      <w:r>
        <w:rPr>
          <w:rFonts w:hint="eastAsia" w:ascii="仿宋_GB2312" w:hAnsi="Times New Roman" w:eastAsia="仿宋_GB2312" w:cs="仿宋_GB2312"/>
          <w:color w:val="333333"/>
          <w:kern w:val="0"/>
          <w:sz w:val="32"/>
          <w:szCs w:val="32"/>
          <w:shd w:val="clear" w:color="auto" w:fill="FFFFFF"/>
          <w:lang w:bidi="ar"/>
        </w:rPr>
        <w:t>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2024年安排公务用车运行维护费3.53万元，用于14辆公务用车燃油、过路（桥）、维修、保险等方面支出，主要保障外出执法办公办案。</w:t>
      </w:r>
    </w:p>
    <w:p>
      <w:pP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20" w:name="_Toc1445636601"/>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20"/>
    </w:p>
    <w:p>
      <w:pP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因公出国（境）经费与2023年预算相比持平。2024年未安排因公出国（境）经费。</w:t>
      </w:r>
    </w:p>
    <w:p>
      <w:pPr>
        <w:spacing w:line="576" w:lineRule="exact"/>
        <w:ind w:firstLine="640" w:firstLineChars="200"/>
        <w:outlineLvl w:val="0"/>
        <w:rPr>
          <w:rFonts w:ascii="黑体" w:hAnsi="黑体" w:eastAsia="黑体" w:cs="黑体"/>
          <w:sz w:val="32"/>
          <w:szCs w:val="32"/>
        </w:rPr>
      </w:pPr>
      <w:bookmarkStart w:id="21" w:name="_Toc398906060"/>
      <w:r>
        <w:rPr>
          <w:rFonts w:hint="eastAsia" w:ascii="黑体" w:hAnsi="黑体" w:eastAsia="黑体" w:cs="黑体"/>
          <w:sz w:val="32"/>
          <w:szCs w:val="32"/>
        </w:rPr>
        <w:t>八、政府性基金预算支出情况说明</w:t>
      </w:r>
      <w:bookmarkEnd w:id="2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青川县人民法院2024年无政府性基金预算拨款安排的支出。</w:t>
      </w:r>
    </w:p>
    <w:p>
      <w:pPr>
        <w:spacing w:line="576" w:lineRule="exact"/>
        <w:ind w:firstLine="640" w:firstLineChars="200"/>
        <w:outlineLvl w:val="0"/>
        <w:rPr>
          <w:rFonts w:ascii="黑体" w:hAnsi="黑体" w:eastAsia="黑体" w:cs="黑体"/>
          <w:sz w:val="32"/>
          <w:szCs w:val="32"/>
        </w:rPr>
      </w:pPr>
      <w:bookmarkStart w:id="22" w:name="_Toc184105230"/>
      <w:r>
        <w:rPr>
          <w:rFonts w:hint="eastAsia" w:ascii="黑体" w:hAnsi="黑体" w:eastAsia="黑体" w:cs="黑体"/>
          <w:sz w:val="32"/>
          <w:szCs w:val="32"/>
        </w:rPr>
        <w:t>九、国有资本经营预算支出情况说明</w:t>
      </w:r>
      <w:bookmarkEnd w:id="2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青川县人民法院2024年无国有资本经营预算拨款安排的支出。</w:t>
      </w:r>
    </w:p>
    <w:p>
      <w:pPr>
        <w:spacing w:line="576" w:lineRule="exact"/>
        <w:ind w:firstLine="640" w:firstLineChars="200"/>
        <w:outlineLvl w:val="0"/>
        <w:rPr>
          <w:rFonts w:ascii="黑体" w:hAnsi="黑体" w:eastAsia="黑体" w:cs="黑体"/>
          <w:sz w:val="32"/>
          <w:szCs w:val="32"/>
        </w:rPr>
      </w:pPr>
      <w:bookmarkStart w:id="23" w:name="_Toc296145395"/>
      <w:r>
        <w:rPr>
          <w:rFonts w:hint="eastAsia" w:ascii="黑体" w:hAnsi="黑体" w:eastAsia="黑体" w:cs="黑体"/>
          <w:sz w:val="32"/>
          <w:szCs w:val="32"/>
        </w:rPr>
        <w:t>十、其他重要事项的情况说明</w:t>
      </w:r>
      <w:bookmarkEnd w:id="23"/>
    </w:p>
    <w:p>
      <w:pPr>
        <w:spacing w:line="576" w:lineRule="exact"/>
        <w:ind w:firstLine="640" w:firstLineChars="200"/>
        <w:outlineLvl w:val="1"/>
        <w:rPr>
          <w:rFonts w:ascii="楷体_GB2312" w:hAnsi="楷体_GB2312" w:eastAsia="楷体_GB2312" w:cs="楷体_GB2312"/>
          <w:sz w:val="32"/>
          <w:szCs w:val="32"/>
        </w:rPr>
      </w:pPr>
      <w:bookmarkStart w:id="24" w:name="_Toc2086780446"/>
      <w:r>
        <w:rPr>
          <w:rFonts w:hint="eastAsia" w:ascii="楷体_GB2312" w:hAnsi="楷体_GB2312" w:eastAsia="楷体_GB2312" w:cs="楷体_GB2312"/>
          <w:sz w:val="32"/>
          <w:szCs w:val="32"/>
        </w:rPr>
        <w:t>（一）机关运行经费</w:t>
      </w:r>
      <w:bookmarkEnd w:id="2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2024年，青川县人民法院的机关运行经费财政拨款预算为153.69万元，比2023年预算减少12.63万元，下降8%。主要原因是人员减少，经费随着降低。</w:t>
      </w:r>
    </w:p>
    <w:p>
      <w:pPr>
        <w:spacing w:line="576" w:lineRule="exact"/>
        <w:ind w:firstLine="640" w:firstLineChars="200"/>
        <w:outlineLvl w:val="1"/>
        <w:rPr>
          <w:rFonts w:ascii="楷体_GB2312" w:hAnsi="楷体_GB2312" w:eastAsia="楷体_GB2312" w:cs="楷体_GB2312"/>
          <w:sz w:val="32"/>
          <w:szCs w:val="32"/>
        </w:rPr>
      </w:pPr>
      <w:bookmarkStart w:id="25" w:name="_Toc904417388"/>
      <w:r>
        <w:rPr>
          <w:rFonts w:hint="eastAsia" w:ascii="楷体_GB2312" w:hAnsi="楷体_GB2312" w:eastAsia="楷体_GB2312" w:cs="楷体_GB2312"/>
          <w:sz w:val="32"/>
          <w:szCs w:val="32"/>
        </w:rPr>
        <w:t>（二）政府采购情况</w:t>
      </w:r>
      <w:bookmarkEnd w:id="25"/>
    </w:p>
    <w:p>
      <w:pP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2024年，青川县人民法院安排政府采购预算0万元</w:t>
      </w:r>
      <w:r>
        <w:rPr>
          <w:rFonts w:hint="eastAsia" w:ascii="仿宋_GB2312" w:hAnsi="仿宋_GB2312" w:eastAsia="仿宋_GB2312" w:cs="仿宋_GB2312"/>
          <w:sz w:val="32"/>
          <w:szCs w:val="32"/>
          <w:lang w:eastAsia="zh-CN"/>
        </w:rPr>
        <w:t>。</w:t>
      </w:r>
    </w:p>
    <w:p>
      <w:pPr>
        <w:spacing w:line="576" w:lineRule="exact"/>
        <w:ind w:firstLine="640" w:firstLineChars="200"/>
        <w:outlineLvl w:val="1"/>
        <w:rPr>
          <w:rFonts w:ascii="楷体_GB2312" w:hAnsi="楷体_GB2312" w:eastAsia="楷体_GB2312" w:cs="楷体_GB2312"/>
          <w:sz w:val="32"/>
          <w:szCs w:val="32"/>
        </w:rPr>
      </w:pPr>
      <w:bookmarkStart w:id="26" w:name="_Toc383306212"/>
      <w:r>
        <w:rPr>
          <w:rFonts w:hint="eastAsia" w:ascii="楷体_GB2312" w:hAnsi="楷体_GB2312" w:eastAsia="楷体_GB2312" w:cs="楷体_GB2312"/>
          <w:sz w:val="32"/>
          <w:szCs w:val="32"/>
        </w:rPr>
        <w:t>（三）国有资产占有使用情况</w:t>
      </w:r>
      <w:bookmarkEnd w:id="2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截至2023年底，青川县人民法院共有车辆14辆，其中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执法执勤用车7辆、</w:t>
      </w:r>
      <w:r>
        <w:rPr>
          <w:rFonts w:hint="eastAsia" w:ascii="仿宋_GB2312" w:hAnsi="Times New Roman" w:eastAsia="仿宋_GB2312" w:cs="仿宋_GB2312"/>
          <w:color w:val="333333"/>
          <w:kern w:val="0"/>
          <w:sz w:val="32"/>
          <w:szCs w:val="32"/>
          <w:shd w:val="clear" w:color="auto" w:fill="FFFFFF"/>
          <w:lang w:bidi="ar"/>
        </w:rPr>
        <w:t>特种专业技术用车7辆</w:t>
      </w:r>
      <w:r>
        <w:rPr>
          <w:rFonts w:hint="eastAsia" w:ascii="仿宋_GB2312" w:hAnsi="仿宋_GB2312" w:eastAsia="仿宋_GB2312" w:cs="仿宋_GB2312"/>
          <w:sz w:val="32"/>
          <w:szCs w:val="32"/>
        </w:rPr>
        <w:t>。单位无价值200万元以上的大型设备。</w:t>
      </w:r>
      <w:bookmarkStart w:id="29" w:name="_GoBack"/>
      <w:bookmarkEnd w:id="2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spacing w:line="576" w:lineRule="exact"/>
        <w:ind w:firstLine="640" w:firstLineChars="200"/>
        <w:outlineLvl w:val="1"/>
        <w:rPr>
          <w:rFonts w:ascii="楷体_GB2312" w:hAnsi="楷体_GB2312" w:eastAsia="楷体_GB2312" w:cs="楷体_GB2312"/>
          <w:sz w:val="32"/>
          <w:szCs w:val="32"/>
        </w:rPr>
      </w:pPr>
      <w:bookmarkStart w:id="27" w:name="_Toc1286434885"/>
      <w:r>
        <w:rPr>
          <w:rFonts w:hint="eastAsia" w:ascii="楷体_GB2312" w:hAnsi="楷体_GB2312" w:eastAsia="楷体_GB2312" w:cs="楷体_GB2312"/>
          <w:sz w:val="32"/>
          <w:szCs w:val="32"/>
        </w:rPr>
        <w:t>（四）绩效目标设置情况</w:t>
      </w:r>
      <w:bookmarkEnd w:id="27"/>
    </w:p>
    <w:p>
      <w:pPr>
        <w:spacing w:line="576" w:lineRule="exact"/>
        <w:ind w:firstLine="640" w:firstLineChars="200"/>
        <w:rPr>
          <w:rFonts w:ascii="仿宋_GB2312" w:hAnsi="Times New Roman" w:eastAsia="仿宋_GB2312" w:cs="仿宋_GB2312"/>
          <w:color w:val="333333"/>
          <w:kern w:val="0"/>
          <w:sz w:val="32"/>
          <w:szCs w:val="32"/>
          <w:shd w:val="clear" w:color="auto" w:fill="FFFFFF"/>
          <w:lang w:bidi="ar"/>
        </w:rPr>
      </w:pPr>
      <w:r>
        <w:rPr>
          <w:rFonts w:hint="eastAsia" w:ascii="仿宋_GB2312" w:hAnsi="Times New Roman" w:eastAsia="仿宋_GB2312" w:cs="仿宋_GB2312"/>
          <w:color w:val="333333"/>
          <w:kern w:val="0"/>
          <w:sz w:val="32"/>
          <w:szCs w:val="32"/>
          <w:shd w:val="clear" w:color="auto" w:fill="FFFFFF"/>
          <w:lang w:bidi="ar"/>
        </w:rPr>
        <w:t>2024年青川县人民法院开展绩效目标管理的项目10个，涉及预算1130.9万元。其中：人员类项目4个，涉及预算 816.66万元；运转类项目3个，涉及预算153.69万元；特定目标类项目3个，涉及预算160.55万元。</w:t>
      </w:r>
    </w:p>
    <w:p>
      <w:pPr>
        <w:spacing w:line="576" w:lineRule="exact"/>
        <w:ind w:firstLine="640" w:firstLineChars="200"/>
        <w:outlineLvl w:val="0"/>
        <w:rPr>
          <w:rFonts w:ascii="黑体" w:hAnsi="黑体" w:eastAsia="黑体" w:cs="黑体"/>
          <w:sz w:val="32"/>
          <w:szCs w:val="32"/>
        </w:rPr>
      </w:pPr>
      <w:bookmarkStart w:id="28" w:name="_Toc1222206296"/>
      <w:r>
        <w:rPr>
          <w:rFonts w:hint="eastAsia" w:ascii="黑体" w:hAnsi="黑体" w:eastAsia="黑体" w:cs="黑体"/>
          <w:sz w:val="32"/>
          <w:szCs w:val="32"/>
        </w:rPr>
        <w:t>十一、名词解释</w:t>
      </w:r>
      <w:bookmarkEnd w:id="28"/>
    </w:p>
    <w:p>
      <w:pPr>
        <w:spacing w:line="576" w:lineRule="exact"/>
        <w:ind w:firstLine="640" w:firstLineChars="200"/>
        <w:rPr>
          <w:rFonts w:hint="eastAsia" w:ascii="仿宋_GB2312" w:hAnsi="Times New Roman" w:eastAsia="仿宋_GB2312" w:cs="仿宋_GB2312"/>
          <w:color w:val="333333"/>
          <w:kern w:val="0"/>
          <w:sz w:val="32"/>
          <w:szCs w:val="32"/>
          <w:shd w:val="clear" w:color="auto" w:fill="FFFFFF"/>
          <w:lang w:bidi="ar"/>
        </w:rPr>
      </w:pPr>
      <w:r>
        <w:rPr>
          <w:rFonts w:hint="eastAsia" w:ascii="楷体_GB2312" w:hAnsi="楷体_GB2312" w:eastAsia="楷体_GB2312" w:cs="楷体_GB2312"/>
          <w:sz w:val="32"/>
          <w:szCs w:val="32"/>
        </w:rPr>
        <w:t>（一）</w:t>
      </w:r>
      <w:r>
        <w:rPr>
          <w:rFonts w:ascii="楷体_GB2312" w:hAnsi="楷体_GB2312" w:eastAsia="楷体_GB2312" w:cs="楷体_GB2312"/>
          <w:sz w:val="32"/>
          <w:szCs w:val="32"/>
        </w:rPr>
        <w:t>财政拨款收入:</w:t>
      </w:r>
      <w:r>
        <w:rPr>
          <w:rFonts w:ascii="仿宋_GB2312" w:hAnsi="Times New Roman" w:eastAsia="仿宋_GB2312" w:cs="仿宋_GB2312"/>
          <w:color w:val="333333"/>
          <w:kern w:val="0"/>
          <w:sz w:val="32"/>
          <w:szCs w:val="32"/>
          <w:shd w:val="clear" w:color="auto" w:fill="FFFFFF"/>
          <w:lang w:bidi="ar"/>
        </w:rPr>
        <w:t>指市财政当年安排的财政预算收入。按现行管理制度,部门预算中反映的财政拨款包括一般公共预算拨款和政府性基金预算拨款。</w:t>
      </w:r>
    </w:p>
    <w:p>
      <w:pPr>
        <w:spacing w:line="576" w:lineRule="exact"/>
        <w:ind w:firstLine="640" w:firstLineChars="200"/>
        <w:rPr>
          <w:rFonts w:ascii="仿宋_GB2312" w:hAnsi="Times New Roman" w:eastAsia="仿宋_GB2312" w:cs="仿宋_GB2312"/>
          <w:color w:val="FF0000"/>
          <w:kern w:val="0"/>
          <w:sz w:val="32"/>
          <w:szCs w:val="32"/>
          <w:shd w:val="clear" w:color="auto" w:fill="FFFFFF"/>
          <w:lang w:bidi="ar"/>
        </w:rPr>
      </w:pPr>
      <w:r>
        <w:rPr>
          <w:rFonts w:hint="eastAsia" w:ascii="楷体_GB2312" w:hAnsi="楷体_GB2312" w:eastAsia="楷体_GB2312" w:cs="楷体_GB2312"/>
          <w:sz w:val="32"/>
          <w:szCs w:val="32"/>
        </w:rPr>
        <w:t>（二）公共安全（类）法院（款）行政运行（项）</w:t>
      </w:r>
      <w:r>
        <w:rPr>
          <w:rFonts w:hint="eastAsia" w:ascii="仿宋_GB2312" w:hAnsi="Times New Roman" w:eastAsia="仿宋_GB2312" w:cs="仿宋_GB2312"/>
          <w:color w:val="333333"/>
          <w:kern w:val="0"/>
          <w:sz w:val="32"/>
          <w:szCs w:val="32"/>
          <w:shd w:val="clear" w:color="auto" w:fill="FFFFFF"/>
          <w:lang w:bidi="ar"/>
        </w:rPr>
        <w:t>：指保障机构正常运转、完成日常和特定的工作任务或事业发展目标的支出。</w:t>
      </w:r>
    </w:p>
    <w:p>
      <w:pPr>
        <w:widowControl/>
        <w:shd w:val="clear" w:color="auto" w:fill="FFFFFF"/>
        <w:spacing w:line="640" w:lineRule="exact"/>
        <w:ind w:firstLine="668"/>
        <w:rPr>
          <w:rFonts w:ascii="楷体_GB2312" w:hAnsi="楷体_GB2312" w:eastAsia="楷体_GB2312" w:cs="楷体_GB2312"/>
          <w:sz w:val="32"/>
          <w:szCs w:val="32"/>
        </w:rPr>
      </w:pPr>
      <w:r>
        <w:rPr>
          <w:rFonts w:hint="eastAsia" w:ascii="楷体_GB2312" w:hAnsi="楷体_GB2312" w:eastAsia="楷体_GB2312" w:cs="楷体_GB2312"/>
          <w:sz w:val="32"/>
          <w:szCs w:val="32"/>
        </w:rPr>
        <w:t>（三）公共安全（类）法院（款）一般行政管理事务（项）</w:t>
      </w:r>
      <w:r>
        <w:rPr>
          <w:rFonts w:hint="eastAsia" w:ascii="仿宋_GB2312" w:hAnsi="Times New Roman" w:eastAsia="仿宋_GB2312" w:cs="仿宋_GB2312"/>
          <w:color w:val="333333"/>
          <w:kern w:val="0"/>
          <w:sz w:val="32"/>
          <w:szCs w:val="32"/>
          <w:shd w:val="clear" w:color="auto" w:fill="FFFFFF"/>
          <w:lang w:bidi="ar"/>
        </w:rPr>
        <w:t>：指未单独设置项级科目的其他项目支出。</w:t>
      </w:r>
    </w:p>
    <w:p>
      <w:pPr>
        <w:widowControl/>
        <w:shd w:val="clear" w:color="auto" w:fill="FFFFFF"/>
        <w:spacing w:line="640" w:lineRule="exact"/>
        <w:ind w:firstLine="668"/>
        <w:rPr>
          <w:rFonts w:ascii="仿宋_GB2312" w:hAnsi="Times New Roman" w:eastAsia="仿宋_GB2312" w:cs="仿宋_GB2312"/>
          <w:color w:val="333333"/>
          <w:kern w:val="0"/>
          <w:sz w:val="32"/>
          <w:szCs w:val="32"/>
          <w:shd w:val="clear" w:color="auto" w:fill="FFFFFF"/>
          <w:lang w:bidi="ar"/>
        </w:rPr>
      </w:pPr>
      <w:r>
        <w:rPr>
          <w:rFonts w:hint="eastAsia" w:ascii="楷体_GB2312" w:hAnsi="楷体_GB2312" w:eastAsia="楷体_GB2312" w:cs="楷体_GB2312"/>
          <w:sz w:val="32"/>
          <w:szCs w:val="32"/>
        </w:rPr>
        <w:t>（四）社会保障和就业（类）行政事业单位养老支出（款）机关事业单位基本养老保险缴费支出（项）</w:t>
      </w:r>
      <w:r>
        <w:rPr>
          <w:rFonts w:hint="eastAsia" w:ascii="仿宋_GB2312" w:hAnsi="Times New Roman" w:eastAsia="仿宋_GB2312" w:cs="仿宋_GB2312"/>
          <w:color w:val="333333"/>
          <w:kern w:val="0"/>
          <w:sz w:val="32"/>
          <w:szCs w:val="32"/>
          <w:shd w:val="clear" w:color="auto" w:fill="FFFFFF"/>
          <w:lang w:bidi="ar"/>
        </w:rPr>
        <w:t>：指部门实施养老保险制度由单位缴纳的养老保险的支出。</w:t>
      </w:r>
      <w:r>
        <w:rPr>
          <w:rFonts w:hint="eastAsia" w:ascii="仿宋_GB2312" w:hAnsi="Times New Roman" w:eastAsia="仿宋_GB2312" w:cs="仿宋_GB2312"/>
          <w:color w:val="333333"/>
          <w:kern w:val="0"/>
          <w:sz w:val="32"/>
          <w:szCs w:val="32"/>
          <w:shd w:val="clear" w:color="auto" w:fill="FFFFFF"/>
          <w:lang w:bidi="ar"/>
        </w:rPr>
        <w:br w:type="textWrapping"/>
      </w:r>
      <w:r>
        <w:rPr>
          <w:rFonts w:hint="eastAsia" w:ascii="仿宋_GB2312" w:hAnsi="Times New Roman" w:eastAsia="仿宋_GB2312" w:cs="仿宋_GB2312"/>
          <w:color w:val="333333"/>
          <w:kern w:val="0"/>
          <w:sz w:val="32"/>
          <w:szCs w:val="32"/>
          <w:shd w:val="clear" w:color="auto" w:fill="FFFFFF"/>
          <w:lang w:bidi="ar"/>
        </w:rPr>
        <w:t>　　</w:t>
      </w:r>
      <w:r>
        <w:rPr>
          <w:rFonts w:hint="eastAsia" w:ascii="楷体_GB2312" w:hAnsi="楷体_GB2312" w:eastAsia="楷体_GB2312" w:cs="楷体_GB2312"/>
          <w:sz w:val="32"/>
          <w:szCs w:val="32"/>
        </w:rPr>
        <w:t>（五）卫生健康（类）行政事业单位医疗（款）行政单位医疗（项）</w:t>
      </w:r>
      <w:r>
        <w:rPr>
          <w:rFonts w:hint="eastAsia" w:ascii="仿宋_GB2312" w:hAnsi="Times New Roman" w:eastAsia="仿宋_GB2312" w:cs="仿宋_GB2312"/>
          <w:color w:val="333333"/>
          <w:kern w:val="0"/>
          <w:sz w:val="32"/>
          <w:szCs w:val="32"/>
          <w:shd w:val="clear" w:color="auto" w:fill="FFFFFF"/>
          <w:lang w:bidi="ar"/>
        </w:rPr>
        <w:t>：指机关及参公管理事业单位用于单位应缴纳基本医疗保险支出。</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（六）住房保障（类）住房改革支出（款）住房公积金（项）</w:t>
      </w:r>
      <w:r>
        <w:rPr>
          <w:rFonts w:hint="eastAsia" w:ascii="仿宋_GB2312" w:hAnsi="Times New Roman" w:eastAsia="仿宋_GB2312" w:cs="仿宋_GB2312"/>
          <w:color w:val="333333"/>
          <w:kern w:val="0"/>
          <w:sz w:val="32"/>
          <w:szCs w:val="32"/>
          <w:shd w:val="clear" w:color="auto" w:fill="FFFFFF"/>
          <w:lang w:bidi="ar"/>
        </w:rPr>
        <w:t>：指按照《住房公积金管理条例》的规定，由单位及其在职职工缴存的长期住房储金。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（八）项目支出：</w:t>
      </w:r>
      <w:r>
        <w:rPr>
          <w:rFonts w:hint="eastAsia" w:ascii="仿宋_GB2312" w:hAnsi="仿宋_GB2312" w:eastAsia="仿宋_GB2312" w:cs="仿宋_GB2312"/>
          <w:sz w:val="32"/>
          <w:szCs w:val="32"/>
        </w:rPr>
        <w:t>指在基本支出之外为完成特定行政任务和事业发展目标所发生的支出。</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（九）“三公”经费：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（十）机关运行经费：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差旅费、会议费、培训费、工会经费、福利费、日常维修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2" w:firstLineChars="200"/>
        <w:rPr>
          <w:rFonts w:ascii="仿宋_GB2312" w:hAnsi="仿宋_GB2312" w:eastAsia="仿宋_GB2312" w:cs="仿宋_GB2312"/>
          <w:b/>
          <w:bCs/>
          <w:color w:val="FF0000"/>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zql5uc8AAAAF&#10;AQAADwAAAAAAAAABACAAAAA4AAAAZHJzL2Rvd25yZXYueG1sUEsBAhQAFAAAAAgAh07iQOq2OabW&#10;AQAAsgMAAA4AAAAAAAAAAQAgAAAANAEAAGRycy9lMm9Eb2MueG1sUEsFBgAAAAAGAAYAWQEAAHwF&#10;A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1A3B64"/>
    <w:rsid w:val="0000389D"/>
    <w:rsid w:val="00026931"/>
    <w:rsid w:val="000500AC"/>
    <w:rsid w:val="00094241"/>
    <w:rsid w:val="00116B79"/>
    <w:rsid w:val="00145E38"/>
    <w:rsid w:val="001A3B64"/>
    <w:rsid w:val="001C0535"/>
    <w:rsid w:val="00222E5D"/>
    <w:rsid w:val="002446CB"/>
    <w:rsid w:val="0026417C"/>
    <w:rsid w:val="003A4748"/>
    <w:rsid w:val="0050708B"/>
    <w:rsid w:val="00561A9B"/>
    <w:rsid w:val="00703E67"/>
    <w:rsid w:val="0083607A"/>
    <w:rsid w:val="009042CD"/>
    <w:rsid w:val="009774F0"/>
    <w:rsid w:val="00B12EFE"/>
    <w:rsid w:val="00B928A1"/>
    <w:rsid w:val="00BE1AF3"/>
    <w:rsid w:val="00C32BF5"/>
    <w:rsid w:val="00C613DF"/>
    <w:rsid w:val="00CB7064"/>
    <w:rsid w:val="00DC6AC0"/>
    <w:rsid w:val="00E9787B"/>
    <w:rsid w:val="00F04C85"/>
    <w:rsid w:val="012352D1"/>
    <w:rsid w:val="1F7BF06F"/>
    <w:rsid w:val="1FEE4B73"/>
    <w:rsid w:val="23CE9849"/>
    <w:rsid w:val="39F304DD"/>
    <w:rsid w:val="4EDDC789"/>
    <w:rsid w:val="54244390"/>
    <w:rsid w:val="54662A63"/>
    <w:rsid w:val="58064E12"/>
    <w:rsid w:val="5BFEE015"/>
    <w:rsid w:val="5FA3D7FC"/>
    <w:rsid w:val="63EDCF55"/>
    <w:rsid w:val="63FBFBCF"/>
    <w:rsid w:val="669360FD"/>
    <w:rsid w:val="68FF6A83"/>
    <w:rsid w:val="6FBBC9CF"/>
    <w:rsid w:val="72BDE561"/>
    <w:rsid w:val="78462278"/>
    <w:rsid w:val="7997EA6C"/>
    <w:rsid w:val="7AEAE675"/>
    <w:rsid w:val="7BAFCE5D"/>
    <w:rsid w:val="7BE95FE6"/>
    <w:rsid w:val="7C5DB462"/>
    <w:rsid w:val="7D46598C"/>
    <w:rsid w:val="7DDBE8AC"/>
    <w:rsid w:val="7DFB240B"/>
    <w:rsid w:val="7E0935ED"/>
    <w:rsid w:val="7FCF2AF7"/>
    <w:rsid w:val="9DEFB30F"/>
    <w:rsid w:val="9FEF033D"/>
    <w:rsid w:val="A27FF1E5"/>
    <w:rsid w:val="AFDEB5A7"/>
    <w:rsid w:val="AFEA7FBF"/>
    <w:rsid w:val="B4DF76C1"/>
    <w:rsid w:val="B6F71E75"/>
    <w:rsid w:val="B83F4767"/>
    <w:rsid w:val="BB7FAD69"/>
    <w:rsid w:val="BF930F07"/>
    <w:rsid w:val="BFCE8436"/>
    <w:rsid w:val="BFF54FA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70E23"/>
    <w:rsid w:val="FFFBE8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customStyle="1" w:styleId="13">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dell</Company>
  <Pages>11</Pages>
  <Words>749</Words>
  <Characters>4271</Characters>
  <Lines>35</Lines>
  <Paragraphs>10</Paragraphs>
  <TotalTime>1</TotalTime>
  <ScaleCrop>false</ScaleCrop>
  <LinksUpToDate>false</LinksUpToDate>
  <CharactersWithSpaces>5010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dcterms:modified xsi:type="dcterms:W3CDTF">2024-02-06T17:42:24Z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