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9"/>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9"/>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835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广元市林业科学研究院</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6441"/>
        <w15:color w:val="DBDBDB"/>
        <w:docPartObj>
          <w:docPartGallery w:val="Table of Contents"/>
          <w:docPartUnique/>
        </w:docPartObj>
      </w:sdtPr>
      <w:sdtEndP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00" w:lineRule="auto"/>
          </w:pPr>
          <w:bookmarkStart w:id="46" w:name="_GoBack"/>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_Toc16088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_Toc16088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_Toc1660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kern w:val="2"/>
              <w:szCs w:val="32"/>
              <w:highlight w:val="none"/>
              <w:lang w:val="en-US" w:eastAsia="zh-CN" w:bidi="ar-SA"/>
            </w:rPr>
            <w:t>（一）单位职能简介</w:t>
          </w:r>
          <w:r>
            <w:tab/>
          </w:r>
          <w:r>
            <w:fldChar w:fldCharType="begin"/>
          </w:r>
          <w:r>
            <w:instrText xml:space="preserve"> PAGEREF _Toc1660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_Toc29719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kern w:val="2"/>
              <w:szCs w:val="32"/>
              <w:highlight w:val="none"/>
              <w:lang w:val="en-US" w:eastAsia="zh-CN" w:bidi="ar-SA"/>
            </w:rPr>
            <w:t>（二）单位2024年重点工作</w:t>
          </w:r>
          <w:r>
            <w:tab/>
          </w:r>
          <w:r>
            <w:fldChar w:fldCharType="begin"/>
          </w:r>
          <w:r>
            <w:instrText xml:space="preserve"> PAGEREF _Toc29719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_Toc16799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二、部门预算单位构成</w:t>
          </w:r>
          <w:r>
            <w:rPr>
              <w:b/>
            </w:rPr>
            <w:tab/>
          </w:r>
          <w:r>
            <w:rPr>
              <w:b/>
            </w:rPr>
            <w:fldChar w:fldCharType="begin"/>
          </w:r>
          <w:r>
            <w:rPr>
              <w:b/>
            </w:rPr>
            <w:instrText xml:space="preserve"> PAGEREF _Toc16799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_Toc10799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三、收支预算情况说明</w:t>
          </w:r>
          <w:r>
            <w:rPr>
              <w:b/>
            </w:rPr>
            <w:tab/>
          </w:r>
          <w:r>
            <w:rPr>
              <w:b/>
            </w:rPr>
            <w:fldChar w:fldCharType="begin"/>
          </w:r>
          <w:r>
            <w:rPr>
              <w:b/>
            </w:rPr>
            <w:instrText xml:space="preserve"> PAGEREF _Toc10799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_Toc113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_Toc904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_Toc904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_Toc1954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_Toc1954 \h </w:instrText>
          </w:r>
          <w:r>
            <w:rPr>
              <w:b/>
            </w:rPr>
            <w:fldChar w:fldCharType="separate"/>
          </w:r>
          <w:r>
            <w:rPr>
              <w:b/>
            </w:rPr>
            <w:t>4</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_Toc13925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_Toc13925 \h </w:instrText>
          </w:r>
          <w:r>
            <w:rPr>
              <w:b/>
            </w:rPr>
            <w:fldChar w:fldCharType="separate"/>
          </w:r>
          <w:r>
            <w:rPr>
              <w:b/>
            </w:rPr>
            <w:t>4</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_Toc3923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_Toc3923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_Toc20883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_Toc20883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_Toc28070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_Toc28070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_Toc11011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_Toc11011 \h </w:instrText>
          </w:r>
          <w:r>
            <w:rPr>
              <w:b/>
            </w:rPr>
            <w:fldChar w:fldCharType="separate"/>
          </w:r>
          <w:r>
            <w:rPr>
              <w:b/>
            </w:rPr>
            <w:t>6</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_Toc31326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_Toc31326 \h </w:instrText>
          </w:r>
          <w:r>
            <w:rPr>
              <w:b/>
            </w:rPr>
            <w:fldChar w:fldCharType="separate"/>
          </w:r>
          <w:r>
            <w:rPr>
              <w:b/>
            </w:rPr>
            <w:t>7</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_Toc19851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_Toc19851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_Toc31545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（二）公务用车购置及运行维护费</w:t>
          </w:r>
          <w:r>
            <w:tab/>
          </w:r>
          <w:r>
            <w:fldChar w:fldCharType="begin"/>
          </w:r>
          <w:r>
            <w:instrText xml:space="preserve"> PAGEREF _Toc31545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_Toc31677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_Toc31677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_Toc8183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八、政府性基金预算支出情况说明</w:t>
          </w:r>
          <w:r>
            <w:rPr>
              <w:b/>
            </w:rPr>
            <w:tab/>
          </w:r>
          <w:r>
            <w:rPr>
              <w:b/>
            </w:rPr>
            <w:fldChar w:fldCharType="begin"/>
          </w:r>
          <w:r>
            <w:rPr>
              <w:b/>
            </w:rPr>
            <w:instrText xml:space="preserve"> PAGEREF _Toc8183 \h </w:instrText>
          </w:r>
          <w:r>
            <w:rPr>
              <w:b/>
            </w:rPr>
            <w:fldChar w:fldCharType="separate"/>
          </w:r>
          <w:r>
            <w:rPr>
              <w:b/>
            </w:rPr>
            <w:t>8</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_Toc15013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九、国有资本经营预算支出情况说明</w:t>
          </w:r>
          <w:r>
            <w:rPr>
              <w:b/>
            </w:rPr>
            <w:tab/>
          </w:r>
          <w:r>
            <w:rPr>
              <w:b/>
            </w:rPr>
            <w:fldChar w:fldCharType="begin"/>
          </w:r>
          <w:r>
            <w:rPr>
              <w:b/>
            </w:rPr>
            <w:instrText xml:space="preserve"> PAGEREF _Toc15013 \h </w:instrText>
          </w:r>
          <w:r>
            <w:rPr>
              <w:b/>
            </w:rPr>
            <w:fldChar w:fldCharType="separate"/>
          </w:r>
          <w:r>
            <w:rPr>
              <w:b/>
            </w:rPr>
            <w:t>8</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_Toc10870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十、其他重要事项的情况说明</w:t>
          </w:r>
          <w:r>
            <w:rPr>
              <w:b/>
            </w:rPr>
            <w:tab/>
          </w:r>
          <w:r>
            <w:rPr>
              <w:b/>
            </w:rPr>
            <w:fldChar w:fldCharType="begin"/>
          </w:r>
          <w:r>
            <w:rPr>
              <w:b/>
            </w:rPr>
            <w:instrText xml:space="preserve"> PAGEREF _Toc10870 \h </w:instrText>
          </w:r>
          <w:r>
            <w:rPr>
              <w:b/>
            </w:rPr>
            <w:fldChar w:fldCharType="separate"/>
          </w:r>
          <w:r>
            <w:rPr>
              <w:b/>
            </w:rPr>
            <w:t>8</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_Toc22950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_Toc22950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_Toc21917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_Toc21917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_Toc29905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_Toc29905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_Toc3807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_Toc3807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_Toc1768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十一、名词解释</w:t>
          </w:r>
          <w:r>
            <w:rPr>
              <w:b/>
            </w:rPr>
            <w:tab/>
          </w:r>
          <w:r>
            <w:rPr>
              <w:b/>
            </w:rPr>
            <w:fldChar w:fldCharType="begin"/>
          </w:r>
          <w:r>
            <w:rPr>
              <w:b/>
            </w:rPr>
            <w:instrText xml:space="preserve"> PAGEREF _Toc1768 \h </w:instrText>
          </w:r>
          <w:r>
            <w:rPr>
              <w:b/>
            </w:rPr>
            <w:fldChar w:fldCharType="separate"/>
          </w:r>
          <w:r>
            <w:rPr>
              <w:b/>
            </w:rPr>
            <w:t>8</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00" w:lineRule="auto"/>
          </w:pPr>
        </w:p>
        <w:p>
          <w:pPr>
            <w:spacing w:line="300" w:lineRule="auto"/>
            <w:jc w:val="cente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bookmarkEnd w:id="46"/>
        </w:p>
      </w:sdtContent>
    </w:sdt>
    <w:p>
      <w:pPr>
        <w:jc w:val="cente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1" w:name="_Toc16088"/>
      <w:r>
        <w:rPr>
          <w:rFonts w:hint="eastAsia" w:ascii="黑体" w:hAnsi="黑体" w:eastAsia="黑体" w:cs="黑体"/>
          <w:sz w:val="32"/>
          <w:szCs w:val="32"/>
          <w:highlight w:val="none"/>
          <w:lang w:val="en-US" w:eastAsia="zh-CN"/>
        </w:rPr>
        <w:t>一、基本职能及主要工作</w:t>
      </w:r>
      <w:bookmarkEnd w:id="1"/>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ind w:right="0" w:firstLine="640"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2" w:name="_Toc1660"/>
      <w:r>
        <w:rPr>
          <w:rFonts w:hint="eastAsia" w:ascii="仿宋_GB2312" w:hAnsi="仿宋_GB2312" w:eastAsia="仿宋_GB2312" w:cs="仿宋_GB2312"/>
          <w:color w:val="auto"/>
          <w:kern w:val="2"/>
          <w:sz w:val="32"/>
          <w:szCs w:val="32"/>
          <w:highlight w:val="none"/>
          <w:lang w:val="en-US" w:eastAsia="zh-CN" w:bidi="ar-SA"/>
        </w:rPr>
        <w:t>（一）单位职能简介</w:t>
      </w:r>
      <w:bookmarkEnd w:id="2"/>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ind w:right="0"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单位是广元市林业局二级单位，属独立全额财政预算单位。主要职能是负责林木良种选育、新品种试验示范和推广，经济林丰产栽培技术研究、森林生态保护与利用研究；负责花卉产业和林下经济科研与实用技术推广；负责林业技术实验示范研究，林业技术人员培训及科技项目指导，林业科技信息服务、宣传咨询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ind w:right="0" w:firstLine="640"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3" w:name="_Toc29719"/>
      <w:r>
        <w:rPr>
          <w:rFonts w:hint="eastAsia" w:ascii="仿宋_GB2312" w:hAnsi="仿宋_GB2312" w:eastAsia="仿宋_GB2312" w:cs="仿宋_GB2312"/>
          <w:color w:val="auto"/>
          <w:kern w:val="2"/>
          <w:sz w:val="32"/>
          <w:szCs w:val="32"/>
          <w:highlight w:val="none"/>
          <w:lang w:val="en-US" w:eastAsia="zh-CN" w:bidi="ar-SA"/>
        </w:rPr>
        <w:t>（二）单位2024年重点工作</w:t>
      </w:r>
      <w:bookmarkEnd w:id="3"/>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ind w:right="0"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深入开展核桃、油橄榄、油茶良种选育及栽培技术研究，开展良种及丰产管理技术推广示范；持续推进全市油橄榄产业发展；持续开展食用林产品安全年度例行检测。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lang w:val="en-US" w:eastAsia="zh-CN"/>
        </w:rPr>
      </w:pPr>
      <w:bookmarkStart w:id="4" w:name="_Toc16799"/>
      <w:r>
        <w:rPr>
          <w:rFonts w:hint="eastAsia" w:ascii="黑体" w:hAnsi="黑体" w:eastAsia="黑体" w:cs="黑体"/>
          <w:sz w:val="32"/>
          <w:szCs w:val="32"/>
          <w:highlight w:val="none"/>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我单位为广元市林业局的下属二级预算单位，本单位无下属机构，设有内设机构5个。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5" w:name="_Toc10799"/>
      <w:r>
        <w:rPr>
          <w:rFonts w:hint="eastAsia" w:ascii="黑体" w:hAnsi="黑体" w:eastAsia="黑体" w:cs="黑体"/>
          <w:sz w:val="32"/>
          <w:szCs w:val="32"/>
          <w:highlight w:val="none"/>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按照综合预算的原则，广元市林科院所有收入和支出均纳入部门预算管理。收入包括：一般公共预算拨款收入；支出包括：社会保障和就业支出、卫生健康支出、农林水支出、住房保障支出。广元市林科院2024年收支预算总数555.24</w:t>
      </w:r>
      <w:r>
        <w:rPr>
          <w:rFonts w:hint="eastAsia" w:ascii="仿宋_GB2312" w:hAnsi="仿宋_GB2312" w:eastAsia="仿宋_GB2312" w:cs="仿宋_GB2312"/>
          <w:sz w:val="32"/>
          <w:szCs w:val="32"/>
          <w:highlight w:val="none"/>
          <w:lang w:val="en-US" w:eastAsia="zh-CN"/>
        </w:rPr>
        <w:tab/>
      </w:r>
      <w:r>
        <w:rPr>
          <w:rFonts w:hint="eastAsia" w:ascii="仿宋_GB2312" w:hAnsi="仿宋_GB2312" w:eastAsia="仿宋_GB2312" w:cs="仿宋_GB2312"/>
          <w:sz w:val="32"/>
          <w:szCs w:val="32"/>
          <w:highlight w:val="none"/>
          <w:lang w:val="en-US" w:eastAsia="zh-CN"/>
        </w:rPr>
        <w:t>万元,比2023年收支预算总数增加78.53万元，主要原因是2024年项目预算增加。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6" w:name="_Toc113"/>
      <w:r>
        <w:rPr>
          <w:rFonts w:hint="eastAsia" w:ascii="楷体_GB2312" w:hAnsi="楷体_GB2312" w:eastAsia="楷体_GB2312" w:cs="楷体_GB2312"/>
          <w:sz w:val="32"/>
          <w:szCs w:val="32"/>
          <w:highlight w:val="none"/>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广元市林科院2024年收入预算555.24万元，其中：一般公共预算拨款收入555.24万元，占100%。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7" w:name="_Toc904"/>
      <w:r>
        <w:rPr>
          <w:rFonts w:hint="eastAsia" w:ascii="楷体_GB2312" w:hAnsi="楷体_GB2312" w:eastAsia="楷体_GB2312" w:cs="楷体_GB2312"/>
          <w:sz w:val="32"/>
          <w:szCs w:val="32"/>
          <w:highlight w:val="none"/>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广元市林科院2024年支出预算555.24万元，其中：基本支出483.02万元，占86.99%；项目支出72.22万元，占13.01%</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8" w:name="_Toc1954"/>
      <w:r>
        <w:rPr>
          <w:rFonts w:hint="eastAsia" w:ascii="黑体" w:hAnsi="黑体" w:eastAsia="黑体" w:cs="黑体"/>
          <w:sz w:val="32"/>
          <w:szCs w:val="32"/>
          <w:highlight w:val="none"/>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广元市林科院2024年财政拨款收支预算总数555.24万元,比2023年财政拨款收支预算总数增加78.53万元，主要原因是2024年项目支出预算增加。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收入包括：本年一般公共预算拨款收入555.24万元；支出包括：社会保障和就业支出57.32万元、卫生健康支出15.81万元、农林水支出441.21万元、住房保障支出40.89万元。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lang w:val="en-US" w:eastAsia="zh-CN"/>
        </w:rPr>
      </w:pPr>
      <w:bookmarkStart w:id="9" w:name="_Toc13925"/>
      <w:r>
        <w:rPr>
          <w:rFonts w:hint="eastAsia" w:ascii="黑体" w:hAnsi="黑体" w:eastAsia="黑体" w:cs="黑体"/>
          <w:sz w:val="32"/>
          <w:szCs w:val="32"/>
          <w:highlight w:val="none"/>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10" w:name="_Toc3923"/>
      <w:r>
        <w:rPr>
          <w:rFonts w:hint="eastAsia" w:ascii="楷体_GB2312" w:hAnsi="楷体_GB2312" w:eastAsia="楷体_GB2312" w:cs="楷体_GB2312"/>
          <w:sz w:val="32"/>
          <w:szCs w:val="32"/>
          <w:highlight w:val="none"/>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市林科院2024年一般公共预算当年拨款555.24万元，比2023年预算数增加78.53万元，主要原因是2024年项目预算增加。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11" w:name="_Toc20883"/>
      <w:r>
        <w:rPr>
          <w:rFonts w:hint="eastAsia" w:ascii="楷体_GB2312" w:hAnsi="楷体_GB2312" w:eastAsia="楷体_GB2312" w:cs="楷体_GB2312"/>
          <w:sz w:val="32"/>
          <w:szCs w:val="32"/>
          <w:highlight w:val="none"/>
          <w:lang w:val="en-US" w:eastAsia="zh-CN"/>
        </w:rPr>
        <w:t>（二）一般公共预算当年拨款结构情况</w:t>
      </w:r>
      <w:bookmarkEnd w:id="11"/>
    </w:p>
    <w:p>
      <w:pPr>
        <w:keepNext w:val="0"/>
        <w:keepLines w:val="0"/>
        <w:pageBreakBefore w:val="0"/>
        <w:widowControl w:val="0"/>
        <w:suppressLineNumbers w:val="0"/>
        <w:suppressAutoHyphens/>
        <w:kinsoku/>
        <w:wordWrap/>
        <w:overflowPunct/>
        <w:topLinePunct w:val="0"/>
        <w:bidi w:val="0"/>
        <w:snapToGrid/>
        <w:spacing w:before="0" w:beforeAutospacing="0" w:after="0" w:afterAutospacing="0"/>
        <w:ind w:left="0" w:right="0"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社会保障和就业支出57.32万元，占10.32%；卫生健康支出15.81万元，占2.85%；农林水支出441.21万元</w:t>
      </w:r>
      <w:r>
        <w:rPr>
          <w:rFonts w:hint="default" w:ascii="仿宋_GB2312" w:hAnsi="Calibri" w:eastAsia="仿宋_GB2312" w:cs="仿宋_GB2312"/>
          <w:color w:val="auto"/>
          <w:kern w:val="2"/>
          <w:sz w:val="32"/>
          <w:szCs w:val="32"/>
          <w:highlight w:val="none"/>
          <w:lang w:val="en-US" w:eastAsia="zh-CN" w:bidi="ar"/>
        </w:rPr>
        <w:t>，占</w:t>
      </w:r>
      <w:r>
        <w:rPr>
          <w:rFonts w:hint="eastAsia" w:ascii="仿宋_GB2312" w:eastAsia="仿宋_GB2312" w:cs="仿宋_GB2312"/>
          <w:color w:val="auto"/>
          <w:kern w:val="2"/>
          <w:sz w:val="32"/>
          <w:szCs w:val="32"/>
          <w:highlight w:val="none"/>
          <w:lang w:val="en-US" w:eastAsia="zh-CN" w:bidi="ar"/>
        </w:rPr>
        <w:t>79.46</w:t>
      </w:r>
      <w:r>
        <w:rPr>
          <w:rFonts w:hint="default" w:ascii="仿宋_GB2312" w:hAnsi="Calibri" w:eastAsia="仿宋_GB2312" w:cs="仿宋_GB2312"/>
          <w:color w:val="auto"/>
          <w:kern w:val="2"/>
          <w:sz w:val="32"/>
          <w:szCs w:val="32"/>
          <w:highlight w:val="none"/>
          <w:lang w:val="en-US" w:eastAsia="zh-CN" w:bidi="ar"/>
        </w:rPr>
        <w:t>%；</w:t>
      </w:r>
      <w:r>
        <w:rPr>
          <w:rFonts w:hint="eastAsia" w:ascii="仿宋_GB2312" w:hAnsi="仿宋_GB2312" w:eastAsia="仿宋_GB2312" w:cs="仿宋_GB2312"/>
          <w:sz w:val="32"/>
          <w:szCs w:val="32"/>
          <w:highlight w:val="none"/>
          <w:lang w:val="en-US" w:eastAsia="zh-CN"/>
        </w:rPr>
        <w:t>住房保障支出40.89万元</w:t>
      </w:r>
      <w:r>
        <w:rPr>
          <w:rFonts w:hint="default" w:ascii="仿宋_GB2312" w:hAnsi="Calibri" w:eastAsia="仿宋_GB2312" w:cs="仿宋_GB2312"/>
          <w:color w:val="auto"/>
          <w:kern w:val="2"/>
          <w:sz w:val="32"/>
          <w:szCs w:val="32"/>
          <w:highlight w:val="none"/>
          <w:lang w:val="en-US" w:eastAsia="zh-CN" w:bidi="ar"/>
        </w:rPr>
        <w:t>，占</w:t>
      </w:r>
      <w:r>
        <w:rPr>
          <w:rFonts w:hint="eastAsia" w:ascii="仿宋_GB2312" w:eastAsia="仿宋_GB2312" w:cs="仿宋_GB2312"/>
          <w:color w:val="auto"/>
          <w:kern w:val="2"/>
          <w:sz w:val="32"/>
          <w:szCs w:val="32"/>
          <w:highlight w:val="none"/>
          <w:lang w:val="en-US" w:eastAsia="zh-CN" w:bidi="ar"/>
        </w:rPr>
        <w:t>7.3</w:t>
      </w:r>
      <w:r>
        <w:rPr>
          <w:rFonts w:hint="default" w:ascii="仿宋_GB2312" w:eastAsia="仿宋_GB2312" w:cs="仿宋_GB2312"/>
          <w:color w:val="auto"/>
          <w:kern w:val="2"/>
          <w:sz w:val="32"/>
          <w:szCs w:val="32"/>
          <w:highlight w:val="none"/>
          <w:lang w:eastAsia="zh-CN" w:bidi="ar"/>
          <w:woUserID w:val="1"/>
        </w:rPr>
        <w:t>7</w:t>
      </w:r>
      <w:r>
        <w:rPr>
          <w:rFonts w:hint="default" w:ascii="仿宋_GB2312" w:hAnsi="Calibri" w:eastAsia="仿宋_GB2312" w:cs="仿宋_GB2312"/>
          <w:color w:val="auto"/>
          <w:kern w:val="2"/>
          <w:sz w:val="32"/>
          <w:szCs w:val="32"/>
          <w:highlight w:val="none"/>
          <w:lang w:val="en-US" w:eastAsia="zh-CN" w:bidi="ar"/>
        </w:rPr>
        <w:t>%</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12" w:name="_Toc28070"/>
      <w:r>
        <w:rPr>
          <w:rFonts w:hint="eastAsia" w:ascii="楷体_GB2312" w:hAnsi="楷体_GB2312" w:eastAsia="楷体_GB2312" w:cs="楷体_GB2312"/>
          <w:sz w:val="32"/>
          <w:szCs w:val="32"/>
          <w:highlight w:val="none"/>
          <w:lang w:val="en-US" w:eastAsia="zh-CN"/>
        </w:rPr>
        <w:t>（三）一般公共预算当年拨款具体使用情况</w:t>
      </w:r>
      <w:bookmarkEnd w:id="12"/>
    </w:p>
    <w:p>
      <w:pPr>
        <w:keepNext w:val="0"/>
        <w:keepLines w:val="0"/>
        <w:pageBreakBefore w:val="0"/>
        <w:widowControl/>
        <w:numPr>
          <w:ilvl w:val="0"/>
          <w:numId w:val="0"/>
        </w:numPr>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default" w:ascii="仿宋_GB2312" w:hAnsi="Times New Roman" w:eastAsia="仿宋_GB2312" w:cs="仿宋_GB2312"/>
          <w:color w:val="333333"/>
          <w:kern w:val="0"/>
          <w:sz w:val="32"/>
          <w:szCs w:val="32"/>
          <w:highlight w:val="none"/>
          <w:shd w:val="clear" w:color="auto" w:fill="FFFFFF"/>
          <w:lang w:val="en-US" w:eastAsia="zh-CN" w:bidi="ar"/>
        </w:rPr>
      </w:pPr>
      <w:bookmarkStart w:id="13" w:name="_Toc21286"/>
      <w:r>
        <w:rPr>
          <w:rFonts w:hint="eastAsia" w:ascii="仿宋_GB2312" w:hAnsi="Times New Roman" w:eastAsia="仿宋_GB2312" w:cs="仿宋_GB2312"/>
          <w:color w:val="333333"/>
          <w:kern w:val="0"/>
          <w:sz w:val="32"/>
          <w:szCs w:val="32"/>
          <w:highlight w:val="none"/>
          <w:shd w:val="clear" w:color="auto" w:fill="FFFFFF"/>
          <w:lang w:val="en-US" w:eastAsia="zh-CN" w:bidi="ar"/>
        </w:rPr>
        <w:t>1.</w:t>
      </w:r>
      <w:r>
        <w:rPr>
          <w:rFonts w:hint="default" w:ascii="仿宋_GB2312" w:hAnsi="Times New Roman" w:eastAsia="仿宋_GB2312" w:cs="仿宋_GB2312"/>
          <w:color w:val="333333"/>
          <w:kern w:val="0"/>
          <w:sz w:val="32"/>
          <w:szCs w:val="32"/>
          <w:highlight w:val="none"/>
          <w:shd w:val="clear" w:color="auto" w:fill="FFFFFF"/>
          <w:lang w:val="en-US" w:eastAsia="zh-CN" w:bidi="ar"/>
        </w:rPr>
        <w:t>社会保障和就业（类）行政事业单位养老支出（款）事业单位离退休（项）2024年预算数为</w:t>
      </w:r>
      <w:r>
        <w:rPr>
          <w:rFonts w:hint="eastAsia" w:ascii="仿宋_GB2312" w:hAnsi="Times New Roman" w:eastAsia="仿宋_GB2312" w:cs="仿宋_GB2312"/>
          <w:color w:val="333333"/>
          <w:kern w:val="0"/>
          <w:sz w:val="32"/>
          <w:szCs w:val="32"/>
          <w:highlight w:val="none"/>
          <w:shd w:val="clear" w:color="auto" w:fill="FFFFFF"/>
          <w:lang w:val="en-US" w:eastAsia="zh-CN" w:bidi="ar"/>
        </w:rPr>
        <w:t>7.56</w:t>
      </w:r>
      <w:r>
        <w:rPr>
          <w:rFonts w:hint="default" w:ascii="仿宋_GB2312" w:hAnsi="Times New Roman" w:eastAsia="仿宋_GB2312" w:cs="仿宋_GB2312"/>
          <w:color w:val="333333"/>
          <w:kern w:val="0"/>
          <w:sz w:val="32"/>
          <w:szCs w:val="32"/>
          <w:highlight w:val="none"/>
          <w:shd w:val="clear" w:color="auto" w:fill="FFFFFF"/>
          <w:lang w:val="en-US" w:eastAsia="zh-CN" w:bidi="ar"/>
        </w:rPr>
        <w:t>万元，主要用于：事业单位离退休人员经费支出。</w:t>
      </w:r>
      <w:bookmarkEnd w:id="13"/>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_GB2312" w:hAnsi="Times New Roman" w:eastAsia="仿宋_GB2312" w:cs="仿宋_GB2312"/>
          <w:color w:val="333333"/>
          <w:kern w:val="0"/>
          <w:sz w:val="32"/>
          <w:szCs w:val="32"/>
          <w:highlight w:val="none"/>
          <w:shd w:val="clear" w:color="auto" w:fill="FFFFFF"/>
          <w:lang w:bidi="ar"/>
        </w:rPr>
      </w:pPr>
      <w:bookmarkStart w:id="14" w:name="_Toc3822"/>
      <w:r>
        <w:rPr>
          <w:rFonts w:hint="eastAsia" w:ascii="仿宋_GB2312" w:hAnsi="Times New Roman" w:eastAsia="仿宋_GB2312" w:cs="仿宋_GB2312"/>
          <w:color w:val="333333"/>
          <w:kern w:val="0"/>
          <w:sz w:val="32"/>
          <w:szCs w:val="32"/>
          <w:highlight w:val="none"/>
          <w:shd w:val="clear" w:color="auto" w:fill="FFFFFF"/>
          <w:lang w:val="en-US" w:eastAsia="zh-CN" w:bidi="ar"/>
        </w:rPr>
        <w:t>2.</w:t>
      </w:r>
      <w:r>
        <w:rPr>
          <w:rFonts w:hint="eastAsia" w:ascii="仿宋_GB2312" w:hAnsi="Times New Roman" w:eastAsia="仿宋_GB2312" w:cs="仿宋_GB2312"/>
          <w:color w:val="333333"/>
          <w:kern w:val="0"/>
          <w:sz w:val="32"/>
          <w:szCs w:val="32"/>
          <w:highlight w:val="none"/>
          <w:shd w:val="clear" w:color="auto" w:fill="FFFFFF"/>
          <w:lang w:bidi="ar"/>
        </w:rPr>
        <w:t>社会保障和就业（类）行政事业单位养老支出（款）机关事业单位基本养老保险缴费支出（项）202</w:t>
      </w:r>
      <w:r>
        <w:rPr>
          <w:rFonts w:hint="eastAsia" w:ascii="仿宋_GB2312" w:hAnsi="Times New Roman" w:eastAsia="仿宋_GB2312" w:cs="仿宋_GB2312"/>
          <w:color w:val="333333"/>
          <w:kern w:val="0"/>
          <w:sz w:val="32"/>
          <w:szCs w:val="32"/>
          <w:highlight w:val="none"/>
          <w:shd w:val="clear" w:color="auto" w:fill="FFFFFF"/>
          <w:lang w:val="en-US" w:eastAsia="zh-CN" w:bidi="ar"/>
        </w:rPr>
        <w:t>4</w:t>
      </w:r>
      <w:r>
        <w:rPr>
          <w:rFonts w:hint="eastAsia" w:ascii="仿宋_GB2312" w:hAnsi="Times New Roman" w:eastAsia="仿宋_GB2312" w:cs="仿宋_GB2312"/>
          <w:color w:val="333333"/>
          <w:kern w:val="0"/>
          <w:sz w:val="32"/>
          <w:szCs w:val="32"/>
          <w:highlight w:val="none"/>
          <w:shd w:val="clear" w:color="auto" w:fill="FFFFFF"/>
          <w:lang w:bidi="ar"/>
        </w:rPr>
        <w:t>年预算数为</w:t>
      </w:r>
      <w:r>
        <w:rPr>
          <w:rFonts w:hint="eastAsia" w:ascii="仿宋_GB2312" w:hAnsi="Times New Roman" w:eastAsia="仿宋_GB2312" w:cs="仿宋_GB2312"/>
          <w:color w:val="333333"/>
          <w:kern w:val="0"/>
          <w:sz w:val="32"/>
          <w:szCs w:val="32"/>
          <w:highlight w:val="none"/>
          <w:shd w:val="clear" w:color="auto" w:fill="FFFFFF"/>
          <w:lang w:val="en-US" w:eastAsia="zh-CN" w:bidi="ar"/>
        </w:rPr>
        <w:t>48.16</w:t>
      </w:r>
      <w:r>
        <w:rPr>
          <w:rFonts w:hint="eastAsia" w:ascii="仿宋_GB2312" w:hAnsi="Times New Roman" w:eastAsia="仿宋_GB2312" w:cs="仿宋_GB2312"/>
          <w:color w:val="333333"/>
          <w:kern w:val="0"/>
          <w:sz w:val="32"/>
          <w:szCs w:val="32"/>
          <w:highlight w:val="none"/>
          <w:shd w:val="clear" w:color="auto" w:fill="FFFFFF"/>
          <w:lang w:bidi="ar"/>
        </w:rPr>
        <w:t>万元，主要用于：实施养老保险制度由单位缴纳的基本养老保险支出。</w:t>
      </w:r>
      <w:bookmarkEnd w:id="14"/>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 w:hAnsi="仿宋" w:eastAsia="仿宋" w:cs="仿宋"/>
          <w:sz w:val="32"/>
          <w:szCs w:val="32"/>
          <w:highlight w:val="none"/>
          <w:lang w:val="en-US" w:eastAsia="zh-CN"/>
        </w:rPr>
      </w:pPr>
      <w:bookmarkStart w:id="15" w:name="_Toc2666"/>
      <w:r>
        <w:rPr>
          <w:rFonts w:hint="eastAsia" w:ascii="仿宋_GB2312" w:hAnsi="Times New Roman" w:eastAsia="仿宋_GB2312" w:cs="仿宋_GB2312"/>
          <w:color w:val="333333"/>
          <w:kern w:val="0"/>
          <w:sz w:val="32"/>
          <w:szCs w:val="32"/>
          <w:highlight w:val="none"/>
          <w:shd w:val="clear" w:color="auto" w:fill="FFFFFF"/>
          <w:lang w:val="en-US" w:eastAsia="zh-CN" w:bidi="ar"/>
        </w:rPr>
        <w:t>3.社会保障和就业（类）其他社会保障和就业支出（款）其他社会保障</w:t>
      </w:r>
      <w:r>
        <w:rPr>
          <w:rFonts w:hint="eastAsia" w:ascii="仿宋" w:hAnsi="仿宋" w:eastAsia="仿宋" w:cs="仿宋"/>
          <w:sz w:val="32"/>
          <w:szCs w:val="32"/>
          <w:highlight w:val="none"/>
          <w:lang w:val="en-US" w:eastAsia="zh-CN"/>
        </w:rPr>
        <w:t>和就业支出（项）2024年预算数为1.6万元，主要用于：除上述项目以外其他用于社会保障和就业方面的支出。</w:t>
      </w:r>
      <w:bookmarkEnd w:id="15"/>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楷体_GB2312" w:hAnsi="楷体_GB2312" w:eastAsia="楷体_GB2312" w:cs="楷体_GB2312"/>
          <w:sz w:val="32"/>
          <w:szCs w:val="32"/>
          <w:highlight w:val="none"/>
          <w:lang w:val="en-US" w:eastAsia="zh-CN"/>
        </w:rPr>
      </w:pPr>
      <w:bookmarkStart w:id="16" w:name="_Toc28778"/>
      <w:r>
        <w:rPr>
          <w:rFonts w:hint="eastAsia" w:ascii="仿宋_GB2312" w:hAnsi="Times New Roman" w:eastAsia="仿宋_GB2312" w:cs="仿宋_GB2312"/>
          <w:color w:val="333333"/>
          <w:kern w:val="0"/>
          <w:sz w:val="32"/>
          <w:szCs w:val="32"/>
          <w:highlight w:val="none"/>
          <w:shd w:val="clear" w:color="auto" w:fill="FFFFFF"/>
          <w:lang w:bidi="ar"/>
        </w:rPr>
        <w:t>4.卫生健康（类）行政事业单位医疗（款）事业单位医疗（项）202</w:t>
      </w:r>
      <w:r>
        <w:rPr>
          <w:rFonts w:hint="eastAsia" w:ascii="仿宋_GB2312" w:hAnsi="Times New Roman" w:eastAsia="仿宋_GB2312" w:cs="仿宋_GB2312"/>
          <w:color w:val="333333"/>
          <w:kern w:val="0"/>
          <w:sz w:val="32"/>
          <w:szCs w:val="32"/>
          <w:highlight w:val="none"/>
          <w:shd w:val="clear" w:color="auto" w:fill="FFFFFF"/>
          <w:lang w:val="en-US" w:eastAsia="zh-CN" w:bidi="ar"/>
        </w:rPr>
        <w:t>4</w:t>
      </w:r>
      <w:r>
        <w:rPr>
          <w:rFonts w:hint="eastAsia" w:ascii="仿宋_GB2312" w:hAnsi="Times New Roman" w:eastAsia="仿宋_GB2312" w:cs="仿宋_GB2312"/>
          <w:color w:val="333333"/>
          <w:kern w:val="0"/>
          <w:sz w:val="32"/>
          <w:szCs w:val="32"/>
          <w:highlight w:val="none"/>
          <w:shd w:val="clear" w:color="auto" w:fill="FFFFFF"/>
          <w:lang w:bidi="ar"/>
        </w:rPr>
        <w:t>年预算数为</w:t>
      </w:r>
      <w:r>
        <w:rPr>
          <w:rFonts w:hint="eastAsia" w:ascii="仿宋_GB2312" w:hAnsi="Times New Roman" w:eastAsia="仿宋_GB2312" w:cs="仿宋_GB2312"/>
          <w:color w:val="333333"/>
          <w:kern w:val="0"/>
          <w:sz w:val="32"/>
          <w:szCs w:val="32"/>
          <w:highlight w:val="none"/>
          <w:shd w:val="clear" w:color="auto" w:fill="FFFFFF"/>
          <w:lang w:val="en-US" w:eastAsia="zh-CN" w:bidi="ar"/>
        </w:rPr>
        <w:t>15.81</w:t>
      </w:r>
      <w:r>
        <w:rPr>
          <w:rFonts w:hint="eastAsia" w:ascii="仿宋_GB2312" w:hAnsi="Times New Roman" w:eastAsia="仿宋_GB2312" w:cs="仿宋_GB2312"/>
          <w:color w:val="333333"/>
          <w:kern w:val="0"/>
          <w:sz w:val="32"/>
          <w:szCs w:val="32"/>
          <w:highlight w:val="none"/>
          <w:shd w:val="clear" w:color="auto" w:fill="FFFFFF"/>
          <w:lang w:bidi="ar"/>
        </w:rPr>
        <w:t>万元，主要用于：事业单位按规定由单位缴纳的基本医疗保险支出。</w:t>
      </w:r>
      <w:bookmarkEnd w:id="16"/>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 w:hAnsi="仿宋" w:eastAsia="仿宋" w:cs="仿宋"/>
          <w:sz w:val="32"/>
          <w:szCs w:val="32"/>
          <w:highlight w:val="none"/>
          <w:lang w:val="en-US" w:eastAsia="zh-CN"/>
        </w:rPr>
      </w:pPr>
      <w:bookmarkStart w:id="17" w:name="_Toc17986"/>
      <w:r>
        <w:rPr>
          <w:rFonts w:hint="eastAsia" w:ascii="仿宋_GB2312" w:hAnsi="Times New Roman" w:eastAsia="仿宋_GB2312" w:cs="仿宋_GB2312"/>
          <w:color w:val="333333"/>
          <w:kern w:val="0"/>
          <w:sz w:val="32"/>
          <w:szCs w:val="32"/>
          <w:highlight w:val="none"/>
          <w:shd w:val="clear" w:color="auto" w:fill="FFFFFF"/>
          <w:lang w:val="en-US" w:eastAsia="zh-CN" w:bidi="ar"/>
        </w:rPr>
        <w:t>5.</w:t>
      </w:r>
      <w:r>
        <w:rPr>
          <w:rFonts w:hint="eastAsia" w:ascii="仿宋_GB2312" w:hAnsi="Times New Roman" w:eastAsia="仿宋_GB2312" w:cs="仿宋_GB2312"/>
          <w:color w:val="333333"/>
          <w:kern w:val="0"/>
          <w:sz w:val="32"/>
          <w:szCs w:val="32"/>
          <w:highlight w:val="none"/>
          <w:shd w:val="clear" w:color="auto" w:fill="FFFFFF"/>
          <w:lang w:bidi="ar"/>
        </w:rPr>
        <w:t>农林水（类）林业和草原支出（款）事业机构（项）202</w:t>
      </w:r>
      <w:r>
        <w:rPr>
          <w:rFonts w:hint="eastAsia" w:ascii="仿宋_GB2312" w:hAnsi="Times New Roman" w:eastAsia="仿宋_GB2312" w:cs="仿宋_GB2312"/>
          <w:color w:val="333333"/>
          <w:kern w:val="0"/>
          <w:sz w:val="32"/>
          <w:szCs w:val="32"/>
          <w:highlight w:val="none"/>
          <w:shd w:val="clear" w:color="auto" w:fill="FFFFFF"/>
          <w:lang w:val="en-US" w:eastAsia="zh-CN" w:bidi="ar"/>
        </w:rPr>
        <w:t>4</w:t>
      </w:r>
      <w:r>
        <w:rPr>
          <w:rFonts w:hint="eastAsia" w:ascii="仿宋_GB2312" w:hAnsi="Times New Roman" w:eastAsia="仿宋_GB2312" w:cs="仿宋_GB2312"/>
          <w:color w:val="333333"/>
          <w:kern w:val="0"/>
          <w:sz w:val="32"/>
          <w:szCs w:val="32"/>
          <w:highlight w:val="none"/>
          <w:shd w:val="clear" w:color="auto" w:fill="FFFFFF"/>
          <w:lang w:bidi="ar"/>
        </w:rPr>
        <w:t>年预算数为</w:t>
      </w:r>
      <w:r>
        <w:rPr>
          <w:rFonts w:hint="eastAsia" w:ascii="仿宋_GB2312" w:hAnsi="Times New Roman" w:eastAsia="仿宋_GB2312" w:cs="仿宋_GB2312"/>
          <w:color w:val="333333"/>
          <w:kern w:val="0"/>
          <w:sz w:val="32"/>
          <w:szCs w:val="32"/>
          <w:highlight w:val="none"/>
          <w:shd w:val="clear" w:color="auto" w:fill="FFFFFF"/>
          <w:lang w:val="en-US" w:eastAsia="zh-CN" w:bidi="ar"/>
        </w:rPr>
        <w:t>370.81</w:t>
      </w:r>
      <w:r>
        <w:rPr>
          <w:rFonts w:hint="eastAsia" w:ascii="仿宋_GB2312" w:hAnsi="Times New Roman" w:eastAsia="仿宋_GB2312" w:cs="仿宋_GB2312"/>
          <w:color w:val="333333"/>
          <w:kern w:val="0"/>
          <w:sz w:val="32"/>
          <w:szCs w:val="32"/>
          <w:highlight w:val="none"/>
          <w:shd w:val="clear" w:color="auto" w:fill="FFFFFF"/>
          <w:lang w:bidi="ar"/>
        </w:rPr>
        <w:t>万元，主要用于：</w:t>
      </w:r>
      <w:r>
        <w:rPr>
          <w:rFonts w:hint="eastAsia" w:ascii="仿宋_GB2312" w:hAnsi="仿宋_GB2312" w:eastAsia="仿宋_GB2312" w:cs="仿宋_GB2312"/>
          <w:kern w:val="0"/>
          <w:sz w:val="32"/>
          <w:szCs w:val="32"/>
          <w:highlight w:val="none"/>
        </w:rPr>
        <w:t>主要用于事业单位基本工资、津贴补贴、绩效工资、奖金，</w:t>
      </w:r>
      <w:r>
        <w:rPr>
          <w:rFonts w:hint="eastAsia" w:ascii="仿宋_GB2312" w:hAnsi="仿宋_GB2312" w:eastAsia="仿宋_GB2312" w:cs="仿宋_GB2312"/>
          <w:kern w:val="0"/>
          <w:sz w:val="32"/>
          <w:szCs w:val="32"/>
          <w:highlight w:val="none"/>
          <w:lang w:eastAsia="zh-Hans"/>
        </w:rPr>
        <w:t>单位</w:t>
      </w:r>
      <w:r>
        <w:rPr>
          <w:rFonts w:hint="eastAsia" w:ascii="仿宋_GB2312" w:hAnsi="仿宋_GB2312" w:eastAsia="仿宋_GB2312" w:cs="仿宋_GB2312"/>
          <w:kern w:val="0"/>
          <w:sz w:val="32"/>
          <w:szCs w:val="32"/>
          <w:highlight w:val="none"/>
        </w:rPr>
        <w:t>办公费、印刷费、咨询费、水费、电费、邮电费、物业管理费、差旅费、会议费、公务接待费、工会经费、福利费、公务用车运行维护费、党建经费及其他</w:t>
      </w:r>
      <w:r>
        <w:rPr>
          <w:rFonts w:hint="eastAsia" w:ascii="仿宋" w:hAnsi="仿宋" w:eastAsia="仿宋" w:cs="仿宋"/>
          <w:sz w:val="32"/>
          <w:szCs w:val="32"/>
          <w:highlight w:val="none"/>
          <w:lang w:val="en-US" w:eastAsia="zh-CN"/>
        </w:rPr>
        <w:t>商品服务和支出等。</w:t>
      </w:r>
      <w:bookmarkEnd w:id="17"/>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 w:hAnsi="仿宋" w:eastAsia="仿宋" w:cs="仿宋"/>
          <w:sz w:val="32"/>
          <w:szCs w:val="32"/>
          <w:highlight w:val="none"/>
          <w:lang w:val="en-US" w:eastAsia="zh-Hans"/>
        </w:rPr>
      </w:pPr>
      <w:bookmarkStart w:id="18" w:name="_Toc14752"/>
      <w:r>
        <w:rPr>
          <w:rFonts w:hint="eastAsia" w:ascii="仿宋" w:hAnsi="仿宋" w:eastAsia="仿宋" w:cs="仿宋"/>
          <w:sz w:val="32"/>
          <w:szCs w:val="32"/>
          <w:highlight w:val="none"/>
          <w:lang w:val="en-US" w:eastAsia="zh-CN"/>
        </w:rPr>
        <w:t>6.农林水（类）林业和草原支出（款）技术推广与转化（项）2024年预算数为60万元，主要用于：主要用于油橄榄基地管护、核桃引种驯化项目、开展的核桃、油橄榄、油茶等技术示范及培训</w:t>
      </w:r>
      <w:r>
        <w:rPr>
          <w:rFonts w:hint="eastAsia" w:ascii="仿宋" w:hAnsi="仿宋" w:eastAsia="仿宋" w:cs="仿宋"/>
          <w:sz w:val="32"/>
          <w:szCs w:val="32"/>
          <w:highlight w:val="none"/>
          <w:lang w:val="en-US" w:eastAsia="zh-Hans"/>
        </w:rPr>
        <w:t>。</w:t>
      </w:r>
      <w:bookmarkEnd w:id="18"/>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 w:hAnsi="仿宋" w:eastAsia="仿宋" w:cs="仿宋"/>
          <w:sz w:val="32"/>
          <w:szCs w:val="32"/>
          <w:highlight w:val="none"/>
          <w:lang w:val="en-US" w:eastAsia="zh-CN"/>
        </w:rPr>
      </w:pPr>
      <w:bookmarkStart w:id="19" w:name="_Toc7042"/>
      <w:r>
        <w:rPr>
          <w:rFonts w:hint="eastAsia" w:ascii="仿宋" w:hAnsi="仿宋" w:eastAsia="仿宋" w:cs="仿宋"/>
          <w:sz w:val="32"/>
          <w:szCs w:val="32"/>
          <w:highlight w:val="none"/>
          <w:lang w:val="en-US" w:eastAsia="zh-CN"/>
        </w:rPr>
        <w:t>7.</w:t>
      </w:r>
      <w:r>
        <w:rPr>
          <w:rFonts w:hint="default" w:ascii="仿宋" w:hAnsi="仿宋" w:eastAsia="仿宋" w:cs="仿宋"/>
          <w:sz w:val="32"/>
          <w:szCs w:val="32"/>
          <w:highlight w:val="none"/>
          <w:lang w:val="en-US" w:eastAsia="zh-CN"/>
        </w:rPr>
        <w:t>农林水（类）林业和草原（款）其他林业和草原支出（项）2024年预算数为10.4万元，主要用于：对191亩油橄榄示范基地</w:t>
      </w:r>
      <w:r>
        <w:rPr>
          <w:rFonts w:hint="eastAsia" w:ascii="仿宋" w:hAnsi="仿宋" w:eastAsia="仿宋" w:cs="仿宋"/>
          <w:sz w:val="32"/>
          <w:szCs w:val="32"/>
          <w:highlight w:val="none"/>
          <w:lang w:val="en-US" w:eastAsia="zh-CN"/>
        </w:rPr>
        <w:t>的租金</w:t>
      </w:r>
      <w:r>
        <w:rPr>
          <w:rFonts w:hint="default" w:ascii="仿宋" w:hAnsi="仿宋" w:eastAsia="仿宋" w:cs="仿宋"/>
          <w:sz w:val="32"/>
          <w:szCs w:val="32"/>
          <w:highlight w:val="none"/>
          <w:lang w:val="en-US" w:eastAsia="zh-CN"/>
        </w:rPr>
        <w:t>。</w:t>
      </w:r>
      <w:bookmarkEnd w:id="19"/>
    </w:p>
    <w:p>
      <w:pPr>
        <w:keepNext w:val="0"/>
        <w:keepLines w:val="0"/>
        <w:pageBreakBefore w:val="0"/>
        <w:widowControl/>
        <w:pBdr>
          <w:bottom w:val="single" w:color="FFFFFF" w:sz="8" w:space="31"/>
        </w:pBdr>
        <w:shd w:val="clear" w:color="auto" w:fill="FFFFFF"/>
        <w:kinsoku/>
        <w:wordWrap/>
        <w:overflowPunct/>
        <w:topLinePunct w:val="0"/>
        <w:bidi w:val="0"/>
        <w:snapToGrid/>
        <w:spacing w:line="580" w:lineRule="atLeast"/>
        <w:ind w:firstLine="640" w:firstLineChars="200"/>
        <w:jc w:val="left"/>
        <w:textAlignment w:val="auto"/>
        <w:outlineLvl w:val="0"/>
        <w:rPr>
          <w:rFonts w:hint="eastAsia" w:ascii="仿宋_GB2312" w:hAnsi="Times New Roman" w:eastAsia="仿宋_GB2312" w:cs="仿宋_GB2312"/>
          <w:color w:val="333333"/>
          <w:kern w:val="0"/>
          <w:sz w:val="32"/>
          <w:szCs w:val="32"/>
          <w:highlight w:val="none"/>
          <w:shd w:val="clear" w:color="auto" w:fill="FFFFFF"/>
          <w:lang w:val="en-US" w:eastAsia="zh-CN" w:bidi="ar"/>
        </w:rPr>
      </w:pPr>
      <w:bookmarkStart w:id="20" w:name="_Toc12764"/>
      <w:r>
        <w:rPr>
          <w:rFonts w:hint="eastAsia" w:ascii="仿宋_GB2312" w:hAnsi="Times New Roman" w:eastAsia="仿宋_GB2312" w:cs="仿宋_GB2312"/>
          <w:color w:val="333333"/>
          <w:kern w:val="0"/>
          <w:sz w:val="32"/>
          <w:szCs w:val="32"/>
          <w:highlight w:val="none"/>
          <w:shd w:val="clear" w:color="auto" w:fill="FFFFFF"/>
          <w:lang w:val="en-US" w:eastAsia="zh-CN" w:bidi="ar"/>
        </w:rPr>
        <w:t>8</w:t>
      </w:r>
      <w:r>
        <w:rPr>
          <w:rFonts w:hint="eastAsia" w:ascii="仿宋_GB2312" w:hAnsi="Times New Roman" w:eastAsia="仿宋_GB2312" w:cs="仿宋_GB2312"/>
          <w:color w:val="333333"/>
          <w:kern w:val="0"/>
          <w:sz w:val="32"/>
          <w:szCs w:val="32"/>
          <w:highlight w:val="none"/>
          <w:shd w:val="clear" w:color="auto" w:fill="FFFFFF"/>
          <w:lang w:bidi="ar"/>
        </w:rPr>
        <w:t>.住房保障（类）住房改革支出（款）住房公积金（项）202</w:t>
      </w:r>
      <w:r>
        <w:rPr>
          <w:rFonts w:hint="eastAsia" w:ascii="仿宋_GB2312" w:hAnsi="Times New Roman" w:eastAsia="仿宋_GB2312" w:cs="仿宋_GB2312"/>
          <w:color w:val="333333"/>
          <w:kern w:val="0"/>
          <w:sz w:val="32"/>
          <w:szCs w:val="32"/>
          <w:highlight w:val="none"/>
          <w:shd w:val="clear" w:color="auto" w:fill="FFFFFF"/>
          <w:lang w:val="en-US" w:eastAsia="zh-CN" w:bidi="ar"/>
        </w:rPr>
        <w:t>4</w:t>
      </w:r>
      <w:r>
        <w:rPr>
          <w:rFonts w:hint="eastAsia" w:ascii="仿宋_GB2312" w:hAnsi="Times New Roman" w:eastAsia="仿宋_GB2312" w:cs="仿宋_GB2312"/>
          <w:color w:val="333333"/>
          <w:kern w:val="0"/>
          <w:sz w:val="32"/>
          <w:szCs w:val="32"/>
          <w:highlight w:val="none"/>
          <w:shd w:val="clear" w:color="auto" w:fill="FFFFFF"/>
          <w:lang w:bidi="ar"/>
        </w:rPr>
        <w:t>年预算数为</w:t>
      </w:r>
      <w:r>
        <w:rPr>
          <w:rFonts w:hint="eastAsia" w:ascii="仿宋_GB2312" w:hAnsi="Times New Roman" w:eastAsia="仿宋_GB2312" w:cs="仿宋_GB2312"/>
          <w:color w:val="333333"/>
          <w:kern w:val="0"/>
          <w:sz w:val="32"/>
          <w:szCs w:val="32"/>
          <w:highlight w:val="none"/>
          <w:shd w:val="clear" w:color="auto" w:fill="FFFFFF"/>
          <w:lang w:val="en-US" w:eastAsia="zh-CN" w:bidi="ar"/>
        </w:rPr>
        <w:t>40.89</w:t>
      </w:r>
      <w:r>
        <w:rPr>
          <w:rFonts w:hint="eastAsia" w:ascii="仿宋_GB2312" w:hAnsi="Times New Roman" w:eastAsia="仿宋_GB2312" w:cs="仿宋_GB2312"/>
          <w:color w:val="333333"/>
          <w:kern w:val="0"/>
          <w:sz w:val="32"/>
          <w:szCs w:val="32"/>
          <w:highlight w:val="none"/>
          <w:shd w:val="clear" w:color="auto" w:fill="FFFFFF"/>
          <w:lang w:bidi="ar"/>
        </w:rPr>
        <w:t>万元，主要用于：部门按规定为职工缴纳的住</w:t>
      </w:r>
      <w:r>
        <w:rPr>
          <w:rFonts w:hint="eastAsia" w:ascii="仿宋_GB2312" w:hAnsi="Times New Roman" w:eastAsia="仿宋_GB2312" w:cs="仿宋_GB2312"/>
          <w:color w:val="333333"/>
          <w:kern w:val="0"/>
          <w:sz w:val="32"/>
          <w:szCs w:val="32"/>
          <w:highlight w:val="none"/>
          <w:shd w:val="clear" w:color="auto" w:fill="FFFFFF"/>
          <w:lang w:val="en-US" w:eastAsia="zh-CN" w:bidi="ar"/>
        </w:rPr>
        <w:t>房公积金支出。</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lang w:val="en-US" w:eastAsia="zh-CN"/>
        </w:rPr>
      </w:pPr>
      <w:bookmarkStart w:id="21" w:name="_Toc11011"/>
      <w:r>
        <w:rPr>
          <w:rFonts w:hint="eastAsia" w:ascii="黑体" w:hAnsi="黑体" w:eastAsia="黑体" w:cs="黑体"/>
          <w:sz w:val="32"/>
          <w:szCs w:val="32"/>
          <w:highlight w:val="none"/>
          <w:lang w:val="en-US" w:eastAsia="zh-CN"/>
        </w:rPr>
        <w:t>六、一般公共预算基本支出情况说明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广元市林科院2024年一般公共预算基本支出483.02万元，其中：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人员经费440.59万元，主要包括：基本工资、津贴补贴、奖金、</w:t>
      </w:r>
      <w:r>
        <w:rPr>
          <w:rFonts w:hint="default" w:ascii="仿宋_GB2312" w:hAnsi="仿宋_GB2312" w:eastAsia="仿宋_GB2312" w:cs="仿宋_GB2312"/>
          <w:sz w:val="32"/>
          <w:szCs w:val="32"/>
          <w:highlight w:val="none"/>
          <w:lang w:eastAsia="zh-CN"/>
          <w:woUserID w:val="1"/>
        </w:rPr>
        <w:t>绩效工资、</w:t>
      </w:r>
      <w:r>
        <w:rPr>
          <w:rFonts w:hint="eastAsia" w:ascii="仿宋_GB2312" w:hAnsi="仿宋_GB2312" w:eastAsia="仿宋_GB2312" w:cs="仿宋_GB2312"/>
          <w:sz w:val="32"/>
          <w:szCs w:val="32"/>
          <w:highlight w:val="none"/>
          <w:lang w:val="en-US" w:eastAsia="zh-CN"/>
        </w:rPr>
        <w:t>社会保险缴费、住房公积金</w:t>
      </w:r>
      <w:r>
        <w:rPr>
          <w:rFonts w:hint="default" w:ascii="仿宋_GB2312" w:hAnsi="仿宋_GB2312" w:eastAsia="仿宋_GB2312" w:cs="仿宋_GB2312"/>
          <w:sz w:val="32"/>
          <w:szCs w:val="32"/>
          <w:highlight w:val="none"/>
          <w:lang w:eastAsia="zh-CN"/>
          <w:woUserID w:val="1"/>
        </w:rPr>
        <w:t>、生活补助</w:t>
      </w:r>
      <w:r>
        <w:rPr>
          <w:rFonts w:hint="eastAsia" w:ascii="仿宋_GB2312" w:hAnsi="仿宋_GB2312" w:eastAsia="仿宋_GB2312" w:cs="仿宋_GB2312"/>
          <w:sz w:val="32"/>
          <w:szCs w:val="32"/>
          <w:highlight w:val="none"/>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公用经费42.42万元，主要包括：办公费、印刷费、咨询费、手续费、水费、电费、邮电费、物业管理费、差旅费、维修（护）费、租赁费、培训费、公务接待费、</w:t>
      </w:r>
      <w:r>
        <w:rPr>
          <w:rFonts w:hint="default" w:ascii="仿宋_GB2312" w:hAnsi="仿宋_GB2312" w:eastAsia="仿宋_GB2312" w:cs="仿宋_GB2312"/>
          <w:sz w:val="32"/>
          <w:szCs w:val="32"/>
          <w:highlight w:val="none"/>
          <w:lang w:eastAsia="zh-CN"/>
          <w:woUserID w:val="1"/>
        </w:rPr>
        <w:t>专用材料费、</w:t>
      </w:r>
      <w:r>
        <w:rPr>
          <w:rFonts w:hint="eastAsia" w:ascii="仿宋_GB2312" w:hAnsi="仿宋_GB2312" w:eastAsia="仿宋_GB2312" w:cs="仿宋_GB2312"/>
          <w:sz w:val="32"/>
          <w:szCs w:val="32"/>
          <w:highlight w:val="none"/>
          <w:lang w:val="en-US" w:eastAsia="zh-CN"/>
        </w:rPr>
        <w:t>劳务费、工会经费、福利费、公务用车运行维护费、其他交通费用、其他商品服务</w:t>
      </w:r>
      <w:r>
        <w:rPr>
          <w:rFonts w:hint="default" w:ascii="仿宋_GB2312" w:hAnsi="仿宋_GB2312" w:eastAsia="仿宋_GB2312" w:cs="仿宋_GB2312"/>
          <w:sz w:val="32"/>
          <w:szCs w:val="32"/>
          <w:highlight w:val="none"/>
          <w:lang w:eastAsia="zh-CN"/>
          <w:woUserID w:val="1"/>
        </w:rPr>
        <w:t>支出</w:t>
      </w:r>
      <w:r>
        <w:rPr>
          <w:rFonts w:hint="eastAsia" w:ascii="仿宋_GB2312" w:hAnsi="仿宋_GB2312" w:eastAsia="仿宋_GB2312" w:cs="仿宋_GB2312"/>
          <w:sz w:val="32"/>
          <w:szCs w:val="32"/>
          <w:highlight w:val="none"/>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22" w:name="_Toc31326"/>
      <w:r>
        <w:rPr>
          <w:rFonts w:hint="eastAsia" w:ascii="黑体" w:hAnsi="黑体" w:eastAsia="黑体" w:cs="黑体"/>
          <w:sz w:val="32"/>
          <w:szCs w:val="32"/>
          <w:highlight w:val="none"/>
          <w:lang w:val="en-US" w:eastAsia="zh-CN"/>
        </w:rPr>
        <w:t>七、“三公”经费财政拨款预算安排情况说明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广元市林科院单位2024年“三公”经费财政拨款预算数2.27万元，其中：公务接待费0.27万元，公务用车购置及运行维护费2万元，因公出国（境）经费0万元。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23" w:name="_Toc19851"/>
      <w:r>
        <w:rPr>
          <w:rFonts w:hint="eastAsia" w:ascii="楷体_GB2312" w:hAnsi="楷体_GB2312" w:eastAsia="楷体_GB2312" w:cs="楷体_GB2312"/>
          <w:sz w:val="32"/>
          <w:szCs w:val="32"/>
          <w:highlight w:val="none"/>
          <w:lang w:val="en-US" w:eastAsia="zh-CN"/>
        </w:rPr>
        <w:t>（一）公务接待费</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公务接待费与2023年预算相比下降0.01万元，主要原因是</w:t>
      </w:r>
      <w:r>
        <w:rPr>
          <w:rFonts w:hint="eastAsia" w:ascii="仿宋" w:hAnsi="仿宋" w:eastAsia="仿宋" w:cs="仿宋"/>
          <w:sz w:val="32"/>
          <w:szCs w:val="32"/>
          <w:highlight w:val="none"/>
          <w:lang w:val="en-US" w:eastAsia="zh-CN"/>
        </w:rPr>
        <w:t>要原因是严格执行中央“八项”规定，加强管理，厉行节约。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24" w:name="_Toc31545"/>
      <w:r>
        <w:rPr>
          <w:rFonts w:hint="eastAsia" w:ascii="楷体_GB2312" w:hAnsi="楷体_GB2312" w:eastAsia="楷体_GB2312" w:cs="楷体_GB2312"/>
          <w:sz w:val="32"/>
          <w:szCs w:val="32"/>
          <w:highlight w:val="none"/>
          <w:lang w:val="en-US" w:eastAsia="zh-CN"/>
        </w:rPr>
        <w:t>（二）公务用车购置及运行维护费</w:t>
      </w:r>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广元市林科院现有公务用车1辆，其中：越野车1辆。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2024年安排公务用车运行维护费2万元，用于1辆公务用车燃油、过路（桥）、维修、保险等方面支出，</w:t>
      </w:r>
      <w:r>
        <w:rPr>
          <w:rFonts w:hint="eastAsia" w:ascii="仿宋_GB2312" w:hAnsi="Times New Roman" w:eastAsia="仿宋_GB2312" w:cs="仿宋_GB2312"/>
          <w:color w:val="333333"/>
          <w:kern w:val="0"/>
          <w:sz w:val="32"/>
          <w:szCs w:val="32"/>
          <w:highlight w:val="none"/>
          <w:shd w:val="clear" w:color="auto" w:fill="FFFFFF"/>
          <w:lang w:bidi="ar"/>
        </w:rPr>
        <w:t>主要保障日常业务工作开展。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default" w:ascii="仿宋_GB2312" w:hAnsi="仿宋_GB2312" w:eastAsia="仿宋_GB2312" w:cs="仿宋_GB2312"/>
          <w:sz w:val="32"/>
          <w:szCs w:val="32"/>
          <w:highlight w:val="none"/>
          <w:lang w:val="en-US" w:eastAsia="zh-CN"/>
        </w:rPr>
      </w:pPr>
      <w:bookmarkStart w:id="25" w:name="_Toc31677"/>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25"/>
    </w:p>
    <w:p>
      <w:pPr>
        <w:spacing w:line="576" w:lineRule="exact"/>
        <w:ind w:firstLine="640" w:firstLineChars="200"/>
        <w:rPr>
          <w:rFonts w:hint="eastAsia" w:ascii="仿宋_GB2312" w:hAnsi="仿宋_GB2312" w:eastAsia="仿宋_GB2312" w:cs="仿宋_GB2312"/>
          <w:b/>
          <w:bCs/>
          <w:color w:val="FF0000"/>
          <w:sz w:val="32"/>
          <w:szCs w:val="32"/>
          <w:lang w:val="en-US" w:eastAsia="zh-CN"/>
          <w:woUserID w:val="1"/>
        </w:rPr>
      </w:pPr>
      <w:r>
        <w:rPr>
          <w:rFonts w:hint="eastAsia" w:ascii="仿宋_GB2312" w:hAnsi="仿宋_GB2312" w:eastAsia="仿宋_GB2312" w:cs="仿宋_GB2312"/>
          <w:sz w:val="32"/>
          <w:szCs w:val="32"/>
          <w:highlight w:val="none"/>
          <w:lang w:val="en-US" w:eastAsia="zh-CN"/>
        </w:rPr>
        <w:t>因公出国（境）经费与2023年预算相比持平。</w:t>
      </w:r>
      <w:r>
        <w:rPr>
          <w:rFonts w:hint="default" w:ascii="仿宋_GB2312" w:hAnsi="仿宋_GB2312" w:eastAsia="仿宋_GB2312" w:cs="仿宋_GB2312"/>
          <w:sz w:val="32"/>
          <w:szCs w:val="32"/>
          <w:lang w:eastAsia="zh-CN"/>
          <w:woUserID w:val="1"/>
        </w:rPr>
        <w:t>单位</w:t>
      </w:r>
      <w:r>
        <w:rPr>
          <w:rFonts w:hint="eastAsia" w:ascii="仿宋_GB2312" w:eastAsia="仿宋_GB2312"/>
          <w:sz w:val="32"/>
          <w:szCs w:val="32"/>
          <w:woUserID w:val="1"/>
        </w:rPr>
        <w:t>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lang w:val="en-US" w:eastAsia="zh-CN"/>
        </w:rPr>
      </w:pPr>
      <w:bookmarkStart w:id="26" w:name="_Toc8183"/>
      <w:r>
        <w:rPr>
          <w:rFonts w:hint="eastAsia" w:ascii="黑体" w:hAnsi="黑体" w:eastAsia="黑体" w:cs="黑体"/>
          <w:sz w:val="32"/>
          <w:szCs w:val="32"/>
          <w:highlight w:val="none"/>
          <w:lang w:val="en-US" w:eastAsia="zh-CN"/>
        </w:rPr>
        <w:t>八、政府性基金预算支出情况说明</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广元市林科院2024年无政府性基金预算拨款安排的支出。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lang w:val="en-US" w:eastAsia="zh-CN"/>
        </w:rPr>
      </w:pPr>
      <w:bookmarkStart w:id="27" w:name="_Toc15013"/>
      <w:r>
        <w:rPr>
          <w:rFonts w:hint="eastAsia" w:ascii="黑体" w:hAnsi="黑体" w:eastAsia="黑体" w:cs="黑体"/>
          <w:sz w:val="32"/>
          <w:szCs w:val="32"/>
          <w:highlight w:val="none"/>
          <w:lang w:val="en-US" w:eastAsia="zh-CN"/>
        </w:rPr>
        <w:t>九、国有资本经营预算支出情况说明</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广元市林科院2024年无国有资本经营预算拨款安排的支出。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28" w:name="_Toc10870"/>
      <w:r>
        <w:rPr>
          <w:rFonts w:hint="eastAsia" w:ascii="黑体" w:hAnsi="黑体" w:eastAsia="黑体" w:cs="黑体"/>
          <w:sz w:val="32"/>
          <w:szCs w:val="32"/>
          <w:highlight w:val="none"/>
          <w:lang w:val="en-US" w:eastAsia="zh-CN"/>
        </w:rPr>
        <w:t>十、其他重要事项的情况说明</w:t>
      </w:r>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29" w:name="_Toc22950"/>
      <w:r>
        <w:rPr>
          <w:rFonts w:hint="eastAsia" w:ascii="楷体_GB2312" w:hAnsi="楷体_GB2312" w:eastAsia="楷体_GB2312" w:cs="楷体_GB2312"/>
          <w:sz w:val="32"/>
          <w:szCs w:val="32"/>
          <w:highlight w:val="none"/>
          <w:lang w:val="en-US" w:eastAsia="zh-CN"/>
        </w:rPr>
        <w:t>（一）机关运行经费</w:t>
      </w:r>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广元市林业科学研究院为事业单位，按规定未使用机关运行的相关科目。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30" w:name="_Toc21917"/>
      <w:r>
        <w:rPr>
          <w:rFonts w:hint="eastAsia" w:ascii="楷体_GB2312" w:hAnsi="楷体_GB2312" w:eastAsia="楷体_GB2312" w:cs="楷体_GB2312"/>
          <w:sz w:val="32"/>
          <w:szCs w:val="32"/>
          <w:highlight w:val="none"/>
          <w:lang w:val="en-US" w:eastAsia="zh-CN"/>
        </w:rPr>
        <w:t>（二）政府采购情况</w:t>
      </w:r>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2024年，广元市林业局安排政府采购预算0万元。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lang w:val="en-US" w:eastAsia="zh-CN"/>
        </w:rPr>
      </w:pPr>
      <w:bookmarkStart w:id="31" w:name="_Toc29905"/>
      <w:r>
        <w:rPr>
          <w:rFonts w:hint="eastAsia" w:ascii="楷体_GB2312" w:hAnsi="楷体_GB2312" w:eastAsia="楷体_GB2312" w:cs="楷体_GB2312"/>
          <w:sz w:val="32"/>
          <w:szCs w:val="32"/>
          <w:highlight w:val="none"/>
          <w:lang w:val="en-US" w:eastAsia="zh-CN"/>
        </w:rPr>
        <w:t>（三）国有资产占有使用情况</w:t>
      </w:r>
      <w:bookmarkEnd w:id="3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截至2023年底，广元市林科院共有车辆1辆，其中，</w:t>
      </w:r>
      <w:r>
        <w:rPr>
          <w:rFonts w:hint="eastAsia" w:ascii="仿宋_GB2312" w:hAnsi="仿宋_GB2312" w:eastAsia="仿宋_GB2312" w:cs="仿宋_GB2312"/>
          <w:kern w:val="0"/>
          <w:sz w:val="32"/>
          <w:szCs w:val="32"/>
          <w:highlight w:val="none"/>
          <w:lang w:eastAsia="zh-Hans"/>
        </w:rPr>
        <w:t>一般公务用车</w:t>
      </w: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Hans"/>
        </w:rPr>
        <w:t>辆</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sz w:val="32"/>
          <w:szCs w:val="32"/>
          <w:highlight w:val="none"/>
          <w:lang w:val="en-US" w:eastAsia="zh-CN"/>
        </w:rPr>
        <w:t>本单位无价值200万元以上的大型设备。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楷体_GB2312" w:hAnsi="楷体_GB2312" w:eastAsia="楷体_GB2312" w:cs="楷体_GB2312"/>
          <w:sz w:val="32"/>
          <w:szCs w:val="32"/>
          <w:highlight w:val="none"/>
        </w:rPr>
      </w:pPr>
      <w:bookmarkStart w:id="32" w:name="_Toc3807"/>
      <w:r>
        <w:rPr>
          <w:rFonts w:hint="eastAsia" w:ascii="楷体_GB2312" w:hAnsi="楷体_GB2312" w:eastAsia="楷体_GB2312" w:cs="楷体_GB2312"/>
          <w:sz w:val="32"/>
          <w:szCs w:val="32"/>
          <w:highlight w:val="none"/>
          <w:lang w:val="en-US" w:eastAsia="zh-CN"/>
        </w:rPr>
        <w:t>（四）绩效目标设置情况</w:t>
      </w:r>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2024年广元市林科院开展绩效目标管理的项目11个，涉及预算555.24万元。其中：人员类项目5个，涉及预算 440.59万元；运转类项目3个，涉及预算42.42万元；特定目标类项目3个，涉及预算72.22万元。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outlineLvl w:val="0"/>
        <w:rPr>
          <w:rFonts w:hint="eastAsia" w:ascii="黑体" w:hAnsi="黑体" w:eastAsia="黑体" w:cs="黑体"/>
          <w:sz w:val="32"/>
          <w:szCs w:val="32"/>
          <w:highlight w:val="none"/>
        </w:rPr>
      </w:pPr>
      <w:bookmarkStart w:id="33" w:name="_Toc1768"/>
      <w:r>
        <w:rPr>
          <w:rFonts w:hint="eastAsia" w:ascii="黑体" w:hAnsi="黑体" w:eastAsia="黑体" w:cs="黑体"/>
          <w:sz w:val="32"/>
          <w:szCs w:val="32"/>
          <w:highlight w:val="none"/>
          <w:lang w:val="en-US" w:eastAsia="zh-CN"/>
        </w:rPr>
        <w:t>十一、名词解释</w:t>
      </w:r>
      <w:bookmarkEnd w:id="33"/>
    </w:p>
    <w:p>
      <w:pPr>
        <w:keepNext w:val="0"/>
        <w:keepLines w:val="0"/>
        <w:pageBreakBefore w:val="0"/>
        <w:widowControl w:val="0"/>
        <w:suppressLineNumbers w:val="0"/>
        <w:suppressAutoHyphens/>
        <w:kinsoku/>
        <w:wordWrap/>
        <w:overflowPunct/>
        <w:topLinePunct w:val="0"/>
        <w:bidi w:val="0"/>
        <w:snapToGrid/>
        <w:spacing w:before="0" w:beforeAutospacing="0" w:after="0" w:afterAutospacing="0"/>
        <w:ind w:left="0" w:right="0" w:firstLine="640" w:firstLineChars="200"/>
        <w:jc w:val="left"/>
        <w:textAlignment w:val="auto"/>
        <w:rPr>
          <w:highlight w:val="none"/>
        </w:rPr>
      </w:pPr>
      <w:r>
        <w:rPr>
          <w:rFonts w:hint="eastAsia" w:ascii="楷体_GB2312" w:hAnsi="楷体_GB2312" w:eastAsia="楷体_GB2312" w:cs="楷体_GB2312"/>
          <w:sz w:val="32"/>
          <w:szCs w:val="32"/>
          <w:highlight w:val="none"/>
          <w:lang w:val="en-US" w:eastAsia="zh-CN"/>
        </w:rPr>
        <w:t>（一）财政拨款收入</w:t>
      </w:r>
      <w:r>
        <w:rPr>
          <w:rFonts w:hint="default" w:ascii="楷体_GB2312" w:hAnsi="楷体_GB2312" w:eastAsia="楷体_GB2312" w:cs="楷体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指市财政当年安排的财政预算收入。按现行管理制度</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部门预算中反映的财政拨款包括一般公共预算拨款和政府性基金预算拨款。</w:t>
      </w:r>
      <w:r>
        <w:rPr>
          <w:rFonts w:hint="eastAsia" w:ascii="仿宋_GB2312" w:hAnsi="仿宋_GB2312" w:eastAsia="仿宋_GB2312" w:cs="仿宋_GB2312"/>
          <w:sz w:val="32"/>
          <w:szCs w:val="32"/>
          <w:highlight w:val="none"/>
          <w:lang w:val="en-US" w:eastAsia="zh-CN"/>
        </w:rPr>
        <w:br w:type="textWrapping"/>
      </w:r>
      <w:r>
        <w:rPr>
          <w:rFonts w:hint="default" w:ascii="仿宋_GB2312" w:hAnsi="仿宋_GB2312" w:eastAsia="仿宋_GB2312" w:cs="仿宋_GB2312"/>
          <w:sz w:val="32"/>
          <w:szCs w:val="32"/>
          <w:highlight w:val="none"/>
          <w:lang w:eastAsia="zh-CN"/>
          <w:woUserID w:val="1"/>
        </w:rPr>
        <w:t xml:space="preserve">   </w:t>
      </w:r>
      <w:r>
        <w:rPr>
          <w:rFonts w:hint="eastAsia" w:ascii="仿宋_GB2312" w:hAnsi="仿宋_GB2312" w:eastAsia="仿宋_GB2312" w:cs="仿宋_GB2312"/>
          <w:kern w:val="0"/>
          <w:sz w:val="32"/>
          <w:szCs w:val="32"/>
          <w:highlight w:val="none"/>
        </w:rPr>
        <w:t>（二）</w:t>
      </w:r>
      <w:bookmarkStart w:id="34" w:name="_Toc7576"/>
      <w:bookmarkStart w:id="35" w:name="_Toc11256"/>
      <w:r>
        <w:rPr>
          <w:rFonts w:hint="default" w:ascii="仿宋" w:hAnsi="仿宋" w:eastAsia="仿宋" w:cs="仿宋"/>
          <w:color w:val="auto"/>
          <w:kern w:val="2"/>
          <w:sz w:val="32"/>
          <w:szCs w:val="32"/>
          <w:highlight w:val="none"/>
          <w:lang w:val="en-US" w:eastAsia="zh-CN" w:bidi="ar"/>
        </w:rPr>
        <w:t>社会保障和就业（类）行政事业单位养老支出（款）事业单位离退休（项）</w:t>
      </w:r>
      <w:r>
        <w:rPr>
          <w:rFonts w:hint="default" w:ascii="仿宋" w:hAnsi="仿宋" w:eastAsia="仿宋" w:cs="仿宋"/>
          <w:color w:val="auto"/>
          <w:kern w:val="2"/>
          <w:sz w:val="32"/>
          <w:szCs w:val="32"/>
          <w:highlight w:val="none"/>
          <w:lang w:eastAsia="zh-CN" w:bidi="ar"/>
          <w:woUserID w:val="1"/>
        </w:rPr>
        <w:t>：</w:t>
      </w:r>
      <w:r>
        <w:rPr>
          <w:rFonts w:hint="default" w:ascii="仿宋" w:hAnsi="仿宋" w:eastAsia="仿宋" w:cs="仿宋"/>
          <w:color w:val="auto"/>
          <w:kern w:val="2"/>
          <w:sz w:val="32"/>
          <w:szCs w:val="32"/>
          <w:highlight w:val="none"/>
          <w:lang w:val="en-US" w:eastAsia="zh-CN" w:bidi="ar"/>
        </w:rPr>
        <w:t>指事业单位离退休人员经费支出。</w:t>
      </w:r>
    </w:p>
    <w:p>
      <w:pPr>
        <w:keepNext w:val="0"/>
        <w:keepLines w:val="0"/>
        <w:pageBreakBefore w:val="0"/>
        <w:widowControl w:val="0"/>
        <w:suppressLineNumbers w:val="0"/>
        <w:shd w:val="clear" w:color="auto" w:fill="FFFFFF"/>
        <w:suppressAutoHyphens/>
        <w:kinsoku/>
        <w:wordWrap/>
        <w:overflowPunct/>
        <w:topLinePunct w:val="0"/>
        <w:bidi w:val="0"/>
        <w:snapToGrid/>
        <w:spacing w:before="0" w:beforeAutospacing="0" w:after="0" w:afterAutospacing="0" w:line="480" w:lineRule="auto"/>
        <w:ind w:left="0" w:leftChars="0" w:right="0" w:firstLine="640" w:firstLineChars="200"/>
        <w:jc w:val="both"/>
        <w:textAlignment w:val="auto"/>
        <w:outlineLvl w:val="1"/>
        <w:rPr>
          <w:rFonts w:hint="eastAsia" w:ascii="仿宋_GB2312" w:eastAsia="仿宋_GB2312"/>
          <w:sz w:val="32"/>
          <w:szCs w:val="32"/>
          <w:highlight w:val="none"/>
        </w:rPr>
      </w:pPr>
      <w:bookmarkStart w:id="36" w:name="_Toc19765"/>
      <w:bookmarkStart w:id="37" w:name="_Toc23005"/>
      <w:bookmarkStart w:id="38" w:name="_Toc1185"/>
      <w:r>
        <w:rPr>
          <w:rFonts w:hint="eastAsia" w:ascii="仿宋_GB2312" w:eastAsia="仿宋_GB2312"/>
          <w:sz w:val="32"/>
          <w:szCs w:val="32"/>
          <w:highlight w:val="none"/>
        </w:rPr>
        <w:t>（三）</w:t>
      </w:r>
      <w:bookmarkEnd w:id="36"/>
      <w:bookmarkEnd w:id="37"/>
      <w:r>
        <w:rPr>
          <w:rFonts w:hint="eastAsia" w:ascii="仿宋" w:hAnsi="仿宋" w:eastAsia="仿宋" w:cs="仿宋"/>
          <w:sz w:val="32"/>
          <w:szCs w:val="32"/>
          <w:highlight w:val="none"/>
          <w:lang w:val="en-US" w:eastAsia="zh-CN"/>
        </w:rPr>
        <w:t>行政单位医疗（类）行政事业单位医疗（款）事业单位医疗（项）</w:t>
      </w:r>
      <w:r>
        <w:rPr>
          <w:rFonts w:hint="default" w:ascii="仿宋" w:hAnsi="仿宋" w:eastAsia="仿宋" w:cs="仿宋"/>
          <w:sz w:val="32"/>
          <w:szCs w:val="32"/>
          <w:highlight w:val="none"/>
          <w:lang w:eastAsia="zh-CN"/>
          <w:woUserID w:val="1"/>
        </w:rPr>
        <w:t>：</w:t>
      </w:r>
      <w:r>
        <w:rPr>
          <w:rFonts w:hint="default" w:ascii="仿宋_GB2312" w:hAnsi="Calibri" w:eastAsia="仿宋_GB2312" w:cs="仿宋_GB2312"/>
          <w:color w:val="auto"/>
          <w:kern w:val="2"/>
          <w:sz w:val="32"/>
          <w:szCs w:val="32"/>
          <w:lang w:val="en-US" w:eastAsia="zh-CN" w:bidi="ar"/>
          <w:woUserID w:val="1"/>
        </w:rPr>
        <w:t>指事业单位用于单位应缴纳基本医疗保险支出。</w:t>
      </w:r>
      <w:bookmarkEnd w:id="38"/>
    </w:p>
    <w:p>
      <w:pPr>
        <w:keepNext w:val="0"/>
        <w:keepLines w:val="0"/>
        <w:pageBreakBefore w:val="0"/>
        <w:widowControl/>
        <w:shd w:val="clear" w:color="auto" w:fill="FFFFFF"/>
        <w:kinsoku/>
        <w:wordWrap/>
        <w:overflowPunct/>
        <w:topLinePunct w:val="0"/>
        <w:bidi w:val="0"/>
        <w:snapToGrid/>
        <w:spacing w:line="480" w:lineRule="auto"/>
        <w:ind w:firstLine="640" w:firstLineChars="200"/>
        <w:jc w:val="left"/>
        <w:textAlignment w:val="auto"/>
        <w:outlineLvl w:val="1"/>
        <w:rPr>
          <w:rFonts w:hint="eastAsia" w:ascii="仿宋_GB2312" w:eastAsia="仿宋_GB2312"/>
          <w:sz w:val="32"/>
          <w:szCs w:val="32"/>
          <w:highlight w:val="none"/>
        </w:rPr>
      </w:pPr>
      <w:bookmarkStart w:id="39" w:name="_Toc18798"/>
      <w:bookmarkStart w:id="40" w:name="_Toc9440"/>
      <w:bookmarkStart w:id="41" w:name="_Toc28837"/>
      <w:r>
        <w:rPr>
          <w:rFonts w:hint="eastAsia" w:ascii="仿宋_GB2312" w:eastAsia="仿宋_GB2312"/>
          <w:sz w:val="32"/>
          <w:szCs w:val="32"/>
          <w:highlight w:val="none"/>
        </w:rPr>
        <w:t>（四）社会保障和就业（类）行政事业单位养老支出（款）机关事业单位基本养老保险缴费支出（项）: 反映机关事业单位 实施养老保险制度由单位缴纳的基本养老保险费支出。</w:t>
      </w:r>
      <w:bookmarkEnd w:id="39"/>
      <w:bookmarkEnd w:id="40"/>
      <w:bookmarkEnd w:id="41"/>
    </w:p>
    <w:p>
      <w:pPr>
        <w:keepNext w:val="0"/>
        <w:keepLines w:val="0"/>
        <w:pageBreakBefore w:val="0"/>
        <w:widowControl/>
        <w:shd w:val="clear" w:color="auto" w:fill="FFFFFF"/>
        <w:kinsoku/>
        <w:wordWrap/>
        <w:overflowPunct/>
        <w:topLinePunct w:val="0"/>
        <w:bidi w:val="0"/>
        <w:snapToGrid/>
        <w:spacing w:line="480" w:lineRule="auto"/>
        <w:ind w:firstLine="640" w:firstLineChars="200"/>
        <w:jc w:val="left"/>
        <w:textAlignment w:val="auto"/>
        <w:outlineLvl w:val="1"/>
        <w:rPr>
          <w:rFonts w:hint="eastAsia" w:ascii="仿宋" w:hAnsi="仿宋" w:eastAsia="仿宋" w:cs="仿宋"/>
          <w:sz w:val="32"/>
          <w:szCs w:val="32"/>
          <w:highlight w:val="none"/>
          <w:lang w:val="en-US" w:eastAsia="zh-CN"/>
        </w:rPr>
      </w:pPr>
      <w:bookmarkStart w:id="42" w:name="_Toc30974"/>
      <w:r>
        <w:rPr>
          <w:rFonts w:hint="eastAsia" w:ascii="仿宋" w:hAnsi="仿宋" w:eastAsia="仿宋" w:cs="仿宋"/>
          <w:sz w:val="32"/>
          <w:szCs w:val="32"/>
          <w:highlight w:val="none"/>
          <w:lang w:val="en-US" w:eastAsia="zh-CN"/>
        </w:rPr>
        <w:t>（五）社会保障和就业（类）其他社会保障和就业支出（款）其他社会保障和就业支出（项）</w:t>
      </w:r>
      <w:r>
        <w:rPr>
          <w:rFonts w:hint="default" w:ascii="仿宋" w:hAnsi="仿宋" w:eastAsia="仿宋" w:cs="仿宋"/>
          <w:sz w:val="32"/>
          <w:szCs w:val="32"/>
          <w:highlight w:val="none"/>
          <w:lang w:eastAsia="zh-CN"/>
          <w:woUserID w:val="1"/>
        </w:rPr>
        <w:t>：</w:t>
      </w:r>
      <w:r>
        <w:rPr>
          <w:rFonts w:hint="eastAsia" w:ascii="仿宋" w:hAnsi="仿宋" w:eastAsia="仿宋" w:cs="仿宋"/>
          <w:sz w:val="32"/>
          <w:szCs w:val="32"/>
          <w:highlight w:val="none"/>
          <w:lang w:val="en-US" w:eastAsia="zh-CN"/>
        </w:rPr>
        <w:t>指除上述项目以外其他用于社会保障和就业方面的支出。</w:t>
      </w:r>
      <w:bookmarkEnd w:id="42"/>
    </w:p>
    <w:p>
      <w:pPr>
        <w:keepNext w:val="0"/>
        <w:keepLines w:val="0"/>
        <w:pageBreakBefore w:val="0"/>
        <w:widowControl/>
        <w:numPr>
          <w:ilvl w:val="0"/>
          <w:numId w:val="0"/>
        </w:numPr>
        <w:shd w:val="clear" w:color="auto" w:fill="FFFFFF"/>
        <w:kinsoku/>
        <w:wordWrap/>
        <w:overflowPunct/>
        <w:topLinePunct w:val="0"/>
        <w:bidi w:val="0"/>
        <w:snapToGrid/>
        <w:spacing w:line="480" w:lineRule="auto"/>
        <w:ind w:firstLine="640" w:firstLineChars="200"/>
        <w:jc w:val="left"/>
        <w:textAlignment w:val="auto"/>
        <w:rPr>
          <w:rFonts w:hint="eastAsia" w:ascii="仿宋_GB2312" w:eastAsia="仿宋_GB2312"/>
          <w:sz w:val="32"/>
          <w:szCs w:val="32"/>
          <w:highlight w:val="none"/>
        </w:rPr>
      </w:pPr>
      <w:r>
        <w:rPr>
          <w:rFonts w:hint="eastAsia" w:ascii="仿宋_GB2312" w:hAnsi="Times New Roman" w:eastAsia="仿宋_GB2312" w:cs="仿宋_GB2312"/>
          <w:color w:val="333333"/>
          <w:sz w:val="32"/>
          <w:szCs w:val="32"/>
          <w:highlight w:val="none"/>
          <w:shd w:val="clear" w:color="auto" w:fill="FFFFFF"/>
          <w:lang w:eastAsia="zh-CN" w:bidi="ar"/>
        </w:rPr>
        <w:t>（六）</w:t>
      </w:r>
      <w:r>
        <w:rPr>
          <w:rFonts w:hint="eastAsia" w:ascii="仿宋_GB2312" w:hAnsi="Times New Roman" w:eastAsia="仿宋_GB2312" w:cs="仿宋_GB2312"/>
          <w:color w:val="333333"/>
          <w:sz w:val="32"/>
          <w:szCs w:val="32"/>
          <w:highlight w:val="none"/>
          <w:shd w:val="clear" w:color="auto" w:fill="FFFFFF"/>
          <w:lang w:bidi="ar"/>
        </w:rPr>
        <w:t>农林水（类）林业和草原支出（款）事业机构（项）：</w:t>
      </w:r>
      <w:r>
        <w:rPr>
          <w:rFonts w:hint="eastAsia" w:ascii="仿宋_GB2312" w:eastAsia="仿宋_GB2312"/>
          <w:sz w:val="32"/>
          <w:szCs w:val="32"/>
          <w:highlight w:val="none"/>
        </w:rPr>
        <w:t>反映事业单位的基本支出，不包括行政单位(含实行公务员管理 的事业单位)后勤服务中心等附属事业单位的支出。</w:t>
      </w:r>
    </w:p>
    <w:p>
      <w:pPr>
        <w:keepNext w:val="0"/>
        <w:keepLines w:val="0"/>
        <w:pageBreakBefore w:val="0"/>
        <w:widowControl/>
        <w:numPr>
          <w:ilvl w:val="0"/>
          <w:numId w:val="0"/>
        </w:numPr>
        <w:shd w:val="clear" w:color="auto" w:fill="FFFFFF"/>
        <w:kinsoku/>
        <w:wordWrap/>
        <w:overflowPunct/>
        <w:topLinePunct w:val="0"/>
        <w:bidi w:val="0"/>
        <w:snapToGrid/>
        <w:spacing w:line="480" w:lineRule="auto"/>
        <w:ind w:firstLine="640" w:firstLineChars="200"/>
        <w:jc w:val="left"/>
        <w:textAlignment w:val="auto"/>
        <w:rPr>
          <w:rFonts w:hint="eastAsia" w:ascii="仿宋_GB2312" w:eastAsia="仿宋_GB2312"/>
          <w:sz w:val="32"/>
          <w:szCs w:val="32"/>
          <w:highlight w:val="none"/>
        </w:rPr>
      </w:pPr>
      <w:r>
        <w:rPr>
          <w:rFonts w:hint="eastAsia" w:ascii="仿宋" w:hAnsi="仿宋" w:eastAsia="仿宋" w:cs="仿宋"/>
          <w:sz w:val="32"/>
          <w:szCs w:val="32"/>
          <w:highlight w:val="none"/>
          <w:lang w:val="en-US" w:eastAsia="zh-CN"/>
        </w:rPr>
        <w:t>（七）农林水（类）林业和草原（款）技术推广与转化（项）</w:t>
      </w:r>
      <w:r>
        <w:rPr>
          <w:rFonts w:hint="default" w:ascii="仿宋" w:hAnsi="仿宋" w:eastAsia="仿宋" w:cs="仿宋"/>
          <w:sz w:val="32"/>
          <w:szCs w:val="32"/>
          <w:highlight w:val="none"/>
          <w:lang w:eastAsia="zh-CN"/>
          <w:woUserID w:val="1"/>
        </w:rPr>
        <w:t>：</w:t>
      </w:r>
      <w:r>
        <w:rPr>
          <w:rFonts w:hint="eastAsia" w:ascii="仿宋" w:hAnsi="仿宋" w:eastAsia="仿宋" w:cs="仿宋"/>
          <w:sz w:val="32"/>
          <w:szCs w:val="32"/>
          <w:highlight w:val="none"/>
          <w:lang w:val="en-US" w:eastAsia="zh-CN"/>
        </w:rPr>
        <w:t>指良种繁育、新技术引进、区域化试验、示范、技术推广、成果转化、科学普及等方面的支出。</w:t>
      </w:r>
    </w:p>
    <w:p>
      <w:pPr>
        <w:keepNext w:val="0"/>
        <w:keepLines w:val="0"/>
        <w:pageBreakBefore w:val="0"/>
        <w:widowControl w:val="0"/>
        <w:suppressLineNumbers w:val="0"/>
        <w:suppressAutoHyphens/>
        <w:kinsoku/>
        <w:wordWrap/>
        <w:overflowPunct/>
        <w:topLinePunct w:val="0"/>
        <w:bidi w:val="0"/>
        <w:snapToGrid/>
        <w:spacing w:before="0" w:beforeAutospacing="0" w:after="0" w:afterAutospacing="0"/>
        <w:ind w:left="0" w:right="0" w:firstLine="640" w:firstLineChars="200"/>
        <w:jc w:val="left"/>
        <w:textAlignment w:val="auto"/>
        <w:rPr>
          <w:highlight w:val="none"/>
        </w:rPr>
      </w:pPr>
      <w:r>
        <w:rPr>
          <w:rFonts w:hint="eastAsia" w:ascii="仿宋" w:hAnsi="仿宋" w:eastAsia="仿宋" w:cs="仿宋"/>
          <w:color w:val="auto"/>
          <w:kern w:val="2"/>
          <w:sz w:val="32"/>
          <w:szCs w:val="32"/>
          <w:highlight w:val="none"/>
          <w:lang w:val="en-US" w:eastAsia="zh-CN" w:bidi="ar"/>
        </w:rPr>
        <w:t>（八）</w:t>
      </w:r>
      <w:r>
        <w:rPr>
          <w:rFonts w:hint="default" w:ascii="仿宋" w:hAnsi="仿宋" w:eastAsia="仿宋" w:cs="仿宋"/>
          <w:color w:val="auto"/>
          <w:kern w:val="2"/>
          <w:sz w:val="32"/>
          <w:szCs w:val="32"/>
          <w:highlight w:val="none"/>
          <w:lang w:val="en-US" w:eastAsia="zh-CN" w:bidi="ar"/>
        </w:rPr>
        <w:t>农林水（类）林业和草原（款）其他林业和草原支出（项）</w:t>
      </w:r>
      <w:r>
        <w:rPr>
          <w:rFonts w:hint="default" w:ascii="仿宋" w:hAnsi="仿宋" w:eastAsia="仿宋" w:cs="仿宋"/>
          <w:color w:val="auto"/>
          <w:kern w:val="2"/>
          <w:sz w:val="32"/>
          <w:szCs w:val="32"/>
          <w:highlight w:val="none"/>
          <w:lang w:eastAsia="zh-CN" w:bidi="ar"/>
          <w:woUserID w:val="1"/>
        </w:rPr>
        <w:t>：</w:t>
      </w:r>
      <w:r>
        <w:rPr>
          <w:rFonts w:hint="default" w:ascii="仿宋" w:hAnsi="仿宋" w:eastAsia="仿宋" w:cs="仿宋"/>
          <w:color w:val="auto"/>
          <w:kern w:val="2"/>
          <w:sz w:val="32"/>
          <w:szCs w:val="32"/>
          <w:highlight w:val="none"/>
          <w:lang w:val="en-US" w:eastAsia="zh-CN" w:bidi="ar"/>
        </w:rPr>
        <w:t>指除上述项目以外用于林业和草原方面的支出。</w:t>
      </w:r>
    </w:p>
    <w:p>
      <w:pPr>
        <w:keepNext w:val="0"/>
        <w:keepLines w:val="0"/>
        <w:pageBreakBefore w:val="0"/>
        <w:widowControl w:val="0"/>
        <w:suppressLineNumbers w:val="0"/>
        <w:suppressAutoHyphens/>
        <w:kinsoku/>
        <w:wordWrap/>
        <w:overflowPunct/>
        <w:topLinePunct w:val="0"/>
        <w:bidi w:val="0"/>
        <w:snapToGrid/>
        <w:spacing w:before="0" w:beforeAutospacing="0" w:after="0" w:afterAutospacing="0" w:line="560" w:lineRule="exact"/>
        <w:ind w:left="0" w:right="0" w:firstLine="640" w:firstLineChars="200"/>
        <w:jc w:val="both"/>
        <w:textAlignment w:val="auto"/>
        <w:rPr>
          <w:rFonts w:hint="default" w:ascii="仿宋_GB2312" w:hAnsi="Calibri" w:eastAsia="仿宋_GB2312" w:cs="仿宋_GB2312"/>
          <w:color w:val="auto"/>
          <w:kern w:val="2"/>
          <w:sz w:val="32"/>
          <w:szCs w:val="32"/>
          <w:lang w:val="en-US" w:eastAsia="zh-CN" w:bidi="ar"/>
          <w:woUserID w:val="1"/>
        </w:rPr>
      </w:pPr>
      <w:r>
        <w:rPr>
          <w:rFonts w:hint="eastAsia" w:ascii="仿宋_GB2312" w:eastAsia="仿宋_GB2312"/>
          <w:color w:val="auto"/>
          <w:sz w:val="32"/>
          <w:szCs w:val="32"/>
          <w:highlight w:val="none"/>
          <w:lang w:eastAsia="zh-CN"/>
        </w:rPr>
        <w:t>（九）</w:t>
      </w:r>
      <w:r>
        <w:rPr>
          <w:rFonts w:hint="eastAsia" w:ascii="仿宋_GB2312" w:eastAsia="仿宋_GB2312"/>
          <w:color w:val="auto"/>
          <w:sz w:val="32"/>
          <w:szCs w:val="32"/>
          <w:highlight w:val="none"/>
        </w:rPr>
        <w:t>住房保障支出（类）住房改革支出（款）住房公积金（项） ：指</w:t>
      </w:r>
      <w:bookmarkEnd w:id="34"/>
      <w:bookmarkEnd w:id="35"/>
      <w:bookmarkStart w:id="43" w:name="_Toc26547"/>
      <w:bookmarkStart w:id="44" w:name="_Toc18165"/>
      <w:bookmarkStart w:id="45" w:name="_Toc13364"/>
      <w:r>
        <w:rPr>
          <w:rFonts w:hint="default" w:ascii="仿宋_GB2312" w:hAnsi="Calibri" w:eastAsia="仿宋_GB2312" w:cs="仿宋_GB2312"/>
          <w:color w:val="auto"/>
          <w:kern w:val="2"/>
          <w:sz w:val="32"/>
          <w:szCs w:val="32"/>
          <w:lang w:val="en-US" w:eastAsia="zh-CN" w:bidi="ar"/>
          <w:woUserID w:val="1"/>
        </w:rPr>
        <w:t>按照《住房公积金管理条例》的规定，由单位及其在职职工缴存的长期住房储金。</w:t>
      </w:r>
    </w:p>
    <w:p>
      <w:pPr>
        <w:keepNext w:val="0"/>
        <w:keepLines w:val="0"/>
        <w:pageBreakBefore w:val="0"/>
        <w:widowControl w:val="0"/>
        <w:suppressLineNumbers w:val="0"/>
        <w:suppressAutoHyphens/>
        <w:kinsoku/>
        <w:wordWrap/>
        <w:overflowPunct/>
        <w:topLinePunct w:val="0"/>
        <w:bidi w:val="0"/>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十</w:t>
      </w:r>
      <w:r>
        <w:rPr>
          <w:rFonts w:hint="eastAsia" w:ascii="仿宋_GB2312" w:hAnsi="仿宋_GB2312" w:eastAsia="仿宋_GB2312" w:cs="仿宋_GB2312"/>
          <w:kern w:val="0"/>
          <w:sz w:val="32"/>
          <w:szCs w:val="32"/>
          <w:highlight w:val="none"/>
        </w:rPr>
        <w:t>）基本支出：指为保证机构正常运转，完成日常工作任务而发生的人员支出和公用支出。</w:t>
      </w:r>
      <w:bookmarkEnd w:id="43"/>
      <w:bookmarkEnd w:id="44"/>
      <w:bookmarkEnd w:id="45"/>
    </w:p>
    <w:p>
      <w:pPr>
        <w:keepNext w:val="0"/>
        <w:keepLines w:val="0"/>
        <w:pageBreakBefore w:val="0"/>
        <w:widowControl/>
        <w:shd w:val="clear" w:color="auto" w:fill="FFFFFF"/>
        <w:kinsoku/>
        <w:wordWrap/>
        <w:overflowPunct/>
        <w:topLinePunct w:val="0"/>
        <w:bidi w:val="0"/>
        <w:snapToGrid/>
        <w:spacing w:line="480" w:lineRule="auto"/>
        <w:ind w:firstLine="640" w:firstLineChars="200"/>
        <w:jc w:val="left"/>
        <w:textAlignment w:val="auto"/>
        <w:rPr>
          <w:rFonts w:hint="eastAsia"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十一</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 xml:space="preserve">项目支出：指在基本支出之外为完成特定行政任务和事业发展目标所发生的支出。 </w:t>
      </w:r>
    </w:p>
    <w:p>
      <w:pPr>
        <w:keepNext w:val="0"/>
        <w:keepLines w:val="0"/>
        <w:pageBreakBefore w:val="0"/>
        <w:widowControl/>
        <w:shd w:val="clear" w:color="auto" w:fill="FFFFFF"/>
        <w:kinsoku/>
        <w:wordWrap/>
        <w:overflowPunct/>
        <w:topLinePunct w:val="0"/>
        <w:bidi w:val="0"/>
        <w:snapToGrid/>
        <w:spacing w:line="480" w:lineRule="auto"/>
        <w:ind w:firstLine="640" w:firstLineChars="200"/>
        <w:jc w:val="left"/>
        <w:textAlignment w:val="auto"/>
        <w:rPr>
          <w:rFonts w:hint="eastAsia"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十二</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“三公”经费：</w:t>
      </w:r>
      <w:r>
        <w:rPr>
          <w:rFonts w:hint="eastAsia" w:ascii="仿宋_GB2312" w:hAnsi="仿宋_GB2312" w:eastAsia="仿宋_GB2312" w:cs="仿宋_GB2312"/>
          <w:sz w:val="32"/>
          <w:szCs w:val="32"/>
          <w:highlight w:val="none"/>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附件：</w:t>
      </w:r>
      <w:r>
        <w:rPr>
          <w:rFonts w:hint="default" w:ascii="仿宋_GB2312" w:hAnsi="仿宋_GB2312" w:eastAsia="仿宋_GB2312" w:cs="仿宋_GB2312"/>
          <w:sz w:val="32"/>
          <w:szCs w:val="32"/>
          <w:highlight w:val="none"/>
          <w:lang w:eastAsia="zh-CN"/>
          <w:woUserID w:val="1"/>
        </w:rPr>
        <w:t>单位</w:t>
      </w:r>
      <w:r>
        <w:rPr>
          <w:rFonts w:hint="eastAsia" w:ascii="仿宋_GB2312" w:hAnsi="仿宋_GB2312" w:eastAsia="仿宋_GB2312" w:cs="仿宋_GB2312"/>
          <w:sz w:val="32"/>
          <w:szCs w:val="32"/>
          <w:highlight w:val="none"/>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bCs/>
          <w:sz w:val="32"/>
          <w:szCs w:val="32"/>
          <w:highlight w:val="none"/>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仿宋">
    <w:altName w:val="Times New Roman"/>
    <w:panose1 w:val="02010609060101010101"/>
    <w:charset w:val="86"/>
    <w:family w:val="auto"/>
    <w:pitch w:val="default"/>
    <w:sig w:usb0="00000000" w:usb1="00000000" w:usb2="00000016" w:usb3="00000000" w:csb0="00040001" w:csb1="00000000"/>
  </w:font>
  <w:font w:name="方正小标宋简体">
    <w:altName w:val="Times New Roman"/>
    <w:panose1 w:val="02000000000000000000"/>
    <w:charset w:val="86"/>
    <w:family w:val="auto"/>
    <w:pitch w:val="default"/>
    <w:sig w:usb0="00000000" w:usb1="00000000" w:usb2="00000012" w:usb3="00000000" w:csb0="00040001" w:csb1="00000000"/>
  </w:font>
  <w:font w:name="仿宋_GB2312">
    <w:altName w:val="Times New Roman"/>
    <w:panose1 w:val="02010609030101010101"/>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Noto Serif CJK SC">
    <w:panose1 w:val="02020400000000000000"/>
    <w:charset w:val="86"/>
    <w:family w:val="auto"/>
    <w:pitch w:val="default"/>
    <w:sig w:usb0="30000083" w:usb1="2BDF3C10" w:usb2="00000016" w:usb3="00000000" w:csb0="602E0107" w:csb1="00000000"/>
  </w:font>
  <w:font w:name="方正仿宋_GBK">
    <w:altName w:val="Times New Roman"/>
    <w:panose1 w:val="00000000000000000000"/>
    <w:charset w:val="00"/>
    <w:family w:val="auto"/>
    <w:pitch w:val="default"/>
    <w:sig w:usb0="00000000" w:usb1="00000000" w:usb2="00000000" w:usb3="00000000" w:csb0="00000000" w:csb1="00000000"/>
  </w:font>
  <w:font w:name="方正小标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 w:name="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U5NmIzMTdiYjAyM2ZjZDg3NzBhMmYyNDA5MDUifQ=="/>
  </w:docVars>
  <w:rsids>
    <w:rsidRoot w:val="00000000"/>
    <w:rsid w:val="012352D1"/>
    <w:rsid w:val="1D9F113A"/>
    <w:rsid w:val="1F7BF06F"/>
    <w:rsid w:val="1FEE4B73"/>
    <w:rsid w:val="23CE9849"/>
    <w:rsid w:val="2E410C86"/>
    <w:rsid w:val="36FD1D23"/>
    <w:rsid w:val="372799D5"/>
    <w:rsid w:val="39F304DD"/>
    <w:rsid w:val="3FADC847"/>
    <w:rsid w:val="4EA401EB"/>
    <w:rsid w:val="54244390"/>
    <w:rsid w:val="54662A63"/>
    <w:rsid w:val="58064E12"/>
    <w:rsid w:val="58A918B1"/>
    <w:rsid w:val="5BFEE015"/>
    <w:rsid w:val="5C8E9428"/>
    <w:rsid w:val="602E2DD8"/>
    <w:rsid w:val="60FDE91E"/>
    <w:rsid w:val="63EDCF55"/>
    <w:rsid w:val="63FBFBCF"/>
    <w:rsid w:val="669360FD"/>
    <w:rsid w:val="67DE7013"/>
    <w:rsid w:val="68FF6A83"/>
    <w:rsid w:val="6AEF6005"/>
    <w:rsid w:val="6E3DB48E"/>
    <w:rsid w:val="6FBBC9CF"/>
    <w:rsid w:val="72BDE561"/>
    <w:rsid w:val="78462278"/>
    <w:rsid w:val="7997EA6C"/>
    <w:rsid w:val="7AEAE675"/>
    <w:rsid w:val="7BAFCE5D"/>
    <w:rsid w:val="7BFFBA5E"/>
    <w:rsid w:val="7D46598C"/>
    <w:rsid w:val="7D9F8F0F"/>
    <w:rsid w:val="7DED4931"/>
    <w:rsid w:val="7DFB240B"/>
    <w:rsid w:val="7DFE05E7"/>
    <w:rsid w:val="7E0935ED"/>
    <w:rsid w:val="7F5F08F6"/>
    <w:rsid w:val="7FBDBF68"/>
    <w:rsid w:val="7FCF2AF7"/>
    <w:rsid w:val="7FDD4604"/>
    <w:rsid w:val="9FEF033D"/>
    <w:rsid w:val="A27FF1E5"/>
    <w:rsid w:val="AF3FEDDD"/>
    <w:rsid w:val="AFDEB5A7"/>
    <w:rsid w:val="AFEA7FBF"/>
    <w:rsid w:val="B6FEBFBB"/>
    <w:rsid w:val="B83F4767"/>
    <w:rsid w:val="BEE9F4F3"/>
    <w:rsid w:val="BF930F07"/>
    <w:rsid w:val="BFA91DC2"/>
    <w:rsid w:val="BFCE8436"/>
    <w:rsid w:val="C3F7EB7A"/>
    <w:rsid w:val="C6C81D5A"/>
    <w:rsid w:val="CFF5FEEC"/>
    <w:rsid w:val="D3DD9064"/>
    <w:rsid w:val="D6F76A0C"/>
    <w:rsid w:val="D7ECE8D2"/>
    <w:rsid w:val="DFDD4FB5"/>
    <w:rsid w:val="DFF75509"/>
    <w:rsid w:val="E7F748B5"/>
    <w:rsid w:val="EE5F3713"/>
    <w:rsid w:val="EFC9D62C"/>
    <w:rsid w:val="EFEBF2E2"/>
    <w:rsid w:val="F6BE9755"/>
    <w:rsid w:val="F6FFA89B"/>
    <w:rsid w:val="F88D0DC7"/>
    <w:rsid w:val="FAE4EFE1"/>
    <w:rsid w:val="FB9B6F12"/>
    <w:rsid w:val="FBB66A4A"/>
    <w:rsid w:val="FBFF27D0"/>
    <w:rsid w:val="FDD1D938"/>
    <w:rsid w:val="FDEE6989"/>
    <w:rsid w:val="FF0E79D0"/>
    <w:rsid w:val="FF5E7DB8"/>
    <w:rsid w:val="FF77E367"/>
    <w:rsid w:val="FF976BBF"/>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next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 WWO_wpscloud_20240301120307-54f62878b9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春华秋实</cp:lastModifiedBy>
  <dcterms:modified xsi:type="dcterms:W3CDTF">2024-03-04T16:35:30Z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A406CC259582DEFDBB91E465C6A01E54</vt:lpwstr>
  </property>
</Properties>
</file>