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广元市教育考试院</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pStyle w:val="2"/>
        <w:rPr>
          <w:rFonts w:hint="eastAsia"/>
          <w:lang w:val="en-US" w:eastAsia="zh-CN"/>
        </w:rPr>
      </w:pPr>
    </w:p>
    <w:sdt>
      <w:sdtPr>
        <w:rPr>
          <w:rFonts w:ascii="宋体" w:hAnsi="宋体" w:eastAsia="宋体" w:cs="Times New Roman"/>
          <w:color w:val="auto"/>
          <w:kern w:val="2"/>
          <w:sz w:val="21"/>
          <w:szCs w:val="24"/>
          <w:lang w:val="en-US" w:eastAsia="zh-CN" w:bidi="ar-SA"/>
        </w:rPr>
        <w:id w:val="147467913"/>
        <w15:color w:val="DBDBDB"/>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pPr>
            <w:keepNext w:val="0"/>
            <w:keepLines w:val="0"/>
            <w:pageBreakBefore w:val="0"/>
            <w:kinsoku/>
            <w:wordWrap/>
            <w:overflowPunct/>
            <w:topLinePunct w:val="0"/>
            <w:autoSpaceDE/>
            <w:autoSpaceDN/>
            <w:bidi w:val="0"/>
            <w:adjustRightInd/>
            <w:snapToGrid/>
            <w:spacing w:before="0" w:beforeLines="0" w:after="0" w:afterLines="0" w:line="440" w:lineRule="exact"/>
            <w:ind w:left="0" w:leftChars="0" w:right="0" w:rightChars="0" w:firstLine="0" w:firstLineChars="0"/>
            <w:jc w:val="center"/>
            <w:textAlignment w:val="auto"/>
          </w:pPr>
          <w:r>
            <w:rPr>
              <w:rFonts w:ascii="宋体" w:hAnsi="宋体" w:eastAsia="宋体"/>
              <w:sz w:val="21"/>
            </w:rPr>
            <w:t>目录</w:t>
          </w:r>
        </w:p>
        <w:p>
          <w:pPr>
            <w:pStyle w:val="15"/>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rPr>
              <w:b/>
            </w:rPr>
          </w:pPr>
          <w:r>
            <w:fldChar w:fldCharType="begin"/>
          </w:r>
          <w:r>
            <w:instrText xml:space="preserve">TOC \o "1-2" \h \u </w:instrText>
          </w:r>
          <w:r>
            <w:fldChar w:fldCharType="separate"/>
          </w:r>
          <w:r>
            <w:rPr>
              <w:b/>
            </w:rPr>
            <w:fldChar w:fldCharType="begin"/>
          </w:r>
          <w:r>
            <w:rPr>
              <w:b/>
            </w:rPr>
            <w:instrText xml:space="preserve"> HYPERLINK \l _Toc12757 </w:instrText>
          </w:r>
          <w:r>
            <w:rPr>
              <w:b/>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_Toc12757 \h </w:instrText>
          </w:r>
          <w:r>
            <w:rPr>
              <w:b/>
            </w:rPr>
            <w:fldChar w:fldCharType="separate"/>
          </w:r>
          <w:r>
            <w:rPr>
              <w:b/>
            </w:rPr>
            <w:t>3</w:t>
          </w:r>
          <w:r>
            <w:rPr>
              <w:b/>
            </w:rPr>
            <w:fldChar w:fldCharType="end"/>
          </w:r>
          <w:r>
            <w:rPr>
              <w:b/>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_Toc11421 </w:instrText>
          </w:r>
          <w: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广元市教育考试院</w:t>
          </w:r>
          <w:r>
            <w:rPr>
              <w:rFonts w:hint="eastAsia" w:ascii="楷体_GB2312" w:hAnsi="楷体_GB2312" w:eastAsia="楷体_GB2312" w:cs="楷体_GB2312"/>
              <w:szCs w:val="32"/>
            </w:rPr>
            <w:t>职能简介</w:t>
          </w:r>
          <w:r>
            <w:tab/>
          </w:r>
          <w:r>
            <w:fldChar w:fldCharType="begin"/>
          </w:r>
          <w:r>
            <w:instrText xml:space="preserve"> PAGEREF _Toc11421 \h </w:instrText>
          </w:r>
          <w:r>
            <w:fldChar w:fldCharType="separate"/>
          </w:r>
          <w:r>
            <w:t>3</w:t>
          </w:r>
          <w:r>
            <w:fldChar w:fldCharType="end"/>
          </w:r>
          <w: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_Toc29054 </w:instrText>
          </w:r>
          <w: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val="en-US" w:eastAsia="zh-CN"/>
            </w:rPr>
            <w:t>广元市教育考试院</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_Toc29054 \h </w:instrText>
          </w:r>
          <w:r>
            <w:fldChar w:fldCharType="separate"/>
          </w:r>
          <w:r>
            <w:t>3</w:t>
          </w:r>
          <w:r>
            <w:fldChar w:fldCharType="end"/>
          </w:r>
          <w: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rPr>
              <w:b/>
            </w:rPr>
          </w:pPr>
          <w:r>
            <w:rPr>
              <w:b/>
            </w:rPr>
            <w:fldChar w:fldCharType="begin"/>
          </w:r>
          <w:r>
            <w:rPr>
              <w:b/>
            </w:rPr>
            <w:instrText xml:space="preserve"> HYPERLINK \l _Toc29410 </w:instrText>
          </w:r>
          <w:r>
            <w:rPr>
              <w:b/>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_Toc29410 \h </w:instrText>
          </w:r>
          <w:r>
            <w:rPr>
              <w:b/>
            </w:rPr>
            <w:fldChar w:fldCharType="separate"/>
          </w:r>
          <w:r>
            <w:rPr>
              <w:b/>
            </w:rPr>
            <w:t>4</w:t>
          </w:r>
          <w:r>
            <w:rPr>
              <w:b/>
            </w:rPr>
            <w:fldChar w:fldCharType="end"/>
          </w:r>
          <w:r>
            <w:rPr>
              <w:b/>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rPr>
              <w:b/>
            </w:rPr>
          </w:pPr>
          <w:r>
            <w:rPr>
              <w:b/>
            </w:rPr>
            <w:fldChar w:fldCharType="begin"/>
          </w:r>
          <w:r>
            <w:rPr>
              <w:b/>
            </w:rPr>
            <w:instrText xml:space="preserve"> HYPERLINK \l _Toc28558 </w:instrText>
          </w:r>
          <w:r>
            <w:rPr>
              <w:b/>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_Toc28558 \h </w:instrText>
          </w:r>
          <w:r>
            <w:rPr>
              <w:b/>
            </w:rPr>
            <w:fldChar w:fldCharType="separate"/>
          </w:r>
          <w:r>
            <w:rPr>
              <w:b/>
            </w:rPr>
            <w:t>4</w:t>
          </w:r>
          <w:r>
            <w:rPr>
              <w:b/>
            </w:rPr>
            <w:fldChar w:fldCharType="end"/>
          </w:r>
          <w:r>
            <w:rPr>
              <w:b/>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_Toc25645 </w:instrText>
          </w:r>
          <w: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_Toc25645 \h </w:instrText>
          </w:r>
          <w:r>
            <w:fldChar w:fldCharType="separate"/>
          </w:r>
          <w:r>
            <w:t>4</w:t>
          </w:r>
          <w:r>
            <w:fldChar w:fldCharType="end"/>
          </w:r>
          <w: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_Toc16087 </w:instrText>
          </w:r>
          <w: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_Toc16087 \h </w:instrText>
          </w:r>
          <w:r>
            <w:fldChar w:fldCharType="separate"/>
          </w:r>
          <w:r>
            <w:t>4</w:t>
          </w:r>
          <w:r>
            <w:fldChar w:fldCharType="end"/>
          </w:r>
          <w: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rPr>
              <w:b/>
            </w:rPr>
          </w:pPr>
          <w:r>
            <w:rPr>
              <w:b/>
            </w:rPr>
            <w:fldChar w:fldCharType="begin"/>
          </w:r>
          <w:r>
            <w:rPr>
              <w:b/>
            </w:rPr>
            <w:instrText xml:space="preserve"> HYPERLINK \l _Toc23544 </w:instrText>
          </w:r>
          <w:r>
            <w:rPr>
              <w:b/>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_Toc23544 \h </w:instrText>
          </w:r>
          <w:r>
            <w:rPr>
              <w:b/>
            </w:rPr>
            <w:fldChar w:fldCharType="separate"/>
          </w:r>
          <w:r>
            <w:rPr>
              <w:b/>
            </w:rPr>
            <w:t>4</w:t>
          </w:r>
          <w:r>
            <w:rPr>
              <w:b/>
            </w:rPr>
            <w:fldChar w:fldCharType="end"/>
          </w:r>
          <w:r>
            <w:rPr>
              <w:b/>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rPr>
              <w:b/>
            </w:rPr>
          </w:pPr>
          <w:r>
            <w:rPr>
              <w:b/>
            </w:rPr>
            <w:fldChar w:fldCharType="begin"/>
          </w:r>
          <w:r>
            <w:rPr>
              <w:b/>
            </w:rPr>
            <w:instrText xml:space="preserve"> HYPERLINK \l _Toc14635 </w:instrText>
          </w:r>
          <w:r>
            <w:rPr>
              <w:b/>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_Toc14635 \h </w:instrText>
          </w:r>
          <w:r>
            <w:rPr>
              <w:b/>
            </w:rPr>
            <w:fldChar w:fldCharType="separate"/>
          </w:r>
          <w:r>
            <w:rPr>
              <w:b/>
            </w:rPr>
            <w:t>5</w:t>
          </w:r>
          <w:r>
            <w:rPr>
              <w:b/>
            </w:rPr>
            <w:fldChar w:fldCharType="end"/>
          </w:r>
          <w:r>
            <w:rPr>
              <w:b/>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_Toc4097 </w:instrText>
          </w:r>
          <w: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_Toc4097 \h </w:instrText>
          </w:r>
          <w:r>
            <w:fldChar w:fldCharType="separate"/>
          </w:r>
          <w:r>
            <w:t>5</w:t>
          </w:r>
          <w:r>
            <w:fldChar w:fldCharType="end"/>
          </w:r>
          <w: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_Toc23454 </w:instrText>
          </w:r>
          <w: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_Toc23454 \h </w:instrText>
          </w:r>
          <w:r>
            <w:fldChar w:fldCharType="separate"/>
          </w:r>
          <w:r>
            <w:t>5</w:t>
          </w:r>
          <w:r>
            <w:fldChar w:fldCharType="end"/>
          </w:r>
          <w: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_Toc30233 </w:instrText>
          </w:r>
          <w: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_Toc30233 \h </w:instrText>
          </w:r>
          <w:r>
            <w:fldChar w:fldCharType="separate"/>
          </w:r>
          <w:r>
            <w:t>5</w:t>
          </w:r>
          <w:r>
            <w:fldChar w:fldCharType="end"/>
          </w:r>
          <w: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rPr>
              <w:b/>
            </w:rPr>
          </w:pPr>
          <w:r>
            <w:rPr>
              <w:b/>
            </w:rPr>
            <w:fldChar w:fldCharType="begin"/>
          </w:r>
          <w:r>
            <w:rPr>
              <w:b/>
            </w:rPr>
            <w:instrText xml:space="preserve"> HYPERLINK \l _Toc9638 </w:instrText>
          </w:r>
          <w:r>
            <w:rPr>
              <w:b/>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_Toc9638 \h </w:instrText>
          </w:r>
          <w:r>
            <w:rPr>
              <w:b/>
            </w:rPr>
            <w:fldChar w:fldCharType="separate"/>
          </w:r>
          <w:r>
            <w:rPr>
              <w:b/>
            </w:rPr>
            <w:t>6</w:t>
          </w:r>
          <w:r>
            <w:rPr>
              <w:b/>
            </w:rPr>
            <w:fldChar w:fldCharType="end"/>
          </w:r>
          <w:r>
            <w:rPr>
              <w:b/>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rPr>
              <w:b/>
            </w:rPr>
          </w:pPr>
          <w:r>
            <w:rPr>
              <w:b/>
            </w:rPr>
            <w:fldChar w:fldCharType="begin"/>
          </w:r>
          <w:r>
            <w:rPr>
              <w:b/>
            </w:rPr>
            <w:instrText xml:space="preserve"> HYPERLINK \l _Toc30007 </w:instrText>
          </w:r>
          <w:r>
            <w:rPr>
              <w:b/>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_Toc30007 \h </w:instrText>
          </w:r>
          <w:r>
            <w:rPr>
              <w:b/>
            </w:rPr>
            <w:fldChar w:fldCharType="separate"/>
          </w:r>
          <w:r>
            <w:rPr>
              <w:b/>
            </w:rPr>
            <w:t>7</w:t>
          </w:r>
          <w:r>
            <w:rPr>
              <w:b/>
            </w:rPr>
            <w:fldChar w:fldCharType="end"/>
          </w:r>
          <w:r>
            <w:rPr>
              <w:b/>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_Toc6728 </w:instrText>
          </w:r>
          <w: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_Toc6728 \h </w:instrText>
          </w:r>
          <w:r>
            <w:fldChar w:fldCharType="separate"/>
          </w:r>
          <w:r>
            <w:t>7</w:t>
          </w:r>
          <w:r>
            <w:fldChar w:fldCharType="end"/>
          </w:r>
          <w: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_Toc9333 </w:instrText>
          </w:r>
          <w: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_Toc9333 \h </w:instrText>
          </w:r>
          <w:r>
            <w:fldChar w:fldCharType="separate"/>
          </w:r>
          <w:r>
            <w:t>7</w:t>
          </w:r>
          <w:r>
            <w:fldChar w:fldCharType="end"/>
          </w:r>
          <w: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_Toc15295 </w:instrText>
          </w:r>
          <w: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_Toc15295 \h </w:instrText>
          </w:r>
          <w:r>
            <w:fldChar w:fldCharType="separate"/>
          </w:r>
          <w:r>
            <w:t>7</w:t>
          </w:r>
          <w:r>
            <w:fldChar w:fldCharType="end"/>
          </w:r>
          <w: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rPr>
              <w:b/>
            </w:rPr>
          </w:pPr>
          <w:r>
            <w:rPr>
              <w:b/>
            </w:rPr>
            <w:fldChar w:fldCharType="begin"/>
          </w:r>
          <w:r>
            <w:rPr>
              <w:b/>
            </w:rPr>
            <w:instrText xml:space="preserve"> HYPERLINK \l _Toc11934 </w:instrText>
          </w:r>
          <w:r>
            <w:rPr>
              <w:b/>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_Toc11934 \h </w:instrText>
          </w:r>
          <w:r>
            <w:rPr>
              <w:b/>
            </w:rPr>
            <w:fldChar w:fldCharType="separate"/>
          </w:r>
          <w:r>
            <w:rPr>
              <w:b/>
            </w:rPr>
            <w:t>7</w:t>
          </w:r>
          <w:r>
            <w:rPr>
              <w:b/>
            </w:rPr>
            <w:fldChar w:fldCharType="end"/>
          </w:r>
          <w:r>
            <w:rPr>
              <w:b/>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rPr>
              <w:b/>
            </w:rPr>
          </w:pPr>
          <w:r>
            <w:rPr>
              <w:b/>
            </w:rPr>
            <w:fldChar w:fldCharType="begin"/>
          </w:r>
          <w:r>
            <w:rPr>
              <w:b/>
            </w:rPr>
            <w:instrText xml:space="preserve"> HYPERLINK \l _Toc23866 </w:instrText>
          </w:r>
          <w:r>
            <w:rPr>
              <w:b/>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_Toc23866 \h </w:instrText>
          </w:r>
          <w:r>
            <w:rPr>
              <w:b/>
            </w:rPr>
            <w:fldChar w:fldCharType="separate"/>
          </w:r>
          <w:r>
            <w:rPr>
              <w:b/>
            </w:rPr>
            <w:t>8</w:t>
          </w:r>
          <w:r>
            <w:rPr>
              <w:b/>
            </w:rPr>
            <w:fldChar w:fldCharType="end"/>
          </w:r>
          <w:r>
            <w:rPr>
              <w:b/>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rPr>
              <w:b/>
            </w:rPr>
          </w:pPr>
          <w:r>
            <w:rPr>
              <w:b/>
            </w:rPr>
            <w:fldChar w:fldCharType="begin"/>
          </w:r>
          <w:r>
            <w:rPr>
              <w:b/>
            </w:rPr>
            <w:instrText xml:space="preserve"> HYPERLINK \l _Toc26479 </w:instrText>
          </w:r>
          <w:r>
            <w:rPr>
              <w:b/>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_Toc26479 \h </w:instrText>
          </w:r>
          <w:r>
            <w:rPr>
              <w:b/>
            </w:rPr>
            <w:fldChar w:fldCharType="separate"/>
          </w:r>
          <w:r>
            <w:rPr>
              <w:b/>
            </w:rPr>
            <w:t>8</w:t>
          </w:r>
          <w:r>
            <w:rPr>
              <w:b/>
            </w:rPr>
            <w:fldChar w:fldCharType="end"/>
          </w:r>
          <w:r>
            <w:rPr>
              <w:b/>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_Toc17314 </w:instrText>
          </w:r>
          <w: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_Toc17314 \h </w:instrText>
          </w:r>
          <w:r>
            <w:fldChar w:fldCharType="separate"/>
          </w:r>
          <w:r>
            <w:t>8</w:t>
          </w:r>
          <w:r>
            <w:fldChar w:fldCharType="end"/>
          </w:r>
          <w: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_Toc18375 </w:instrText>
          </w:r>
          <w: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_Toc18375 \h </w:instrText>
          </w:r>
          <w:r>
            <w:fldChar w:fldCharType="separate"/>
          </w:r>
          <w:r>
            <w:t>8</w:t>
          </w:r>
          <w:r>
            <w:fldChar w:fldCharType="end"/>
          </w:r>
          <w: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_Toc5516 </w:instrText>
          </w:r>
          <w: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_Toc5516 \h </w:instrText>
          </w:r>
          <w:r>
            <w:fldChar w:fldCharType="separate"/>
          </w:r>
          <w:r>
            <w:t>8</w:t>
          </w:r>
          <w:r>
            <w:fldChar w:fldCharType="end"/>
          </w:r>
          <w: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pPr>
          <w:r>
            <w:fldChar w:fldCharType="begin"/>
          </w:r>
          <w:r>
            <w:instrText xml:space="preserve"> HYPERLINK \l _Toc28750 </w:instrText>
          </w:r>
          <w: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_Toc28750 \h </w:instrText>
          </w:r>
          <w:r>
            <w:fldChar w:fldCharType="separate"/>
          </w:r>
          <w:r>
            <w:t>8</w:t>
          </w:r>
          <w:r>
            <w:fldChar w:fldCharType="end"/>
          </w:r>
          <w: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40" w:lineRule="exact"/>
            <w:textAlignment w:val="auto"/>
            <w:rPr>
              <w:b/>
            </w:rPr>
          </w:pPr>
          <w:r>
            <w:rPr>
              <w:b/>
            </w:rPr>
            <w:fldChar w:fldCharType="begin"/>
          </w:r>
          <w:r>
            <w:rPr>
              <w:b/>
            </w:rPr>
            <w:instrText xml:space="preserve"> HYPERLINK \l _Toc23492 </w:instrText>
          </w:r>
          <w:r>
            <w:rPr>
              <w:b/>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_Toc23492 \h </w:instrText>
          </w:r>
          <w:r>
            <w:rPr>
              <w:b/>
            </w:rPr>
            <w:fldChar w:fldCharType="separate"/>
          </w:r>
          <w:r>
            <w:rPr>
              <w:b/>
            </w:rPr>
            <w:t>8</w:t>
          </w:r>
          <w:r>
            <w:rPr>
              <w:b/>
            </w:rPr>
            <w:fldChar w:fldCharType="end"/>
          </w:r>
          <w:r>
            <w:rPr>
              <w:b/>
            </w:rPr>
            <w:fldChar w:fldCharType="end"/>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b/>
            </w:rPr>
            <w:fldChar w:fldCharType="end"/>
          </w:r>
        </w:p>
      </w:sdtContent>
    </w:sdt>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12757"/>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 w:name="_Toc11421"/>
      <w:r>
        <w:rPr>
          <w:rFonts w:hint="eastAsia" w:ascii="楷体_GB2312" w:hAnsi="楷体_GB2312" w:eastAsia="楷体_GB2312" w:cs="楷体_GB2312"/>
          <w:sz w:val="32"/>
          <w:szCs w:val="32"/>
          <w:lang w:val="en-US" w:eastAsia="zh-CN"/>
        </w:rPr>
        <w:t>（一）广元市教育考试院职能简介</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教育考试院主要负责全市普通高校招生考试、成人高校招生考试、自学考试、研究生考试、非学历证书考试的报名、体检、考务、考籍管理，全市各类招生考试数据统计与信息发布；受市教育局委托承办全市教育系统其它考试的考务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 w:name="_Toc29054"/>
      <w:r>
        <w:rPr>
          <w:rFonts w:hint="eastAsia" w:ascii="楷体_GB2312" w:hAnsi="楷体_GB2312" w:eastAsia="楷体_GB2312" w:cs="楷体_GB2312"/>
          <w:sz w:val="32"/>
          <w:szCs w:val="32"/>
          <w:lang w:val="en-US" w:eastAsia="zh-CN"/>
        </w:rPr>
        <w:t>（二）广元市教育考试院2024年重点工作</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1、持续加强招考队伍的专业化建设，确保适应招考改革需</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求。深入学习贯彻习近平新时代中国特色社会主义思想，进一步加强党对招考工作的全面领导。加强市县区招考机构的规格和队伍建设，整体提升全市招考系统干部职工的能力素养。</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2、持续提升组考水平，推进教育考试招生现代化。加强标准化考点、考场的建设维护，提升招考数字化、信息化水平。加强风险源头管控和预警机制建设，提升组考工作的应急处置能力。</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持续深化高考综合改革，确保新高考稳步推进。有序推进中考改革、艺考改革、高职单招改革、高考加分改革等，做好首届新高考考生报考的组织管理工作，建好学生学业发展指导中心，充分发挥招考“主阵地”作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4、持续优化宣传路径，提升人民群众对招考工作的获得感。</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建好广元招生考试官方网站、微信公众号及考生电子查询平台，拓展宣传路径，优化宣传方式，扩大招考改革等重大政策的宣传覆盖面，提升人民群众对优质考试招生工作的获得感。</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29410"/>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我单位为广元市教育局的下属二级预算单位，本单位无下属机构。</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28558"/>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广元市教育考试院所有收入和支出均纳入部门预算管理。收入包括：一般公共预算拨款收入、事业收入；支出包括：教育支出、社会保障和就业支出、卫生健康支出、住房保障支出。广元市教育考试院2024年收支预算总数456.68万元，比2023年收支预算总数增加210.87万元，扣除一次性安排等因素后，同口径减少12.32万元，原因是2023年10月退休1人，2024年预算较2023年少1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25645"/>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广元市教育考试院2024年收入预算456.68万元，其中：一般公共预算拨款收入233.49万元，占51.13%；事业收入223.19万元，占48.87%。</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6087"/>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广元市教育考试院2024年支出预算456.68万元，其中：基本支出223.86万元，占49.02%；项目支出232.82万元，占50.98%</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23544"/>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广元市教育考试院2024年财政拨款收支预算总数233.49万元，比2023年财政拨款收支预算总数减少12.32万元，主要原因是2023年11月单位退休1人。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收入包括：本年一般公共预算拨款收入233.49万元；支出包括：教育支出169.95万元、社会保障和就业支出39.10万元、卫生健康支出6.84万元、住房保障支出17.59万元。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14635"/>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4097"/>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广元市教育考试院2024年一般公共预算当年拨款233.49万元，比2023年预算数减少12.32万元，主要原因是2023年11月单位退休1人。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3454"/>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教育支出169.95万元，占72.79%；社会保障和就业支出39.10万元，占16.75%；卫生健康支出6.84万元，占2.93%；住房保障支出17.59万元，占7.53%。</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30233"/>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支出（类）教育管理事务支出（款）其他教育管理支出（项）2024年预算数为169.95万元，主要用于：本单位基本工资、津贴补贴、奖金、绩效工资、其他工资福利支出、办公费、咨询费、维修（护）费、公务接待费、劳务费、                                                                                                                                                              福利费、工会经费、公务用车运行维护费、其他交通费用、其他商品和服务支出、生活补助。</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社会保障和就业（类）行政事业单位养老支出（款）事业单位离退休（项）2024年预算数为17.64万元，主要用于：事业单位离退休人员经费支出。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3.社会保障和就业（类）行政事业单位养老支出（款）机关事业单位基本养老保险缴费支出（项）2024年预算数为20.77万元，主要用于：实施养老保险制度由单位缴纳的基本养老保险支出。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4.社会保障和就业（类）其他社会保障和就业支出（款）其他社会保障和就业支出（项）2024年预算数为0.69万元，主要用于：其他用于社会保障和就业方面的支出。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5.卫生健康（类）行政事业单位医疗（款）事业单位医疗（项）2024年预算数为6.84万元，主要用于：事业单位按规定由单位缴纳的基本医疗保险支出。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6.住房保障（类）住房改革支出（款）住房公积金（项）2024年预算数为17.59万元，主要用于：部门按规定为职工缴纳的住房公积金支出。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9638"/>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广元市教育考试院2024年一般公共预算基本支出223.86万元，其中：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人员经费203.57万元，主要包括：基本工资、津贴补贴、奖金、绩效工资、机关事业单位基本养老保险缴费、职工基本医疗保险缴费、其他社会保障缴费、住房公积金、生活补助等支出。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公用经费20.28万元，主要包括：办公费、咨询费、维修（护）费、公务接待费、劳务费、工会经费、福利费、公务用车运行维护费、其他商品和服务支出等支出。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30007"/>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广元市教育考试院2024年“三公”经费财政拨款预算数1.46万元，其中：公务接待费0.26万元，公务用车购置及运行维护费1.2万元，因公出国（境）经费0万元。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6728"/>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9333"/>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单位现有公务用车1辆，其中：越野车1辆。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2024年安排公务用车运行维护费1.2万元，用于1辆公务用车燃油、过路（桥）、维修、保险等方面支出，主要保障全年考试前往成都领返券用车。</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1529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本年无因公出国（境）经费预算安排，与2023年预算相比持平。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11934"/>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广元市教育考试院2024年无政府性基金预算拨款安排的支出。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3866"/>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广元市教育考试院2024年无国有资本经营预算拨款安排的支出。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26479"/>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7314"/>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广元市教育考试院为事业单位，按规定未使用机关运行的相关科目。</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8375"/>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2024年，广元市教育考试院安排政府采购预算0万元。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5516"/>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截至2023年底，广元市教育考试院共有车辆1辆，为定向保障用车。单位无价值200万元以上的大型设备。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bookmarkStart w:id="25" w:name="_GoBack"/>
      <w:bookmarkEnd w:id="2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3" w:name="_Toc28750"/>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2024年广元市教育考试院开展绩效目标管理的项目11个，涉及预算456.68万元。其中：人员类项目5个，涉及预算 203.57万元；运转类项目3个，涉及预算20.28万元；特定目标类项目3个，涉及预算232.82万元。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23492"/>
      <w:r>
        <w:rPr>
          <w:rFonts w:hint="eastAsia" w:ascii="黑体" w:hAnsi="黑体" w:eastAsia="黑体" w:cs="黑体"/>
          <w:sz w:val="32"/>
          <w:szCs w:val="32"/>
          <w:lang w:val="en-US" w:eastAsia="zh-CN"/>
        </w:rPr>
        <w:t>十一、名词解释</w:t>
      </w:r>
      <w:bookmarkEnd w:id="24"/>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事业收入：</w:t>
      </w:r>
      <w:r>
        <w:rPr>
          <w:rFonts w:hint="eastAsia" w:ascii="仿宋_GB2312" w:hAnsi="仿宋_GB2312" w:eastAsia="仿宋_GB2312" w:cs="仿宋_GB2312"/>
          <w:sz w:val="32"/>
          <w:szCs w:val="32"/>
          <w:lang w:val="en-US" w:eastAsia="zh-CN"/>
        </w:rPr>
        <w:t>指事业单位开展专业业务活动及辅助活动所取得的收入。主要为市教育考试院按照川发改价格规〔2022〕484号和广教函〔2023〕143号批准的项目和标准收到的由省考试院拨付的考试考务费（市级部分）。</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b w:val="0"/>
          <w:bCs w:val="0"/>
          <w:color w:val="auto"/>
          <w:kern w:val="2"/>
          <w:sz w:val="32"/>
          <w:szCs w:val="32"/>
          <w:highlight w:val="none"/>
          <w:lang w:val="en-US" w:eastAsia="zh-CN" w:bidi="ar-SA"/>
        </w:rPr>
        <w:t>教育支出（类）教育管理事务（款）其他教育管理事务（项）：</w:t>
      </w:r>
      <w:r>
        <w:rPr>
          <w:rFonts w:hint="eastAsia" w:ascii="仿宋_GB2312" w:hAnsi="仿宋_GB2312" w:eastAsia="仿宋_GB2312" w:cs="仿宋_GB2312"/>
          <w:sz w:val="32"/>
          <w:szCs w:val="32"/>
          <w:lang w:val="en-US" w:eastAsia="zh-CN"/>
        </w:rPr>
        <w:t>指其他用于管理事务方面的支出。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社会保障和就业（类）行政事业单位养老支出（款）事业单位离退休（项）：</w:t>
      </w:r>
      <w:r>
        <w:rPr>
          <w:rFonts w:hint="eastAsia" w:ascii="仿宋_GB2312" w:hAnsi="仿宋_GB2312" w:eastAsia="仿宋_GB2312" w:cs="仿宋_GB2312"/>
          <w:sz w:val="32"/>
          <w:szCs w:val="32"/>
          <w:lang w:val="en-US" w:eastAsia="zh-CN"/>
        </w:rPr>
        <w:t>指事业单位离退休人员的支出。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社会保障和就业（类）其他社会保障和就业支出（款）其他社会保障和就业支出（项）：</w:t>
      </w:r>
      <w:r>
        <w:rPr>
          <w:rFonts w:hint="eastAsia" w:ascii="仿宋_GB2312" w:hAnsi="仿宋_GB2312" w:eastAsia="仿宋_GB2312" w:cs="仿宋_GB2312"/>
          <w:sz w:val="32"/>
          <w:szCs w:val="32"/>
          <w:lang w:val="en-US" w:eastAsia="zh-CN"/>
        </w:rPr>
        <w:t>其他用于社会保障和就业方面的支出。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7B0A84-FA15-4029-BC1D-9FD9C445FFD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Liberation Sans">
    <w:altName w:val="Microsoft Sans Serif"/>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embedRegular r:id="rId2" w:fontKey="{657E65C7-5D93-4CBB-9E78-3C6BEA5FC3C5}"/>
  </w:font>
  <w:font w:name="楷体_GB2312">
    <w:panose1 w:val="02010609030101010101"/>
    <w:charset w:val="86"/>
    <w:family w:val="auto"/>
    <w:pitch w:val="default"/>
    <w:sig w:usb0="00000001" w:usb1="080E0000" w:usb2="00000000" w:usb3="00000000" w:csb0="00040000" w:csb1="00000000"/>
    <w:embedRegular r:id="rId3" w:fontKey="{814F91A7-D871-4554-BD79-1D0CFEF8891B}"/>
  </w:font>
  <w:font w:name="仿宋_GB2312">
    <w:panose1 w:val="02010609030101010101"/>
    <w:charset w:val="86"/>
    <w:family w:val="modern"/>
    <w:pitch w:val="default"/>
    <w:sig w:usb0="00000001" w:usb1="080E0000" w:usb2="00000000" w:usb3="00000000" w:csb0="00040000" w:csb1="00000000"/>
    <w:embedRegular r:id="rId4" w:fontKey="{39AE8E4D-C776-4463-93BB-42E2CE66D0AC}"/>
  </w:font>
  <w:font w:name="Microsoft Sans Serif">
    <w:panose1 w:val="020B0604020202020204"/>
    <w:charset w:val="00"/>
    <w:family w:val="auto"/>
    <w:pitch w:val="default"/>
    <w:sig w:usb0="E5002EFF" w:usb1="C000605B" w:usb2="00000029" w:usb3="00000000" w:csb0="200101FF" w:csb1="20280000"/>
  </w:font>
  <w:font w:name="幼圆">
    <w:panose1 w:val="0201050906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华文琥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79732A"/>
    <w:multiLevelType w:val="singleLevel"/>
    <w:tmpl w:val="D179732A"/>
    <w:lvl w:ilvl="0" w:tentative="0">
      <w:start w:val="1"/>
      <w:numFmt w:val="chineseCounting"/>
      <w:suff w:val="nothing"/>
      <w:lvlText w:val="（%1）"/>
      <w:lvlJc w:val="left"/>
      <w:pPr>
        <w:ind w:left="0" w:firstLine="420"/>
      </w:pPr>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5ed26a90-ab44-422d-87cd-5dd0ebb5143e"/>
  </w:docVars>
  <w:rsids>
    <w:rsidRoot w:val="00000000"/>
    <w:rsid w:val="008B4152"/>
    <w:rsid w:val="011D0F9C"/>
    <w:rsid w:val="012352D1"/>
    <w:rsid w:val="014E06C0"/>
    <w:rsid w:val="04567105"/>
    <w:rsid w:val="04B56508"/>
    <w:rsid w:val="06120CF5"/>
    <w:rsid w:val="067A7A0B"/>
    <w:rsid w:val="06DE59FB"/>
    <w:rsid w:val="07391137"/>
    <w:rsid w:val="0AE35BAD"/>
    <w:rsid w:val="0B821474"/>
    <w:rsid w:val="0BC90CEF"/>
    <w:rsid w:val="0C8B1819"/>
    <w:rsid w:val="0EC54DCA"/>
    <w:rsid w:val="11D276F1"/>
    <w:rsid w:val="11E873C8"/>
    <w:rsid w:val="12EA07E1"/>
    <w:rsid w:val="1416381F"/>
    <w:rsid w:val="1481067E"/>
    <w:rsid w:val="14F051F6"/>
    <w:rsid w:val="15036478"/>
    <w:rsid w:val="15901D60"/>
    <w:rsid w:val="15A761B1"/>
    <w:rsid w:val="165B4FD7"/>
    <w:rsid w:val="19CA04C0"/>
    <w:rsid w:val="1B3031BF"/>
    <w:rsid w:val="1B441B84"/>
    <w:rsid w:val="1E420D65"/>
    <w:rsid w:val="1EC00DC2"/>
    <w:rsid w:val="1F2130CD"/>
    <w:rsid w:val="1F4E196A"/>
    <w:rsid w:val="1F7BF06F"/>
    <w:rsid w:val="1FE06507"/>
    <w:rsid w:val="1FEE4B73"/>
    <w:rsid w:val="216627D2"/>
    <w:rsid w:val="23041D29"/>
    <w:rsid w:val="236D626C"/>
    <w:rsid w:val="23CE9849"/>
    <w:rsid w:val="24512DAB"/>
    <w:rsid w:val="24B03D93"/>
    <w:rsid w:val="24EE3559"/>
    <w:rsid w:val="261D32F8"/>
    <w:rsid w:val="264A2705"/>
    <w:rsid w:val="26531ACB"/>
    <w:rsid w:val="27F44E5A"/>
    <w:rsid w:val="28CF29D9"/>
    <w:rsid w:val="29341EFE"/>
    <w:rsid w:val="29D57400"/>
    <w:rsid w:val="29F66CE4"/>
    <w:rsid w:val="2C850747"/>
    <w:rsid w:val="2E7E6312"/>
    <w:rsid w:val="2F79469A"/>
    <w:rsid w:val="32074A43"/>
    <w:rsid w:val="34CA7E67"/>
    <w:rsid w:val="36D00F4E"/>
    <w:rsid w:val="37214E40"/>
    <w:rsid w:val="37B76B37"/>
    <w:rsid w:val="39F304DD"/>
    <w:rsid w:val="3B1340EB"/>
    <w:rsid w:val="3C00373E"/>
    <w:rsid w:val="3C40504A"/>
    <w:rsid w:val="3DAE46A8"/>
    <w:rsid w:val="3E7A5DE0"/>
    <w:rsid w:val="3E7B55B8"/>
    <w:rsid w:val="3EEE18F5"/>
    <w:rsid w:val="3F202BD4"/>
    <w:rsid w:val="41FC2DCE"/>
    <w:rsid w:val="43BD42C9"/>
    <w:rsid w:val="445B1245"/>
    <w:rsid w:val="450C7828"/>
    <w:rsid w:val="46772AE4"/>
    <w:rsid w:val="46EC3716"/>
    <w:rsid w:val="47E06B2E"/>
    <w:rsid w:val="4944412E"/>
    <w:rsid w:val="4A1F18AB"/>
    <w:rsid w:val="4A7C74C5"/>
    <w:rsid w:val="4B751B0B"/>
    <w:rsid w:val="4D445597"/>
    <w:rsid w:val="50601CC2"/>
    <w:rsid w:val="54244390"/>
    <w:rsid w:val="543A57DA"/>
    <w:rsid w:val="54662A63"/>
    <w:rsid w:val="54EE09C1"/>
    <w:rsid w:val="553A0339"/>
    <w:rsid w:val="55775906"/>
    <w:rsid w:val="55CF7E59"/>
    <w:rsid w:val="58064E12"/>
    <w:rsid w:val="58AE12EB"/>
    <w:rsid w:val="5924690D"/>
    <w:rsid w:val="59CF5DF5"/>
    <w:rsid w:val="59E206B9"/>
    <w:rsid w:val="5A9347FB"/>
    <w:rsid w:val="5BFEE015"/>
    <w:rsid w:val="5D184FEB"/>
    <w:rsid w:val="5DA704F7"/>
    <w:rsid w:val="5DE07C22"/>
    <w:rsid w:val="5EB45A1A"/>
    <w:rsid w:val="5EF267C7"/>
    <w:rsid w:val="5F1C763C"/>
    <w:rsid w:val="60CD1C71"/>
    <w:rsid w:val="63EDCF55"/>
    <w:rsid w:val="63FBFBCF"/>
    <w:rsid w:val="654E476A"/>
    <w:rsid w:val="6576742C"/>
    <w:rsid w:val="65A551E0"/>
    <w:rsid w:val="669360FD"/>
    <w:rsid w:val="670612DD"/>
    <w:rsid w:val="68FF6A83"/>
    <w:rsid w:val="69A9589E"/>
    <w:rsid w:val="69B242D0"/>
    <w:rsid w:val="69F93E13"/>
    <w:rsid w:val="6B3A7BAE"/>
    <w:rsid w:val="6D0F1635"/>
    <w:rsid w:val="6D9834FB"/>
    <w:rsid w:val="6F111877"/>
    <w:rsid w:val="6FBBC9CF"/>
    <w:rsid w:val="6FC30EDF"/>
    <w:rsid w:val="71004D0B"/>
    <w:rsid w:val="72BDE561"/>
    <w:rsid w:val="737B416D"/>
    <w:rsid w:val="73C92245"/>
    <w:rsid w:val="741C3FE7"/>
    <w:rsid w:val="75C7580C"/>
    <w:rsid w:val="760A0236"/>
    <w:rsid w:val="7644697B"/>
    <w:rsid w:val="76D831E6"/>
    <w:rsid w:val="77AA4766"/>
    <w:rsid w:val="78462278"/>
    <w:rsid w:val="78505BC4"/>
    <w:rsid w:val="789964AA"/>
    <w:rsid w:val="79254592"/>
    <w:rsid w:val="79974B4A"/>
    <w:rsid w:val="7997EA6C"/>
    <w:rsid w:val="7A3D75E6"/>
    <w:rsid w:val="7AEAE675"/>
    <w:rsid w:val="7BAFCE5D"/>
    <w:rsid w:val="7BBB568C"/>
    <w:rsid w:val="7D46598C"/>
    <w:rsid w:val="7DFB240B"/>
    <w:rsid w:val="7E0935ED"/>
    <w:rsid w:val="7E6656A2"/>
    <w:rsid w:val="7EA5679D"/>
    <w:rsid w:val="7F1E2243"/>
    <w:rsid w:val="7F7B0529"/>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Heading2"/>
    <w:basedOn w:val="1"/>
    <w:next w:val="1"/>
    <w:qFormat/>
    <w:uiPriority w:val="0"/>
    <w:pPr>
      <w:suppressAutoHyphens/>
      <w:spacing w:line="600" w:lineRule="exact"/>
      <w:ind w:firstLine="720" w:firstLineChars="200"/>
      <w:jc w:val="both"/>
      <w:textAlignment w:val="baseline"/>
    </w:pPr>
    <w:rPr>
      <w:rFonts w:ascii="Courier New" w:hAnsi="Courier New" w:eastAsia="微软雅黑" w:cs="Courier New"/>
      <w:b/>
      <w:bCs/>
      <w:kern w:val="0"/>
      <w:sz w:val="21"/>
      <w:szCs w:val="21"/>
      <w:lang w:val="en-US" w:eastAsia="zh-CN" w:bidi="ar-SA"/>
    </w:r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styleId="11">
    <w:name w:val="page number"/>
    <w:basedOn w:val="10"/>
    <w:qFormat/>
    <w:uiPriority w:val="0"/>
  </w:style>
  <w:style w:type="character" w:customStyle="1" w:styleId="12">
    <w:name w:val="默认段落字体1"/>
    <w:qFormat/>
    <w:uiPriority w:val="0"/>
  </w:style>
  <w:style w:type="paragraph" w:customStyle="1" w:styleId="13">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3675</Words>
  <Characters>4007</Characters>
  <TotalTime>13</TotalTime>
  <ScaleCrop>false</ScaleCrop>
  <LinksUpToDate>false</LinksUpToDate>
  <CharactersWithSpaces>4251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dell</cp:lastModifiedBy>
  <dcterms:modified xsi:type="dcterms:W3CDTF">2024-03-03T15:11:44Z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