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outlineLvl w:val="9"/>
        <w:rPr>
          <w:rFonts w:hint="eastAsia" w:ascii="方正小标宋简体" w:hAnsi="方正小标宋简体" w:eastAsia="方正小标宋简体" w:cs="方正小标宋简体"/>
          <w:sz w:val="44"/>
          <w:szCs w:val="44"/>
          <w:highlight w:val="none"/>
          <w:lang w:val="en-US" w:eastAsia="zh-CN"/>
        </w:rPr>
      </w:pPr>
      <w:bookmarkStart w:id="0" w:name="_Toc1281"/>
      <w:bookmarkStart w:id="1" w:name="_Toc4943"/>
    </w:p>
    <w:p>
      <w:pPr>
        <w:bidi w:val="0"/>
        <w:jc w:val="center"/>
        <w:outlineLvl w:val="9"/>
        <w:rPr>
          <w:rFonts w:hint="eastAsia" w:ascii="方正小标宋简体" w:hAnsi="方正小标宋简体" w:eastAsia="方正小标宋简体" w:cs="方正小标宋简体"/>
          <w:sz w:val="44"/>
          <w:szCs w:val="44"/>
          <w:highlight w:val="none"/>
          <w:lang w:val="en-US" w:eastAsia="zh-CN"/>
        </w:rPr>
      </w:pPr>
    </w:p>
    <w:p>
      <w:pPr>
        <w:bidi w:val="0"/>
        <w:jc w:val="center"/>
        <w:outlineLvl w:val="0"/>
        <w:rPr>
          <w:rFonts w:hint="eastAsia" w:ascii="方正小标宋简体" w:hAnsi="方正小标宋简体" w:eastAsia="方正小标宋简体" w:cs="方正小标宋简体"/>
          <w:sz w:val="44"/>
          <w:szCs w:val="44"/>
          <w:highlight w:val="none"/>
          <w:lang w:val="en-US" w:eastAsia="zh-CN"/>
        </w:rPr>
      </w:pPr>
      <w:bookmarkStart w:id="2" w:name="_Toc299452873"/>
      <w:r>
        <w:rPr>
          <w:rFonts w:hint="eastAsia" w:ascii="方正小标宋简体" w:hAnsi="方正小标宋简体" w:eastAsia="方正小标宋简体" w:cs="方正小标宋简体"/>
          <w:sz w:val="44"/>
          <w:szCs w:val="44"/>
          <w:highlight w:val="none"/>
          <w:lang w:val="en-US" w:eastAsia="zh-CN"/>
        </w:rPr>
        <w:t>广元市疾病预防控制中心</w:t>
      </w:r>
      <w:bookmarkEnd w:id="0"/>
      <w:bookmarkEnd w:id="1"/>
      <w:bookmarkEnd w:id="2"/>
    </w:p>
    <w:p>
      <w:pPr>
        <w:bidi w:val="0"/>
        <w:jc w:val="center"/>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2024年部门预算编制说明</w:t>
      </w:r>
    </w:p>
    <w:p>
      <w:pPr>
        <w:pStyle w:val="2"/>
        <w:rPr>
          <w:rFonts w:hint="eastAsia" w:ascii="方正小标宋简体" w:hAnsi="方正小标宋简体" w:eastAsia="方正小标宋简体" w:cs="方正小标宋简体"/>
          <w:sz w:val="44"/>
          <w:szCs w:val="44"/>
          <w:highlight w:val="none"/>
          <w:lang w:val="en-US" w:eastAsia="zh-CN"/>
        </w:rPr>
      </w:pPr>
    </w:p>
    <w:p>
      <w:pPr>
        <w:rPr>
          <w:rFonts w:hint="eastAsia" w:ascii="方正小标宋简体" w:hAnsi="方正小标宋简体" w:eastAsia="方正小标宋简体" w:cs="方正小标宋简体"/>
          <w:sz w:val="44"/>
          <w:szCs w:val="44"/>
          <w:highlight w:val="none"/>
          <w:lang w:val="en-US" w:eastAsia="zh-CN"/>
        </w:rPr>
      </w:pPr>
    </w:p>
    <w:p>
      <w:pPr>
        <w:pStyle w:val="2"/>
        <w:rPr>
          <w:rFonts w:hint="eastAsia" w:ascii="方正小标宋简体" w:hAnsi="方正小标宋简体" w:eastAsia="方正小标宋简体" w:cs="方正小标宋简体"/>
          <w:sz w:val="44"/>
          <w:szCs w:val="44"/>
          <w:highlight w:val="none"/>
          <w:lang w:val="en-US" w:eastAsia="zh-CN"/>
        </w:rPr>
      </w:pPr>
    </w:p>
    <w:p>
      <w:pPr>
        <w:rPr>
          <w:rFonts w:hint="eastAsia" w:ascii="方正小标宋简体" w:hAnsi="方正小标宋简体" w:eastAsia="方正小标宋简体" w:cs="方正小标宋简体"/>
          <w:sz w:val="44"/>
          <w:szCs w:val="44"/>
          <w:highlight w:val="none"/>
          <w:lang w:val="en-US" w:eastAsia="zh-CN"/>
        </w:rPr>
      </w:pPr>
    </w:p>
    <w:p>
      <w:pPr>
        <w:pStyle w:val="2"/>
        <w:rPr>
          <w:rFonts w:hint="eastAsia" w:ascii="方正小标宋简体" w:hAnsi="方正小标宋简体" w:eastAsia="方正小标宋简体" w:cs="方正小标宋简体"/>
          <w:sz w:val="44"/>
          <w:szCs w:val="44"/>
          <w:highlight w:val="none"/>
          <w:lang w:val="en-US" w:eastAsia="zh-CN"/>
        </w:rPr>
      </w:pPr>
    </w:p>
    <w:p>
      <w:pPr>
        <w:rPr>
          <w:rFonts w:hint="eastAsia" w:ascii="方正小标宋简体" w:hAnsi="方正小标宋简体" w:eastAsia="方正小标宋简体" w:cs="方正小标宋简体"/>
          <w:sz w:val="44"/>
          <w:szCs w:val="44"/>
          <w:highlight w:val="none"/>
          <w:lang w:val="en-US" w:eastAsia="zh-CN"/>
        </w:rPr>
      </w:pPr>
    </w:p>
    <w:p>
      <w:pPr>
        <w:pStyle w:val="2"/>
        <w:rPr>
          <w:rFonts w:hint="eastAsia" w:ascii="方正小标宋简体" w:hAnsi="方正小标宋简体" w:eastAsia="方正小标宋简体" w:cs="方正小标宋简体"/>
          <w:sz w:val="44"/>
          <w:szCs w:val="44"/>
          <w:highlight w:val="none"/>
          <w:lang w:val="en-US" w:eastAsia="zh-CN"/>
        </w:rPr>
      </w:pPr>
    </w:p>
    <w:p>
      <w:pPr>
        <w:rPr>
          <w:rFonts w:hint="eastAsia"/>
          <w:lang w:val="en-US" w:eastAsia="zh-CN"/>
        </w:rPr>
      </w:pPr>
    </w:p>
    <w:sdt>
      <w:sdtPr>
        <w:rPr>
          <w:rFonts w:ascii="宋体" w:hAnsi="宋体" w:eastAsia="宋体" w:cs="Times New Roman"/>
          <w:color w:val="auto"/>
          <w:kern w:val="2"/>
          <w:sz w:val="21"/>
          <w:szCs w:val="24"/>
          <w:lang w:val="en-US" w:eastAsia="zh-CN" w:bidi="ar-SA"/>
        </w:rPr>
        <w:id w:val="874250937"/>
        <w15:color w:val="DBDBDB"/>
        <w:docPartObj>
          <w:docPartGallery w:val="Table of Contents"/>
          <w:docPartUnique/>
        </w:docPartObj>
      </w:sdtPr>
      <w:sdtEndPr>
        <w:rPr>
          <w:rFonts w:hint="eastAsia" w:ascii="方正小标宋简体" w:hAnsi="方正小标宋简体" w:eastAsia="方正小标宋简体" w:cs="方正小标宋简体"/>
          <w:b/>
          <w:color w:val="auto"/>
          <w:kern w:val="2"/>
          <w:sz w:val="21"/>
          <w:szCs w:val="44"/>
          <w:highlight w:val="none"/>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7"/>
            <w:tabs>
              <w:tab w:val="right" w:leader="dot" w:pos="8845"/>
            </w:tabs>
            <w:rPr>
              <w:b/>
            </w:rPr>
          </w:pPr>
          <w:r>
            <w:rPr>
              <w:rFonts w:hint="eastAsia" w:ascii="方正小标宋简体" w:hAnsi="方正小标宋简体" w:eastAsia="方正小标宋简体" w:cs="方正小标宋简体"/>
              <w:sz w:val="44"/>
              <w:szCs w:val="44"/>
              <w:highlight w:val="none"/>
              <w:lang w:val="en-US" w:eastAsia="zh-CN"/>
            </w:rPr>
            <w:fldChar w:fldCharType="begin"/>
          </w:r>
          <w:r>
            <w:rPr>
              <w:rFonts w:hint="eastAsia" w:ascii="方正小标宋简体" w:hAnsi="方正小标宋简体" w:eastAsia="方正小标宋简体" w:cs="方正小标宋简体"/>
              <w:sz w:val="44"/>
              <w:szCs w:val="44"/>
              <w:highlight w:val="none"/>
              <w:lang w:val="en-US" w:eastAsia="zh-CN"/>
            </w:rPr>
            <w:instrText xml:space="preserve">TOC \o "1-2" \h \u </w:instrText>
          </w:r>
          <w:r>
            <w:rPr>
              <w:rFonts w:hint="eastAsia" w:ascii="方正小标宋简体" w:hAnsi="方正小标宋简体" w:eastAsia="方正小标宋简体" w:cs="方正小标宋简体"/>
              <w:sz w:val="44"/>
              <w:szCs w:val="44"/>
              <w:highlight w:val="none"/>
              <w:lang w:val="en-US" w:eastAsia="zh-CN"/>
            </w:rPr>
            <w:fldChar w:fldCharType="separate"/>
          </w: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_Toc479859115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_Toc479859115 \h </w:instrText>
          </w:r>
          <w:r>
            <w:rPr>
              <w:b/>
            </w:rPr>
            <w:fldChar w:fldCharType="separate"/>
          </w:r>
          <w:r>
            <w:rPr>
              <w:b/>
            </w:rPr>
            <w:t>2</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_Toc366874467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Times New Roman" w:eastAsia="楷体_GB2312" w:cs="Times New Roman"/>
              <w:bCs/>
              <w:kern w:val="0"/>
              <w:szCs w:val="32"/>
              <w:highlight w:val="none"/>
            </w:rPr>
            <w:t>（一）</w:t>
          </w:r>
          <w:r>
            <w:rPr>
              <w:rFonts w:hint="eastAsia" w:ascii="楷体_GB2312" w:hAnsi="Times New Roman" w:eastAsia="楷体_GB2312" w:cs="Times New Roman"/>
              <w:bCs/>
              <w:kern w:val="0"/>
              <w:szCs w:val="32"/>
              <w:highlight w:val="none"/>
              <w:lang w:val="en-US" w:eastAsia="zh-CN"/>
            </w:rPr>
            <w:t>广元市疾病预防控制中心</w:t>
          </w:r>
          <w:r>
            <w:rPr>
              <w:rFonts w:hint="eastAsia" w:ascii="楷体_GB2312" w:hAnsi="Times New Roman" w:eastAsia="楷体_GB2312" w:cs="Times New Roman"/>
              <w:bCs/>
              <w:kern w:val="0"/>
              <w:szCs w:val="32"/>
              <w:highlight w:val="none"/>
            </w:rPr>
            <w:t>职能简介</w:t>
          </w:r>
          <w:r>
            <w:tab/>
          </w:r>
          <w:r>
            <w:fldChar w:fldCharType="begin"/>
          </w:r>
          <w:r>
            <w:instrText xml:space="preserve"> PAGEREF _Toc366874467 \h </w:instrText>
          </w:r>
          <w:r>
            <w:fldChar w:fldCharType="separate"/>
          </w:r>
          <w:r>
            <w:t>2</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_Toc1826085510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Times New Roman" w:eastAsia="楷体_GB2312" w:cs="Times New Roman"/>
              <w:bCs/>
              <w:kern w:val="0"/>
              <w:szCs w:val="32"/>
              <w:highlight w:val="none"/>
            </w:rPr>
            <w:t>（二）</w:t>
          </w:r>
          <w:r>
            <w:rPr>
              <w:rFonts w:hint="eastAsia" w:ascii="楷体_GB2312" w:hAnsi="Times New Roman" w:eastAsia="楷体_GB2312" w:cs="Times New Roman"/>
              <w:bCs/>
              <w:kern w:val="0"/>
              <w:szCs w:val="32"/>
              <w:highlight w:val="none"/>
              <w:lang w:val="en-US" w:eastAsia="zh-CN"/>
            </w:rPr>
            <w:t>广元市疾病预防控制中心</w:t>
          </w:r>
          <w:r>
            <w:rPr>
              <w:rFonts w:hint="eastAsia" w:ascii="楷体_GB2312" w:hAnsi="Times New Roman" w:eastAsia="楷体_GB2312" w:cs="Times New Roman"/>
              <w:bCs/>
              <w:kern w:val="0"/>
              <w:szCs w:val="32"/>
              <w:highlight w:val="none"/>
              <w:lang w:val="en-US"/>
            </w:rPr>
            <w:t>2024</w:t>
          </w:r>
          <w:r>
            <w:rPr>
              <w:rFonts w:hint="eastAsia" w:ascii="楷体_GB2312" w:hAnsi="Times New Roman" w:eastAsia="楷体_GB2312" w:cs="Times New Roman"/>
              <w:bCs/>
              <w:kern w:val="0"/>
              <w:szCs w:val="32"/>
              <w:highlight w:val="none"/>
            </w:rPr>
            <w:t>年重点工作</w:t>
          </w:r>
          <w:r>
            <w:tab/>
          </w:r>
          <w:r>
            <w:fldChar w:fldCharType="begin"/>
          </w:r>
          <w:r>
            <w:instrText xml:space="preserve"> PAGEREF _Toc1826085510 \h </w:instrText>
          </w:r>
          <w:r>
            <w:fldChar w:fldCharType="separate"/>
          </w:r>
          <w:r>
            <w:t>3</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_Toc710118593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楷体_GB2312" w:hAnsi="楷体_GB2312" w:eastAsia="楷体_GB2312" w:cs="楷体_GB2312"/>
              <w:b/>
              <w:bCs w:val="0"/>
              <w:kern w:val="2"/>
              <w:szCs w:val="32"/>
              <w:highlight w:val="none"/>
              <w:lang w:val="en-US" w:eastAsia="zh-CN" w:bidi="ar-SA"/>
            </w:rPr>
            <w:t>一、聚力“建强提升”，深入推进能力建设。</w:t>
          </w:r>
          <w:r>
            <w:rPr>
              <w:b/>
            </w:rPr>
            <w:tab/>
          </w:r>
          <w:r>
            <w:rPr>
              <w:b/>
            </w:rPr>
            <w:fldChar w:fldCharType="begin"/>
          </w:r>
          <w:r>
            <w:rPr>
              <w:b/>
            </w:rPr>
            <w:instrText xml:space="preserve"> PAGEREF _Toc710118593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_Toc2144642506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楷体_GB2312" w:hAnsi="楷体_GB2312" w:eastAsia="楷体_GB2312" w:cs="楷体_GB2312"/>
              <w:b/>
              <w:bCs w:val="0"/>
              <w:kern w:val="2"/>
              <w:szCs w:val="32"/>
              <w:highlight w:val="none"/>
              <w:lang w:val="en-US" w:eastAsia="zh-CN" w:bidi="ar-SA"/>
            </w:rPr>
            <w:t>二、聚力“履职担当”，深入推进健康服务。</w:t>
          </w:r>
          <w:r>
            <w:rPr>
              <w:b/>
            </w:rPr>
            <w:tab/>
          </w:r>
          <w:r>
            <w:rPr>
              <w:b/>
            </w:rPr>
            <w:fldChar w:fldCharType="begin"/>
          </w:r>
          <w:r>
            <w:rPr>
              <w:b/>
            </w:rPr>
            <w:instrText xml:space="preserve"> PAGEREF _Toc2144642506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_Toc809212187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highlight w:val="none"/>
              <w:lang w:val="en-US" w:eastAsia="zh-CN"/>
            </w:rPr>
            <w:t>二、部门预算单位构成</w:t>
          </w:r>
          <w:r>
            <w:rPr>
              <w:b/>
            </w:rPr>
            <w:tab/>
          </w:r>
          <w:r>
            <w:rPr>
              <w:b/>
            </w:rPr>
            <w:fldChar w:fldCharType="begin"/>
          </w:r>
          <w:r>
            <w:rPr>
              <w:b/>
            </w:rPr>
            <w:instrText xml:space="preserve"> PAGEREF _Toc809212187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_Toc1475438763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_Toc1475438763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_Toc1687653849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Times New Roman" w:eastAsia="楷体_GB2312" w:cs="Times New Roman"/>
              <w:bCs/>
              <w:kern w:val="0"/>
              <w:szCs w:val="32"/>
              <w:highlight w:val="none"/>
              <w:lang w:val="en-US" w:eastAsia="zh-CN"/>
            </w:rPr>
            <w:t>（一）收入预算情况</w:t>
          </w:r>
          <w:r>
            <w:tab/>
          </w:r>
          <w:r>
            <w:fldChar w:fldCharType="begin"/>
          </w:r>
          <w:r>
            <w:instrText xml:space="preserve"> PAGEREF _Toc1687653849 \h </w:instrText>
          </w:r>
          <w:r>
            <w:fldChar w:fldCharType="separate"/>
          </w:r>
          <w:r>
            <w:t>5</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_Toc1430663948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Times New Roman" w:eastAsia="楷体_GB2312" w:cs="Times New Roman"/>
              <w:bCs/>
              <w:kern w:val="0"/>
              <w:szCs w:val="32"/>
              <w:highlight w:val="none"/>
              <w:lang w:val="en-US" w:eastAsia="zh-CN" w:bidi="ar-SA"/>
            </w:rPr>
            <w:t>（二）支出预算情况</w:t>
          </w:r>
          <w:r>
            <w:tab/>
          </w:r>
          <w:r>
            <w:fldChar w:fldCharType="begin"/>
          </w:r>
          <w:r>
            <w:instrText xml:space="preserve"> PAGEREF _Toc1430663948 \h </w:instrText>
          </w:r>
          <w:r>
            <w:fldChar w:fldCharType="separate"/>
          </w:r>
          <w:r>
            <w:t>5</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_Toc88708189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highlight w:val="none"/>
              <w:lang w:val="en-US" w:eastAsia="zh-CN"/>
            </w:rPr>
            <w:t>四、财政拨款收支预算情况说明</w:t>
          </w:r>
          <w:r>
            <w:rPr>
              <w:b/>
            </w:rPr>
            <w:tab/>
          </w:r>
          <w:r>
            <w:rPr>
              <w:b/>
            </w:rPr>
            <w:fldChar w:fldCharType="begin"/>
          </w:r>
          <w:r>
            <w:rPr>
              <w:b/>
            </w:rPr>
            <w:instrText xml:space="preserve"> PAGEREF _Toc88708189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_Toc935938719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highlight w:val="none"/>
              <w:lang w:val="en-US" w:eastAsia="zh-CN"/>
            </w:rPr>
            <w:t>五、一般公共预算当年拨款情况说明</w:t>
          </w:r>
          <w:r>
            <w:rPr>
              <w:b/>
            </w:rPr>
            <w:tab/>
          </w:r>
          <w:r>
            <w:rPr>
              <w:b/>
            </w:rPr>
            <w:fldChar w:fldCharType="begin"/>
          </w:r>
          <w:r>
            <w:rPr>
              <w:b/>
            </w:rPr>
            <w:instrText xml:space="preserve"> PAGEREF _Toc935938719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_Toc167316572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Times New Roman" w:eastAsia="楷体_GB2312" w:cs="Times New Roman"/>
              <w:bCs/>
              <w:kern w:val="0"/>
              <w:szCs w:val="32"/>
              <w:highlight w:val="none"/>
              <w:lang w:val="en-US" w:eastAsia="zh-CN"/>
            </w:rPr>
            <w:t>（一）一般公共预算当年拨款规模变化情况</w:t>
          </w:r>
          <w:r>
            <w:tab/>
          </w:r>
          <w:r>
            <w:fldChar w:fldCharType="begin"/>
          </w:r>
          <w:r>
            <w:instrText xml:space="preserve"> PAGEREF _Toc167316572 \h </w:instrText>
          </w:r>
          <w:r>
            <w:fldChar w:fldCharType="separate"/>
          </w:r>
          <w:r>
            <w:t>5</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_Toc1625648357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Times New Roman" w:eastAsia="楷体_GB2312" w:cs="Times New Roman"/>
              <w:bCs/>
              <w:kern w:val="0"/>
              <w:szCs w:val="32"/>
              <w:highlight w:val="none"/>
              <w:lang w:val="en-US" w:eastAsia="zh-CN" w:bidi="ar-SA"/>
            </w:rPr>
            <w:t>（二）一般公共预算当年拨款结构情况</w:t>
          </w:r>
          <w:r>
            <w:tab/>
          </w:r>
          <w:r>
            <w:fldChar w:fldCharType="begin"/>
          </w:r>
          <w:r>
            <w:instrText xml:space="preserve"> PAGEREF _Toc1625648357 \h </w:instrText>
          </w:r>
          <w:r>
            <w:fldChar w:fldCharType="separate"/>
          </w:r>
          <w:r>
            <w:t>5</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_Toc1469118734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_Toc1469118734 \h </w:instrText>
          </w:r>
          <w:r>
            <w:fldChar w:fldCharType="separate"/>
          </w:r>
          <w:r>
            <w:t>6</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_Toc1690828256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highlight w:val="none"/>
              <w:lang w:val="en-US" w:eastAsia="zh-CN"/>
            </w:rPr>
            <w:t>六、一般公共预算基本支出情况说明</w:t>
          </w:r>
          <w:r>
            <w:rPr>
              <w:b/>
            </w:rPr>
            <w:tab/>
          </w:r>
          <w:r>
            <w:rPr>
              <w:b/>
            </w:rPr>
            <w:fldChar w:fldCharType="begin"/>
          </w:r>
          <w:r>
            <w:rPr>
              <w:b/>
            </w:rPr>
            <w:instrText xml:space="preserve"> PAGEREF _Toc1690828256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_Toc742856398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highlight w:val="none"/>
              <w:lang w:val="en-US" w:eastAsia="zh-CN"/>
            </w:rPr>
            <w:t>七、“三公”经费财政拨款预算安排情况说明</w:t>
          </w:r>
          <w:r>
            <w:rPr>
              <w:b/>
            </w:rPr>
            <w:tab/>
          </w:r>
          <w:r>
            <w:rPr>
              <w:b/>
            </w:rPr>
            <w:fldChar w:fldCharType="begin"/>
          </w:r>
          <w:r>
            <w:rPr>
              <w:b/>
            </w:rPr>
            <w:instrText xml:space="preserve"> PAGEREF _Toc742856398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_Toc723763839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楷体_GB2312" w:eastAsia="楷体_GB2312" w:cs="楷体_GB2312"/>
              <w:szCs w:val="32"/>
              <w:highlight w:val="none"/>
              <w:lang w:val="en-US" w:eastAsia="zh-CN"/>
            </w:rPr>
            <w:t>（一）公务接待费</w:t>
          </w:r>
          <w:r>
            <w:tab/>
          </w:r>
          <w:r>
            <w:fldChar w:fldCharType="begin"/>
          </w:r>
          <w:r>
            <w:instrText xml:space="preserve"> PAGEREF _Toc723763839 \h </w:instrText>
          </w:r>
          <w:r>
            <w:fldChar w:fldCharType="separate"/>
          </w:r>
          <w:r>
            <w:t>7</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_Toc1996310184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楷体_GB2312" w:eastAsia="楷体_GB2312" w:cs="楷体_GB2312"/>
              <w:szCs w:val="32"/>
              <w:lang w:val="en-US" w:eastAsia="zh-CN"/>
            </w:rPr>
            <w:t xml:space="preserve">（二） </w:t>
          </w:r>
          <w:r>
            <w:rPr>
              <w:rFonts w:hint="eastAsia" w:ascii="楷体_GB2312" w:hAnsi="楷体_GB2312" w:eastAsia="楷体_GB2312" w:cs="楷体_GB2312"/>
              <w:szCs w:val="32"/>
              <w:highlight w:val="none"/>
              <w:lang w:val="en-US" w:eastAsia="zh-CN"/>
            </w:rPr>
            <w:t>公务用车购置及运行维护费</w:t>
          </w:r>
          <w:r>
            <w:tab/>
          </w:r>
          <w:r>
            <w:fldChar w:fldCharType="begin"/>
          </w:r>
          <w:r>
            <w:instrText xml:space="preserve"> PAGEREF _Toc1996310184 \h </w:instrText>
          </w:r>
          <w:r>
            <w:fldChar w:fldCharType="separate"/>
          </w:r>
          <w:r>
            <w:t>7</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_Toc1084642937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_Toc1084642937 \h </w:instrText>
          </w:r>
          <w:r>
            <w:fldChar w:fldCharType="separate"/>
          </w:r>
          <w:r>
            <w:t>8</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_Toc1080645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_Toc1080645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_Toc1978993872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_Toc1978993872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_Toc1811691649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_Toc1811691649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_Toc301795962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_Toc301795962 \h </w:instrText>
          </w:r>
          <w:r>
            <w:fldChar w:fldCharType="separate"/>
          </w:r>
          <w:r>
            <w:t>8</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_Toc1464934938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_Toc1464934938 \h </w:instrText>
          </w:r>
          <w:r>
            <w:fldChar w:fldCharType="separate"/>
          </w:r>
          <w:r>
            <w:t>8</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_Toc1970431549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_Toc1970431549 \h </w:instrText>
          </w:r>
          <w:r>
            <w:fldChar w:fldCharType="separate"/>
          </w:r>
          <w:r>
            <w:t>8</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8"/>
            <w:tabs>
              <w:tab w:val="right" w:leader="dot" w:pos="8845"/>
            </w:tabs>
          </w:pPr>
          <w:r>
            <w:rPr>
              <w:rFonts w:hint="eastAsia" w:ascii="方正小标宋简体" w:hAnsi="方正小标宋简体" w:eastAsia="方正小标宋简体" w:cs="方正小标宋简体"/>
              <w:szCs w:val="44"/>
              <w:highlight w:val="none"/>
              <w:lang w:val="en-US" w:eastAsia="zh-CN"/>
            </w:rPr>
            <w:fldChar w:fldCharType="begin"/>
          </w:r>
          <w:r>
            <w:rPr>
              <w:rFonts w:hint="eastAsia" w:ascii="方正小标宋简体" w:hAnsi="方正小标宋简体" w:eastAsia="方正小标宋简体" w:cs="方正小标宋简体"/>
              <w:szCs w:val="44"/>
              <w:highlight w:val="none"/>
              <w:lang w:val="en-US" w:eastAsia="zh-CN"/>
            </w:rPr>
            <w:instrText xml:space="preserve"> HYPERLINK \l _Toc2130263603 </w:instrText>
          </w:r>
          <w:r>
            <w:rPr>
              <w:rFonts w:hint="eastAsia" w:ascii="方正小标宋简体" w:hAnsi="方正小标宋简体" w:eastAsia="方正小标宋简体" w:cs="方正小标宋简体"/>
              <w:szCs w:val="44"/>
              <w:highlight w:val="none"/>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_Toc2130263603 \h </w:instrText>
          </w:r>
          <w:r>
            <w:fldChar w:fldCharType="separate"/>
          </w:r>
          <w:r>
            <w:t>8</w:t>
          </w:r>
          <w:r>
            <w:fldChar w:fldCharType="end"/>
          </w:r>
          <w:r>
            <w:rPr>
              <w:rFonts w:hint="eastAsia" w:ascii="方正小标宋简体" w:hAnsi="方正小标宋简体" w:eastAsia="方正小标宋简体" w:cs="方正小标宋简体"/>
              <w:szCs w:val="44"/>
              <w:highlight w:val="none"/>
              <w:lang w:val="en-US" w:eastAsia="zh-CN"/>
            </w:rPr>
            <w:fldChar w:fldCharType="end"/>
          </w:r>
        </w:p>
        <w:p>
          <w:pPr>
            <w:pStyle w:val="17"/>
            <w:tabs>
              <w:tab w:val="right" w:leader="dot" w:pos="8845"/>
            </w:tabs>
            <w:rPr>
              <w:b/>
            </w:rPr>
          </w:pPr>
          <w:r>
            <w:rPr>
              <w:rFonts w:hint="eastAsia" w:ascii="方正小标宋简体" w:hAnsi="方正小标宋简体" w:eastAsia="方正小标宋简体" w:cs="方正小标宋简体"/>
              <w:b/>
              <w:szCs w:val="44"/>
              <w:highlight w:val="none"/>
              <w:lang w:val="en-US" w:eastAsia="zh-CN"/>
            </w:rPr>
            <w:fldChar w:fldCharType="begin"/>
          </w:r>
          <w:r>
            <w:rPr>
              <w:rFonts w:hint="eastAsia" w:ascii="方正小标宋简体" w:hAnsi="方正小标宋简体" w:eastAsia="方正小标宋简体" w:cs="方正小标宋简体"/>
              <w:b/>
              <w:szCs w:val="44"/>
              <w:highlight w:val="none"/>
              <w:lang w:val="en-US" w:eastAsia="zh-CN"/>
            </w:rPr>
            <w:instrText xml:space="preserve"> HYPERLINK \l _Toc1300391275 </w:instrText>
          </w:r>
          <w:r>
            <w:rPr>
              <w:rFonts w:hint="eastAsia" w:ascii="方正小标宋简体" w:hAnsi="方正小标宋简体" w:eastAsia="方正小标宋简体" w:cs="方正小标宋简体"/>
              <w:b/>
              <w:szCs w:val="44"/>
              <w:highlight w:val="none"/>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_Toc1300391275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szCs w:val="44"/>
              <w:highlight w:val="none"/>
              <w:lang w:val="en-US" w:eastAsia="zh-CN"/>
            </w:rPr>
            <w:fldChar w:fldCharType="end"/>
          </w:r>
        </w:p>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b/>
              <w:szCs w:val="44"/>
              <w:highlight w:val="none"/>
              <w:lang w:val="en-US" w:eastAsia="zh-CN"/>
            </w:rPr>
            <w:fldChar w:fldCharType="end"/>
          </w:r>
        </w:p>
      </w:sdtContent>
    </w:sdt>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eastAsia" w:ascii="黑体" w:hAnsi="黑体" w:eastAsia="黑体" w:cs="黑体"/>
          <w:sz w:val="32"/>
          <w:szCs w:val="32"/>
        </w:rPr>
      </w:pPr>
      <w:bookmarkStart w:id="3" w:name="_Toc479859115"/>
      <w:r>
        <w:rPr>
          <w:rFonts w:hint="eastAsia" w:ascii="黑体" w:hAnsi="黑体" w:eastAsia="黑体" w:cs="黑体"/>
          <w:sz w:val="32"/>
          <w:szCs w:val="32"/>
          <w:lang w:val="en-US" w:eastAsia="zh-CN"/>
        </w:rPr>
        <w:t>一、基本职能及主要工作</w:t>
      </w:r>
      <w:bookmarkEnd w:id="3"/>
    </w:p>
    <w:p>
      <w:pPr>
        <w:pStyle w:val="6"/>
        <w:pageBreakBefore w:val="0"/>
        <w:widowControl w:val="0"/>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rPr>
      </w:pPr>
      <w:bookmarkStart w:id="4" w:name="_Toc366874467"/>
      <w:r>
        <w:rPr>
          <w:rFonts w:hint="eastAsia" w:ascii="楷体_GB2312" w:hAnsi="Times New Roman" w:eastAsia="楷体_GB2312" w:cs="Times New Roman"/>
          <w:bCs/>
          <w:color w:val="000000"/>
          <w:kern w:val="0"/>
          <w:sz w:val="32"/>
          <w:szCs w:val="32"/>
          <w:highlight w:val="none"/>
        </w:rPr>
        <w:t>（一）</w:t>
      </w:r>
      <w:r>
        <w:rPr>
          <w:rFonts w:hint="eastAsia" w:ascii="楷体_GB2312" w:hAnsi="Times New Roman" w:eastAsia="楷体_GB2312" w:cs="Times New Roman"/>
          <w:bCs/>
          <w:color w:val="000000"/>
          <w:kern w:val="0"/>
          <w:sz w:val="32"/>
          <w:szCs w:val="32"/>
          <w:highlight w:val="none"/>
          <w:lang w:val="en-US" w:eastAsia="zh-CN"/>
        </w:rPr>
        <w:t>广元市疾病预防控制中心</w:t>
      </w:r>
      <w:r>
        <w:rPr>
          <w:rFonts w:hint="eastAsia" w:ascii="楷体_GB2312" w:hAnsi="Times New Roman" w:eastAsia="楷体_GB2312" w:cs="Times New Roman"/>
          <w:bCs/>
          <w:color w:val="000000"/>
          <w:kern w:val="0"/>
          <w:sz w:val="32"/>
          <w:szCs w:val="32"/>
          <w:highlight w:val="none"/>
        </w:rPr>
        <w:t>职能简介</w:t>
      </w:r>
      <w:bookmarkEnd w:id="4"/>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bookmarkStart w:id="5" w:name="_Toc15378445"/>
      <w:bookmarkStart w:id="6" w:name="_Toc15377198"/>
      <w:r>
        <w:rPr>
          <w:rFonts w:hint="eastAsia" w:ascii="仿宋_GB2312" w:hAnsi="Calibri" w:eastAsia="仿宋_GB2312" w:cs="Times New Roman"/>
          <w:color w:val="auto"/>
          <w:kern w:val="2"/>
          <w:sz w:val="32"/>
          <w:szCs w:val="32"/>
          <w:highlight w:val="none"/>
          <w:lang w:val="en-US" w:eastAsia="zh-CN" w:bidi="ar-SA"/>
        </w:rPr>
        <w:t>1、贯彻落实党中央关于疾病预防控制工作的方针政策和省委、市委的决策部署，在履行职责过程中坚持和加强党对疾病预防控制工作的集中统一领导；</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2、负责全市传染病、寄生虫病、地方病、非传染性疾病等预防与控制</w:t>
      </w:r>
      <w:bookmarkEnd w:id="5"/>
      <w:bookmarkEnd w:id="6"/>
      <w:r>
        <w:rPr>
          <w:rFonts w:hint="eastAsia" w:ascii="仿宋_GB2312" w:hAnsi="Calibri" w:eastAsia="仿宋_GB2312" w:cs="Times New Roman"/>
          <w:color w:val="auto"/>
          <w:kern w:val="2"/>
          <w:sz w:val="32"/>
          <w:szCs w:val="32"/>
          <w:highlight w:val="none"/>
          <w:lang w:val="en-US" w:eastAsia="zh-CN" w:bidi="ar-SA"/>
        </w:rPr>
        <w:t>；</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3、</w:t>
      </w:r>
      <w:bookmarkStart w:id="7" w:name="_Hlk83200712"/>
      <w:r>
        <w:rPr>
          <w:rFonts w:hint="eastAsia" w:ascii="仿宋_GB2312" w:hAnsi="Calibri" w:eastAsia="仿宋_GB2312" w:cs="Times New Roman"/>
          <w:color w:val="auto"/>
          <w:kern w:val="2"/>
          <w:sz w:val="32"/>
          <w:szCs w:val="32"/>
          <w:highlight w:val="none"/>
          <w:lang w:val="en-US" w:eastAsia="zh-CN" w:bidi="ar-SA"/>
        </w:rPr>
        <w:t>负责全市</w:t>
      </w:r>
      <w:bookmarkEnd w:id="7"/>
      <w:r>
        <w:rPr>
          <w:rFonts w:hint="eastAsia" w:ascii="仿宋_GB2312" w:hAnsi="Calibri" w:eastAsia="仿宋_GB2312" w:cs="Times New Roman"/>
          <w:color w:val="auto"/>
          <w:kern w:val="2"/>
          <w:sz w:val="32"/>
          <w:szCs w:val="32"/>
          <w:highlight w:val="none"/>
          <w:lang w:val="en-US" w:eastAsia="zh-CN" w:bidi="ar-SA"/>
        </w:rPr>
        <w:t>突发公共卫生事件和灾害疫情应急处置；</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4、负责全市疫情及相关因素信息管理，开展疾病监测、收集、报告、分析和评价疾病与健康危害因素等公共卫生信息；</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5、负责健康危害因素监测与干预，开展食源性、职业性、放射性、环境性等疾病的监测评价和流行病学调查，开展公众健康和营养监测与评价，提出干预策略与措施；</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6、负责疾病病原生物检测、鉴定和物理、化学因子检测、评价；</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7、组织实施健康教育与健康促进，普及卫生防病知识，对公众进行健康指导和不良健康行为干预；</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8、负责广元市辖区核与辐射应急医疗救援防护工作；</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9、负责疾病预防控制技术管理与应用研究指导；</w:t>
      </w:r>
    </w:p>
    <w:p>
      <w:pPr>
        <w:pStyle w:val="6"/>
        <w:keepNext w:val="0"/>
        <w:keepLines w:val="0"/>
        <w:pageBreakBefore w:val="0"/>
        <w:widowControl w:val="0"/>
        <w:kinsoku/>
        <w:wordWrap/>
        <w:overflowPunct/>
        <w:topLinePunct w:val="0"/>
        <w:autoSpaceDE/>
        <w:autoSpaceDN/>
        <w:bidi w:val="0"/>
        <w:adjustRightInd w:val="0"/>
        <w:snapToGrid w:val="0"/>
        <w:spacing w:before="93" w:line="560" w:lineRule="exact"/>
        <w:ind w:firstLine="672" w:firstLineChars="210"/>
        <w:textAlignment w:val="auto"/>
        <w:outlineLvl w:val="2"/>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10、承担其他疾病预防控制工作。</w:t>
      </w:r>
    </w:p>
    <w:p>
      <w:pPr>
        <w:pStyle w:val="6"/>
        <w:pageBreakBefore w:val="0"/>
        <w:widowControl w:val="0"/>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rPr>
      </w:pPr>
      <w:bookmarkStart w:id="8" w:name="_Toc1826085510"/>
      <w:r>
        <w:rPr>
          <w:rFonts w:hint="eastAsia" w:ascii="楷体_GB2312" w:hAnsi="Times New Roman" w:eastAsia="楷体_GB2312" w:cs="Times New Roman"/>
          <w:bCs/>
          <w:color w:val="000000"/>
          <w:kern w:val="0"/>
          <w:sz w:val="32"/>
          <w:szCs w:val="32"/>
          <w:highlight w:val="none"/>
        </w:rPr>
        <w:t>（二）</w:t>
      </w:r>
      <w:r>
        <w:rPr>
          <w:rFonts w:hint="eastAsia" w:ascii="楷体_GB2312" w:hAnsi="Times New Roman" w:eastAsia="楷体_GB2312" w:cs="Times New Roman"/>
          <w:bCs/>
          <w:color w:val="000000"/>
          <w:kern w:val="0"/>
          <w:sz w:val="32"/>
          <w:szCs w:val="32"/>
          <w:highlight w:val="none"/>
          <w:lang w:val="en-US" w:eastAsia="zh-CN"/>
        </w:rPr>
        <w:t>广元市疾病预防控制中心</w:t>
      </w:r>
      <w:r>
        <w:rPr>
          <w:rFonts w:hint="eastAsia" w:ascii="楷体_GB2312" w:hAnsi="Times New Roman" w:eastAsia="楷体_GB2312" w:cs="Times New Roman"/>
          <w:bCs/>
          <w:color w:val="000000"/>
          <w:kern w:val="0"/>
          <w:sz w:val="32"/>
          <w:szCs w:val="32"/>
          <w:highlight w:val="none"/>
          <w:lang w:val="en-US"/>
        </w:rPr>
        <w:t>2024</w:t>
      </w:r>
      <w:r>
        <w:rPr>
          <w:rFonts w:hint="eastAsia" w:ascii="楷体_GB2312" w:hAnsi="Times New Roman" w:eastAsia="楷体_GB2312" w:cs="Times New Roman"/>
          <w:bCs/>
          <w:color w:val="000000"/>
          <w:kern w:val="0"/>
          <w:sz w:val="32"/>
          <w:szCs w:val="32"/>
          <w:highlight w:val="none"/>
        </w:rPr>
        <w:t>年重点工作</w:t>
      </w:r>
      <w:bookmarkEnd w:id="8"/>
    </w:p>
    <w:p>
      <w:pPr>
        <w:pStyle w:val="6"/>
        <w:pageBreakBefore w:val="0"/>
        <w:widowControl w:val="0"/>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0"/>
        <w:rPr>
          <w:rFonts w:hint="eastAsia" w:ascii="楷体_GB2312" w:hAnsi="楷体_GB2312" w:eastAsia="楷体_GB2312" w:cs="楷体_GB2312"/>
          <w:b w:val="0"/>
          <w:bCs w:val="0"/>
          <w:color w:val="auto"/>
          <w:kern w:val="2"/>
          <w:sz w:val="32"/>
          <w:szCs w:val="32"/>
          <w:highlight w:val="none"/>
          <w:lang w:val="en-US" w:eastAsia="zh-CN" w:bidi="ar-SA"/>
        </w:rPr>
      </w:pPr>
      <w:bookmarkStart w:id="9" w:name="_Toc21049"/>
      <w:bookmarkStart w:id="10" w:name="_Toc31876"/>
      <w:bookmarkStart w:id="11" w:name="_Toc710118593"/>
      <w:r>
        <w:rPr>
          <w:rFonts w:hint="eastAsia" w:ascii="楷体_GB2312" w:hAnsi="楷体_GB2312" w:eastAsia="楷体_GB2312" w:cs="楷体_GB2312"/>
          <w:b w:val="0"/>
          <w:bCs w:val="0"/>
          <w:color w:val="auto"/>
          <w:kern w:val="2"/>
          <w:sz w:val="32"/>
          <w:szCs w:val="32"/>
          <w:highlight w:val="none"/>
          <w:lang w:val="en-US" w:eastAsia="zh-CN" w:bidi="ar-SA"/>
        </w:rPr>
        <w:t>一、聚力“建强提升”，深入推进能力建设。</w:t>
      </w:r>
      <w:bookmarkEnd w:id="9"/>
      <w:bookmarkEnd w:id="10"/>
      <w:bookmarkEnd w:id="11"/>
    </w:p>
    <w:p>
      <w:pPr>
        <w:numPr>
          <w:ilvl w:val="0"/>
          <w:numId w:val="0"/>
        </w:numPr>
        <w:spacing w:line="576" w:lineRule="exact"/>
        <w:ind w:firstLine="640" w:firstLineChars="200"/>
        <w:rPr>
          <w:rFonts w:hint="eastAsia" w:ascii="仿宋_GB2312" w:hAnsi="仿宋_GB2312" w:eastAsia="仿宋_GB2312" w:cs="仿宋_GB2312"/>
          <w:snapToGrid w:val="0"/>
          <w:color w:val="000000"/>
          <w:kern w:val="0"/>
          <w:sz w:val="32"/>
          <w:szCs w:val="32"/>
          <w:highlight w:val="none"/>
          <w:lang w:val="en-US" w:eastAsia="zh-CN" w:bidi="ar"/>
        </w:rPr>
      </w:pPr>
      <w:r>
        <w:rPr>
          <w:rFonts w:hint="eastAsia" w:ascii="楷体_GB2312" w:hAnsi="楷体_GB2312" w:eastAsia="楷体_GB2312" w:cs="楷体_GB2312"/>
          <w:b w:val="0"/>
          <w:bCs w:val="0"/>
          <w:color w:val="auto"/>
          <w:kern w:val="2"/>
          <w:sz w:val="32"/>
          <w:szCs w:val="32"/>
          <w:highlight w:val="none"/>
          <w:lang w:val="en-US" w:eastAsia="zh-CN" w:bidi="ar-SA"/>
        </w:rPr>
        <w:t>1、抓好基础建设。</w:t>
      </w:r>
      <w:r>
        <w:rPr>
          <w:rFonts w:hint="eastAsia" w:ascii="仿宋_GB2312" w:hAnsi="仿宋_GB2312" w:eastAsia="仿宋_GB2312" w:cs="仿宋_GB2312"/>
          <w:snapToGrid w:val="0"/>
          <w:color w:val="000000"/>
          <w:kern w:val="0"/>
          <w:sz w:val="32"/>
          <w:szCs w:val="32"/>
          <w:highlight w:val="none"/>
          <w:lang w:val="en-US" w:eastAsia="zh-CN" w:bidi="ar"/>
        </w:rPr>
        <w:t>一是夯实硬件基础。在原有基础上扩建6-8楼层基础用房，新增P2+实验室2个。优化整合实验室仪器设备，完成更新换代，积极开展新项目、新方法。完成国债项目5000万元投资的可行性论证，储备2-3亿元项目；二是强化信息化体系建设。构建重大疫情信息平台，实现公卫资源信息一屏知家底、疫情和特殊病情一网全监测、资源调配一个平台管全区、指挥调度指令一键达基层，织起政府保障人民健康的信息“天网”。</w:t>
      </w:r>
      <w:r>
        <w:rPr>
          <w:rFonts w:hint="eastAsia" w:ascii="仿宋_GB2312" w:hAnsi="仿宋_GB2312" w:eastAsia="仿宋_GB2312" w:cs="仿宋_GB2312"/>
          <w:snapToGrid w:val="0"/>
          <w:color w:val="000000"/>
          <w:kern w:val="0"/>
          <w:sz w:val="32"/>
          <w:szCs w:val="32"/>
          <w:highlight w:val="none"/>
          <w:rtl w:val="0"/>
          <w:lang w:val="zh-CN" w:eastAsia="zh-CN" w:bidi="ar"/>
        </w:rPr>
        <w:t>完成监测预警与应急能力提升规定任务，建设完成全市疾控机构统一、规范的网络信息安全体系和市县视频会议系统。</w:t>
      </w:r>
      <w:r>
        <w:rPr>
          <w:rFonts w:hint="eastAsia" w:ascii="仿宋_GB2312" w:hAnsi="仿宋_GB2312" w:eastAsia="仿宋_GB2312" w:cs="仿宋_GB2312"/>
          <w:snapToGrid w:val="0"/>
          <w:color w:val="000000"/>
          <w:kern w:val="0"/>
          <w:sz w:val="32"/>
          <w:szCs w:val="32"/>
          <w:highlight w:val="none"/>
          <w:lang w:val="en-US" w:eastAsia="zh-CN" w:bidi="ar"/>
        </w:rPr>
        <w:t>三是全面深化质量管理体系建设，完成内部审核及管理评审，</w:t>
      </w:r>
      <w:r>
        <w:rPr>
          <w:rFonts w:hint="eastAsia" w:ascii="仿宋_GB2312" w:hAnsi="仿宋_GB2312" w:eastAsia="仿宋_GB2312" w:cs="仿宋_GB2312"/>
          <w:snapToGrid w:val="0"/>
          <w:color w:val="000000"/>
          <w:kern w:val="0"/>
          <w:sz w:val="32"/>
          <w:szCs w:val="32"/>
          <w:highlight w:val="none"/>
          <w:rtl w:val="0"/>
          <w:lang w:val="zh-CN" w:eastAsia="zh-CN" w:bidi="ar"/>
        </w:rPr>
        <w:t>完成质量体系、质量手册更新。</w:t>
      </w:r>
      <w:r>
        <w:rPr>
          <w:rFonts w:hint="eastAsia" w:ascii="仿宋_GB2312" w:hAnsi="仿宋_GB2312" w:eastAsia="仿宋_GB2312" w:cs="仿宋_GB2312"/>
          <w:snapToGrid w:val="0"/>
          <w:color w:val="000000"/>
          <w:kern w:val="0"/>
          <w:sz w:val="32"/>
          <w:szCs w:val="32"/>
          <w:highlight w:val="none"/>
          <w:lang w:val="en-US" w:eastAsia="zh-CN" w:bidi="ar"/>
        </w:rPr>
        <w:t>四是加强科研创新能力建设。申报《广元市环境雌激素（双酚类）污染状况、分布规律及居民暴露风险研究》科技奖励。建立健全科研激励机制，加强市县科研创新能力建设，把病媒实验室建成重点学科。</w:t>
      </w:r>
    </w:p>
    <w:p>
      <w:pPr>
        <w:numPr>
          <w:ilvl w:val="0"/>
          <w:numId w:val="0"/>
        </w:numPr>
        <w:spacing w:line="576" w:lineRule="exact"/>
        <w:ind w:firstLine="640" w:firstLineChars="200"/>
        <w:outlineLvl w:val="0"/>
        <w:rPr>
          <w:rFonts w:hint="eastAsia" w:ascii="楷体_GB2312" w:hAnsi="楷体_GB2312" w:eastAsia="楷体_GB2312" w:cs="楷体_GB2312"/>
          <w:b w:val="0"/>
          <w:bCs w:val="0"/>
          <w:color w:val="auto"/>
          <w:kern w:val="2"/>
          <w:sz w:val="32"/>
          <w:szCs w:val="32"/>
          <w:highlight w:val="none"/>
          <w:lang w:val="en-US" w:eastAsia="zh-CN" w:bidi="ar-SA"/>
        </w:rPr>
      </w:pPr>
      <w:bookmarkStart w:id="12" w:name="_Toc12165"/>
      <w:bookmarkStart w:id="13" w:name="_Toc22626"/>
      <w:bookmarkStart w:id="14" w:name="_Toc2144642506"/>
      <w:r>
        <w:rPr>
          <w:rFonts w:hint="eastAsia" w:ascii="楷体_GB2312" w:hAnsi="楷体_GB2312" w:eastAsia="楷体_GB2312" w:cs="楷体_GB2312"/>
          <w:b w:val="0"/>
          <w:bCs w:val="0"/>
          <w:color w:val="auto"/>
          <w:kern w:val="2"/>
          <w:sz w:val="32"/>
          <w:szCs w:val="32"/>
          <w:highlight w:val="none"/>
          <w:lang w:val="en-US" w:eastAsia="zh-CN" w:bidi="ar-SA"/>
        </w:rPr>
        <w:t>二、聚力“履职担当”，深入推进健康服务。</w:t>
      </w:r>
      <w:bookmarkEnd w:id="12"/>
      <w:bookmarkEnd w:id="13"/>
      <w:bookmarkEnd w:id="14"/>
    </w:p>
    <w:p>
      <w:pPr>
        <w:numPr>
          <w:ilvl w:val="0"/>
          <w:numId w:val="0"/>
        </w:numPr>
        <w:spacing w:line="576" w:lineRule="exact"/>
        <w:ind w:firstLine="640" w:firstLineChars="200"/>
        <w:rPr>
          <w:rFonts w:hint="eastAsia" w:ascii="仿宋_GB2312" w:hAnsi="仿宋_GB2312" w:eastAsia="仿宋_GB2312" w:cs="仿宋_GB2312"/>
          <w:snapToGrid w:val="0"/>
          <w:color w:val="000000"/>
          <w:kern w:val="0"/>
          <w:sz w:val="32"/>
          <w:szCs w:val="32"/>
          <w:highlight w:val="none"/>
          <w:lang w:val="en-US" w:eastAsia="zh-CN" w:bidi="ar"/>
        </w:rPr>
      </w:pPr>
      <w:r>
        <w:rPr>
          <w:rFonts w:hint="eastAsia" w:ascii="仿宋_GB2312" w:hAnsi="仿宋_GB2312" w:eastAsia="仿宋_GB2312" w:cs="仿宋_GB2312"/>
          <w:snapToGrid w:val="0"/>
          <w:color w:val="000000"/>
          <w:kern w:val="0"/>
          <w:sz w:val="32"/>
          <w:szCs w:val="32"/>
          <w:highlight w:val="none"/>
          <w:lang w:val="en-US" w:eastAsia="zh-CN" w:bidi="ar"/>
        </w:rPr>
        <w:t>一是规范各县区结核病患者报告、诊断、追踪、转诊等流程，切实做到“早发现，早诊断，早治疗和早管理”。在利州区试点开展结核菌素试验医务工作者两证上岗制度，在旺苍县创建和实施无结核社区。二是做好职业卫生资质延展各项准备工作。继续在全市范围内和周边地区拓展生活饮水委托检测业务，扩大水质检测影响力。</w:t>
      </w:r>
      <w:r>
        <w:rPr>
          <w:rFonts w:hint="eastAsia" w:ascii="仿宋_GB2312" w:hAnsi="仿宋_GB2312" w:eastAsia="仿宋_GB2312" w:cs="仿宋_GB2312"/>
          <w:snapToGrid w:val="0"/>
          <w:color w:val="000000"/>
          <w:kern w:val="0"/>
          <w:sz w:val="32"/>
          <w:szCs w:val="32"/>
          <w:highlight w:val="none"/>
          <w:rtl w:val="0"/>
          <w:lang w:val="zh-CN" w:eastAsia="zh-CN" w:bidi="ar"/>
        </w:rPr>
        <w:t>实现重点职业病监测、企业危害因素检测有偿服务零突破，</w:t>
      </w:r>
      <w:r>
        <w:rPr>
          <w:rFonts w:hint="eastAsia" w:ascii="仿宋_GB2312" w:hAnsi="仿宋_GB2312" w:eastAsia="仿宋_GB2312" w:cs="仿宋_GB2312"/>
          <w:snapToGrid w:val="0"/>
          <w:color w:val="000000"/>
          <w:kern w:val="0"/>
          <w:sz w:val="32"/>
          <w:szCs w:val="32"/>
          <w:highlight w:val="none"/>
          <w:lang w:val="en-US" w:eastAsia="zh-CN" w:bidi="ar"/>
        </w:rPr>
        <w:t>继续积极拓展对外委托性水质检测服务，进一步扩大，影响范围，继续加强食源性疾病监测网络建设，全市医疗机构食源性疾病监测覆盖达75%以上。加强卫生应急物资管理，针对性储备应急物资，动态调整、补充。继续以学生常见病和健康影响因素为监测重点，加强监测数据的收集、整理、审核以及分析利用，有针对性的开展学生常见病防控与干预。加强突发公共卫生事件监测预警和分析研判工作，建立健全多渠道监测和多点触发预警机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5" w:name="_Toc809212187"/>
      <w:r>
        <w:rPr>
          <w:rFonts w:hint="eastAsia" w:ascii="黑体" w:hAnsi="黑体" w:eastAsia="黑体" w:cs="黑体"/>
          <w:sz w:val="32"/>
          <w:szCs w:val="32"/>
          <w:highlight w:val="none"/>
          <w:lang w:val="en-US" w:eastAsia="zh-CN"/>
        </w:rPr>
        <w:t>二、部门预算单位构成</w:t>
      </w:r>
      <w:bookmarkEnd w:id="15"/>
    </w:p>
    <w:p>
      <w:pPr>
        <w:ind w:firstLine="64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我单位为广元市卫生健康委员会的下属二级预算单位，本单位无下属机构，设有内设部门16个。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1475438763"/>
      <w:r>
        <w:rPr>
          <w:rFonts w:hint="eastAsia" w:ascii="黑体" w:hAnsi="黑体" w:eastAsia="黑体" w:cs="黑体"/>
          <w:sz w:val="32"/>
          <w:szCs w:val="32"/>
          <w:lang w:val="en-US" w:eastAsia="zh-CN"/>
        </w:rPr>
        <w:t>三、收支预算情况说明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按照综合预算的原则，广元市疾病预防控制中心所有收入和支出均纳入部门预算管理。收入包括：一般公共预算拨款收入；支出包括：社会保障和就业支出、卫生健康支出、住房保障支出。广元市疾病预防控制中心2024年收支预算总数2561.34万元,比2023年收支预算总数增加261.05万元，主要原因是人员经费有所增加。</w:t>
      </w:r>
    </w:p>
    <w:p>
      <w:pPr>
        <w:pStyle w:val="6"/>
        <w:pageBreakBefore w:val="0"/>
        <w:widowControl w:val="0"/>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lang w:val="en-US" w:eastAsia="zh-CN"/>
        </w:rPr>
      </w:pPr>
      <w:bookmarkStart w:id="17" w:name="_Toc1687653849"/>
      <w:r>
        <w:rPr>
          <w:rFonts w:hint="eastAsia" w:ascii="楷体_GB2312" w:hAnsi="Times New Roman" w:eastAsia="楷体_GB2312" w:cs="Times New Roman"/>
          <w:bCs/>
          <w:color w:val="000000"/>
          <w:kern w:val="0"/>
          <w:sz w:val="32"/>
          <w:szCs w:val="32"/>
          <w:highlight w:val="none"/>
          <w:lang w:val="en-US" w:eastAsia="zh-CN"/>
        </w:rPr>
        <w:t>（一）收入预算情况</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广元市疾病预防控制中心2024年收入预算2561.34万元，其中：一般公共预算拨款收入2561.34万元，占100%。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Times New Roman" w:eastAsia="楷体_GB2312" w:cs="Times New Roman"/>
          <w:bCs/>
          <w:color w:val="000000"/>
          <w:kern w:val="0"/>
          <w:sz w:val="32"/>
          <w:szCs w:val="32"/>
          <w:highlight w:val="none"/>
          <w:lang w:val="en-US" w:eastAsia="zh-CN" w:bidi="ar-SA"/>
        </w:rPr>
      </w:pPr>
      <w:bookmarkStart w:id="18" w:name="_Toc1430663948"/>
      <w:r>
        <w:rPr>
          <w:rFonts w:hint="eastAsia" w:ascii="楷体_GB2312" w:hAnsi="Times New Roman" w:eastAsia="楷体_GB2312" w:cs="Times New Roman"/>
          <w:bCs/>
          <w:color w:val="000000"/>
          <w:kern w:val="0"/>
          <w:sz w:val="32"/>
          <w:szCs w:val="32"/>
          <w:highlight w:val="none"/>
          <w:lang w:val="en-US" w:eastAsia="zh-CN" w:bidi="ar-SA"/>
        </w:rPr>
        <w:t>（二）支出预算情况</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支出预算2561.34万元，其中：基本支出2404.88万元，占93.89%；项目支出156.46万元，占6.11%。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9" w:name="_Toc88708189"/>
      <w:r>
        <w:rPr>
          <w:rFonts w:hint="eastAsia" w:ascii="黑体" w:hAnsi="黑体" w:eastAsia="黑体" w:cs="黑体"/>
          <w:sz w:val="32"/>
          <w:szCs w:val="32"/>
          <w:highlight w:val="none"/>
          <w:lang w:val="en-US" w:eastAsia="zh-CN"/>
        </w:rPr>
        <w:t>四、财政拨款收支预算情况说明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广元市疾病预防控制中心2024年财政拨款收支预算总数2561.34万元，</w:t>
      </w:r>
      <w:r>
        <w:rPr>
          <w:rFonts w:hint="eastAsia" w:ascii="仿宋_GB2312" w:hAnsi="仿宋_GB2312" w:eastAsia="仿宋_GB2312" w:cs="仿宋_GB2312"/>
          <w:sz w:val="32"/>
          <w:szCs w:val="32"/>
          <w:lang w:val="en-US" w:eastAsia="zh-CN"/>
        </w:rPr>
        <w:t>比2023年</w:t>
      </w:r>
      <w:r>
        <w:rPr>
          <w:rFonts w:hint="eastAsia" w:ascii="仿宋_GB2312" w:hAnsi="仿宋_GB2312" w:eastAsia="仿宋_GB2312" w:cs="仿宋_GB2312"/>
          <w:sz w:val="32"/>
          <w:szCs w:val="32"/>
          <w:highlight w:val="none"/>
          <w:lang w:val="en-US" w:eastAsia="zh-CN"/>
        </w:rPr>
        <w:t>增加261.05万元，主要原因是增加了退休人员经费及在编人员经费的正常增长。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收入包括：本年一般公共预算拨款收入2561.34万元；支出包括：社会保障和就业支出227.09万元、卫生健康支出2139.09万元、住房保障支出195.15万元。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20" w:name="_Toc935938719"/>
      <w:r>
        <w:rPr>
          <w:rFonts w:hint="eastAsia" w:ascii="黑体" w:hAnsi="黑体" w:eastAsia="黑体" w:cs="黑体"/>
          <w:sz w:val="32"/>
          <w:szCs w:val="32"/>
          <w:highlight w:val="none"/>
          <w:lang w:val="en-US" w:eastAsia="zh-CN"/>
        </w:rPr>
        <w:t>五、一般公共预算当年拨款情况说明</w:t>
      </w:r>
      <w:bookmarkEnd w:id="20"/>
    </w:p>
    <w:p>
      <w:pPr>
        <w:pStyle w:val="6"/>
        <w:pageBreakBefore w:val="0"/>
        <w:widowControl w:val="0"/>
        <w:suppressAutoHyphens/>
        <w:kinsoku/>
        <w:wordWrap/>
        <w:overflowPunct/>
        <w:topLinePunct w:val="0"/>
        <w:autoSpaceDE/>
        <w:autoSpaceDN/>
        <w:bidi w:val="0"/>
        <w:adjustRightInd w:val="0"/>
        <w:snapToGrid w:val="0"/>
        <w:spacing w:before="30" w:beforeLines="0" w:after="0" w:line="520" w:lineRule="exact"/>
        <w:ind w:firstLine="665" w:firstLineChars="208"/>
        <w:textAlignment w:val="auto"/>
        <w:outlineLvl w:val="1"/>
        <w:rPr>
          <w:rFonts w:hint="eastAsia" w:ascii="楷体_GB2312" w:hAnsi="Times New Roman" w:eastAsia="楷体_GB2312" w:cs="Times New Roman"/>
          <w:bCs/>
          <w:color w:val="000000"/>
          <w:kern w:val="0"/>
          <w:sz w:val="32"/>
          <w:szCs w:val="32"/>
          <w:highlight w:val="none"/>
          <w:lang w:val="en-US" w:eastAsia="zh-CN"/>
        </w:rPr>
      </w:pPr>
      <w:bookmarkStart w:id="21" w:name="_Toc167316572"/>
      <w:r>
        <w:rPr>
          <w:rFonts w:hint="eastAsia" w:ascii="楷体_GB2312" w:hAnsi="Times New Roman" w:eastAsia="楷体_GB2312" w:cs="Times New Roman"/>
          <w:bCs/>
          <w:color w:val="000000"/>
          <w:kern w:val="0"/>
          <w:sz w:val="32"/>
          <w:szCs w:val="32"/>
          <w:highlight w:val="none"/>
          <w:lang w:val="en-US" w:eastAsia="zh-CN"/>
        </w:rPr>
        <w:t>（一）一般公共预算当年拨款规模变化情况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广元市疾病预防控制中心2024年一般公共预算当年拨款2561.34万元，比2023年预算数增加261.05万元，主要原因是增加了退休人员经费及在编人员经费的正常增长。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Times New Roman" w:eastAsia="楷体_GB2312" w:cs="Times New Roman"/>
          <w:bCs/>
          <w:color w:val="000000"/>
          <w:kern w:val="0"/>
          <w:sz w:val="32"/>
          <w:szCs w:val="32"/>
          <w:highlight w:val="none"/>
          <w:lang w:val="en-US" w:eastAsia="zh-CN" w:bidi="ar-SA"/>
        </w:rPr>
      </w:pPr>
      <w:bookmarkStart w:id="22" w:name="_Toc1625648357"/>
      <w:r>
        <w:rPr>
          <w:rFonts w:hint="eastAsia" w:ascii="楷体_GB2312" w:hAnsi="Times New Roman" w:eastAsia="楷体_GB2312" w:cs="Times New Roman"/>
          <w:bCs/>
          <w:color w:val="000000"/>
          <w:kern w:val="0"/>
          <w:sz w:val="32"/>
          <w:szCs w:val="32"/>
          <w:highlight w:val="none"/>
          <w:lang w:val="en-US" w:eastAsia="zh-CN" w:bidi="ar-SA"/>
        </w:rPr>
        <w:t>（二）一般公共预算当年拨款结构情况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社会保障和就业支出227.09万元，占8.87%；卫生健康支出2139.09万元，占83.51%；住房保障支出195.15万元，占7.62%。</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469118734"/>
      <w:r>
        <w:rPr>
          <w:rFonts w:hint="eastAsia" w:ascii="楷体_GB2312" w:hAnsi="楷体_GB2312" w:eastAsia="楷体_GB2312" w:cs="楷体_GB2312"/>
          <w:sz w:val="32"/>
          <w:szCs w:val="32"/>
          <w:lang w:val="en-US" w:eastAsia="zh-CN"/>
        </w:rPr>
        <w:t>（三）一般公共预算当年拨款具体使用情况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highlight w:val="none"/>
          <w:lang w:val="en-US" w:eastAsia="zh-CN"/>
        </w:rPr>
        <w:t>社会保障和就业（类）行政事业单位养老支出（款）机关事业单位基本养老保险缴费支出（项）2024年预算数为219.83万元，主要用于：实施养老保险制度由单位缴纳的基本养老保险支出。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2.社会保障和就业支出（类）其他社会保障和就业支出（款）其他社会保障和就业支出（项）2024年预算数为7.26万元，主要用于：按规定由单位缴纳的</w:t>
      </w:r>
      <w:r>
        <w:rPr>
          <w:rFonts w:hint="default" w:ascii="仿宋_GB2312" w:hAnsi="仿宋_GB2312" w:eastAsia="仿宋_GB2312" w:cs="仿宋_GB2312"/>
          <w:sz w:val="32"/>
          <w:szCs w:val="32"/>
          <w:highlight w:val="none"/>
          <w:lang w:eastAsia="zh-CN"/>
        </w:rPr>
        <w:t>失业、工伤保险</w:t>
      </w:r>
      <w:r>
        <w:rPr>
          <w:rFonts w:hint="eastAsia" w:ascii="仿宋_GB2312" w:hAnsi="仿宋_GB2312" w:eastAsia="仿宋_GB2312" w:cs="仿宋_GB2312"/>
          <w:sz w:val="32"/>
          <w:szCs w:val="32"/>
          <w:highlight w:val="none"/>
          <w:lang w:val="en-US" w:eastAsia="zh-CN"/>
        </w:rPr>
        <w:t>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3.卫生健康（类）行政事业单位医疗（款）事业单位医疗（项）2024年预算数为71.65万元，主要用于：事业单位按规定由单位缴纳的基本医疗保险支出。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4.住房保障（类）住房改革支出（款）住房公积金（项）2024年预算数为195.15万元，主要用于：部门按规定为职工缴纳的住房公积金支出。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w:t>
      </w:r>
      <w:r>
        <w:rPr>
          <w:rFonts w:hint="default" w:ascii="仿宋_GB2312" w:hAnsi="仿宋_GB2312" w:eastAsia="仿宋_GB2312" w:cs="仿宋_GB2312"/>
          <w:sz w:val="32"/>
          <w:szCs w:val="32"/>
          <w:highlight w:val="none"/>
          <w:lang w:val="en-US" w:eastAsia="zh-CN"/>
        </w:rPr>
        <w:t>.卫生健康支出（类）公共卫生（款）疾病预防控制机构（项）</w:t>
      </w:r>
      <w:r>
        <w:rPr>
          <w:rFonts w:hint="eastAsia" w:ascii="仿宋_GB2312" w:hAnsi="仿宋_GB2312" w:eastAsia="仿宋_GB2312" w:cs="仿宋_GB2312"/>
          <w:sz w:val="32"/>
          <w:szCs w:val="32"/>
          <w:highlight w:val="none"/>
          <w:lang w:val="en-US" w:eastAsia="zh-CN"/>
        </w:rPr>
        <w:t>2024年预算数为2067.44万元，主要用于</w:t>
      </w:r>
      <w:r>
        <w:rPr>
          <w:rFonts w:hint="default" w:ascii="仿宋_GB2312" w:hAnsi="仿宋_GB2312" w:eastAsia="仿宋_GB2312" w:cs="仿宋_GB2312"/>
          <w:sz w:val="32"/>
          <w:szCs w:val="32"/>
          <w:highlight w:val="none"/>
          <w:lang w:val="en-US" w:eastAsia="zh-CN"/>
        </w:rPr>
        <w:t>卫生健康部门所属疾病预防控制机构的支出。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24" w:name="_Toc1690828256"/>
      <w:r>
        <w:rPr>
          <w:rFonts w:hint="eastAsia" w:ascii="黑体" w:hAnsi="黑体" w:eastAsia="黑体" w:cs="黑体"/>
          <w:sz w:val="32"/>
          <w:szCs w:val="32"/>
          <w:highlight w:val="none"/>
          <w:lang w:val="en-US" w:eastAsia="zh-CN"/>
        </w:rPr>
        <w:t>六、一般公共预算基本支出情况说明</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广元市疾病预防控制中心2024年一般公共预算基本支出2404.88万元，其中：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人员经费2200.34万元，主要包括：基本工资、津贴补贴、奖金、</w:t>
      </w:r>
      <w:r>
        <w:rPr>
          <w:rFonts w:hint="default" w:ascii="仿宋_GB2312" w:eastAsia="仿宋_GB2312"/>
          <w:sz w:val="32"/>
          <w:szCs w:val="32"/>
          <w:highlight w:val="none"/>
          <w:lang w:eastAsia="zh-CN"/>
        </w:rPr>
        <w:t>绩效工资、</w:t>
      </w:r>
      <w:r>
        <w:rPr>
          <w:rFonts w:hint="eastAsia" w:ascii="仿宋_GB2312" w:eastAsia="仿宋_GB2312"/>
          <w:sz w:val="32"/>
          <w:szCs w:val="32"/>
          <w:highlight w:val="none"/>
          <w:lang w:val="en-US" w:eastAsia="zh-CN"/>
        </w:rPr>
        <w:t>社会保险缴费、住房公积金、</w:t>
      </w:r>
      <w:r>
        <w:rPr>
          <w:rFonts w:hint="default" w:ascii="仿宋_GB2312" w:eastAsia="仿宋_GB2312"/>
          <w:sz w:val="32"/>
          <w:szCs w:val="32"/>
          <w:highlight w:val="none"/>
          <w:lang w:eastAsia="zh-CN"/>
        </w:rPr>
        <w:t>生活补助</w:t>
      </w:r>
      <w:r>
        <w:rPr>
          <w:rFonts w:hint="eastAsia" w:ascii="仿宋_GB2312" w:eastAsia="仿宋_GB2312"/>
          <w:sz w:val="32"/>
          <w:szCs w:val="32"/>
          <w:highlight w:val="none"/>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公用经费204.54万元，主要包括：办公费、</w:t>
      </w:r>
      <w:r>
        <w:rPr>
          <w:rFonts w:hint="default" w:ascii="仿宋_GB2312" w:eastAsia="仿宋_GB2312"/>
          <w:sz w:val="32"/>
          <w:szCs w:val="32"/>
          <w:highlight w:val="none"/>
          <w:lang w:eastAsia="zh-CN"/>
        </w:rPr>
        <w:t>咨询费</w:t>
      </w:r>
      <w:r>
        <w:rPr>
          <w:rFonts w:hint="eastAsia" w:ascii="仿宋_GB2312" w:eastAsia="仿宋_GB2312"/>
          <w:sz w:val="32"/>
          <w:szCs w:val="32"/>
          <w:highlight w:val="none"/>
          <w:lang w:val="en-US" w:eastAsia="zh-CN"/>
        </w:rPr>
        <w:t>、水费、电费、差旅费、维修（护）费、会议费、培训费、公务接待费、</w:t>
      </w:r>
      <w:r>
        <w:rPr>
          <w:rFonts w:hint="default" w:ascii="仿宋_GB2312" w:eastAsia="仿宋_GB2312"/>
          <w:sz w:val="32"/>
          <w:szCs w:val="32"/>
          <w:highlight w:val="none"/>
          <w:lang w:eastAsia="zh-CN"/>
        </w:rPr>
        <w:t>专用材料费、</w:t>
      </w:r>
      <w:r>
        <w:rPr>
          <w:rFonts w:hint="eastAsia" w:ascii="仿宋_GB2312" w:eastAsia="仿宋_GB2312"/>
          <w:sz w:val="32"/>
          <w:szCs w:val="32"/>
          <w:highlight w:val="none"/>
          <w:lang w:val="en-US" w:eastAsia="zh-CN"/>
        </w:rPr>
        <w:t>劳务费、工会经费、福利费、公务用车运行维护费、其他交通费用</w:t>
      </w:r>
      <w:r>
        <w:rPr>
          <w:rFonts w:hint="default" w:ascii="仿宋_GB2312" w:eastAsia="仿宋_GB2312"/>
          <w:sz w:val="32"/>
          <w:szCs w:val="32"/>
          <w:highlight w:val="none"/>
          <w:lang w:eastAsia="zh-CN"/>
        </w:rPr>
        <w:t>、其他商品和服务支出</w:t>
      </w:r>
      <w:r>
        <w:rPr>
          <w:rFonts w:hint="eastAsia" w:ascii="仿宋_GB2312" w:eastAsia="仿宋_GB2312"/>
          <w:sz w:val="32"/>
          <w:szCs w:val="32"/>
          <w:highlight w:val="none"/>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25" w:name="_Toc742856398"/>
      <w:r>
        <w:rPr>
          <w:rFonts w:hint="eastAsia" w:ascii="黑体" w:hAnsi="黑体" w:eastAsia="黑体" w:cs="黑体"/>
          <w:sz w:val="32"/>
          <w:szCs w:val="32"/>
          <w:highlight w:val="none"/>
          <w:lang w:val="en-US" w:eastAsia="zh-CN"/>
        </w:rPr>
        <w:t>七、“三公”经费财政拨款预算安排情况说明</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广元市疾病预防控制中心2024年“三公”经费财政拨款预算数19.18万元，其中：公务接待费8万元，公务用车购置及运行维护费11.18万元，无因公出国（境）经费预算安排。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6" w:name="_Toc723763839"/>
      <w:r>
        <w:rPr>
          <w:rFonts w:hint="eastAsia" w:ascii="楷体_GB2312" w:hAnsi="楷体_GB2312" w:eastAsia="楷体_GB2312" w:cs="楷体_GB2312"/>
          <w:sz w:val="32"/>
          <w:szCs w:val="32"/>
          <w:highlight w:val="none"/>
          <w:lang w:val="en-US" w:eastAsia="zh-CN"/>
        </w:rPr>
        <w:t>（一）公务接待费</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7" w:name="_Toc1996310184"/>
      <w:r>
        <w:rPr>
          <w:rFonts w:hint="eastAsia" w:ascii="楷体_GB2312" w:hAnsi="楷体_GB2312" w:eastAsia="楷体_GB2312" w:cs="楷体_GB2312"/>
          <w:sz w:val="32"/>
          <w:szCs w:val="32"/>
          <w:highlight w:val="none"/>
          <w:lang w:val="en-US" w:eastAsia="zh-CN"/>
        </w:rPr>
        <w:t>公务用车购置及运行维护费</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sz w:val="32"/>
          <w:szCs w:val="32"/>
          <w:lang w:val="en-US" w:eastAsia="zh-CN"/>
        </w:rPr>
        <w:t>公务用车购置及运行维护费与2023年预算相比下降2.3万元，主要原因是</w:t>
      </w:r>
      <w:r>
        <w:rPr>
          <w:rFonts w:hint="eastAsia" w:ascii="仿宋_GB2312" w:eastAsia="仿宋_GB2312"/>
          <w:sz w:val="32"/>
          <w:szCs w:val="32"/>
          <w:highlight w:val="none"/>
        </w:rPr>
        <w:t>进一步贯彻落实党中央国务院关于党政机关改进作风、厉行节约的指示精神</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单位现有公务用车</w:t>
      </w:r>
      <w:r>
        <w:rPr>
          <w:rFonts w:hint="default" w:ascii="仿宋_GB2312" w:hAnsi="仿宋_GB2312" w:eastAsia="仿宋_GB2312" w:cs="仿宋_GB2312"/>
          <w:sz w:val="32"/>
          <w:szCs w:val="32"/>
          <w:highlight w:val="none"/>
          <w:lang w:eastAsia="zh-CN"/>
        </w:rPr>
        <w:t>12</w:t>
      </w:r>
      <w:r>
        <w:rPr>
          <w:rFonts w:hint="eastAsia" w:ascii="仿宋_GB2312" w:hAnsi="仿宋_GB2312" w:eastAsia="仿宋_GB2312" w:cs="仿宋_GB2312"/>
          <w:sz w:val="32"/>
          <w:szCs w:val="32"/>
          <w:highlight w:val="none"/>
          <w:lang w:val="en-US" w:eastAsia="zh-CN"/>
        </w:rPr>
        <w:t>辆，其中救护车12辆。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bookmarkStart w:id="37" w:name="_GoBack"/>
      <w:bookmarkEnd w:id="3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2024年安排公务用车运行维护费11.18万元，用于12辆业务用车燃油、过路（桥）、维修、保险等方面支出，主要保障广元市疾病预防控制中心完成政府下达的年度各项工作任务。</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8" w:name="_Toc108464293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eastAsia="zh-CN"/>
        </w:rPr>
        <w:t>因公出国（境）经费无预算安排，与</w:t>
      </w:r>
      <w:r>
        <w:rPr>
          <w:rFonts w:hint="eastAsia" w:ascii="仿宋_GB2312" w:eastAsia="仿宋_GB2312"/>
          <w:sz w:val="32"/>
          <w:szCs w:val="32"/>
          <w:highlight w:val="none"/>
          <w:lang w:val="en-US" w:eastAsia="zh-CN"/>
        </w:rPr>
        <w:t>2023年持平。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9" w:name="_Toc1080645"/>
      <w:r>
        <w:rPr>
          <w:rFonts w:hint="eastAsia" w:ascii="黑体" w:hAnsi="黑体" w:eastAsia="黑体" w:cs="黑体"/>
          <w:sz w:val="32"/>
          <w:szCs w:val="32"/>
          <w:lang w:val="en-US" w:eastAsia="zh-CN"/>
        </w:rPr>
        <w:t>八、政府性基金预算支出情况说明</w:t>
      </w:r>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广元市疾病预防控制中心2024年无政府性基金预算拨款安排的支出。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0" w:name="_Toc1978993872"/>
      <w:r>
        <w:rPr>
          <w:rFonts w:hint="eastAsia" w:ascii="黑体" w:hAnsi="黑体" w:eastAsia="黑体" w:cs="黑体"/>
          <w:sz w:val="32"/>
          <w:szCs w:val="32"/>
          <w:lang w:val="en-US" w:eastAsia="zh-CN"/>
        </w:rPr>
        <w:t>九、国有资本经营预算支出情况说明</w:t>
      </w:r>
      <w:bookmarkEnd w:id="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广元市疾病预防控制中心2024年无国有资本经营预算拨款安排的支出。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1" w:name="_Toc1811691649"/>
      <w:r>
        <w:rPr>
          <w:rFonts w:hint="eastAsia" w:ascii="黑体" w:hAnsi="黑体" w:eastAsia="黑体" w:cs="黑体"/>
          <w:sz w:val="32"/>
          <w:szCs w:val="32"/>
          <w:lang w:val="en-US" w:eastAsia="zh-CN"/>
        </w:rPr>
        <w:t>十、其他重要事项的情况说明</w:t>
      </w:r>
      <w:bookmarkEnd w:id="3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301795962"/>
      <w:r>
        <w:rPr>
          <w:rFonts w:hint="eastAsia" w:ascii="楷体_GB2312" w:hAnsi="楷体_GB2312" w:eastAsia="楷体_GB2312" w:cs="楷体_GB2312"/>
          <w:sz w:val="32"/>
          <w:szCs w:val="32"/>
          <w:lang w:val="en-US" w:eastAsia="zh-CN"/>
        </w:rPr>
        <w:t>（一）机关运行经费</w:t>
      </w:r>
      <w:bookmarkEnd w:id="3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sz w:val="32"/>
          <w:szCs w:val="32"/>
          <w:highlight w:val="none"/>
          <w:lang w:val="en-US" w:eastAsia="zh-CN"/>
        </w:rPr>
      </w:pPr>
      <w:r>
        <w:rPr>
          <w:rFonts w:hint="eastAsia" w:ascii="仿宋_GB2312" w:hAnsi="仿宋_GB2312" w:eastAsia="仿宋_GB2312" w:cs="仿宋_GB2312"/>
          <w:sz w:val="32"/>
          <w:szCs w:val="32"/>
          <w:lang w:val="en-US" w:eastAsia="zh-CN"/>
        </w:rPr>
        <w:t>广元市疾病预防控制中心为事业单位，按规定未使用机关运行的相关科目。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1464934938"/>
      <w:r>
        <w:rPr>
          <w:rFonts w:hint="eastAsia" w:ascii="楷体_GB2312" w:hAnsi="楷体_GB2312" w:eastAsia="楷体_GB2312" w:cs="楷体_GB2312"/>
          <w:sz w:val="32"/>
          <w:szCs w:val="32"/>
          <w:lang w:val="en-US" w:eastAsia="zh-CN"/>
        </w:rPr>
        <w:t>（二）政府采购情况</w:t>
      </w:r>
      <w:bookmarkEnd w:id="3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安排政府采购预算4.5万元，其中：政府采购货物预算4.5万元。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4" w:name="_Toc1970431549"/>
      <w:r>
        <w:rPr>
          <w:rFonts w:hint="eastAsia" w:ascii="楷体_GB2312" w:hAnsi="楷体_GB2312" w:eastAsia="楷体_GB2312" w:cs="楷体_GB2312"/>
          <w:sz w:val="32"/>
          <w:szCs w:val="32"/>
          <w:lang w:val="en-US" w:eastAsia="zh-CN"/>
        </w:rPr>
        <w:t>（三）国有资产占有使用情况</w:t>
      </w:r>
      <w:bookmarkEnd w:id="3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截至2023年底，广元市疾病预防控制中心共有车辆12辆，其中，定向保障用车12辆。单位价值200万元以上大型设备1台（套）。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5" w:name="_Toc2130263603"/>
      <w:r>
        <w:rPr>
          <w:rFonts w:hint="eastAsia" w:ascii="楷体_GB2312" w:hAnsi="楷体_GB2312" w:eastAsia="楷体_GB2312" w:cs="楷体_GB2312"/>
          <w:sz w:val="32"/>
          <w:szCs w:val="32"/>
          <w:lang w:val="en-US" w:eastAsia="zh-CN"/>
        </w:rPr>
        <w:t>（四）绩效目标设置情况</w:t>
      </w:r>
      <w:bookmarkEnd w:id="3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2024年广元市疾病预防控制中心开展绩效目标管理的项目19个，涉及预算2561.34万元。其中：人员类项目5个，涉及预算 2200.34万元；运转类项目3个，涉及预算204.54万元；特定目标类项目11个，涉及预算156.46万元。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6" w:name="_Toc1300391275"/>
      <w:r>
        <w:rPr>
          <w:rFonts w:hint="eastAsia" w:ascii="黑体" w:hAnsi="黑体" w:eastAsia="黑体" w:cs="黑体"/>
          <w:sz w:val="32"/>
          <w:szCs w:val="32"/>
          <w:lang w:val="en-US" w:eastAsia="zh-CN"/>
        </w:rPr>
        <w:t>十一、名词解释</w:t>
      </w:r>
      <w:bookmarkEnd w:id="3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widowControl/>
        <w:suppressLineNumbers w:val="0"/>
        <w:spacing w:before="75" w:beforeAutospacing="0" w:after="75" w:afterAutospacing="0"/>
        <w:ind w:left="0" w:right="0" w:firstLine="640"/>
        <w:jc w:val="left"/>
        <w:rPr>
          <w:rFonts w:hint="eastAsia" w:ascii="仿宋_GB2312" w:eastAsia="仿宋_GB2312" w:cstheme="minorBidi"/>
          <w:kern w:val="2"/>
          <w:sz w:val="32"/>
          <w:szCs w:val="32"/>
          <w:highlight w:val="none"/>
          <w:lang w:val="en-US" w:eastAsia="zh-CN" w:bidi="ar-SA"/>
        </w:rPr>
      </w:pPr>
      <w:r>
        <w:rPr>
          <w:rFonts w:hint="eastAsia" w:ascii="楷体_GB2312" w:hAnsi="楷体_GB2312" w:eastAsia="楷体_GB2312" w:cs="楷体_GB2312"/>
          <w:sz w:val="32"/>
          <w:szCs w:val="32"/>
          <w:lang w:val="en-US" w:eastAsia="zh-CN"/>
        </w:rPr>
        <w:t>（二）社会保障和就业（类）行政事业单位养老支出（款）机关事业单位基本养老保险缴费支出（项）</w:t>
      </w:r>
      <w:r>
        <w:rPr>
          <w:rFonts w:hint="default" w:ascii="仿宋_GB2312" w:eastAsia="仿宋_GB2312" w:hAnsiTheme="minorHAnsi" w:cstheme="minorBidi"/>
          <w:kern w:val="2"/>
          <w:sz w:val="32"/>
          <w:szCs w:val="32"/>
          <w:highlight w:val="none"/>
          <w:lang w:val="en-US" w:eastAsia="zh-CN" w:bidi="ar-SA"/>
        </w:rPr>
        <w:t>2080505</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highlight w:val="none"/>
          <w:lang w:val="en-US" w:eastAsia="zh-CN"/>
        </w:rPr>
        <w:t>（三）</w:t>
      </w:r>
      <w:r>
        <w:rPr>
          <w:rFonts w:hint="default" w:ascii="仿宋_GB2312" w:eastAsia="仿宋_GB2312" w:hAnsiTheme="minorHAnsi" w:cstheme="minorBidi"/>
          <w:kern w:val="2"/>
          <w:sz w:val="32"/>
          <w:szCs w:val="32"/>
          <w:highlight w:val="none"/>
          <w:lang w:val="en-US" w:eastAsia="zh-CN" w:bidi="ar-SA"/>
        </w:rPr>
        <w:t>社会保障和就业支出（类）</w:t>
      </w:r>
      <w:r>
        <w:rPr>
          <w:rFonts w:hint="eastAsia" w:ascii="仿宋_GB2312" w:eastAsia="仿宋_GB2312" w:hAnsiTheme="minorHAnsi" w:cstheme="minorBidi"/>
          <w:kern w:val="2"/>
          <w:sz w:val="32"/>
          <w:szCs w:val="32"/>
          <w:highlight w:val="none"/>
          <w:lang w:val="en-US" w:eastAsia="zh-CN" w:bidi="ar-SA"/>
        </w:rPr>
        <w:t>其他</w:t>
      </w:r>
      <w:r>
        <w:rPr>
          <w:rFonts w:hint="default" w:ascii="仿宋_GB2312" w:eastAsia="仿宋_GB2312" w:hAnsiTheme="minorHAnsi" w:cstheme="minorBidi"/>
          <w:kern w:val="2"/>
          <w:sz w:val="32"/>
          <w:szCs w:val="32"/>
          <w:highlight w:val="none"/>
          <w:lang w:val="en-US" w:eastAsia="zh-CN" w:bidi="ar-SA"/>
        </w:rPr>
        <w:t>社会保障和就业支出（款）</w:t>
      </w:r>
      <w:r>
        <w:rPr>
          <w:rFonts w:hint="eastAsia" w:ascii="仿宋_GB2312" w:eastAsia="仿宋_GB2312" w:hAnsiTheme="minorHAnsi" w:cstheme="minorBidi"/>
          <w:kern w:val="2"/>
          <w:sz w:val="32"/>
          <w:szCs w:val="32"/>
          <w:highlight w:val="none"/>
          <w:lang w:val="en-US" w:eastAsia="zh-CN" w:bidi="ar-SA"/>
        </w:rPr>
        <w:t>其他</w:t>
      </w:r>
      <w:r>
        <w:rPr>
          <w:rFonts w:hint="default" w:ascii="仿宋_GB2312" w:eastAsia="仿宋_GB2312" w:hAnsiTheme="minorHAnsi" w:cstheme="minorBidi"/>
          <w:kern w:val="2"/>
          <w:sz w:val="32"/>
          <w:szCs w:val="32"/>
          <w:highlight w:val="none"/>
          <w:lang w:val="en-US" w:eastAsia="zh-CN" w:bidi="ar-SA"/>
        </w:rPr>
        <w:t>社会保障和就业支出（项）208</w:t>
      </w:r>
      <w:r>
        <w:rPr>
          <w:rFonts w:hint="eastAsia" w:ascii="仿宋_GB2312" w:eastAsia="仿宋_GB2312" w:hAnsiTheme="minorHAnsi" w:cstheme="minorBidi"/>
          <w:kern w:val="2"/>
          <w:sz w:val="32"/>
          <w:szCs w:val="32"/>
          <w:highlight w:val="none"/>
          <w:lang w:val="en-US" w:eastAsia="zh-CN" w:bidi="ar-SA"/>
        </w:rPr>
        <w:t>9999</w:t>
      </w:r>
      <w:r>
        <w:rPr>
          <w:rFonts w:hint="default" w:ascii="仿宋_GB2312" w:eastAsia="仿宋_GB2312" w:hAnsiTheme="minorHAnsi" w:cstheme="minorBidi"/>
          <w:kern w:val="2"/>
          <w:sz w:val="32"/>
          <w:szCs w:val="32"/>
          <w:highlight w:val="none"/>
          <w:lang w:val="en-US" w:eastAsia="zh-CN" w:bidi="ar-SA"/>
        </w:rPr>
        <w:t>：指反映</w:t>
      </w:r>
      <w:r>
        <w:rPr>
          <w:rFonts w:hint="eastAsia" w:ascii="仿宋_GB2312" w:eastAsia="仿宋_GB2312" w:hAnsiTheme="minorHAnsi" w:cstheme="minorBidi"/>
          <w:kern w:val="2"/>
          <w:sz w:val="32"/>
          <w:szCs w:val="32"/>
          <w:highlight w:val="none"/>
          <w:lang w:val="en-US" w:eastAsia="zh-CN" w:bidi="ar-SA"/>
        </w:rPr>
        <w:t>除上述项目以外其他用于社会保障和就业方面的支出</w:t>
      </w:r>
      <w:r>
        <w:rPr>
          <w:rFonts w:hint="default" w:ascii="仿宋_GB2312" w:eastAsia="仿宋_GB2312" w:hAnsiTheme="minorHAnsi" w:cstheme="minorBidi"/>
          <w:kern w:val="2"/>
          <w:sz w:val="32"/>
          <w:szCs w:val="32"/>
          <w:highlight w:val="none"/>
          <w:lang w:val="en-US" w:eastAsia="zh-CN" w:bidi="ar-SA"/>
        </w:rPr>
        <w:t>。</w:t>
      </w:r>
    </w:p>
    <w:p>
      <w:pPr>
        <w:keepNext w:val="0"/>
        <w:keepLines w:val="0"/>
        <w:widowControl/>
        <w:suppressLineNumbers w:val="0"/>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（四）</w:t>
      </w:r>
      <w:r>
        <w:rPr>
          <w:rFonts w:hint="default" w:ascii="仿宋_GB2312" w:eastAsia="仿宋_GB2312" w:hAnsiTheme="minorHAnsi" w:cstheme="minorBidi"/>
          <w:kern w:val="2"/>
          <w:sz w:val="32"/>
          <w:szCs w:val="32"/>
          <w:highlight w:val="none"/>
          <w:lang w:val="en-US" w:eastAsia="zh-CN" w:bidi="ar-SA"/>
        </w:rPr>
        <w:t>卫生健康支出（类）公共卫生（款）疾病预防控制机构（项）2100401：指反映卫生健康部门所属疾病预防控制机构的支出。</w:t>
      </w:r>
    </w:p>
    <w:p>
      <w:pPr>
        <w:keepNext w:val="0"/>
        <w:keepLines w:val="0"/>
        <w:widowControl w:val="0"/>
        <w:suppressLineNumbers w:val="0"/>
        <w:suppressAutoHyphens/>
        <w:spacing w:before="0" w:beforeAutospacing="0" w:after="0" w:afterAutospacing="0"/>
        <w:ind w:left="0" w:right="0" w:firstLine="640"/>
        <w:jc w:val="both"/>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highlight w:val="none"/>
          <w:lang w:val="en-US" w:eastAsia="zh-CN"/>
        </w:rPr>
        <w:t>（五）</w:t>
      </w:r>
      <w:r>
        <w:rPr>
          <w:rFonts w:hint="default" w:ascii="仿宋_GB2312" w:eastAsia="仿宋_GB2312" w:hAnsiTheme="minorHAnsi" w:cstheme="minorBidi"/>
          <w:kern w:val="2"/>
          <w:sz w:val="32"/>
          <w:szCs w:val="32"/>
          <w:highlight w:val="none"/>
          <w:lang w:val="en-US" w:eastAsia="zh-CN" w:bidi="ar-SA"/>
        </w:rPr>
        <w:t>卫生健康支出（类）行政事业单位医疗（款）事业单位医疗（项）2101102：</w:t>
      </w:r>
      <w:r>
        <w:rPr>
          <w:rFonts w:hint="default" w:ascii="仿宋_GB2312" w:hAnsi="Calibri" w:eastAsia="仿宋_GB2312" w:cs="仿宋_GB2312"/>
          <w:color w:val="auto"/>
          <w:kern w:val="2"/>
          <w:sz w:val="32"/>
          <w:szCs w:val="32"/>
          <w:lang w:val="en-US" w:eastAsia="zh-CN" w:bidi="ar"/>
        </w:rPr>
        <w:t>指事业单位用于单位应缴纳基本医疗保险支出。</w:t>
      </w:r>
    </w:p>
    <w:p>
      <w:pPr>
        <w:keepNext w:val="0"/>
        <w:keepLines w:val="0"/>
        <w:widowControl w:val="0"/>
        <w:suppressLineNumbers w:val="0"/>
        <w:suppressAutoHyphens/>
        <w:spacing w:before="0" w:beforeAutospacing="0" w:after="0" w:afterAutospacing="0"/>
        <w:ind w:left="0" w:right="0" w:firstLine="640"/>
        <w:jc w:val="both"/>
        <w:rPr>
          <w:rFonts w:hint="default" w:ascii="仿宋_GB2312" w:hAnsi="Calibri" w:eastAsia="仿宋_GB2312" w:cs="仿宋_GB2312"/>
          <w:color w:val="auto"/>
          <w:kern w:val="2"/>
          <w:sz w:val="32"/>
          <w:szCs w:val="32"/>
          <w:lang w:val="en-US" w:eastAsia="zh-CN" w:bidi="ar"/>
        </w:rPr>
      </w:pPr>
      <w:r>
        <w:rPr>
          <w:rFonts w:hint="eastAsia" w:ascii="楷体_GB2312" w:hAnsi="楷体_GB2312" w:eastAsia="楷体_GB2312" w:cs="楷体_GB2312"/>
          <w:sz w:val="32"/>
          <w:szCs w:val="32"/>
          <w:highlight w:val="none"/>
          <w:lang w:val="en-US" w:eastAsia="zh-CN"/>
        </w:rPr>
        <w:t>（六）</w:t>
      </w:r>
      <w:r>
        <w:rPr>
          <w:rFonts w:hint="default" w:ascii="仿宋_GB2312" w:eastAsia="仿宋_GB2312" w:hAnsiTheme="minorHAnsi" w:cstheme="minorBidi"/>
          <w:kern w:val="2"/>
          <w:sz w:val="32"/>
          <w:szCs w:val="32"/>
          <w:highlight w:val="none"/>
          <w:lang w:val="en-US" w:eastAsia="zh-CN" w:bidi="ar-SA"/>
        </w:rPr>
        <w:t>住房保障支出（类）住房改革支出（款）住房公积金（项）2210201：</w:t>
      </w:r>
      <w:r>
        <w:rPr>
          <w:rFonts w:hint="default" w:ascii="仿宋_GB2312" w:hAnsi="Calibri" w:eastAsia="仿宋_GB2312" w:cs="仿宋_GB2312"/>
          <w:color w:val="auto"/>
          <w:kern w:val="2"/>
          <w:sz w:val="32"/>
          <w:szCs w:val="32"/>
          <w:lang w:val="en-US" w:eastAsia="zh-CN" w:bidi="ar"/>
        </w:rPr>
        <w:t>指按照《住房公积金管理条例》的规定，由单位及其在职职工缴存的长期住房储金。</w:t>
      </w:r>
    </w:p>
    <w:p>
      <w:pPr>
        <w:keepNext w:val="0"/>
        <w:keepLines w:val="0"/>
        <w:widowControl w:val="0"/>
        <w:suppressLineNumbers w:val="0"/>
        <w:suppressAutoHyphens/>
        <w:spacing w:before="0" w:beforeAutospacing="0" w:after="0" w:afterAutospacing="0"/>
        <w:ind w:left="0" w:right="0" w:firstLine="640"/>
        <w:jc w:val="both"/>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微软雅黑">
    <w:altName w:val="黑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U5NmIzMTdiYjAyM2ZjZDg3NzBhMmYyNDA5MDUifQ=="/>
  </w:docVars>
  <w:rsids>
    <w:rsidRoot w:val="00000000"/>
    <w:rsid w:val="012352D1"/>
    <w:rsid w:val="05DF7145"/>
    <w:rsid w:val="14886E41"/>
    <w:rsid w:val="1D9F113A"/>
    <w:rsid w:val="1F7BF06F"/>
    <w:rsid w:val="1FEE4B73"/>
    <w:rsid w:val="23CE9849"/>
    <w:rsid w:val="372799D5"/>
    <w:rsid w:val="39F304DD"/>
    <w:rsid w:val="3FBD19DB"/>
    <w:rsid w:val="49BA57FF"/>
    <w:rsid w:val="54244390"/>
    <w:rsid w:val="54662A63"/>
    <w:rsid w:val="58064E12"/>
    <w:rsid w:val="5BFEE015"/>
    <w:rsid w:val="5FBAC840"/>
    <w:rsid w:val="63EDCF55"/>
    <w:rsid w:val="63FBFBCF"/>
    <w:rsid w:val="669360FD"/>
    <w:rsid w:val="68FF6A83"/>
    <w:rsid w:val="6A9068D0"/>
    <w:rsid w:val="6AEF6005"/>
    <w:rsid w:val="6CAB1D19"/>
    <w:rsid w:val="6E3DB48E"/>
    <w:rsid w:val="6FBBC9CF"/>
    <w:rsid w:val="72BDE561"/>
    <w:rsid w:val="743676A9"/>
    <w:rsid w:val="77364761"/>
    <w:rsid w:val="78462278"/>
    <w:rsid w:val="7997EA6C"/>
    <w:rsid w:val="7AEAE675"/>
    <w:rsid w:val="7BAFCE5D"/>
    <w:rsid w:val="7D46598C"/>
    <w:rsid w:val="7D9F8F0F"/>
    <w:rsid w:val="7DFB240B"/>
    <w:rsid w:val="7DFE05E7"/>
    <w:rsid w:val="7E0935ED"/>
    <w:rsid w:val="7FCF2AF7"/>
    <w:rsid w:val="7FFF3185"/>
    <w:rsid w:val="9FEF033D"/>
    <w:rsid w:val="A27FF1E5"/>
    <w:rsid w:val="AF3FEDDD"/>
    <w:rsid w:val="AFADF03E"/>
    <w:rsid w:val="AFDEB5A7"/>
    <w:rsid w:val="AFEA7FBF"/>
    <w:rsid w:val="B83F4767"/>
    <w:rsid w:val="BF930F07"/>
    <w:rsid w:val="BFCE8436"/>
    <w:rsid w:val="C3F7EB7A"/>
    <w:rsid w:val="CFEB65AD"/>
    <w:rsid w:val="CFF5FEEC"/>
    <w:rsid w:val="D3DD9064"/>
    <w:rsid w:val="D6F76A0C"/>
    <w:rsid w:val="D7ECE8D2"/>
    <w:rsid w:val="DFDD4FB5"/>
    <w:rsid w:val="E7F748B5"/>
    <w:rsid w:val="EE5F3713"/>
    <w:rsid w:val="EEBF6501"/>
    <w:rsid w:val="EFC9D62C"/>
    <w:rsid w:val="F6BE9755"/>
    <w:rsid w:val="F6FFA89B"/>
    <w:rsid w:val="F88D0DC7"/>
    <w:rsid w:val="F9EB058C"/>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4"/>
    <w:next w:val="1"/>
    <w:qFormat/>
    <w:uiPriority w:val="9"/>
    <w:pPr>
      <w:keepNext/>
      <w:keepLines/>
      <w:spacing w:before="340" w:after="330" w:line="578" w:lineRule="auto"/>
      <w:outlineLvl w:val="0"/>
    </w:pPr>
    <w:rPr>
      <w:b/>
      <w:bCs/>
      <w:kern w:val="44"/>
      <w:sz w:val="44"/>
      <w:szCs w:val="44"/>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List"/>
    <w:basedOn w:val="6"/>
    <w:qFormat/>
    <w:uiPriority w:val="0"/>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3</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cp:lastPrinted>2024-02-19T07:43:00Z</cp:lastPrinted>
  <dcterms:modified xsi:type="dcterms:W3CDTF">2024-02-28T11:51:39Z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