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suppressLineNumbers w:val="0"/>
        <w:shd w:val="clear" w:color="auto" w:fill="FFFFFF"/>
        <w:kinsoku/>
        <w:wordWrap/>
        <w:overflowPunct/>
        <w:topLinePunct w:val="0"/>
        <w:autoSpaceDE/>
        <w:autoSpaceDN/>
        <w:bidi w:val="0"/>
        <w:adjustRightInd/>
        <w:snapToGrid/>
        <w:spacing w:before="210" w:beforeAutospacing="0" w:after="210" w:afterAutospacing="0" w:line="576" w:lineRule="exact"/>
        <w:ind w:left="0" w:right="0" w:firstLine="640" w:firstLineChars="200"/>
        <w:jc w:val="both"/>
        <w:textAlignment w:val="auto"/>
        <w:rPr>
          <w:rFonts w:hint="eastAsia" w:ascii="仿宋_GB2312" w:hAnsi="仿宋_GB2312" w:eastAsia="仿宋_GB2312" w:cs="仿宋_GB2312"/>
          <w:i w:val="0"/>
          <w:caps w:val="0"/>
          <w:color w:val="000000"/>
          <w:spacing w:val="0"/>
          <w:sz w:val="32"/>
          <w:szCs w:val="32"/>
        </w:rPr>
      </w:pPr>
    </w:p>
    <w:p>
      <w:pPr>
        <w:pStyle w:val="8"/>
        <w:keepNext w:val="0"/>
        <w:keepLines w:val="0"/>
        <w:pageBreakBefore w:val="0"/>
        <w:widowControl/>
        <w:suppressLineNumbers w:val="0"/>
        <w:shd w:val="clear" w:color="auto" w:fill="FFFFFF"/>
        <w:kinsoku/>
        <w:wordWrap/>
        <w:overflowPunct/>
        <w:topLinePunct w:val="0"/>
        <w:autoSpaceDE/>
        <w:autoSpaceDN/>
        <w:bidi w:val="0"/>
        <w:adjustRightInd/>
        <w:snapToGrid/>
        <w:spacing w:before="210" w:beforeAutospacing="0" w:after="210" w:afterAutospacing="0" w:line="576" w:lineRule="exact"/>
        <w:ind w:left="0" w:right="0" w:firstLine="880" w:firstLineChars="200"/>
        <w:jc w:val="center"/>
        <w:textAlignment w:val="auto"/>
        <w:outlineLvl w:val="9"/>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pPr>
      <w:bookmarkStart w:id="0" w:name="_Toc16875"/>
      <w:bookmarkStart w:id="1" w:name="_Toc7427"/>
    </w:p>
    <w:p>
      <w:pPr>
        <w:pStyle w:val="8"/>
        <w:keepNext w:val="0"/>
        <w:keepLines w:val="0"/>
        <w:pageBreakBefore w:val="0"/>
        <w:widowControl/>
        <w:suppressLineNumbers w:val="0"/>
        <w:shd w:val="clear" w:color="auto" w:fill="FFFFFF"/>
        <w:kinsoku/>
        <w:wordWrap/>
        <w:overflowPunct/>
        <w:topLinePunct w:val="0"/>
        <w:autoSpaceDE/>
        <w:autoSpaceDN/>
        <w:bidi w:val="0"/>
        <w:adjustRightInd/>
        <w:snapToGrid/>
        <w:spacing w:before="210" w:beforeAutospacing="0" w:after="210" w:afterAutospacing="0" w:line="576" w:lineRule="exact"/>
        <w:ind w:left="0" w:right="0" w:firstLine="880" w:firstLineChars="200"/>
        <w:jc w:val="center"/>
        <w:textAlignment w:val="auto"/>
        <w:outlineLvl w:val="9"/>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pPr>
    </w:p>
    <w:p>
      <w:pPr>
        <w:pStyle w:val="8"/>
        <w:keepNext w:val="0"/>
        <w:keepLines w:val="0"/>
        <w:pageBreakBefore w:val="0"/>
        <w:widowControl/>
        <w:suppressLineNumbers w:val="0"/>
        <w:shd w:val="clear" w:color="auto" w:fill="FFFFFF"/>
        <w:kinsoku/>
        <w:wordWrap/>
        <w:overflowPunct/>
        <w:topLinePunct w:val="0"/>
        <w:autoSpaceDE/>
        <w:autoSpaceDN/>
        <w:bidi w:val="0"/>
        <w:adjustRightInd/>
        <w:snapToGrid/>
        <w:spacing w:before="210" w:beforeAutospacing="0" w:after="210" w:afterAutospacing="0" w:line="576" w:lineRule="exact"/>
        <w:ind w:left="0" w:right="0" w:firstLine="880" w:firstLineChars="200"/>
        <w:jc w:val="center"/>
        <w:textAlignment w:val="auto"/>
        <w:outlineLvl w:val="0"/>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pPr>
      <w:bookmarkStart w:id="2" w:name="_Toc1788646043"/>
      <w: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t>广元市</w:t>
      </w:r>
      <w:bookmarkEnd w:id="0"/>
      <w:bookmarkEnd w:id="1"/>
      <w: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t>城市照明事务中心</w:t>
      </w:r>
      <w:bookmarkEnd w:id="2"/>
    </w:p>
    <w:p>
      <w:pPr>
        <w:pStyle w:val="8"/>
        <w:keepNext w:val="0"/>
        <w:keepLines w:val="0"/>
        <w:pageBreakBefore w:val="0"/>
        <w:widowControl/>
        <w:suppressLineNumbers w:val="0"/>
        <w:shd w:val="clear" w:color="auto" w:fill="FFFFFF"/>
        <w:kinsoku/>
        <w:wordWrap/>
        <w:overflowPunct/>
        <w:topLinePunct w:val="0"/>
        <w:autoSpaceDE/>
        <w:autoSpaceDN/>
        <w:bidi w:val="0"/>
        <w:adjustRightInd/>
        <w:snapToGrid/>
        <w:spacing w:before="210" w:beforeAutospacing="0" w:after="210" w:afterAutospacing="0" w:line="576" w:lineRule="exact"/>
        <w:ind w:left="0" w:right="0" w:firstLine="880" w:firstLineChars="200"/>
        <w:jc w:val="center"/>
        <w:textAlignment w:val="auto"/>
        <w:outlineLvl w:val="0"/>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pPr>
      <w:bookmarkStart w:id="3" w:name="_Toc1271709603"/>
      <w: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t>2024年部门预算编制说明</w:t>
      </w:r>
      <w:bookmarkEnd w:id="3"/>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10"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sectPr>
          <w:pgSz w:w="11906" w:h="16838"/>
          <w:pgMar w:top="2098" w:right="1474" w:bottom="1984" w:left="1587" w:header="720" w:footer="1559" w:gutter="0"/>
          <w:pgNumType w:fmt="decimal"/>
          <w:cols w:space="720" w:num="1"/>
          <w:docGrid w:type="lines" w:linePitch="312" w:charSpace="0"/>
        </w:sect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10"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584835216"/>
        <w15:color w:val="DBDBDB"/>
        <w:docPartObj>
          <w:docPartGallery w:val="Table of Contents"/>
          <w:docPartUnique/>
        </w:docPartObj>
      </w:sdtPr>
      <w:sdtEndPr>
        <w:rPr>
          <w:rFonts w:hint="eastAsia" w:ascii="黑体" w:hAnsi="黑体" w:eastAsia="黑体" w:cs="黑体"/>
          <w:b/>
          <w:color w:val="auto"/>
          <w:kern w:val="2"/>
          <w:sz w:val="21"/>
          <w:szCs w:val="32"/>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5"/>
            <w:tabs>
              <w:tab w:val="right" w:leader="dot" w:pos="8845"/>
            </w:tabs>
            <w:spacing w:line="300" w:lineRule="auto"/>
            <w:rPr>
              <w:b/>
            </w:rPr>
          </w:pPr>
          <w:r>
            <w:rPr>
              <w:rFonts w:hint="eastAsia" w:ascii="黑体" w:hAnsi="黑体" w:eastAsia="黑体" w:cs="黑体"/>
              <w:sz w:val="32"/>
              <w:szCs w:val="32"/>
              <w:lang w:val="en-US" w:eastAsia="zh-CN"/>
            </w:rPr>
            <w:fldChar w:fldCharType="begin"/>
          </w:r>
          <w:r>
            <w:rPr>
              <w:rFonts w:hint="eastAsia" w:ascii="黑体" w:hAnsi="黑体" w:eastAsia="黑体" w:cs="黑体"/>
              <w:sz w:val="32"/>
              <w:szCs w:val="32"/>
              <w:lang w:val="en-US" w:eastAsia="zh-CN"/>
            </w:rPr>
            <w:instrText xml:space="preserve">TOC \o "1-2" \h \u </w:instrText>
          </w:r>
          <w:r>
            <w:rPr>
              <w:rFonts w:hint="eastAsia" w:ascii="黑体" w:hAnsi="黑体" w:eastAsia="黑体" w:cs="黑体"/>
              <w:sz w:val="32"/>
              <w:szCs w:val="32"/>
              <w:lang w:val="en-US" w:eastAsia="zh-CN"/>
            </w:rPr>
            <w:fldChar w:fldCharType="separate"/>
          </w:r>
        </w:p>
        <w:p>
          <w:pPr>
            <w:pStyle w:val="15"/>
            <w:tabs>
              <w:tab w:val="right" w:leader="dot" w:pos="8845"/>
            </w:tabs>
            <w:spacing w:line="30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_Toc1828139099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_Toc1828139099 \h </w:instrText>
          </w:r>
          <w:r>
            <w:rPr>
              <w:b/>
            </w:rPr>
            <w:fldChar w:fldCharType="separate"/>
          </w:r>
          <w:r>
            <w:rPr>
              <w:b/>
            </w:rPr>
            <w:t>1</w:t>
          </w:r>
          <w:r>
            <w:rPr>
              <w:b/>
            </w:rPr>
            <w:fldChar w:fldCharType="end"/>
          </w:r>
          <w:r>
            <w:rPr>
              <w:rFonts w:hint="eastAsia" w:ascii="黑体" w:hAnsi="黑体" w:eastAsia="黑体" w:cs="黑体"/>
              <w:b/>
              <w:szCs w:val="32"/>
              <w:lang w:val="en-US" w:eastAsia="zh-CN"/>
            </w:rPr>
            <w:fldChar w:fldCharType="end"/>
          </w:r>
        </w:p>
        <w:p>
          <w:pPr>
            <w:pStyle w:val="16"/>
            <w:tabs>
              <w:tab w:val="right" w:leader="dot" w:pos="8845"/>
            </w:tabs>
            <w:spacing w:line="30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_Toc963065442 </w:instrText>
          </w:r>
          <w:r>
            <w:rPr>
              <w:rFonts w:hint="eastAsia" w:ascii="黑体" w:hAnsi="黑体" w:eastAsia="黑体" w:cs="黑体"/>
              <w:szCs w:val="32"/>
              <w:lang w:val="en-US" w:eastAsia="zh-CN"/>
            </w:rPr>
            <w:fldChar w:fldCharType="separate"/>
          </w:r>
          <w:r>
            <w:rPr>
              <w:rFonts w:hint="eastAsia" w:ascii="楷体" w:hAnsi="楷体" w:eastAsia="楷体" w:cs="楷体"/>
              <w:szCs w:val="32"/>
            </w:rPr>
            <w:t>（一）市</w:t>
          </w:r>
          <w:r>
            <w:rPr>
              <w:rFonts w:hint="eastAsia" w:ascii="楷体" w:hAnsi="楷体" w:eastAsia="楷体" w:cs="楷体"/>
              <w:szCs w:val="32"/>
              <w:lang w:eastAsia="zh-CN"/>
            </w:rPr>
            <w:t>照明事务中心</w:t>
          </w:r>
          <w:r>
            <w:rPr>
              <w:rFonts w:hint="eastAsia" w:ascii="楷体" w:hAnsi="楷体" w:eastAsia="楷体" w:cs="楷体"/>
              <w:szCs w:val="32"/>
            </w:rPr>
            <w:t>职能简介</w:t>
          </w:r>
          <w:r>
            <w:tab/>
          </w:r>
          <w:r>
            <w:fldChar w:fldCharType="begin"/>
          </w:r>
          <w:r>
            <w:instrText xml:space="preserve"> PAGEREF _Toc963065442 \h </w:instrText>
          </w:r>
          <w:r>
            <w:fldChar w:fldCharType="separate"/>
          </w:r>
          <w:r>
            <w:t>1</w:t>
          </w:r>
          <w:r>
            <w:fldChar w:fldCharType="end"/>
          </w:r>
          <w:r>
            <w:rPr>
              <w:rFonts w:hint="eastAsia" w:ascii="黑体" w:hAnsi="黑体" w:eastAsia="黑体" w:cs="黑体"/>
              <w:szCs w:val="32"/>
              <w:lang w:val="en-US" w:eastAsia="zh-CN"/>
            </w:rPr>
            <w:fldChar w:fldCharType="end"/>
          </w:r>
        </w:p>
        <w:p>
          <w:pPr>
            <w:pStyle w:val="16"/>
            <w:tabs>
              <w:tab w:val="right" w:leader="dot" w:pos="8845"/>
            </w:tabs>
            <w:spacing w:line="30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_Toc296367967 </w:instrText>
          </w:r>
          <w:r>
            <w:rPr>
              <w:rFonts w:hint="eastAsia" w:ascii="黑体" w:hAnsi="黑体" w:eastAsia="黑体" w:cs="黑体"/>
              <w:szCs w:val="32"/>
              <w:lang w:val="en-US" w:eastAsia="zh-CN"/>
            </w:rPr>
            <w:fldChar w:fldCharType="separate"/>
          </w:r>
          <w:r>
            <w:rPr>
              <w:rFonts w:hint="eastAsia" w:ascii="楷体" w:hAnsi="楷体" w:eastAsia="楷体" w:cs="楷体"/>
              <w:szCs w:val="32"/>
            </w:rPr>
            <w:t>（二）市</w:t>
          </w:r>
          <w:r>
            <w:rPr>
              <w:rFonts w:hint="eastAsia" w:ascii="楷体" w:hAnsi="楷体" w:eastAsia="楷体" w:cs="楷体"/>
              <w:szCs w:val="32"/>
              <w:lang w:eastAsia="zh-CN"/>
            </w:rPr>
            <w:t>照明事务中心</w:t>
          </w:r>
          <w:r>
            <w:rPr>
              <w:rFonts w:hint="eastAsia" w:ascii="楷体" w:hAnsi="楷体" w:eastAsia="楷体" w:cs="楷体"/>
              <w:szCs w:val="32"/>
              <w:lang w:val="en-US"/>
            </w:rPr>
            <w:t>2024</w:t>
          </w:r>
          <w:r>
            <w:rPr>
              <w:rFonts w:hint="eastAsia" w:ascii="楷体" w:hAnsi="楷体" w:eastAsia="楷体" w:cs="楷体"/>
              <w:szCs w:val="32"/>
            </w:rPr>
            <w:t>年重点工作</w:t>
          </w:r>
          <w:r>
            <w:tab/>
          </w:r>
          <w:r>
            <w:fldChar w:fldCharType="begin"/>
          </w:r>
          <w:r>
            <w:instrText xml:space="preserve"> PAGEREF _Toc296367967 \h </w:instrText>
          </w:r>
          <w:r>
            <w:fldChar w:fldCharType="separate"/>
          </w:r>
          <w:r>
            <w:t>1</w:t>
          </w:r>
          <w:r>
            <w:fldChar w:fldCharType="end"/>
          </w:r>
          <w:r>
            <w:rPr>
              <w:rFonts w:hint="eastAsia" w:ascii="黑体" w:hAnsi="黑体" w:eastAsia="黑体" w:cs="黑体"/>
              <w:szCs w:val="32"/>
              <w:lang w:val="en-US" w:eastAsia="zh-CN"/>
            </w:rPr>
            <w:fldChar w:fldCharType="end"/>
          </w:r>
        </w:p>
        <w:p>
          <w:pPr>
            <w:pStyle w:val="15"/>
            <w:tabs>
              <w:tab w:val="right" w:leader="dot" w:pos="8845"/>
            </w:tabs>
            <w:spacing w:line="30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_Toc1420090046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_Toc1420090046 \h </w:instrText>
          </w:r>
          <w:r>
            <w:rPr>
              <w:b/>
            </w:rPr>
            <w:fldChar w:fldCharType="separate"/>
          </w:r>
          <w:r>
            <w:rPr>
              <w:b/>
            </w:rPr>
            <w:t>2</w:t>
          </w:r>
          <w:r>
            <w:rPr>
              <w:b/>
            </w:rPr>
            <w:fldChar w:fldCharType="end"/>
          </w:r>
          <w:r>
            <w:rPr>
              <w:rFonts w:hint="eastAsia" w:ascii="黑体" w:hAnsi="黑体" w:eastAsia="黑体" w:cs="黑体"/>
              <w:b/>
              <w:szCs w:val="32"/>
              <w:lang w:val="en-US" w:eastAsia="zh-CN"/>
            </w:rPr>
            <w:fldChar w:fldCharType="end"/>
          </w:r>
        </w:p>
        <w:p>
          <w:pPr>
            <w:pStyle w:val="15"/>
            <w:tabs>
              <w:tab w:val="right" w:leader="dot" w:pos="8845"/>
            </w:tabs>
            <w:spacing w:line="30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_Toc1124193964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_Toc1124193964 \h </w:instrText>
          </w:r>
          <w:r>
            <w:rPr>
              <w:b/>
            </w:rPr>
            <w:fldChar w:fldCharType="separate"/>
          </w:r>
          <w:r>
            <w:rPr>
              <w:b/>
            </w:rPr>
            <w:t>2</w:t>
          </w:r>
          <w:r>
            <w:rPr>
              <w:b/>
            </w:rPr>
            <w:fldChar w:fldCharType="end"/>
          </w:r>
          <w:r>
            <w:rPr>
              <w:rFonts w:hint="eastAsia" w:ascii="黑体" w:hAnsi="黑体" w:eastAsia="黑体" w:cs="黑体"/>
              <w:b/>
              <w:szCs w:val="32"/>
              <w:lang w:val="en-US" w:eastAsia="zh-CN"/>
            </w:rPr>
            <w:fldChar w:fldCharType="end"/>
          </w:r>
        </w:p>
        <w:p>
          <w:pPr>
            <w:pStyle w:val="16"/>
            <w:tabs>
              <w:tab w:val="right" w:leader="dot" w:pos="8845"/>
            </w:tabs>
            <w:spacing w:line="30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_Toc1306302805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_Toc1306302805 \h </w:instrText>
          </w:r>
          <w:r>
            <w:fldChar w:fldCharType="separate"/>
          </w:r>
          <w:r>
            <w:t>2</w:t>
          </w:r>
          <w:r>
            <w:fldChar w:fldCharType="end"/>
          </w:r>
          <w:r>
            <w:rPr>
              <w:rFonts w:hint="eastAsia" w:ascii="黑体" w:hAnsi="黑体" w:eastAsia="黑体" w:cs="黑体"/>
              <w:szCs w:val="32"/>
              <w:lang w:val="en-US" w:eastAsia="zh-CN"/>
            </w:rPr>
            <w:fldChar w:fldCharType="end"/>
          </w:r>
        </w:p>
        <w:p>
          <w:pPr>
            <w:pStyle w:val="16"/>
            <w:tabs>
              <w:tab w:val="right" w:leader="dot" w:pos="8845"/>
            </w:tabs>
            <w:spacing w:line="30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_Toc321378365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_Toc321378365 \h </w:instrText>
          </w:r>
          <w:r>
            <w:fldChar w:fldCharType="separate"/>
          </w:r>
          <w:r>
            <w:t>3</w:t>
          </w:r>
          <w:r>
            <w:fldChar w:fldCharType="end"/>
          </w:r>
          <w:r>
            <w:rPr>
              <w:rFonts w:hint="eastAsia" w:ascii="黑体" w:hAnsi="黑体" w:eastAsia="黑体" w:cs="黑体"/>
              <w:szCs w:val="32"/>
              <w:lang w:val="en-US" w:eastAsia="zh-CN"/>
            </w:rPr>
            <w:fldChar w:fldCharType="end"/>
          </w:r>
        </w:p>
        <w:p>
          <w:pPr>
            <w:pStyle w:val="15"/>
            <w:tabs>
              <w:tab w:val="right" w:leader="dot" w:pos="8845"/>
            </w:tabs>
            <w:spacing w:line="30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_Toc1549386689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_Toc1549386689 \h </w:instrText>
          </w:r>
          <w:r>
            <w:rPr>
              <w:b/>
            </w:rPr>
            <w:fldChar w:fldCharType="separate"/>
          </w:r>
          <w:r>
            <w:rPr>
              <w:b/>
            </w:rPr>
            <w:t>3</w:t>
          </w:r>
          <w:r>
            <w:rPr>
              <w:b/>
            </w:rPr>
            <w:fldChar w:fldCharType="end"/>
          </w:r>
          <w:r>
            <w:rPr>
              <w:rFonts w:hint="eastAsia" w:ascii="黑体" w:hAnsi="黑体" w:eastAsia="黑体" w:cs="黑体"/>
              <w:b/>
              <w:szCs w:val="32"/>
              <w:lang w:val="en-US" w:eastAsia="zh-CN"/>
            </w:rPr>
            <w:fldChar w:fldCharType="end"/>
          </w:r>
        </w:p>
        <w:p>
          <w:pPr>
            <w:pStyle w:val="15"/>
            <w:tabs>
              <w:tab w:val="right" w:leader="dot" w:pos="8845"/>
            </w:tabs>
            <w:spacing w:line="30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_Toc1482135851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_Toc1482135851 \h </w:instrText>
          </w:r>
          <w:r>
            <w:rPr>
              <w:b/>
            </w:rPr>
            <w:fldChar w:fldCharType="separate"/>
          </w:r>
          <w:r>
            <w:rPr>
              <w:b/>
            </w:rPr>
            <w:t>3</w:t>
          </w:r>
          <w:r>
            <w:rPr>
              <w:b/>
            </w:rPr>
            <w:fldChar w:fldCharType="end"/>
          </w:r>
          <w:r>
            <w:rPr>
              <w:rFonts w:hint="eastAsia" w:ascii="黑体" w:hAnsi="黑体" w:eastAsia="黑体" w:cs="黑体"/>
              <w:b/>
              <w:szCs w:val="32"/>
              <w:lang w:val="en-US" w:eastAsia="zh-CN"/>
            </w:rPr>
            <w:fldChar w:fldCharType="end"/>
          </w:r>
        </w:p>
        <w:p>
          <w:pPr>
            <w:pStyle w:val="16"/>
            <w:tabs>
              <w:tab w:val="right" w:leader="dot" w:pos="8845"/>
            </w:tabs>
            <w:spacing w:line="30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_Toc1605173162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_Toc1605173162 \h </w:instrText>
          </w:r>
          <w:r>
            <w:fldChar w:fldCharType="separate"/>
          </w:r>
          <w:r>
            <w:t>3</w:t>
          </w:r>
          <w:r>
            <w:fldChar w:fldCharType="end"/>
          </w:r>
          <w:r>
            <w:rPr>
              <w:rFonts w:hint="eastAsia" w:ascii="黑体" w:hAnsi="黑体" w:eastAsia="黑体" w:cs="黑体"/>
              <w:szCs w:val="32"/>
              <w:lang w:val="en-US" w:eastAsia="zh-CN"/>
            </w:rPr>
            <w:fldChar w:fldCharType="end"/>
          </w:r>
        </w:p>
        <w:p>
          <w:pPr>
            <w:pStyle w:val="16"/>
            <w:tabs>
              <w:tab w:val="right" w:leader="dot" w:pos="8845"/>
            </w:tabs>
            <w:spacing w:line="30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_Toc1332416097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_Toc1332416097 \h </w:instrText>
          </w:r>
          <w:r>
            <w:fldChar w:fldCharType="separate"/>
          </w:r>
          <w:r>
            <w:t>3</w:t>
          </w:r>
          <w:r>
            <w:fldChar w:fldCharType="end"/>
          </w:r>
          <w:r>
            <w:rPr>
              <w:rFonts w:hint="eastAsia" w:ascii="黑体" w:hAnsi="黑体" w:eastAsia="黑体" w:cs="黑体"/>
              <w:szCs w:val="32"/>
              <w:lang w:val="en-US" w:eastAsia="zh-CN"/>
            </w:rPr>
            <w:fldChar w:fldCharType="end"/>
          </w:r>
        </w:p>
        <w:p>
          <w:pPr>
            <w:pStyle w:val="16"/>
            <w:tabs>
              <w:tab w:val="right" w:leader="dot" w:pos="8845"/>
            </w:tabs>
            <w:spacing w:line="30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_Toc910914393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_Toc910914393 \h </w:instrText>
          </w:r>
          <w:r>
            <w:fldChar w:fldCharType="separate"/>
          </w:r>
          <w:r>
            <w:t>3</w:t>
          </w:r>
          <w:r>
            <w:fldChar w:fldCharType="end"/>
          </w:r>
          <w:r>
            <w:rPr>
              <w:rFonts w:hint="eastAsia" w:ascii="黑体" w:hAnsi="黑体" w:eastAsia="黑体" w:cs="黑体"/>
              <w:szCs w:val="32"/>
              <w:lang w:val="en-US" w:eastAsia="zh-CN"/>
            </w:rPr>
            <w:fldChar w:fldCharType="end"/>
          </w:r>
        </w:p>
        <w:p>
          <w:pPr>
            <w:pStyle w:val="15"/>
            <w:tabs>
              <w:tab w:val="right" w:leader="dot" w:pos="8845"/>
            </w:tabs>
            <w:spacing w:line="30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_Toc1554368411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_Toc1554368411 \h </w:instrText>
          </w:r>
          <w:r>
            <w:rPr>
              <w:b/>
            </w:rPr>
            <w:fldChar w:fldCharType="separate"/>
          </w:r>
          <w:r>
            <w:rPr>
              <w:b/>
            </w:rPr>
            <w:t>4</w:t>
          </w:r>
          <w:r>
            <w:rPr>
              <w:b/>
            </w:rPr>
            <w:fldChar w:fldCharType="end"/>
          </w:r>
          <w:r>
            <w:rPr>
              <w:rFonts w:hint="eastAsia" w:ascii="黑体" w:hAnsi="黑体" w:eastAsia="黑体" w:cs="黑体"/>
              <w:b/>
              <w:szCs w:val="32"/>
              <w:lang w:val="en-US" w:eastAsia="zh-CN"/>
            </w:rPr>
            <w:fldChar w:fldCharType="end"/>
          </w:r>
        </w:p>
        <w:p>
          <w:pPr>
            <w:pStyle w:val="15"/>
            <w:tabs>
              <w:tab w:val="right" w:leader="dot" w:pos="8845"/>
            </w:tabs>
            <w:spacing w:line="30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_Toc79002426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_Toc79002426 \h </w:instrText>
          </w:r>
          <w:r>
            <w:rPr>
              <w:b/>
            </w:rPr>
            <w:fldChar w:fldCharType="separate"/>
          </w:r>
          <w:r>
            <w:rPr>
              <w:b/>
            </w:rPr>
            <w:t>5</w:t>
          </w:r>
          <w:r>
            <w:rPr>
              <w:b/>
            </w:rPr>
            <w:fldChar w:fldCharType="end"/>
          </w:r>
          <w:r>
            <w:rPr>
              <w:rFonts w:hint="eastAsia" w:ascii="黑体" w:hAnsi="黑体" w:eastAsia="黑体" w:cs="黑体"/>
              <w:b/>
              <w:szCs w:val="32"/>
              <w:lang w:val="en-US" w:eastAsia="zh-CN"/>
            </w:rPr>
            <w:fldChar w:fldCharType="end"/>
          </w:r>
        </w:p>
        <w:p>
          <w:pPr>
            <w:pStyle w:val="16"/>
            <w:tabs>
              <w:tab w:val="right" w:leader="dot" w:pos="8845"/>
            </w:tabs>
            <w:spacing w:line="30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_Toc1697481030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_Toc1697481030 \h </w:instrText>
          </w:r>
          <w:r>
            <w:fldChar w:fldCharType="separate"/>
          </w:r>
          <w:r>
            <w:t>5</w:t>
          </w:r>
          <w:r>
            <w:fldChar w:fldCharType="end"/>
          </w:r>
          <w:r>
            <w:rPr>
              <w:rFonts w:hint="eastAsia" w:ascii="黑体" w:hAnsi="黑体" w:eastAsia="黑体" w:cs="黑体"/>
              <w:szCs w:val="32"/>
              <w:lang w:val="en-US" w:eastAsia="zh-CN"/>
            </w:rPr>
            <w:fldChar w:fldCharType="end"/>
          </w:r>
        </w:p>
        <w:p>
          <w:pPr>
            <w:pStyle w:val="16"/>
            <w:tabs>
              <w:tab w:val="right" w:leader="dot" w:pos="8845"/>
            </w:tabs>
            <w:spacing w:line="30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_Toc1758406013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_Toc1758406013 \h </w:instrText>
          </w:r>
          <w:r>
            <w:fldChar w:fldCharType="separate"/>
          </w:r>
          <w:r>
            <w:t>5</w:t>
          </w:r>
          <w:r>
            <w:fldChar w:fldCharType="end"/>
          </w:r>
          <w:r>
            <w:rPr>
              <w:rFonts w:hint="eastAsia" w:ascii="黑体" w:hAnsi="黑体" w:eastAsia="黑体" w:cs="黑体"/>
              <w:szCs w:val="32"/>
              <w:lang w:val="en-US" w:eastAsia="zh-CN"/>
            </w:rPr>
            <w:fldChar w:fldCharType="end"/>
          </w:r>
        </w:p>
        <w:p>
          <w:pPr>
            <w:pStyle w:val="16"/>
            <w:tabs>
              <w:tab w:val="right" w:leader="dot" w:pos="8845"/>
            </w:tabs>
            <w:spacing w:line="30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_Toc1874180026 </w:instrText>
          </w:r>
          <w:r>
            <w:rPr>
              <w:rFonts w:hint="eastAsia" w:ascii="黑体" w:hAnsi="黑体" w:eastAsia="黑体" w:cs="黑体"/>
              <w:szCs w:val="32"/>
              <w:lang w:val="en-US" w:eastAsia="zh-CN"/>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_Toc1874180026 \h </w:instrText>
          </w:r>
          <w:r>
            <w:fldChar w:fldCharType="separate"/>
          </w:r>
          <w:r>
            <w:t>5</w:t>
          </w:r>
          <w:r>
            <w:fldChar w:fldCharType="end"/>
          </w:r>
          <w:r>
            <w:rPr>
              <w:rFonts w:hint="eastAsia" w:ascii="黑体" w:hAnsi="黑体" w:eastAsia="黑体" w:cs="黑体"/>
              <w:szCs w:val="32"/>
              <w:lang w:val="en-US" w:eastAsia="zh-CN"/>
            </w:rPr>
            <w:fldChar w:fldCharType="end"/>
          </w:r>
        </w:p>
        <w:p>
          <w:pPr>
            <w:pStyle w:val="15"/>
            <w:tabs>
              <w:tab w:val="right" w:leader="dot" w:pos="8845"/>
            </w:tabs>
            <w:spacing w:line="30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_Toc1761159717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_Toc1761159717 \h </w:instrText>
          </w:r>
          <w:r>
            <w:rPr>
              <w:b/>
            </w:rPr>
            <w:fldChar w:fldCharType="separate"/>
          </w:r>
          <w:r>
            <w:rPr>
              <w:b/>
            </w:rPr>
            <w:t>5</w:t>
          </w:r>
          <w:r>
            <w:rPr>
              <w:b/>
            </w:rPr>
            <w:fldChar w:fldCharType="end"/>
          </w:r>
          <w:r>
            <w:rPr>
              <w:rFonts w:hint="eastAsia" w:ascii="黑体" w:hAnsi="黑体" w:eastAsia="黑体" w:cs="黑体"/>
              <w:b/>
              <w:szCs w:val="32"/>
              <w:lang w:val="en-US" w:eastAsia="zh-CN"/>
            </w:rPr>
            <w:fldChar w:fldCharType="end"/>
          </w:r>
        </w:p>
        <w:p>
          <w:pPr>
            <w:pStyle w:val="15"/>
            <w:tabs>
              <w:tab w:val="right" w:leader="dot" w:pos="8845"/>
            </w:tabs>
            <w:spacing w:line="30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_Toc173399507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_Toc173399507 \h </w:instrText>
          </w:r>
          <w:r>
            <w:rPr>
              <w:b/>
            </w:rPr>
            <w:fldChar w:fldCharType="separate"/>
          </w:r>
          <w:r>
            <w:rPr>
              <w:b/>
            </w:rPr>
            <w:t>6</w:t>
          </w:r>
          <w:r>
            <w:rPr>
              <w:b/>
            </w:rPr>
            <w:fldChar w:fldCharType="end"/>
          </w:r>
          <w:r>
            <w:rPr>
              <w:rFonts w:hint="eastAsia" w:ascii="黑体" w:hAnsi="黑体" w:eastAsia="黑体" w:cs="黑体"/>
              <w:b/>
              <w:szCs w:val="32"/>
              <w:lang w:val="en-US" w:eastAsia="zh-CN"/>
            </w:rPr>
            <w:fldChar w:fldCharType="end"/>
          </w:r>
        </w:p>
        <w:p>
          <w:pPr>
            <w:pStyle w:val="15"/>
            <w:tabs>
              <w:tab w:val="right" w:leader="dot" w:pos="8845"/>
            </w:tabs>
            <w:spacing w:line="30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_Toc1098765762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_Toc1098765762 \h </w:instrText>
          </w:r>
          <w:r>
            <w:rPr>
              <w:b/>
            </w:rPr>
            <w:fldChar w:fldCharType="separate"/>
          </w:r>
          <w:r>
            <w:rPr>
              <w:b/>
            </w:rPr>
            <w:t>6</w:t>
          </w:r>
          <w:r>
            <w:rPr>
              <w:b/>
            </w:rPr>
            <w:fldChar w:fldCharType="end"/>
          </w:r>
          <w:r>
            <w:rPr>
              <w:rFonts w:hint="eastAsia" w:ascii="黑体" w:hAnsi="黑体" w:eastAsia="黑体" w:cs="黑体"/>
              <w:b/>
              <w:szCs w:val="32"/>
              <w:lang w:val="en-US" w:eastAsia="zh-CN"/>
            </w:rPr>
            <w:fldChar w:fldCharType="end"/>
          </w:r>
        </w:p>
        <w:p>
          <w:pPr>
            <w:pStyle w:val="16"/>
            <w:tabs>
              <w:tab w:val="right" w:leader="dot" w:pos="8845"/>
            </w:tabs>
            <w:spacing w:line="30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_Toc1955200531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_Toc1955200531 \h </w:instrText>
          </w:r>
          <w:r>
            <w:fldChar w:fldCharType="separate"/>
          </w:r>
          <w:r>
            <w:t>6</w:t>
          </w:r>
          <w:r>
            <w:fldChar w:fldCharType="end"/>
          </w:r>
          <w:r>
            <w:rPr>
              <w:rFonts w:hint="eastAsia" w:ascii="黑体" w:hAnsi="黑体" w:eastAsia="黑体" w:cs="黑体"/>
              <w:szCs w:val="32"/>
              <w:lang w:val="en-US" w:eastAsia="zh-CN"/>
            </w:rPr>
            <w:fldChar w:fldCharType="end"/>
          </w:r>
        </w:p>
        <w:p>
          <w:pPr>
            <w:pStyle w:val="16"/>
            <w:tabs>
              <w:tab w:val="right" w:leader="dot" w:pos="8845"/>
            </w:tabs>
            <w:spacing w:line="30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_Toc1886821823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_Toc1886821823 \h </w:instrText>
          </w:r>
          <w:r>
            <w:fldChar w:fldCharType="separate"/>
          </w:r>
          <w:r>
            <w:t>6</w:t>
          </w:r>
          <w:r>
            <w:fldChar w:fldCharType="end"/>
          </w:r>
          <w:r>
            <w:rPr>
              <w:rFonts w:hint="eastAsia" w:ascii="黑体" w:hAnsi="黑体" w:eastAsia="黑体" w:cs="黑体"/>
              <w:szCs w:val="32"/>
              <w:lang w:val="en-US" w:eastAsia="zh-CN"/>
            </w:rPr>
            <w:fldChar w:fldCharType="end"/>
          </w:r>
        </w:p>
        <w:p>
          <w:pPr>
            <w:pStyle w:val="16"/>
            <w:tabs>
              <w:tab w:val="right" w:leader="dot" w:pos="8845"/>
            </w:tabs>
            <w:spacing w:line="30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_Toc1647630377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_Toc1647630377 \h </w:instrText>
          </w:r>
          <w:r>
            <w:fldChar w:fldCharType="separate"/>
          </w:r>
          <w:r>
            <w:t>6</w:t>
          </w:r>
          <w:r>
            <w:fldChar w:fldCharType="end"/>
          </w:r>
          <w:r>
            <w:rPr>
              <w:rFonts w:hint="eastAsia" w:ascii="黑体" w:hAnsi="黑体" w:eastAsia="黑体" w:cs="黑体"/>
              <w:szCs w:val="32"/>
              <w:lang w:val="en-US" w:eastAsia="zh-CN"/>
            </w:rPr>
            <w:fldChar w:fldCharType="end"/>
          </w:r>
        </w:p>
        <w:p>
          <w:pPr>
            <w:pStyle w:val="16"/>
            <w:tabs>
              <w:tab w:val="right" w:leader="dot" w:pos="8845"/>
            </w:tabs>
            <w:spacing w:line="300" w:lineRule="auto"/>
          </w:pPr>
          <w:r>
            <w:rPr>
              <w:rFonts w:hint="eastAsia" w:ascii="黑体" w:hAnsi="黑体" w:eastAsia="黑体" w:cs="黑体"/>
              <w:szCs w:val="32"/>
              <w:lang w:val="en-US" w:eastAsia="zh-CN"/>
            </w:rPr>
            <w:fldChar w:fldCharType="begin"/>
          </w:r>
          <w:r>
            <w:rPr>
              <w:rFonts w:hint="eastAsia" w:ascii="黑体" w:hAnsi="黑体" w:eastAsia="黑体" w:cs="黑体"/>
              <w:szCs w:val="32"/>
              <w:lang w:val="en-US" w:eastAsia="zh-CN"/>
            </w:rPr>
            <w:instrText xml:space="preserve"> HYPERLINK \l _Toc519695659 </w:instrText>
          </w:r>
          <w:r>
            <w:rPr>
              <w:rFonts w:hint="eastAsia" w:ascii="黑体" w:hAnsi="黑体" w:eastAsia="黑体" w:cs="黑体"/>
              <w:szCs w:val="32"/>
              <w:lang w:val="en-US" w:eastAsia="zh-CN"/>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_Toc519695659 \h </w:instrText>
          </w:r>
          <w:r>
            <w:fldChar w:fldCharType="separate"/>
          </w:r>
          <w:r>
            <w:t>6</w:t>
          </w:r>
          <w:r>
            <w:fldChar w:fldCharType="end"/>
          </w:r>
          <w:r>
            <w:rPr>
              <w:rFonts w:hint="eastAsia" w:ascii="黑体" w:hAnsi="黑体" w:eastAsia="黑体" w:cs="黑体"/>
              <w:szCs w:val="32"/>
              <w:lang w:val="en-US" w:eastAsia="zh-CN"/>
            </w:rPr>
            <w:fldChar w:fldCharType="end"/>
          </w:r>
        </w:p>
        <w:p>
          <w:pPr>
            <w:pStyle w:val="15"/>
            <w:tabs>
              <w:tab w:val="right" w:leader="dot" w:pos="8845"/>
            </w:tabs>
            <w:spacing w:line="300" w:lineRule="auto"/>
            <w:rPr>
              <w:b/>
            </w:rPr>
          </w:pPr>
          <w:r>
            <w:rPr>
              <w:rFonts w:hint="eastAsia" w:ascii="黑体" w:hAnsi="黑体" w:eastAsia="黑体" w:cs="黑体"/>
              <w:b/>
              <w:szCs w:val="32"/>
              <w:lang w:val="en-US" w:eastAsia="zh-CN"/>
            </w:rPr>
            <w:fldChar w:fldCharType="begin"/>
          </w:r>
          <w:r>
            <w:rPr>
              <w:rFonts w:hint="eastAsia" w:ascii="黑体" w:hAnsi="黑体" w:eastAsia="黑体" w:cs="黑体"/>
              <w:b/>
              <w:szCs w:val="32"/>
              <w:lang w:val="en-US" w:eastAsia="zh-CN"/>
            </w:rPr>
            <w:instrText xml:space="preserve"> HYPERLINK \l _Toc1232836981 </w:instrText>
          </w:r>
          <w:r>
            <w:rPr>
              <w:rFonts w:hint="eastAsia" w:ascii="黑体" w:hAnsi="黑体" w:eastAsia="黑体" w:cs="黑体"/>
              <w:b/>
              <w:szCs w:val="32"/>
              <w:lang w:val="en-US" w:eastAsia="zh-CN"/>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_Toc1232836981 \h </w:instrText>
          </w:r>
          <w:r>
            <w:rPr>
              <w:b/>
            </w:rPr>
            <w:fldChar w:fldCharType="separate"/>
          </w:r>
          <w:r>
            <w:rPr>
              <w:b/>
            </w:rPr>
            <w:t>7</w:t>
          </w:r>
          <w:r>
            <w:rPr>
              <w:b/>
            </w:rPr>
            <w:fldChar w:fldCharType="end"/>
          </w:r>
          <w:r>
            <w:rPr>
              <w:rFonts w:hint="eastAsia" w:ascii="黑体" w:hAnsi="黑体" w:eastAsia="黑体" w:cs="黑体"/>
              <w:b/>
              <w:szCs w:val="32"/>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300" w:lineRule="auto"/>
            <w:ind w:firstLine="422" w:firstLineChars="200"/>
            <w:textAlignment w:val="auto"/>
            <w:rPr>
              <w:rFonts w:hint="eastAsia" w:ascii="黑体" w:hAnsi="黑体" w:eastAsia="黑体" w:cs="黑体"/>
              <w:b/>
              <w:color w:val="auto"/>
              <w:kern w:val="2"/>
              <w:sz w:val="21"/>
              <w:szCs w:val="32"/>
              <w:lang w:val="en-US" w:eastAsia="zh-CN" w:bidi="ar-SA"/>
            </w:rPr>
          </w:pPr>
          <w:r>
            <w:rPr>
              <w:rFonts w:hint="eastAsia" w:ascii="黑体" w:hAnsi="黑体" w:eastAsia="黑体" w:cs="黑体"/>
              <w:b/>
              <w:szCs w:val="32"/>
              <w:lang w:val="en-US" w:eastAsia="zh-CN"/>
            </w:rPr>
            <w:fldChar w:fldCharType="end"/>
          </w:r>
        </w:p>
      </w:sdtContent>
    </w:sdt>
    <w:p>
      <w:pPr>
        <w:pStyle w:val="2"/>
        <w:rPr>
          <w:rFonts w:hint="eastAsia"/>
          <w:lang w:val="en-US" w:eastAsia="zh-CN"/>
        </w:rPr>
        <w:sectPr>
          <w:footerReference r:id="rId3" w:type="default"/>
          <w:pgSz w:w="11906" w:h="16838"/>
          <w:pgMar w:top="2098" w:right="1474" w:bottom="1984" w:left="1587" w:header="720" w:footer="1559" w:gutter="0"/>
          <w:pgNumType w:fmt="decimal"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1828139099"/>
      <w:r>
        <w:rPr>
          <w:rFonts w:hint="eastAsia" w:ascii="黑体" w:hAnsi="黑体" w:eastAsia="黑体" w:cs="黑体"/>
          <w:sz w:val="32"/>
          <w:szCs w:val="32"/>
          <w:lang w:val="en-US" w:eastAsia="zh-CN"/>
        </w:rPr>
        <w:t>一、基本职能及主要工作</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 w:hAnsi="楷体" w:eastAsia="楷体" w:cs="楷体"/>
          <w:sz w:val="32"/>
          <w:szCs w:val="32"/>
        </w:rPr>
      </w:pPr>
      <w:bookmarkStart w:id="5" w:name="_Toc963065442"/>
      <w:r>
        <w:rPr>
          <w:rFonts w:hint="eastAsia" w:ascii="楷体" w:hAnsi="楷体" w:eastAsia="楷体" w:cs="楷体"/>
          <w:sz w:val="32"/>
          <w:szCs w:val="32"/>
        </w:rPr>
        <w:t>（一）市</w:t>
      </w:r>
      <w:r>
        <w:rPr>
          <w:rFonts w:hint="eastAsia" w:ascii="楷体" w:hAnsi="楷体" w:eastAsia="楷体" w:cs="楷体"/>
          <w:sz w:val="32"/>
          <w:szCs w:val="32"/>
          <w:lang w:eastAsia="zh-CN"/>
        </w:rPr>
        <w:t>照明事务中心</w:t>
      </w:r>
      <w:r>
        <w:rPr>
          <w:rFonts w:hint="eastAsia" w:ascii="楷体" w:hAnsi="楷体" w:eastAsia="楷体" w:cs="楷体"/>
          <w:sz w:val="32"/>
          <w:szCs w:val="32"/>
        </w:rPr>
        <w:t>职能简介</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负责市城区城市道路照明设施设备、公共景观照明工程的日常管理、维修维护；负责城市道路照明设施、公共景观照明设施设备意外损失赔偿、现场处置以及恢复工作；拟定城市照明的环保与节能措施、方案；负责城市照明节能可行性研究及绿色照明新材料、新技术使用等；参与新建市政道路照明设施设计审查、施工过程质量监管和竣工交验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 w:hAnsi="楷体" w:eastAsia="楷体" w:cs="楷体"/>
          <w:sz w:val="32"/>
          <w:szCs w:val="32"/>
        </w:rPr>
      </w:pPr>
      <w:bookmarkStart w:id="6" w:name="_Toc296367967"/>
      <w:r>
        <w:rPr>
          <w:rFonts w:hint="eastAsia" w:ascii="楷体" w:hAnsi="楷体" w:eastAsia="楷体" w:cs="楷体"/>
          <w:sz w:val="32"/>
          <w:szCs w:val="32"/>
        </w:rPr>
        <w:t>（二）市</w:t>
      </w:r>
      <w:r>
        <w:rPr>
          <w:rFonts w:hint="eastAsia" w:ascii="楷体" w:hAnsi="楷体" w:eastAsia="楷体" w:cs="楷体"/>
          <w:sz w:val="32"/>
          <w:szCs w:val="32"/>
          <w:lang w:eastAsia="zh-CN"/>
        </w:rPr>
        <w:t>照明事务中心</w:t>
      </w:r>
      <w:r>
        <w:rPr>
          <w:rFonts w:hint="eastAsia" w:ascii="楷体" w:hAnsi="楷体" w:eastAsia="楷体" w:cs="楷体"/>
          <w:sz w:val="32"/>
          <w:szCs w:val="32"/>
          <w:lang w:val="en-US"/>
        </w:rPr>
        <w:t>2024</w:t>
      </w:r>
      <w:r>
        <w:rPr>
          <w:rFonts w:hint="eastAsia" w:ascii="楷体" w:hAnsi="楷体" w:eastAsia="楷体" w:cs="楷体"/>
          <w:sz w:val="32"/>
          <w:szCs w:val="32"/>
        </w:rPr>
        <w:t>年重点工作</w:t>
      </w:r>
      <w:bookmarkEnd w:id="6"/>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rPr>
        <w:t>加强日常巡查维护工作。加强照明设施的日常巡查维护工作，确保完好率、亮灯率达到98%以上。</w:t>
      </w:r>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rPr>
        <w:t>积极推进提升改造工作。积极推进重要节点和老旧照明设施改造工作，做好照明设施二次补光工作。</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加强多杆合一灯杆建设工作。利用城市主干道提档升级机会，积极推行多杆合一在蜀门南北路、利州东路的建设。</w:t>
      </w:r>
    </w:p>
    <w:p>
      <w:pPr>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加强夜间照明建设和修复工作。一是编制《广元市中心城区光亮工程规划》，根据整体规划打造城市夜间照明。二是修复完善现有楼宇桥梁夜景照明。</w:t>
      </w:r>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rPr>
        <w:t>加强废旧照明设施处置工作。积极对接相关部门对废旧照明设施进行清理处置，规范库房管理。</w:t>
      </w:r>
    </w:p>
    <w:p>
      <w:pPr>
        <w:pStyle w:val="8"/>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i w:val="0"/>
          <w:iCs w:val="0"/>
          <w:caps w:val="0"/>
          <w:color w:val="000000"/>
          <w:spacing w:val="0"/>
          <w:sz w:val="32"/>
          <w:szCs w:val="32"/>
          <w:shd w:val="clear" w:fill="FFFFFF"/>
        </w:rPr>
        <w:t>加强党建和党风廉政建设工作。充分利用“三会一课”、主题党日、组织生活会等开展党性教育和党风廉政教育等活动。</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val="0"/>
          <w:bCs w:val="0"/>
          <w:color w:val="auto"/>
          <w:sz w:val="32"/>
          <w:szCs w:val="32"/>
          <w:lang w:eastAsia="zh-CN"/>
        </w:rPr>
        <w:t>高水平推进夜间照明提升工作。根据工作任务和时间节点安排，高标准设计、高质量建设、高水平管理夜间照明提升项目。</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高效率推进城市照明</w:t>
      </w:r>
      <w:r>
        <w:rPr>
          <w:rFonts w:hint="eastAsia" w:ascii="仿宋_GB2312" w:hAnsi="仿宋_GB2312" w:eastAsia="仿宋_GB2312" w:cs="仿宋_GB2312"/>
          <w:b w:val="0"/>
          <w:bCs w:val="0"/>
          <w:color w:val="auto"/>
          <w:sz w:val="32"/>
          <w:szCs w:val="32"/>
          <w:lang w:val="en-US" w:eastAsia="zh-CN"/>
        </w:rPr>
        <w:t>节能改造</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eastAsia="zh-CN"/>
        </w:rPr>
        <w:t>大力推进城市绿色照明，控制过度亮化和光污染，积极落实节能减排，到</w:t>
      </w:r>
      <w:r>
        <w:rPr>
          <w:rFonts w:hint="eastAsia" w:ascii="仿宋_GB2312" w:hAnsi="仿宋_GB2312" w:eastAsia="仿宋_GB2312" w:cs="仿宋_GB2312"/>
          <w:b w:val="0"/>
          <w:bCs w:val="0"/>
          <w:color w:val="auto"/>
          <w:sz w:val="32"/>
          <w:szCs w:val="32"/>
          <w:lang w:val="en-US" w:eastAsia="zh-CN"/>
        </w:rPr>
        <w:t>2027年LED高效节能灯具使用率超过80%，并建成城市照明大数据管理平台。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7" w:name="_Toc1420090046"/>
      <w:r>
        <w:rPr>
          <w:rFonts w:hint="eastAsia" w:ascii="黑体" w:hAnsi="黑体" w:eastAsia="黑体" w:cs="黑体"/>
          <w:sz w:val="32"/>
          <w:szCs w:val="32"/>
          <w:lang w:val="en-US" w:eastAsia="zh-CN"/>
        </w:rPr>
        <w:t>二、部门预算单位构成</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广元市城市照明事务中心是财政拨款全额事业单位，无下属单位。下设办公室、财务室、技术服务管理办公室、设施设备管理办公室、安全生产管理办公室、运行维护管理办公室6个职能部门。</w:t>
      </w:r>
      <w:bookmarkStart w:id="29" w:name="_GoBack"/>
      <w:bookmarkEnd w:id="2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1124193964"/>
      <w:r>
        <w:rPr>
          <w:rFonts w:hint="eastAsia" w:ascii="黑体" w:hAnsi="黑体" w:eastAsia="黑体" w:cs="黑体"/>
          <w:sz w:val="32"/>
          <w:szCs w:val="32"/>
          <w:lang w:val="en-US" w:eastAsia="zh-CN"/>
        </w:rPr>
        <w:t>三、收支预算情况说明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rPr>
        <w:t>按照综合预算的原则，广元市城市照明事务中心所有收入和支出均纳入单位预算管理。收入包括：一般公共预算拨款收入；支出包括：社会保障和就业支出、卫生健康支出、城乡社区支出、住房保障支出。广元市城市照明事务中心202</w:t>
      </w:r>
      <w:r>
        <w:rPr>
          <w:rFonts w:hint="eastAsia" w:ascii="仿宋_GB2312" w:hAnsi="仿宋_GB2312" w:eastAsia="仿宋_GB2312" w:cs="仿宋_GB2312"/>
          <w:i w:val="0"/>
          <w:iCs w:val="0"/>
          <w:caps w:val="0"/>
          <w:color w:val="000000"/>
          <w:spacing w:val="0"/>
          <w:sz w:val="32"/>
          <w:szCs w:val="32"/>
          <w:shd w:val="clear" w:fill="FFFFFF"/>
          <w:lang w:val="en-US" w:eastAsia="zh-CN"/>
        </w:rPr>
        <w:t>4</w:t>
      </w:r>
      <w:r>
        <w:rPr>
          <w:rFonts w:hint="eastAsia" w:ascii="仿宋_GB2312" w:hAnsi="仿宋_GB2312" w:eastAsia="仿宋_GB2312" w:cs="仿宋_GB2312"/>
          <w:i w:val="0"/>
          <w:iCs w:val="0"/>
          <w:caps w:val="0"/>
          <w:color w:val="000000"/>
          <w:spacing w:val="0"/>
          <w:sz w:val="32"/>
          <w:szCs w:val="32"/>
          <w:shd w:val="clear" w:fill="FFFFFF"/>
        </w:rPr>
        <w:t>年收支总预算</w:t>
      </w:r>
      <w:r>
        <w:rPr>
          <w:rFonts w:hint="eastAsia" w:ascii="仿宋_GB2312" w:hAnsi="仿宋_GB2312" w:eastAsia="仿宋_GB2312" w:cs="仿宋_GB2312"/>
          <w:i w:val="0"/>
          <w:iCs w:val="0"/>
          <w:caps w:val="0"/>
          <w:color w:val="000000"/>
          <w:spacing w:val="0"/>
          <w:sz w:val="32"/>
          <w:szCs w:val="32"/>
          <w:shd w:val="clear" w:fill="FFFFFF"/>
          <w:lang w:val="en-US" w:eastAsia="zh-CN"/>
        </w:rPr>
        <w:t>2220.63</w:t>
      </w:r>
      <w:r>
        <w:rPr>
          <w:rFonts w:hint="eastAsia" w:ascii="仿宋_GB2312" w:hAnsi="仿宋_GB2312" w:eastAsia="仿宋_GB2312" w:cs="仿宋_GB2312"/>
          <w:i w:val="0"/>
          <w:iCs w:val="0"/>
          <w:caps w:val="0"/>
          <w:color w:val="000000"/>
          <w:spacing w:val="0"/>
          <w:sz w:val="32"/>
          <w:szCs w:val="32"/>
          <w:shd w:val="clear" w:fill="FFFFFF"/>
        </w:rPr>
        <w:t>万元,比202</w:t>
      </w:r>
      <w:r>
        <w:rPr>
          <w:rFonts w:hint="eastAsia" w:ascii="仿宋_GB2312" w:hAnsi="仿宋_GB2312" w:eastAsia="仿宋_GB2312" w:cs="仿宋_GB2312"/>
          <w:i w:val="0"/>
          <w:iCs w:val="0"/>
          <w:caps w:val="0"/>
          <w:color w:val="000000"/>
          <w:spacing w:val="0"/>
          <w:sz w:val="32"/>
          <w:szCs w:val="32"/>
          <w:shd w:val="clear" w:fill="FFFFFF"/>
          <w:lang w:val="en-US" w:eastAsia="zh-CN"/>
        </w:rPr>
        <w:t>3</w:t>
      </w:r>
      <w:r>
        <w:rPr>
          <w:rFonts w:hint="eastAsia" w:ascii="仿宋_GB2312" w:hAnsi="仿宋_GB2312" w:eastAsia="仿宋_GB2312" w:cs="仿宋_GB2312"/>
          <w:i w:val="0"/>
          <w:iCs w:val="0"/>
          <w:caps w:val="0"/>
          <w:color w:val="000000"/>
          <w:spacing w:val="0"/>
          <w:sz w:val="32"/>
          <w:szCs w:val="32"/>
          <w:shd w:val="clear" w:fill="FFFFFF"/>
        </w:rPr>
        <w:t>年收支预算总数增加</w:t>
      </w:r>
      <w:r>
        <w:rPr>
          <w:rFonts w:hint="eastAsia" w:ascii="仿宋_GB2312" w:hAnsi="仿宋_GB2312" w:eastAsia="仿宋_GB2312" w:cs="仿宋_GB2312"/>
          <w:i w:val="0"/>
          <w:iCs w:val="0"/>
          <w:caps w:val="0"/>
          <w:color w:val="000000"/>
          <w:spacing w:val="0"/>
          <w:sz w:val="32"/>
          <w:szCs w:val="32"/>
          <w:shd w:val="clear" w:fill="FFFFFF"/>
          <w:lang w:val="en-US" w:eastAsia="zh-CN"/>
        </w:rPr>
        <w:t>506.37</w:t>
      </w:r>
      <w:r>
        <w:rPr>
          <w:rFonts w:hint="eastAsia" w:ascii="仿宋_GB2312" w:hAnsi="仿宋_GB2312" w:eastAsia="仿宋_GB2312" w:cs="仿宋_GB2312"/>
          <w:i w:val="0"/>
          <w:iCs w:val="0"/>
          <w:caps w:val="0"/>
          <w:color w:val="000000"/>
          <w:spacing w:val="0"/>
          <w:sz w:val="32"/>
          <w:szCs w:val="32"/>
          <w:shd w:val="clear" w:fill="FFFFFF"/>
        </w:rPr>
        <w:t>万元，主要原因是电费</w:t>
      </w:r>
      <w:r>
        <w:rPr>
          <w:rFonts w:hint="eastAsia" w:ascii="仿宋_GB2312" w:hAnsi="仿宋_GB2312" w:eastAsia="仿宋_GB2312" w:cs="仿宋_GB2312"/>
          <w:i w:val="0"/>
          <w:iCs w:val="0"/>
          <w:caps w:val="0"/>
          <w:color w:val="000000"/>
          <w:spacing w:val="0"/>
          <w:sz w:val="32"/>
          <w:szCs w:val="32"/>
          <w:shd w:val="clear" w:fill="FFFFFF"/>
          <w:lang w:eastAsia="zh-CN"/>
        </w:rPr>
        <w:t>及维护费</w:t>
      </w:r>
      <w:r>
        <w:rPr>
          <w:rFonts w:hint="eastAsia" w:ascii="仿宋_GB2312" w:hAnsi="仿宋_GB2312" w:eastAsia="仿宋_GB2312" w:cs="仿宋_GB2312"/>
          <w:i w:val="0"/>
          <w:iCs w:val="0"/>
          <w:caps w:val="0"/>
          <w:color w:val="000000"/>
          <w:spacing w:val="0"/>
          <w:sz w:val="32"/>
          <w:szCs w:val="32"/>
          <w:shd w:val="clear" w:fill="FFFFFF"/>
        </w:rPr>
        <w:t>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1306302805"/>
      <w:r>
        <w:rPr>
          <w:rFonts w:hint="eastAsia" w:ascii="楷体_GB2312" w:hAnsi="楷体_GB2312" w:eastAsia="楷体_GB2312" w:cs="楷体_GB2312"/>
          <w:sz w:val="32"/>
          <w:szCs w:val="32"/>
          <w:lang w:val="en-US" w:eastAsia="zh-CN"/>
        </w:rPr>
        <w:t>（一）收入预算情况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i w:val="0"/>
          <w:iCs w:val="0"/>
          <w:caps w:val="0"/>
          <w:color w:val="000000"/>
          <w:spacing w:val="0"/>
          <w:sz w:val="32"/>
          <w:szCs w:val="32"/>
          <w:shd w:val="clear" w:fill="FFFFFF"/>
        </w:rPr>
        <w:t>市城市照明事务中心</w:t>
      </w:r>
      <w:r>
        <w:rPr>
          <w:rFonts w:hint="eastAsia" w:ascii="仿宋_GB2312" w:hAnsi="仿宋_GB2312" w:eastAsia="仿宋_GB2312" w:cs="仿宋_GB2312"/>
          <w:sz w:val="32"/>
          <w:szCs w:val="32"/>
          <w:lang w:val="en-US" w:eastAsia="zh-CN"/>
        </w:rPr>
        <w:t>2024年收入预算2220.63万元，其中：一般公共预算拨款收入2220.63万元，占100%。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321378365"/>
      <w:r>
        <w:rPr>
          <w:rFonts w:hint="eastAsia" w:ascii="楷体_GB2312" w:hAnsi="楷体_GB2312" w:eastAsia="楷体_GB2312" w:cs="楷体_GB2312"/>
          <w:sz w:val="32"/>
          <w:szCs w:val="32"/>
          <w:lang w:val="en-US" w:eastAsia="zh-CN"/>
        </w:rPr>
        <w:t>（二）支出预算情况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i w:val="0"/>
          <w:iCs w:val="0"/>
          <w:caps w:val="0"/>
          <w:color w:val="000000"/>
          <w:spacing w:val="0"/>
          <w:sz w:val="32"/>
          <w:szCs w:val="32"/>
          <w:shd w:val="clear" w:fill="FFFFFF"/>
        </w:rPr>
        <w:t>市城市照明事务中心</w:t>
      </w:r>
      <w:r>
        <w:rPr>
          <w:rFonts w:hint="eastAsia" w:ascii="仿宋_GB2312" w:hAnsi="仿宋_GB2312" w:eastAsia="仿宋_GB2312" w:cs="仿宋_GB2312"/>
          <w:sz w:val="32"/>
          <w:szCs w:val="32"/>
          <w:lang w:val="en-US" w:eastAsia="zh-CN"/>
        </w:rPr>
        <w:t>2024年支出预算2220.63万元，其中：基本支出415.63万元，占18.72%；项目支出1805万元，占81.28%</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1" w:name="_Toc1549386689"/>
      <w:r>
        <w:rPr>
          <w:rFonts w:hint="eastAsia" w:ascii="黑体" w:hAnsi="黑体" w:eastAsia="黑体" w:cs="黑体"/>
          <w:sz w:val="32"/>
          <w:szCs w:val="32"/>
          <w:lang w:val="en-US" w:eastAsia="zh-CN"/>
        </w:rPr>
        <w:t>四、财政拨款收支预算情况说明</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i w:val="0"/>
          <w:iCs w:val="0"/>
          <w:caps w:val="0"/>
          <w:color w:val="000000"/>
          <w:spacing w:val="0"/>
          <w:sz w:val="32"/>
          <w:szCs w:val="32"/>
          <w:shd w:val="clear" w:fill="FFFFFF"/>
        </w:rPr>
        <w:t>市城市照明事务中心</w:t>
      </w:r>
      <w:r>
        <w:rPr>
          <w:rFonts w:hint="eastAsia" w:ascii="仿宋_GB2312" w:hAnsi="仿宋_GB2312" w:eastAsia="仿宋_GB2312" w:cs="仿宋_GB2312"/>
          <w:color w:val="auto"/>
          <w:sz w:val="32"/>
          <w:szCs w:val="32"/>
          <w:lang w:val="en-US" w:eastAsia="zh-CN"/>
        </w:rPr>
        <w:t>2024年财政拨款收支预算总数2220.63万元,比2023年财政拨款收支预算总数增加506.37万元，主要原因一是2024年电费预算增加450万元；二是维护费预算增加73万元。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收入包括：本年一般公共预算拨款收入2220.63万元；支出包括：社会保障和就业支出38.8万元、卫生健康支出12.65万元、 城乡社区支出2136.04万元、住房保障支出33.14万元。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2" w:name="_Toc1482135851"/>
      <w:r>
        <w:rPr>
          <w:rFonts w:hint="eastAsia" w:ascii="黑体" w:hAnsi="黑体" w:eastAsia="黑体" w:cs="黑体"/>
          <w:sz w:val="32"/>
          <w:szCs w:val="32"/>
          <w:lang w:val="en-US" w:eastAsia="zh-CN"/>
        </w:rPr>
        <w:t>五、一般公共预算当年拨款情况说明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1605173162"/>
      <w:r>
        <w:rPr>
          <w:rFonts w:hint="eastAsia" w:ascii="楷体_GB2312" w:hAnsi="楷体_GB2312" w:eastAsia="楷体_GB2312" w:cs="楷体_GB2312"/>
          <w:sz w:val="32"/>
          <w:szCs w:val="32"/>
          <w:lang w:val="en-US" w:eastAsia="zh-CN"/>
        </w:rPr>
        <w:t>（一）一般公共预算当年拨款规模变化情况</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市城市照明事务中心2024年一般公共预算当年拨款2220.63万元，比2023年预算数增加506.37万元，主要原因</w:t>
      </w:r>
      <w:r>
        <w:rPr>
          <w:rFonts w:hint="eastAsia" w:ascii="仿宋_GB2312" w:hAnsi="仿宋_GB2312" w:eastAsia="仿宋_GB2312" w:cs="仿宋_GB2312"/>
          <w:color w:val="auto"/>
          <w:sz w:val="32"/>
          <w:szCs w:val="32"/>
          <w:lang w:val="en-US" w:eastAsia="zh-CN"/>
        </w:rPr>
        <w:t>主要原因一是2024年电费预算增加450万元；二是维护费预算增加73万元</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1332416097"/>
      <w:r>
        <w:rPr>
          <w:rFonts w:hint="eastAsia" w:ascii="楷体_GB2312" w:hAnsi="楷体_GB2312" w:eastAsia="楷体_GB2312" w:cs="楷体_GB2312"/>
          <w:sz w:val="32"/>
          <w:szCs w:val="32"/>
          <w:lang w:val="en-US" w:eastAsia="zh-CN"/>
        </w:rPr>
        <w:t>（二）一般公共预算当年拨款结构情况</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社会保障和就业支出38.8万元，占1.75%；卫生健康支出12.65万元，占0.57%；城乡社区支出2136.04万元，占96.19%；住房保障支出33.14万元，占1.49%。</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910914393"/>
      <w:r>
        <w:rPr>
          <w:rFonts w:hint="eastAsia" w:ascii="楷体_GB2312" w:hAnsi="楷体_GB2312" w:eastAsia="楷体_GB2312" w:cs="楷体_GB2312"/>
          <w:sz w:val="32"/>
          <w:szCs w:val="32"/>
          <w:lang w:val="en-US" w:eastAsia="zh-CN"/>
        </w:rPr>
        <w:t>（三）一般公共预算当年拨款具体使用情况</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i w:val="0"/>
          <w:iCs w:val="0"/>
          <w:caps w:val="0"/>
          <w:color w:val="000000"/>
          <w:spacing w:val="0"/>
          <w:sz w:val="32"/>
          <w:szCs w:val="32"/>
          <w:shd w:val="clear" w:fill="FFFFFF"/>
        </w:rPr>
        <w:t>社会保障和就业（类）行政事业单位养老支出（款）机关事业单位基本养老保险缴费支出（项）202</w:t>
      </w:r>
      <w:r>
        <w:rPr>
          <w:rFonts w:hint="eastAsia" w:ascii="仿宋_GB2312" w:hAnsi="仿宋_GB2312" w:eastAsia="仿宋_GB2312" w:cs="仿宋_GB2312"/>
          <w:i w:val="0"/>
          <w:iCs w:val="0"/>
          <w:caps w:val="0"/>
          <w:color w:val="000000"/>
          <w:spacing w:val="0"/>
          <w:sz w:val="32"/>
          <w:szCs w:val="32"/>
          <w:shd w:val="clear" w:fill="FFFFFF"/>
          <w:lang w:val="en-US" w:eastAsia="zh-CN"/>
        </w:rPr>
        <w:t>4</w:t>
      </w:r>
      <w:r>
        <w:rPr>
          <w:rFonts w:hint="eastAsia" w:ascii="仿宋_GB2312" w:hAnsi="仿宋_GB2312" w:eastAsia="仿宋_GB2312" w:cs="仿宋_GB2312"/>
          <w:i w:val="0"/>
          <w:iCs w:val="0"/>
          <w:caps w:val="0"/>
          <w:color w:val="000000"/>
          <w:spacing w:val="0"/>
          <w:sz w:val="32"/>
          <w:szCs w:val="32"/>
          <w:shd w:val="clear" w:fill="FFFFFF"/>
        </w:rPr>
        <w:t>年预算数为</w:t>
      </w:r>
      <w:r>
        <w:rPr>
          <w:rFonts w:hint="eastAsia" w:ascii="仿宋_GB2312" w:hAnsi="仿宋_GB2312" w:eastAsia="仿宋_GB2312" w:cs="仿宋_GB2312"/>
          <w:i w:val="0"/>
          <w:iCs w:val="0"/>
          <w:caps w:val="0"/>
          <w:color w:val="000000"/>
          <w:spacing w:val="0"/>
          <w:sz w:val="32"/>
          <w:szCs w:val="32"/>
          <w:shd w:val="clear" w:fill="FFFFFF"/>
          <w:lang w:val="en-US" w:eastAsia="zh-CN"/>
        </w:rPr>
        <w:t>38.8</w:t>
      </w:r>
      <w:r>
        <w:rPr>
          <w:rFonts w:hint="eastAsia" w:ascii="仿宋_GB2312" w:hAnsi="仿宋_GB2312" w:eastAsia="仿宋_GB2312" w:cs="仿宋_GB2312"/>
          <w:i w:val="0"/>
          <w:iCs w:val="0"/>
          <w:caps w:val="0"/>
          <w:color w:val="000000"/>
          <w:spacing w:val="0"/>
          <w:sz w:val="32"/>
          <w:szCs w:val="32"/>
          <w:shd w:val="clear" w:fill="FFFFFF"/>
        </w:rPr>
        <w:t>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2.卫生健康（类）行政事业单位医疗（款）事业单位医疗（项）2024年预算数为12.65万元，主要用于：事业单位按规定由单位缴纳的基本医疗保险支出。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3.城乡社区（类）城乡社区公共设施支出（款）其他城乡社区公共设施支出（项）2024年预算数为2136.04万元，主要用于：其他城乡社区公共设施（照明设施电费及维护费）方面的支出。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color w:val="auto"/>
          <w:sz w:val="32"/>
          <w:szCs w:val="32"/>
          <w:lang w:val="en-US" w:eastAsia="zh-CN"/>
        </w:rPr>
        <w:t>4.住房保障（类）住房改革支出（款）住房公积金（项）2024年预算数为33.14万元，主要用于：</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事业单位按人力资源和社会保障部、财政部规定的基本工资和津贴补贴以及规定比例为职工缴纳的住房公积金。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6" w:name="_Toc1554368411"/>
      <w:r>
        <w:rPr>
          <w:rFonts w:hint="eastAsia" w:ascii="黑体" w:hAnsi="黑体" w:eastAsia="黑体" w:cs="黑体"/>
          <w:sz w:val="32"/>
          <w:szCs w:val="32"/>
          <w:lang w:val="en-US" w:eastAsia="zh-CN"/>
        </w:rPr>
        <w:t>六、一般公共预算基本支出情况说明</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市城市照明事务中心2024年一般公共预算基本支出415.63万元，其中：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人员经费376.64万元，主要包括：基本工资、津贴补贴、奖金、绩效工资、社会保险缴费、住房公积金</w:t>
      </w:r>
      <w:r>
        <w:rPr>
          <w:rFonts w:hint="default" w:ascii="仿宋_GB2312" w:hAnsi="仿宋_GB2312" w:eastAsia="仿宋_GB2312" w:cs="仿宋_GB2312"/>
          <w:sz w:val="32"/>
          <w:szCs w:val="32"/>
          <w:lang w:eastAsia="zh-CN"/>
        </w:rPr>
        <w:t>、生活补助</w:t>
      </w:r>
      <w:r>
        <w:rPr>
          <w:rFonts w:hint="eastAsia" w:ascii="仿宋_GB2312" w:hAnsi="仿宋_GB2312" w:eastAsia="仿宋_GB2312" w:cs="仿宋_GB2312"/>
          <w:sz w:val="32"/>
          <w:szCs w:val="32"/>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公用经费38.99万元，主要包括：办公费、印刷费、咨询费、水费、邮电费、物业管理费、差旅费、会议费、培训费、公务接待费、工会经费、福利费、公务用车运行维护费、</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其他商品和服务</w:t>
      </w:r>
      <w:r>
        <w:rPr>
          <w:rFonts w:hint="eastAsia" w:ascii="仿宋_GB2312" w:hAnsi="仿宋_GB2312" w:eastAsia="仿宋_GB2312" w:cs="仿宋_GB2312"/>
          <w:sz w:val="32"/>
          <w:szCs w:val="32"/>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7" w:name="_Toc79002426"/>
      <w:r>
        <w:rPr>
          <w:rFonts w:hint="eastAsia" w:ascii="黑体" w:hAnsi="黑体" w:eastAsia="黑体" w:cs="黑体"/>
          <w:sz w:val="32"/>
          <w:szCs w:val="32"/>
          <w:lang w:val="en-US" w:eastAsia="zh-CN"/>
        </w:rPr>
        <w:t>七、“三公”经费财政拨款预算安排情况说明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市城市照明事务中心2024年“三公”经费财政拨款预算数2.6万元，其中：公务接待费0.1万元，公务用车购置及运行维护费2.5万元，未编列因公出国（境）经费。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8" w:name="_Toc1697481030"/>
      <w:r>
        <w:rPr>
          <w:rFonts w:hint="eastAsia" w:ascii="楷体_GB2312" w:hAnsi="楷体_GB2312" w:eastAsia="楷体_GB2312" w:cs="楷体_GB2312"/>
          <w:sz w:val="32"/>
          <w:szCs w:val="32"/>
          <w:lang w:val="en-US" w:eastAsia="zh-CN"/>
        </w:rPr>
        <w:t>（一）公务接待费</w:t>
      </w:r>
      <w:bookmarkEnd w:id="18"/>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公务接待费与2023年预算相比下降0.41万元，主要原因是</w:t>
      </w:r>
      <w:r>
        <w:rPr>
          <w:rFonts w:hint="default" w:ascii="仿宋_GB2312" w:hAnsi="仿宋_GB2312" w:eastAsia="仿宋_GB2312" w:cs="仿宋_GB2312"/>
          <w:sz w:val="32"/>
          <w:szCs w:val="32"/>
          <w:lang w:val="en-US" w:eastAsia="zh-CN"/>
        </w:rPr>
        <w:t>厉行勤俭节约</w:t>
      </w:r>
      <w:r>
        <w:rPr>
          <w:rFonts w:hint="default" w:ascii="仿宋_GB2312" w:hAnsi="仿宋_GB2312" w:eastAsia="仿宋_GB2312" w:cs="仿宋_GB2312"/>
          <w:sz w:val="32"/>
          <w:szCs w:val="32"/>
          <w:lang w:eastAsia="zh-CN"/>
        </w:rPr>
        <w:t>，对</w:t>
      </w:r>
      <w:r>
        <w:rPr>
          <w:rFonts w:hint="eastAsia" w:ascii="仿宋_GB2312" w:hAnsi="仿宋_GB2312" w:eastAsia="仿宋_GB2312" w:cs="仿宋_GB2312"/>
          <w:sz w:val="32"/>
          <w:szCs w:val="32"/>
          <w:lang w:val="en-US" w:eastAsia="zh-CN"/>
        </w:rPr>
        <w:t>三公经费</w:t>
      </w:r>
      <w:r>
        <w:rPr>
          <w:rFonts w:hint="default" w:ascii="仿宋_GB2312" w:hAnsi="仿宋_GB2312" w:eastAsia="仿宋_GB2312" w:cs="仿宋_GB2312"/>
          <w:sz w:val="32"/>
          <w:szCs w:val="32"/>
          <w:lang w:eastAsia="zh-CN"/>
        </w:rPr>
        <w:t>进行</w:t>
      </w:r>
      <w:r>
        <w:rPr>
          <w:rFonts w:hint="eastAsia" w:ascii="仿宋_GB2312" w:hAnsi="仿宋_GB2312" w:eastAsia="仿宋_GB2312" w:cs="仿宋_GB2312"/>
          <w:sz w:val="32"/>
          <w:szCs w:val="32"/>
          <w:lang w:val="en-US" w:eastAsia="zh-CN"/>
        </w:rPr>
        <w:t>压减。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9" w:name="_Toc1758406013"/>
      <w:r>
        <w:rPr>
          <w:rFonts w:hint="eastAsia" w:ascii="楷体_GB2312" w:hAnsi="楷体_GB2312" w:eastAsia="楷体_GB2312" w:cs="楷体_GB2312"/>
          <w:sz w:val="32"/>
          <w:szCs w:val="32"/>
          <w:lang w:val="en-US" w:eastAsia="zh-CN"/>
        </w:rPr>
        <w:t>公务用车购置及运行维护费</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单位现有公务用车1辆，其中：轿车1辆。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2024年安排公务用车运行维护费2.5万元，用于1辆公务用车燃油、过路（桥）、维修、保险等方面支出，主要保障单位日常运行。</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20" w:name="_Toc1874180026"/>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市城市照明事务中心2024年未编列因公出国（境）经费，与2023年预算相比持平。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1" w:name="_Toc1761159717"/>
      <w:r>
        <w:rPr>
          <w:rFonts w:hint="eastAsia" w:ascii="黑体" w:hAnsi="黑体" w:eastAsia="黑体" w:cs="黑体"/>
          <w:sz w:val="32"/>
          <w:szCs w:val="32"/>
          <w:lang w:val="en-US" w:eastAsia="zh-CN"/>
        </w:rPr>
        <w:t>八、政府性基金预算支出情况说明</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市城市照明事务中心2024年无政府性基金预算拨款安排的支出，与2023年预算相比持平。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2" w:name="_Toc173399507"/>
      <w:r>
        <w:rPr>
          <w:rFonts w:hint="eastAsia" w:ascii="黑体" w:hAnsi="黑体" w:eastAsia="黑体" w:cs="黑体"/>
          <w:sz w:val="32"/>
          <w:szCs w:val="32"/>
          <w:lang w:val="en-US" w:eastAsia="zh-CN"/>
        </w:rPr>
        <w:t>九、国有资本经营预算支出情况说明</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市城市照明事务中心2024年无国有资本经营预算拨款安排的支出，与2023年预算相比持平。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3" w:name="_Toc1098765762"/>
      <w:r>
        <w:rPr>
          <w:rFonts w:hint="eastAsia" w:ascii="黑体" w:hAnsi="黑体" w:eastAsia="黑体" w:cs="黑体"/>
          <w:sz w:val="32"/>
          <w:szCs w:val="32"/>
          <w:lang w:val="en-US" w:eastAsia="zh-CN"/>
        </w:rPr>
        <w:t>十、其他重要事项的情况说明</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1955200531"/>
      <w:r>
        <w:rPr>
          <w:rFonts w:hint="eastAsia" w:ascii="楷体_GB2312" w:hAnsi="楷体_GB2312" w:eastAsia="楷体_GB2312" w:cs="楷体_GB2312"/>
          <w:sz w:val="32"/>
          <w:szCs w:val="32"/>
          <w:lang w:val="en-US" w:eastAsia="zh-CN"/>
        </w:rPr>
        <w:t>（一）机关运行经费</w:t>
      </w:r>
      <w:bookmarkEnd w:id="24"/>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lang w:val="en-US" w:eastAsia="zh-CN"/>
        </w:rPr>
      </w:pPr>
      <w:r>
        <w:rPr>
          <w:rFonts w:hint="eastAsia" w:ascii="仿宋_GB2312" w:hAnsi="仿宋_GB2312" w:eastAsia="仿宋_GB2312" w:cs="仿宋_GB2312"/>
          <w:i w:val="0"/>
          <w:iCs w:val="0"/>
          <w:caps w:val="0"/>
          <w:color w:val="000000"/>
          <w:spacing w:val="0"/>
          <w:sz w:val="32"/>
          <w:szCs w:val="32"/>
          <w:shd w:val="clear" w:fill="FFFFFF"/>
        </w:rPr>
        <w:t>市城市照明事务中心为事业单位，</w:t>
      </w:r>
      <w:r>
        <w:rPr>
          <w:rFonts w:hint="eastAsia" w:ascii="仿宋_GB2312" w:hAnsi="仿宋_GB2312" w:eastAsia="仿宋_GB2312" w:cs="仿宋_GB2312"/>
          <w:i w:val="0"/>
          <w:iCs w:val="0"/>
          <w:caps w:val="0"/>
          <w:color w:val="000000"/>
          <w:spacing w:val="0"/>
          <w:sz w:val="32"/>
          <w:szCs w:val="32"/>
          <w:shd w:val="clear" w:fill="FFFFFF"/>
          <w:lang w:val="en-US" w:eastAsia="zh-CN"/>
        </w:rPr>
        <w:t>按规定未使用机关运行的相关科目。</w:t>
      </w:r>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outlineLvl w:val="1"/>
        <w:rPr>
          <w:rFonts w:hint="eastAsia" w:ascii="楷体_GB2312" w:hAnsi="楷体_GB2312" w:eastAsia="楷体_GB2312" w:cs="楷体_GB2312"/>
          <w:sz w:val="32"/>
          <w:szCs w:val="32"/>
          <w:lang w:val="en-US" w:eastAsia="zh-CN"/>
        </w:rPr>
      </w:pPr>
      <w:bookmarkStart w:id="25" w:name="_Toc1886821823"/>
      <w:r>
        <w:rPr>
          <w:rFonts w:hint="eastAsia" w:ascii="楷体_GB2312" w:hAnsi="楷体_GB2312" w:eastAsia="楷体_GB2312" w:cs="楷体_GB2312"/>
          <w:sz w:val="32"/>
          <w:szCs w:val="32"/>
          <w:lang w:val="en-US" w:eastAsia="zh-CN"/>
        </w:rPr>
        <w:t>（二）政府采购情况</w:t>
      </w:r>
      <w:bookmarkEnd w:id="25"/>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color w:val="auto"/>
          <w:sz w:val="32"/>
          <w:szCs w:val="32"/>
          <w:lang w:val="en-US" w:eastAsia="zh-CN"/>
        </w:rPr>
        <w:t>2024年，</w:t>
      </w:r>
      <w:r>
        <w:rPr>
          <w:rFonts w:hint="eastAsia" w:ascii="仿宋_GB2312" w:hAnsi="仿宋_GB2312" w:eastAsia="仿宋_GB2312" w:cs="仿宋_GB2312"/>
          <w:i w:val="0"/>
          <w:iCs w:val="0"/>
          <w:caps w:val="0"/>
          <w:color w:val="000000"/>
          <w:spacing w:val="0"/>
          <w:sz w:val="32"/>
          <w:szCs w:val="32"/>
          <w:shd w:val="clear" w:fill="FFFFFF"/>
        </w:rPr>
        <w:t>市城市照明事务中心未在预算中安排政府采购预算。</w:t>
      </w:r>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outlineLvl w:val="1"/>
        <w:rPr>
          <w:rFonts w:hint="eastAsia" w:ascii="楷体_GB2312" w:hAnsi="楷体_GB2312" w:eastAsia="楷体_GB2312" w:cs="楷体_GB2312"/>
          <w:sz w:val="32"/>
          <w:szCs w:val="32"/>
          <w:lang w:val="en-US" w:eastAsia="zh-CN"/>
        </w:rPr>
      </w:pPr>
      <w:bookmarkStart w:id="26" w:name="_Toc1647630377"/>
      <w:r>
        <w:rPr>
          <w:rFonts w:hint="eastAsia" w:ascii="楷体_GB2312" w:hAnsi="楷体_GB2312" w:eastAsia="楷体_GB2312" w:cs="楷体_GB2312"/>
          <w:sz w:val="32"/>
          <w:szCs w:val="32"/>
          <w:lang w:val="en-US" w:eastAsia="zh-CN"/>
        </w:rPr>
        <w:t>（三）国有资产占有使用情况</w:t>
      </w:r>
      <w:bookmarkEnd w:id="26"/>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default"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截至2023年底，</w:t>
      </w:r>
      <w:r>
        <w:rPr>
          <w:rFonts w:hint="eastAsia" w:ascii="仿宋_GB2312" w:hAnsi="仿宋_GB2312" w:eastAsia="仿宋_GB2312" w:cs="仿宋_GB2312"/>
          <w:i w:val="0"/>
          <w:iCs w:val="0"/>
          <w:caps w:val="0"/>
          <w:color w:val="000000"/>
          <w:spacing w:val="0"/>
          <w:sz w:val="32"/>
          <w:szCs w:val="32"/>
          <w:shd w:val="clear" w:fill="FFFFFF"/>
        </w:rPr>
        <w:t>市城市照明事务中心</w:t>
      </w:r>
      <w:r>
        <w:rPr>
          <w:rFonts w:hint="eastAsia" w:ascii="仿宋_GB2312" w:hAnsi="仿宋_GB2312" w:eastAsia="仿宋_GB2312" w:cs="仿宋_GB2312"/>
          <w:sz w:val="32"/>
          <w:szCs w:val="32"/>
          <w:lang w:val="en-US" w:eastAsia="zh-CN"/>
        </w:rPr>
        <w:t>共有车辆12辆，其中，其中一般公务用车1辆，业务用车11辆。</w:t>
      </w:r>
      <w:r>
        <w:rPr>
          <w:rFonts w:hint="default" w:ascii="仿宋_GB2312" w:hAnsi="Calibri" w:eastAsia="仿宋_GB2312" w:cs="仿宋_GB2312"/>
          <w:color w:val="auto"/>
          <w:kern w:val="2"/>
          <w:sz w:val="32"/>
          <w:szCs w:val="32"/>
          <w:lang w:val="en-US" w:eastAsia="zh-CN" w:bidi="ar"/>
        </w:rPr>
        <w:t>单位无价值200万元以上的大型设备</w:t>
      </w:r>
      <w:r>
        <w:rPr>
          <w:rFonts w:hint="default" w:ascii="仿宋_GB2312" w:eastAsia="仿宋_GB2312" w:cs="仿宋_GB2312"/>
          <w:color w:val="auto"/>
          <w:kern w:val="2"/>
          <w:sz w:val="32"/>
          <w:szCs w:val="32"/>
          <w:lang w:eastAsia="zh-CN" w:bidi="ar"/>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r>
        <w:rPr>
          <w:rFonts w:hint="default"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7" w:name="_Toc519695659"/>
      <w:r>
        <w:rPr>
          <w:rFonts w:hint="eastAsia" w:ascii="楷体_GB2312" w:hAnsi="楷体_GB2312" w:eastAsia="楷体_GB2312" w:cs="楷体_GB2312"/>
          <w:sz w:val="32"/>
          <w:szCs w:val="32"/>
          <w:lang w:val="en-US" w:eastAsia="zh-CN"/>
        </w:rPr>
        <w:t>（四）绩效目标设置情况</w:t>
      </w:r>
      <w:bookmarkEnd w:id="27"/>
    </w:p>
    <w:p>
      <w:pPr>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line="576" w:lineRule="exact"/>
        <w:ind w:left="0" w:righ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i w:val="0"/>
          <w:iCs w:val="0"/>
          <w:caps w:val="0"/>
          <w:color w:val="000000"/>
          <w:spacing w:val="0"/>
          <w:sz w:val="32"/>
          <w:szCs w:val="32"/>
          <w:shd w:val="clear" w:fill="FFFFFF"/>
        </w:rPr>
        <w:t>市城市照明事务中心</w:t>
      </w:r>
      <w:r>
        <w:rPr>
          <w:rFonts w:hint="eastAsia" w:ascii="仿宋_GB2312" w:hAnsi="仿宋_GB2312" w:eastAsia="仿宋_GB2312" w:cs="仿宋_GB2312"/>
          <w:sz w:val="32"/>
          <w:szCs w:val="32"/>
          <w:lang w:val="en-US" w:eastAsia="zh-CN"/>
        </w:rPr>
        <w:t>开展绩效目标管理的项目</w:t>
      </w:r>
      <w:r>
        <w:rPr>
          <w:rFonts w:hint="default" w:ascii="仿宋_GB2312" w:hAnsi="仿宋_GB2312" w:eastAsia="仿宋_GB2312" w:cs="仿宋_GB2312"/>
          <w:sz w:val="32"/>
          <w:szCs w:val="32"/>
          <w:lang w:eastAsia="zh-CN"/>
        </w:rPr>
        <w:t>11</w:t>
      </w:r>
      <w:r>
        <w:rPr>
          <w:rFonts w:hint="eastAsia" w:ascii="仿宋_GB2312" w:hAnsi="仿宋_GB2312" w:eastAsia="仿宋_GB2312" w:cs="仿宋_GB2312"/>
          <w:sz w:val="32"/>
          <w:szCs w:val="32"/>
          <w:lang w:val="en-US" w:eastAsia="zh-CN"/>
        </w:rPr>
        <w:t>个，涉及预算</w:t>
      </w:r>
      <w:r>
        <w:rPr>
          <w:rFonts w:hint="default" w:ascii="仿宋_GB2312" w:hAnsi="仿宋_GB2312" w:eastAsia="仿宋_GB2312" w:cs="仿宋_GB2312"/>
          <w:sz w:val="32"/>
          <w:szCs w:val="32"/>
          <w:lang w:eastAsia="zh-CN"/>
        </w:rPr>
        <w:t>2220.63</w:t>
      </w:r>
      <w:r>
        <w:rPr>
          <w:rFonts w:hint="eastAsia" w:ascii="仿宋_GB2312" w:hAnsi="仿宋_GB2312" w:eastAsia="仿宋_GB2312" w:cs="仿宋_GB2312"/>
          <w:sz w:val="32"/>
          <w:szCs w:val="32"/>
          <w:lang w:val="en-US" w:eastAsia="zh-CN"/>
        </w:rPr>
        <w:t>万元。其中：</w:t>
      </w:r>
      <w:r>
        <w:rPr>
          <w:rFonts w:ascii="仿宋_GB2312" w:hAnsi="Calibri" w:eastAsia="仿宋_GB2312" w:cs="仿宋_GB2312"/>
          <w:color w:val="auto"/>
          <w:kern w:val="2"/>
          <w:sz w:val="32"/>
          <w:szCs w:val="32"/>
          <w:lang w:val="en-US" w:eastAsia="zh-CN" w:bidi="ar"/>
        </w:rPr>
        <w:t>其中：人员类项目</w:t>
      </w:r>
      <w:r>
        <w:rPr>
          <w:rFonts w:ascii="仿宋_GB2312" w:eastAsia="仿宋_GB2312" w:cs="仿宋_GB2312"/>
          <w:color w:val="auto"/>
          <w:kern w:val="2"/>
          <w:sz w:val="32"/>
          <w:szCs w:val="32"/>
          <w:lang w:eastAsia="zh-CN" w:bidi="ar"/>
        </w:rPr>
        <w:t>5</w:t>
      </w:r>
      <w:r>
        <w:rPr>
          <w:rFonts w:hint="default" w:ascii="仿宋_GB2312" w:hAnsi="Calibri" w:eastAsia="仿宋_GB2312" w:cs="仿宋_GB2312"/>
          <w:color w:val="auto"/>
          <w:kern w:val="2"/>
          <w:sz w:val="32"/>
          <w:szCs w:val="32"/>
          <w:lang w:val="en-US" w:eastAsia="zh-CN" w:bidi="ar"/>
        </w:rPr>
        <w:t xml:space="preserve">个，涉及预算 </w:t>
      </w:r>
      <w:r>
        <w:rPr>
          <w:rFonts w:hint="default" w:ascii="仿宋_GB2312" w:eastAsia="仿宋_GB2312" w:cs="仿宋_GB2312"/>
          <w:color w:val="auto"/>
          <w:kern w:val="2"/>
          <w:sz w:val="32"/>
          <w:szCs w:val="32"/>
          <w:lang w:eastAsia="zh-CN" w:bidi="ar"/>
        </w:rPr>
        <w:t>376.64</w:t>
      </w:r>
      <w:r>
        <w:rPr>
          <w:rFonts w:hint="default" w:ascii="仿宋_GB2312" w:hAnsi="Calibri" w:eastAsia="仿宋_GB2312" w:cs="仿宋_GB2312"/>
          <w:color w:val="auto"/>
          <w:kern w:val="2"/>
          <w:sz w:val="32"/>
          <w:szCs w:val="32"/>
          <w:lang w:val="en-US" w:eastAsia="zh-CN" w:bidi="ar"/>
        </w:rPr>
        <w:t>万元；运转类项目</w:t>
      </w:r>
      <w:r>
        <w:rPr>
          <w:rFonts w:hint="default" w:ascii="仿宋_GB2312" w:eastAsia="仿宋_GB2312" w:cs="仿宋_GB2312"/>
          <w:color w:val="auto"/>
          <w:kern w:val="2"/>
          <w:sz w:val="32"/>
          <w:szCs w:val="32"/>
          <w:lang w:eastAsia="zh-CN" w:bidi="ar"/>
        </w:rPr>
        <w:t>3</w:t>
      </w:r>
      <w:r>
        <w:rPr>
          <w:rFonts w:hint="default" w:ascii="仿宋_GB2312" w:hAnsi="Calibri" w:eastAsia="仿宋_GB2312" w:cs="仿宋_GB2312"/>
          <w:color w:val="auto"/>
          <w:kern w:val="2"/>
          <w:sz w:val="32"/>
          <w:szCs w:val="32"/>
          <w:lang w:val="en-US" w:eastAsia="zh-CN" w:bidi="ar"/>
        </w:rPr>
        <w:t>个，涉及预算</w:t>
      </w:r>
      <w:r>
        <w:rPr>
          <w:rFonts w:hint="default" w:ascii="仿宋_GB2312" w:eastAsia="仿宋_GB2312" w:cs="仿宋_GB2312"/>
          <w:color w:val="auto"/>
          <w:kern w:val="2"/>
          <w:sz w:val="32"/>
          <w:szCs w:val="32"/>
          <w:lang w:eastAsia="zh-CN" w:bidi="ar"/>
        </w:rPr>
        <w:t>38.99</w:t>
      </w:r>
      <w:r>
        <w:rPr>
          <w:rFonts w:hint="default" w:ascii="仿宋_GB2312" w:hAnsi="Calibri" w:eastAsia="仿宋_GB2312" w:cs="仿宋_GB2312"/>
          <w:color w:val="auto"/>
          <w:kern w:val="2"/>
          <w:sz w:val="32"/>
          <w:szCs w:val="32"/>
          <w:lang w:val="en-US" w:eastAsia="zh-CN" w:bidi="ar"/>
        </w:rPr>
        <w:t>万元；</w:t>
      </w:r>
      <w:r>
        <w:rPr>
          <w:rFonts w:hint="eastAsia" w:ascii="仿宋_GB2312" w:hAnsi="仿宋_GB2312" w:eastAsia="仿宋_GB2312" w:cs="仿宋_GB2312"/>
          <w:sz w:val="32"/>
          <w:szCs w:val="32"/>
          <w:lang w:val="en-US" w:eastAsia="zh-CN"/>
        </w:rPr>
        <w:t>特定目标类项目</w:t>
      </w:r>
      <w:r>
        <w:rPr>
          <w:rFonts w:hint="default" w:ascii="仿宋_GB2312" w:hAnsi="仿宋_GB2312" w:eastAsia="仿宋_GB2312" w:cs="仿宋_GB2312"/>
          <w:sz w:val="32"/>
          <w:szCs w:val="32"/>
          <w:lang w:eastAsia="zh-CN"/>
        </w:rPr>
        <w:t>3</w:t>
      </w:r>
      <w:r>
        <w:rPr>
          <w:rFonts w:hint="eastAsia" w:ascii="仿宋_GB2312" w:hAnsi="仿宋_GB2312" w:eastAsia="仿宋_GB2312" w:cs="仿宋_GB2312"/>
          <w:sz w:val="32"/>
          <w:szCs w:val="32"/>
          <w:lang w:val="en-US" w:eastAsia="zh-CN"/>
        </w:rPr>
        <w:t>个，涉及预算1805万元。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8" w:name="_Toc1232836981"/>
      <w:r>
        <w:rPr>
          <w:rFonts w:hint="eastAsia" w:ascii="黑体" w:hAnsi="黑体" w:eastAsia="黑体" w:cs="黑体"/>
          <w:sz w:val="32"/>
          <w:szCs w:val="32"/>
          <w:lang w:val="en-US" w:eastAsia="zh-CN"/>
        </w:rPr>
        <w:t>十一、名词解释</w:t>
      </w:r>
      <w:bookmarkEnd w:id="28"/>
    </w:p>
    <w:p>
      <w:pPr>
        <w:keepNext w:val="0"/>
        <w:keepLines w:val="0"/>
        <w:widowControl w:val="0"/>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668"/>
        <w:jc w:val="both"/>
        <w:rPr>
          <w:rFonts w:hint="default" w:ascii="仿宋_GB2312" w:hAnsi="Calibri" w:eastAsia="仿宋_GB2312" w:cs="仿宋_GB2312"/>
          <w:color w:val="auto"/>
          <w:kern w:val="2"/>
          <w:sz w:val="32"/>
          <w:szCs w:val="32"/>
          <w:lang w:val="en-US" w:eastAsia="zh-CN" w:bidi="ar"/>
        </w:rPr>
      </w:pPr>
      <w:r>
        <w:rPr>
          <w:rFonts w:hint="eastAsia" w:ascii="楷体_GB2312" w:hAnsi="楷体_GB2312" w:eastAsia="楷体_GB2312" w:cs="楷体_GB2312"/>
          <w:sz w:val="32"/>
          <w:szCs w:val="32"/>
          <w:lang w:val="en-US" w:eastAsia="zh-CN"/>
        </w:rPr>
        <w:t>（一）</w:t>
      </w:r>
      <w:r>
        <w:rPr>
          <w:rFonts w:hint="default" w:ascii="楷体_GB2312" w:hAnsi="Calibri" w:eastAsia="楷体_GB2312" w:cs="楷体_GB2312"/>
          <w:color w:val="auto"/>
          <w:kern w:val="2"/>
          <w:sz w:val="32"/>
          <w:szCs w:val="32"/>
          <w:lang w:val="en-US" w:eastAsia="zh-CN" w:bidi="ar"/>
        </w:rPr>
        <w:t>财政拨款收入:</w:t>
      </w:r>
      <w:r>
        <w:rPr>
          <w:rFonts w:hint="default" w:ascii="仿宋_GB2312" w:hAnsi="Calibri" w:eastAsia="仿宋_GB2312" w:cs="仿宋_GB2312"/>
          <w:color w:val="auto"/>
          <w:kern w:val="2"/>
          <w:sz w:val="32"/>
          <w:szCs w:val="32"/>
          <w:lang w:val="en-US" w:eastAsia="zh-CN" w:bidi="ar"/>
        </w:rPr>
        <w:t>指市财政当年安排的财政预算收入。按现行管理制度,部门预算中反映的财政拨款包括一般公共预算拨款和政府性基金预算拨款。</w:t>
      </w:r>
    </w:p>
    <w:p>
      <w:pPr>
        <w:keepNext w:val="0"/>
        <w:keepLines w:val="0"/>
        <w:widowControl w:val="0"/>
        <w:suppressLineNumbers w:val="0"/>
        <w:pBdr>
          <w:top w:val="none" w:color="auto" w:sz="0" w:space="0"/>
          <w:left w:val="none" w:color="auto" w:sz="0" w:space="0"/>
          <w:bottom w:val="none" w:color="auto" w:sz="0" w:space="0"/>
          <w:right w:val="none" w:color="auto" w:sz="0" w:space="0"/>
        </w:pBdr>
        <w:shd w:val="clear" w:color="auto" w:fill="FFFFFF"/>
        <w:suppressAutoHyphens/>
        <w:spacing w:before="0" w:beforeAutospacing="0" w:after="0" w:afterAutospacing="0" w:line="580" w:lineRule="atLeast"/>
        <w:ind w:left="0" w:right="0" w:firstLine="668"/>
        <w:jc w:val="both"/>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（二）社会保障和就业（类）行政事业单位养老支出（款）机关事业单位基本养老保险缴费支出（项）：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（三）卫生健康（类）行政事业单位医疗（款）事业单位医疗（项）：</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指部门下属事业单位按规定由单位缴纳的基本医疗保险支出。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（四）城乡社区（类）城乡社区公共设施支出（款）其他城乡社区公共设施支出（项）：</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指其他城乡社区公共设施（照明设施）方面的支出。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（五）住房保障（类）住房改革支出（款）住房公积金（项）：</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反映行政事业单位按人力资源和社会保障部、财政部规定的基本工资和津贴补贴以及规定比例为职工缴纳的住房公积金。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（六）基本支出：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r>
        <w:rPr>
          <w:rFonts w:hint="default" w:ascii="仿宋_GB2312" w:hAnsi="仿宋_GB2312" w:eastAsia="仿宋_GB2312" w:cs="仿宋_GB2312"/>
          <w:sz w:val="32"/>
          <w:szCs w:val="32"/>
          <w:lang w:eastAsia="zh-CN"/>
        </w:rPr>
        <w:t>单位</w:t>
      </w:r>
      <w:r>
        <w:rPr>
          <w:rFonts w:hint="eastAsia" w:ascii="仿宋_GB2312" w:hAnsi="仿宋_GB2312" w:eastAsia="仿宋_GB2312" w:cs="仿宋_GB2312"/>
          <w:sz w:val="32"/>
          <w:szCs w:val="32"/>
          <w:lang w:val="en-US" w:eastAsia="zh-CN"/>
        </w:rPr>
        <w:t>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4"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2D6B41F-286C-411F-AA90-59181D219B5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33E7224-10C2-439A-8EB8-796CE34AA6A5}"/>
  </w:font>
  <w:font w:name="Liberation Sans">
    <w:altName w:val="Arial"/>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仿宋_GB2312">
    <w:panose1 w:val="02010609030101010101"/>
    <w:charset w:val="86"/>
    <w:family w:val="auto"/>
    <w:pitch w:val="default"/>
    <w:sig w:usb0="00000001" w:usb1="080E0000" w:usb2="00000000" w:usb3="00000000" w:csb0="00040000" w:csb1="00000000"/>
    <w:embedRegular r:id="rId3" w:fontKey="{7BE81C2F-2B29-47DD-959F-59C6644AFFD3}"/>
  </w:font>
  <w:font w:name="方正小标宋简体">
    <w:panose1 w:val="03000509000000000000"/>
    <w:charset w:val="86"/>
    <w:family w:val="auto"/>
    <w:pitch w:val="default"/>
    <w:sig w:usb0="00000001" w:usb1="080E0000" w:usb2="00000000" w:usb3="00000000" w:csb0="00040000" w:csb1="00000000"/>
    <w:embedRegular r:id="rId4" w:fontKey="{F7B557E9-2F59-4FA9-AC5F-3812E9F4220C}"/>
  </w:font>
  <w:font w:name="楷体">
    <w:panose1 w:val="02010609060101010101"/>
    <w:charset w:val="86"/>
    <w:family w:val="auto"/>
    <w:pitch w:val="default"/>
    <w:sig w:usb0="800002BF" w:usb1="38CF7CFA" w:usb2="00000016" w:usb3="00000000" w:csb0="00040001" w:csb1="00000000"/>
    <w:embedRegular r:id="rId5" w:fontKey="{98EAB8CF-81A4-43AC-B1F5-A621526BACD8}"/>
  </w:font>
  <w:font w:name="楷体_GB2312">
    <w:panose1 w:val="02010609030101010101"/>
    <w:charset w:val="86"/>
    <w:family w:val="auto"/>
    <w:pitch w:val="default"/>
    <w:sig w:usb0="00000001" w:usb1="080E0000" w:usb2="00000000" w:usb3="00000000" w:csb0="00040000" w:csb1="00000000"/>
    <w:embedRegular r:id="rId6" w:fontKey="{8D535F1B-0838-45D3-A4EF-E1D5460D0A7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8b500fc8-175e-4d0f-8a32-c42a1c78848f"/>
  </w:docVars>
  <w:rsids>
    <w:rsidRoot w:val="00000000"/>
    <w:rsid w:val="012352D1"/>
    <w:rsid w:val="0F580345"/>
    <w:rsid w:val="1AFF52CB"/>
    <w:rsid w:val="1D9F113A"/>
    <w:rsid w:val="1F1B6B77"/>
    <w:rsid w:val="1F7BF06F"/>
    <w:rsid w:val="1FEE4B73"/>
    <w:rsid w:val="23CE9849"/>
    <w:rsid w:val="2BCD0A3F"/>
    <w:rsid w:val="337778DE"/>
    <w:rsid w:val="372799D5"/>
    <w:rsid w:val="375D064C"/>
    <w:rsid w:val="39F304DD"/>
    <w:rsid w:val="3CA95DE1"/>
    <w:rsid w:val="3DEF6CD8"/>
    <w:rsid w:val="54244390"/>
    <w:rsid w:val="54662A63"/>
    <w:rsid w:val="58064E12"/>
    <w:rsid w:val="5BFEE015"/>
    <w:rsid w:val="5FFF1795"/>
    <w:rsid w:val="61BEC469"/>
    <w:rsid w:val="63EDCF55"/>
    <w:rsid w:val="63FBFBCF"/>
    <w:rsid w:val="669360FD"/>
    <w:rsid w:val="679A448B"/>
    <w:rsid w:val="67F74A21"/>
    <w:rsid w:val="68FF6A83"/>
    <w:rsid w:val="6AEF6005"/>
    <w:rsid w:val="6E3DB48E"/>
    <w:rsid w:val="6EFFADD2"/>
    <w:rsid w:val="6FBBC9CF"/>
    <w:rsid w:val="6FE476A3"/>
    <w:rsid w:val="72BDE561"/>
    <w:rsid w:val="72EE4E2A"/>
    <w:rsid w:val="76DD7CCE"/>
    <w:rsid w:val="78462278"/>
    <w:rsid w:val="7997EA6C"/>
    <w:rsid w:val="7AEAE675"/>
    <w:rsid w:val="7BAFCE5D"/>
    <w:rsid w:val="7D46598C"/>
    <w:rsid w:val="7D9F8F0F"/>
    <w:rsid w:val="7DFB240B"/>
    <w:rsid w:val="7DFE05E7"/>
    <w:rsid w:val="7E0935ED"/>
    <w:rsid w:val="7FCF2AF7"/>
    <w:rsid w:val="9DBB860A"/>
    <w:rsid w:val="9FEF033D"/>
    <w:rsid w:val="A27FF1E5"/>
    <w:rsid w:val="AF3FEDDD"/>
    <w:rsid w:val="AFDEB5A7"/>
    <w:rsid w:val="AFEA7FBF"/>
    <w:rsid w:val="B5DD7BC4"/>
    <w:rsid w:val="B83F4767"/>
    <w:rsid w:val="BBDFA8DF"/>
    <w:rsid w:val="BF930F07"/>
    <w:rsid w:val="BFBBCB20"/>
    <w:rsid w:val="BFCE8436"/>
    <w:rsid w:val="C3F7EB7A"/>
    <w:rsid w:val="C5F60589"/>
    <w:rsid w:val="CF3F0CAC"/>
    <w:rsid w:val="CFF5FEEC"/>
    <w:rsid w:val="D3DD9064"/>
    <w:rsid w:val="D3EE1E07"/>
    <w:rsid w:val="D6F76A0C"/>
    <w:rsid w:val="D7ECE8D2"/>
    <w:rsid w:val="DBF31FF6"/>
    <w:rsid w:val="DFDD4FB5"/>
    <w:rsid w:val="E7F748B5"/>
    <w:rsid w:val="EE5F3713"/>
    <w:rsid w:val="EFC9D62C"/>
    <w:rsid w:val="F3B527E7"/>
    <w:rsid w:val="F49F19A5"/>
    <w:rsid w:val="F6BE9755"/>
    <w:rsid w:val="F6FFA89B"/>
    <w:rsid w:val="F88D0DC7"/>
    <w:rsid w:val="FAE4EFE1"/>
    <w:rsid w:val="FB9B6F12"/>
    <w:rsid w:val="FBB66A4A"/>
    <w:rsid w:val="FDEE6989"/>
    <w:rsid w:val="FE5D0F04"/>
    <w:rsid w:val="FE7B7CB0"/>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able of figures"/>
    <w:basedOn w:val="1"/>
    <w:next w:val="1"/>
    <w:qFormat/>
    <w:uiPriority w:val="0"/>
    <w:pPr>
      <w:ind w:left="400" w:leftChars="200" w:hanging="200" w:hangingChars="200"/>
    </w:p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ToCaption"/>
    <w:basedOn w:val="1"/>
    <w:next w:val="1"/>
    <w:qFormat/>
    <w:uiPriority w:val="0"/>
    <w:pPr>
      <w:spacing w:before="100" w:beforeAutospacing="1" w:after="100" w:afterAutospacing="1"/>
      <w:ind w:left="400" w:leftChars="200" w:hanging="200" w:hangingChars="200"/>
    </w:p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3607</Words>
  <Characters>3925</Characters>
  <Lines>1</Lines>
  <Paragraphs>1</Paragraphs>
  <TotalTime>1</TotalTime>
  <ScaleCrop>false</ScaleCrop>
  <LinksUpToDate>false</LinksUpToDate>
  <CharactersWithSpaces>4010</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2018-12-01T17:47:00Z</dcterms:created>
  <dc:creator>admin</dc:creator>
  <cp:lastModifiedBy>dell</cp:lastModifiedBy>
  <dcterms:modified xsi:type="dcterms:W3CDTF">2024-03-03T16:21:21Z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3C758965AB284078A3D9BC7FEEDE9249_13</vt:lpwstr>
  </property>
</Properties>
</file>