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广元市青川生态环境局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813800347"/>
        <w15:color w:val="DBDBDB"/>
        <w:docPartObj>
          <w:docPartGallery w:val="Table of Contents"/>
          <w:docPartUnique/>
        </w:docPartObj>
      </w:sdtPr>
      <w:sdtEndPr>
        <w:rPr>
          <w:rFonts w:hint="eastAsia" w:ascii="Calibri" w:hAnsi="Calibri" w:eastAsia="宋体" w:cs="Times New Roman"/>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TOC \o "1-3" \h \u </w:instrText>
          </w:r>
          <w:r>
            <w:rPr>
              <w:rFonts w:hint="eastAsia"/>
              <w:lang w:val="en-US" w:eastAsia="zh-CN"/>
            </w:rPr>
            <w:fldChar w:fldCharType="separate"/>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_Toc741058388 </w:instrText>
          </w:r>
          <w:r>
            <w:rPr>
              <w:rFonts w:hint="eastAsia"/>
              <w:lang w:val="en-US" w:eastAsia="zh-CN"/>
            </w:rP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_Toc741058388 \h </w:instrText>
          </w:r>
          <w:r>
            <w:fldChar w:fldCharType="separate"/>
          </w:r>
          <w:r>
            <w:t>3</w:t>
          </w:r>
          <w:r>
            <w:fldChar w:fldCharType="end"/>
          </w:r>
          <w:r>
            <w:rPr>
              <w:rFonts w:hint="eastAsia"/>
              <w:lang w:val="en-US" w:eastAsia="zh-CN"/>
            </w:rPr>
            <w:fldChar w:fldCharType="end"/>
          </w:r>
        </w:p>
        <w:p>
          <w:pPr>
            <w:pStyle w:val="16"/>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_Toc1814583261 </w:instrText>
          </w:r>
          <w:r>
            <w:rPr>
              <w:rFonts w:hint="eastAsia"/>
              <w:lang w:val="en-US" w:eastAsia="zh-CN"/>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广元市青川生态环境局</w:t>
          </w:r>
          <w:r>
            <w:rPr>
              <w:rFonts w:hint="eastAsia" w:ascii="楷体_GB2312" w:hAnsi="楷体_GB2312" w:eastAsia="楷体_GB2312" w:cs="楷体_GB2312"/>
              <w:szCs w:val="32"/>
            </w:rPr>
            <w:t>职能简介</w:t>
          </w:r>
          <w:r>
            <w:tab/>
          </w:r>
          <w:r>
            <w:fldChar w:fldCharType="begin"/>
          </w:r>
          <w:r>
            <w:instrText xml:space="preserve"> PAGEREF _Toc1814583261 \h </w:instrText>
          </w:r>
          <w:r>
            <w:fldChar w:fldCharType="separate"/>
          </w:r>
          <w:r>
            <w:t>3</w:t>
          </w:r>
          <w:r>
            <w:fldChar w:fldCharType="end"/>
          </w:r>
          <w:r>
            <w:rPr>
              <w:rFonts w:hint="eastAsia"/>
              <w:lang w:val="en-US" w:eastAsia="zh-CN"/>
            </w:rPr>
            <w:fldChar w:fldCharType="end"/>
          </w:r>
        </w:p>
        <w:p>
          <w:pPr>
            <w:pStyle w:val="16"/>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_Toc576351775 </w:instrText>
          </w:r>
          <w:r>
            <w:rPr>
              <w:rFonts w:hint="eastAsia"/>
              <w:lang w:val="en-US" w:eastAsia="zh-CN"/>
            </w:rP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lang w:val="en-US" w:eastAsia="zh-CN"/>
            </w:rPr>
            <w:t>广元市青川生态环境局2</w:t>
          </w:r>
          <w:r>
            <w:rPr>
              <w:rFonts w:hint="eastAsia" w:ascii="楷体_GB2312" w:hAnsi="楷体_GB2312" w:eastAsia="楷体_GB2312" w:cs="楷体_GB2312"/>
              <w:szCs w:val="32"/>
              <w:lang w:val="en-US"/>
            </w:rPr>
            <w:t>024</w:t>
          </w:r>
          <w:r>
            <w:rPr>
              <w:rFonts w:hint="eastAsia" w:ascii="楷体_GB2312" w:hAnsi="楷体_GB2312" w:eastAsia="楷体_GB2312" w:cs="楷体_GB2312"/>
              <w:szCs w:val="32"/>
            </w:rPr>
            <w:t>年重点工作</w:t>
          </w:r>
          <w:r>
            <w:tab/>
          </w:r>
          <w:r>
            <w:fldChar w:fldCharType="begin"/>
          </w:r>
          <w:r>
            <w:instrText xml:space="preserve"> PAGEREF _Toc576351775 \h </w:instrText>
          </w:r>
          <w:r>
            <w:fldChar w:fldCharType="separate"/>
          </w:r>
          <w:r>
            <w:t>3</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_Toc1460842111 </w:instrText>
          </w:r>
          <w:r>
            <w:rPr>
              <w:rFonts w:hint="eastAsia"/>
              <w:lang w:val="en-US" w:eastAsia="zh-CN"/>
            </w:rP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_Toc1460842111 \h </w:instrText>
          </w:r>
          <w:r>
            <w:fldChar w:fldCharType="separate"/>
          </w:r>
          <w:r>
            <w:t>4</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_Toc1487842553 </w:instrText>
          </w:r>
          <w:r>
            <w:rPr>
              <w:rFonts w:hint="eastAsia"/>
              <w:lang w:val="en-US" w:eastAsia="zh-CN"/>
            </w:rP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_Toc1487842553 \h </w:instrText>
          </w:r>
          <w:r>
            <w:fldChar w:fldCharType="separate"/>
          </w:r>
          <w:r>
            <w:t>4</w:t>
          </w:r>
          <w:r>
            <w:fldChar w:fldCharType="end"/>
          </w:r>
          <w:r>
            <w:rPr>
              <w:rFonts w:hint="eastAsia"/>
              <w:lang w:val="en-US" w:eastAsia="zh-CN"/>
            </w:rPr>
            <w:fldChar w:fldCharType="end"/>
          </w:r>
        </w:p>
        <w:p>
          <w:pPr>
            <w:pStyle w:val="16"/>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_Toc37672530 </w:instrText>
          </w:r>
          <w:r>
            <w:rPr>
              <w:rFonts w:hint="eastAsia"/>
              <w:lang w:val="en-US" w:eastAsia="zh-CN"/>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_Toc37672530 \h </w:instrText>
          </w:r>
          <w:r>
            <w:fldChar w:fldCharType="separate"/>
          </w:r>
          <w:r>
            <w:t>5</w:t>
          </w:r>
          <w:r>
            <w:fldChar w:fldCharType="end"/>
          </w:r>
          <w:r>
            <w:rPr>
              <w:rFonts w:hint="eastAsia"/>
              <w:lang w:val="en-US" w:eastAsia="zh-CN"/>
            </w:rPr>
            <w:fldChar w:fldCharType="end"/>
          </w:r>
        </w:p>
        <w:p>
          <w:pPr>
            <w:pStyle w:val="16"/>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_Toc1152409751 </w:instrText>
          </w:r>
          <w:r>
            <w:rPr>
              <w:rFonts w:hint="eastAsia"/>
              <w:lang w:val="en-US" w:eastAsia="zh-CN"/>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_Toc1152409751 \h </w:instrText>
          </w:r>
          <w:r>
            <w:fldChar w:fldCharType="separate"/>
          </w:r>
          <w:r>
            <w:t>5</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_Toc1946688148 </w:instrText>
          </w:r>
          <w:r>
            <w:rPr>
              <w:rFonts w:hint="eastAsia"/>
              <w:lang w:val="en-US" w:eastAsia="zh-CN"/>
            </w:rP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_Toc1946688148 \h </w:instrText>
          </w:r>
          <w:r>
            <w:fldChar w:fldCharType="separate"/>
          </w:r>
          <w:r>
            <w:t>5</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_Toc564760628 </w:instrText>
          </w:r>
          <w:r>
            <w:rPr>
              <w:rFonts w:hint="eastAsia"/>
              <w:lang w:val="en-US" w:eastAsia="zh-CN"/>
            </w:rP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_Toc564760628 \h </w:instrText>
          </w:r>
          <w:r>
            <w:fldChar w:fldCharType="separate"/>
          </w:r>
          <w:r>
            <w:t>5</w:t>
          </w:r>
          <w:r>
            <w:fldChar w:fldCharType="end"/>
          </w:r>
          <w:r>
            <w:rPr>
              <w:rFonts w:hint="eastAsia"/>
              <w:lang w:val="en-US" w:eastAsia="zh-CN"/>
            </w:rPr>
            <w:fldChar w:fldCharType="end"/>
          </w:r>
        </w:p>
        <w:p>
          <w:pPr>
            <w:pStyle w:val="16"/>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_Toc1388795185 </w:instrText>
          </w:r>
          <w:r>
            <w:rPr>
              <w:rFonts w:hint="eastAsia"/>
              <w:lang w:val="en-US" w:eastAsia="zh-CN"/>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_Toc1388795185 \h </w:instrText>
          </w:r>
          <w:r>
            <w:fldChar w:fldCharType="separate"/>
          </w:r>
          <w:r>
            <w:t>5</w:t>
          </w:r>
          <w:r>
            <w:fldChar w:fldCharType="end"/>
          </w:r>
          <w:r>
            <w:rPr>
              <w:rFonts w:hint="eastAsia"/>
              <w:lang w:val="en-US" w:eastAsia="zh-CN"/>
            </w:rPr>
            <w:fldChar w:fldCharType="end"/>
          </w:r>
        </w:p>
        <w:p>
          <w:pPr>
            <w:pStyle w:val="16"/>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_Toc899261898 </w:instrText>
          </w:r>
          <w:r>
            <w:rPr>
              <w:rFonts w:hint="eastAsia"/>
              <w:lang w:val="en-US" w:eastAsia="zh-CN"/>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_Toc899261898 \h </w:instrText>
          </w:r>
          <w:r>
            <w:fldChar w:fldCharType="separate"/>
          </w:r>
          <w:r>
            <w:t>5</w:t>
          </w:r>
          <w:r>
            <w:fldChar w:fldCharType="end"/>
          </w:r>
          <w:r>
            <w:rPr>
              <w:rFonts w:hint="eastAsia"/>
              <w:lang w:val="en-US" w:eastAsia="zh-CN"/>
            </w:rPr>
            <w:fldChar w:fldCharType="end"/>
          </w:r>
        </w:p>
        <w:p>
          <w:pPr>
            <w:pStyle w:val="16"/>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_Toc1721132063 </w:instrText>
          </w:r>
          <w:r>
            <w:rPr>
              <w:rFonts w:hint="eastAsia"/>
              <w:lang w:val="en-US" w:eastAsia="zh-CN"/>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_Toc1721132063 \h </w:instrText>
          </w:r>
          <w:r>
            <w:fldChar w:fldCharType="separate"/>
          </w:r>
          <w:r>
            <w:t>6</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_Toc1430743521 </w:instrText>
          </w:r>
          <w:r>
            <w:rPr>
              <w:rFonts w:hint="eastAsia"/>
              <w:lang w:val="en-US" w:eastAsia="zh-CN"/>
            </w:rP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_Toc1430743521 \h </w:instrText>
          </w:r>
          <w:r>
            <w:fldChar w:fldCharType="separate"/>
          </w:r>
          <w:r>
            <w:t>7</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_Toc725873958 </w:instrText>
          </w:r>
          <w:r>
            <w:rPr>
              <w:rFonts w:hint="eastAsia"/>
              <w:lang w:val="en-US" w:eastAsia="zh-CN"/>
            </w:rP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_Toc725873958 \h </w:instrText>
          </w:r>
          <w:r>
            <w:fldChar w:fldCharType="separate"/>
          </w:r>
          <w:r>
            <w:t>7</w:t>
          </w:r>
          <w:r>
            <w:fldChar w:fldCharType="end"/>
          </w:r>
          <w:r>
            <w:rPr>
              <w:rFonts w:hint="eastAsia"/>
              <w:lang w:val="en-US" w:eastAsia="zh-CN"/>
            </w:rPr>
            <w:fldChar w:fldCharType="end"/>
          </w:r>
        </w:p>
        <w:p>
          <w:pPr>
            <w:pStyle w:val="16"/>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_Toc1767267463 </w:instrText>
          </w:r>
          <w:r>
            <w:rPr>
              <w:rFonts w:hint="eastAsia"/>
              <w:lang w:val="en-US" w:eastAsia="zh-CN"/>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_Toc1767267463 \h </w:instrText>
          </w:r>
          <w:r>
            <w:fldChar w:fldCharType="separate"/>
          </w:r>
          <w:r>
            <w:t>7</w:t>
          </w:r>
          <w:r>
            <w:fldChar w:fldCharType="end"/>
          </w:r>
          <w:r>
            <w:rPr>
              <w:rFonts w:hint="eastAsia"/>
              <w:lang w:val="en-US" w:eastAsia="zh-CN"/>
            </w:rPr>
            <w:fldChar w:fldCharType="end"/>
          </w:r>
        </w:p>
        <w:p>
          <w:pPr>
            <w:pStyle w:val="16"/>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_Toc625882628 </w:instrText>
          </w:r>
          <w:r>
            <w:rPr>
              <w:rFonts w:hint="eastAsia"/>
              <w:lang w:val="en-US" w:eastAsia="zh-CN"/>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_Toc625882628 \h </w:instrText>
          </w:r>
          <w:r>
            <w:fldChar w:fldCharType="separate"/>
          </w:r>
          <w:r>
            <w:t>8</w:t>
          </w:r>
          <w:r>
            <w:fldChar w:fldCharType="end"/>
          </w:r>
          <w:r>
            <w:rPr>
              <w:rFonts w:hint="eastAsia"/>
              <w:lang w:val="en-US" w:eastAsia="zh-CN"/>
            </w:rPr>
            <w:fldChar w:fldCharType="end"/>
          </w:r>
        </w:p>
        <w:p>
          <w:pPr>
            <w:pStyle w:val="16"/>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_Toc1199358136 </w:instrText>
          </w:r>
          <w:r>
            <w:rPr>
              <w:rFonts w:hint="eastAsia"/>
              <w:lang w:val="en-US" w:eastAsia="zh-CN"/>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_Toc1199358136 \h </w:instrText>
          </w:r>
          <w:r>
            <w:fldChar w:fldCharType="separate"/>
          </w:r>
          <w:r>
            <w:t>8</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_Toc723446884 </w:instrText>
          </w:r>
          <w:r>
            <w:rPr>
              <w:rFonts w:hint="eastAsia"/>
              <w:lang w:val="en-US" w:eastAsia="zh-CN"/>
            </w:rP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_Toc723446884 \h </w:instrText>
          </w:r>
          <w:r>
            <w:fldChar w:fldCharType="separate"/>
          </w:r>
          <w:r>
            <w:t>8</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_Toc909205854 </w:instrText>
          </w:r>
          <w:r>
            <w:rPr>
              <w:rFonts w:hint="eastAsia"/>
              <w:lang w:val="en-US" w:eastAsia="zh-CN"/>
            </w:rP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_Toc909205854 \h </w:instrText>
          </w:r>
          <w:r>
            <w:fldChar w:fldCharType="separate"/>
          </w:r>
          <w:r>
            <w:t>8</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_Toc1898608968 </w:instrText>
          </w:r>
          <w:r>
            <w:rPr>
              <w:rFonts w:hint="eastAsia"/>
              <w:lang w:val="en-US" w:eastAsia="zh-CN"/>
            </w:rP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_Toc1898608968 \h </w:instrText>
          </w:r>
          <w:r>
            <w:fldChar w:fldCharType="separate"/>
          </w:r>
          <w:r>
            <w:t>8</w:t>
          </w:r>
          <w:r>
            <w:fldChar w:fldCharType="end"/>
          </w:r>
          <w:r>
            <w:rPr>
              <w:rFonts w:hint="eastAsia"/>
              <w:lang w:val="en-US" w:eastAsia="zh-CN"/>
            </w:rPr>
            <w:fldChar w:fldCharType="end"/>
          </w:r>
        </w:p>
        <w:p>
          <w:pPr>
            <w:pStyle w:val="15"/>
            <w:tabs>
              <w:tab w:val="right" w:leader="dot" w:pos="8845"/>
            </w:tabs>
            <w:spacing w:line="360" w:lineRule="auto"/>
          </w:pPr>
          <w:r>
            <w:rPr>
              <w:rFonts w:hint="eastAsia"/>
              <w:lang w:val="en-US" w:eastAsia="zh-CN"/>
            </w:rPr>
            <w:fldChar w:fldCharType="begin"/>
          </w:r>
          <w:r>
            <w:rPr>
              <w:rFonts w:hint="eastAsia"/>
              <w:lang w:val="en-US" w:eastAsia="zh-CN"/>
            </w:rPr>
            <w:instrText xml:space="preserve"> HYPERLINK \l _Toc995360203 </w:instrText>
          </w:r>
          <w:r>
            <w:rPr>
              <w:rFonts w:hint="eastAsia"/>
              <w:lang w:val="en-US" w:eastAsia="zh-CN"/>
            </w:rPr>
            <w:fldChar w:fldCharType="separate"/>
          </w:r>
          <w:r>
            <w:rPr>
              <w:rFonts w:hint="eastAsia" w:ascii="黑体" w:hAnsi="黑体" w:eastAsia="黑体" w:cs="黑体"/>
              <w:szCs w:val="32"/>
              <w:lang w:val="en-US" w:eastAsia="zh-CN"/>
            </w:rPr>
            <w:t>十一、名词解释</w:t>
          </w:r>
          <w:r>
            <w:tab/>
          </w:r>
          <w:r>
            <w:fldChar w:fldCharType="begin"/>
          </w:r>
          <w:r>
            <w:instrText xml:space="preserve"> PAGEREF _Toc995360203 \h </w:instrText>
          </w:r>
          <w:r>
            <w:fldChar w:fldCharType="separate"/>
          </w:r>
          <w:r>
            <w:t>9</w:t>
          </w:r>
          <w:r>
            <w:fldChar w:fldCharType="end"/>
          </w:r>
          <w:r>
            <w:rPr>
              <w:rFonts w:hint="eastAsia"/>
              <w:lang w:val="en-US" w:eastAsia="zh-CN"/>
            </w:rPr>
            <w:fldChar w:fldCharType="end"/>
          </w:r>
        </w:p>
        <w:p>
          <w:pPr>
            <w:pStyle w:val="2"/>
            <w:spacing w:line="360" w:lineRule="auto"/>
            <w:rPr>
              <w:rFonts w:hint="eastAsia" w:ascii="Calibri" w:hAnsi="Calibri" w:eastAsia="宋体" w:cs="Times New Roman"/>
              <w:color w:val="auto"/>
              <w:kern w:val="2"/>
              <w:sz w:val="21"/>
              <w:szCs w:val="24"/>
              <w:lang w:val="en-US" w:eastAsia="zh-CN" w:bidi="ar-SA"/>
            </w:rPr>
          </w:pPr>
          <w:r>
            <w:rPr>
              <w:rFonts w:hint="eastAsia"/>
              <w:lang w:val="en-US" w:eastAsia="zh-CN"/>
            </w:rPr>
            <w:fldChar w:fldCharType="end"/>
          </w:r>
        </w:p>
      </w:sdtContent>
    </w:sdt>
    <w:p>
      <w:pPr>
        <w:rPr>
          <w:rFonts w:hint="eastAsia"/>
          <w:lang w:val="en-US" w:eastAsia="zh-CN"/>
        </w:rPr>
      </w:pP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741058388"/>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1814583261"/>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广元市青川生态环境局</w:t>
      </w:r>
      <w:r>
        <w:rPr>
          <w:rFonts w:hint="eastAsia" w:ascii="楷体_GB2312" w:hAnsi="楷体_GB2312" w:eastAsia="楷体_GB2312" w:cs="楷体_GB2312"/>
          <w:sz w:val="32"/>
          <w:szCs w:val="32"/>
        </w:rPr>
        <w:t>职能简介</w:t>
      </w:r>
      <w:bookmarkEnd w:id="1"/>
    </w:p>
    <w:p>
      <w:pPr>
        <w:spacing w:line="576" w:lineRule="exact"/>
        <w:ind w:firstLine="640" w:firstLineChars="200"/>
        <w:rPr>
          <w:rFonts w:hint="eastAsia" w:ascii="楷体_GB2312" w:hAnsi="楷体_GB2312" w:eastAsia="楷体_GB2312" w:cs="楷体_GB2312"/>
          <w:sz w:val="32"/>
          <w:szCs w:val="32"/>
        </w:rPr>
      </w:pPr>
      <w:r>
        <w:rPr>
          <w:rFonts w:hint="default" w:ascii="Times New Roman" w:hAnsi="Times New Roman" w:eastAsia="仿宋_GB2312" w:cs="Times New Roman"/>
          <w:sz w:val="32"/>
          <w:szCs w:val="32"/>
        </w:rPr>
        <w:t>统筹谋划县区生态环境保护各项工作，分解下达生态环境保护目标任务，统一指导、协调、监督生态环境保护工作，负责属地党委政府生态环境倮护议事协调机构的办事机构的日常工作，协助属地党委政府履行生态环境保护主体责任；会同有关部门组织开展生态环境保护方面绩效考核，定期通报重大生态环境保护工作进展情况；加强与有关部门联动执法，协同作战，集中解决突出生态环境问题。构建政府为主导、企业为主体、社会组织和公众共同参与的生态环境治理体系，实行最严格的生态环境保护制度，严守生态保护红线和环境质量底线，坚决打好污染防治攻坚战，筑牢嘉陵江上游生态屏障，保障生态安全。</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576351775"/>
      <w:r>
        <w:rPr>
          <w:rFonts w:hint="eastAsia" w:ascii="楷体_GB2312" w:hAnsi="楷体_GB2312" w:eastAsia="楷体_GB2312" w:cs="楷体_GB2312"/>
          <w:sz w:val="32"/>
          <w:szCs w:val="32"/>
          <w:lang w:val="en-US" w:eastAsia="zh-CN"/>
        </w:rPr>
        <w:t>广元市青川生态环境局2</w:t>
      </w:r>
      <w:r>
        <w:rPr>
          <w:rFonts w:hint="eastAsia" w:ascii="楷体_GB2312" w:hAnsi="楷体_GB2312" w:eastAsia="楷体_GB2312" w:cs="楷体_GB2312"/>
          <w:sz w:val="32"/>
          <w:szCs w:val="32"/>
          <w:lang w:val="en-US"/>
        </w:rPr>
        <w:t>024</w:t>
      </w:r>
      <w:r>
        <w:rPr>
          <w:rFonts w:hint="eastAsia" w:ascii="楷体_GB2312" w:hAnsi="楷体_GB2312" w:eastAsia="楷体_GB2312" w:cs="楷体_GB2312"/>
          <w:sz w:val="32"/>
          <w:szCs w:val="32"/>
        </w:rPr>
        <w:t>年重点工作</w:t>
      </w:r>
      <w:bookmarkEnd w:id="2"/>
    </w:p>
    <w:p>
      <w:pPr>
        <w:spacing w:line="576" w:lineRule="exact"/>
        <w:ind w:firstLine="640" w:firstLineChars="200"/>
        <w:rPr>
          <w:rFonts w:hint="eastAsia"/>
        </w:rPr>
      </w:pPr>
      <w:r>
        <w:rPr>
          <w:rFonts w:hint="default" w:ascii="Times New Roman" w:hAnsi="Times New Roman" w:eastAsia="仿宋_GB2312" w:cs="Times New Roman"/>
          <w:sz w:val="32"/>
          <w:szCs w:val="32"/>
        </w:rPr>
        <w:t>持续打好污染防治攻坚战，切实抓好各级各类环保督察反馈问题整改，致力持续巩固国家生态文明建设示范区创建成果。一是扎实做好第二轮中央生态环境保护督察反馈问题“举一反三”工作。深入开展全县生态环境问题大排查大整治工作，对历次中央、省级督察反馈问题“回头看”，确保能精准发现问题、高效整改问题。二是大力推进生态文明建设。以立足国家级生态文明示范县创建成果为契机，进一步完善青川县生态文明体制改革实施方案，优化我区空间开发格局，构建绿色发展空间体系，以改善环境质量为导向，构建完善的环境治理体系。三是统筹城乡环境保护，加强农村生态环境保护力度，积极探索农村生活污水治理途径，寻求减排项目新突破，持续做好“水气土”污染防治攻坚战。四是不断夯实生态基础设施建设，加大环保项目建设投入力度，提升环境监管能力和治理水平，切实加大环境监察执法力度，严厉打击环境违法行为。五是切实防范环境风险。进一步落实环境安全主体责任，加大环境隐患排查力度。六是细化环保目标任务和工作措施，高标准、严要求抓好我县“十四五”生态环境保护规划落实。七是进一步加大生态环境保护宣传力度，引导人民群众爱护环境，合理开发利用自然资源，提高全社会的生态环境保护意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1460842111"/>
      <w:r>
        <w:rPr>
          <w:rFonts w:hint="eastAsia" w:ascii="黑体" w:hAnsi="黑体" w:eastAsia="黑体" w:cs="黑体"/>
          <w:sz w:val="32"/>
          <w:szCs w:val="32"/>
          <w:lang w:val="en-US" w:eastAsia="zh-CN"/>
        </w:rPr>
        <w:t>二、部门预算单位构成</w:t>
      </w:r>
      <w:bookmarkEnd w:id="3"/>
    </w:p>
    <w:p>
      <w:pPr>
        <w:keepNext w:val="0"/>
        <w:keepLines w:val="0"/>
        <w:widowControl/>
        <w:suppressLineNumbers w:val="0"/>
        <w:spacing w:before="0" w:beforeAutospacing="0" w:after="0" w:afterAutospacing="0" w:line="240" w:lineRule="auto"/>
        <w:ind w:left="0" w:right="0" w:firstLine="640" w:firstLineChars="200"/>
        <w:jc w:val="left"/>
        <w:rPr>
          <w:rStyle w:val="14"/>
          <w:rFonts w:hint="eastAsia" w:ascii="仿宋_GB2312" w:hAnsi="仿宋_GB2312" w:eastAsia="仿宋_GB2312" w:cs="仿宋_GB2312"/>
          <w:b w:val="0"/>
          <w:bCs w:val="0"/>
          <w:lang w:val="en-US" w:eastAsia="zh-CN"/>
        </w:rPr>
      </w:pPr>
      <w:r>
        <w:rPr>
          <w:rFonts w:hint="eastAsia" w:ascii="仿宋_GB2312" w:hAnsi="仿宋_GB2312" w:eastAsia="仿宋_GB2312" w:cs="仿宋_GB2312"/>
          <w:sz w:val="32"/>
          <w:szCs w:val="32"/>
          <w:lang w:val="en-US" w:eastAsia="zh-CN"/>
        </w:rPr>
        <w:t>我单位为广元市生态环境局的下属二级预算单位，</w:t>
      </w:r>
      <w:r>
        <w:rPr>
          <w:rStyle w:val="14"/>
          <w:rFonts w:hint="eastAsia" w:ascii="仿宋_GB2312" w:hAnsi="仿宋_GB2312" w:eastAsia="仿宋_GB2312" w:cs="仿宋_GB2312"/>
          <w:b w:val="0"/>
          <w:bCs w:val="0"/>
          <w:lang w:val="en-US" w:eastAsia="zh-CN"/>
        </w:rPr>
        <w:t>下设独立编制机构3个，其中行政机构1个，参照公务员法管理的事业机构1个，其他事业编制1个，均未独立预算。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1487842553"/>
      <w:r>
        <w:rPr>
          <w:rFonts w:hint="eastAsia" w:ascii="黑体" w:hAnsi="黑体" w:eastAsia="黑体" w:cs="黑体"/>
          <w:sz w:val="32"/>
          <w:szCs w:val="32"/>
          <w:lang w:val="en-US" w:eastAsia="zh-CN"/>
        </w:rPr>
        <w:t>三、收支预算情况说明</w:t>
      </w:r>
      <w:bookmarkEnd w:id="4"/>
      <w:bookmarkStart w:id="21" w:name="_GoBack"/>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按照综合预算的原则，广元市青川生态环境局所有收入和支出均纳入部门预算管理。收入包括：一般公共预算拨款收入；支出包括：社会保障和就业支出、卫生健康支出、</w:t>
      </w:r>
      <w:r>
        <w:rPr>
          <w:rFonts w:hint="default" w:ascii="Times New Roman" w:hAnsi="Times New Roman" w:eastAsia="仿宋_GB2312" w:cs="Times New Roman"/>
          <w:sz w:val="32"/>
          <w:szCs w:val="32"/>
        </w:rPr>
        <w:t>节能环保支出、</w:t>
      </w:r>
      <w:r>
        <w:rPr>
          <w:rFonts w:hint="eastAsia" w:ascii="仿宋_GB2312" w:hAnsi="仿宋_GB2312" w:eastAsia="仿宋_GB2312" w:cs="仿宋_GB2312"/>
          <w:sz w:val="32"/>
          <w:szCs w:val="32"/>
          <w:lang w:val="en-US" w:eastAsia="zh-CN"/>
        </w:rPr>
        <w:t>住房保障支出。广元市青川生态环境局2024年收支预算总数493.26万元,比2023年收支预算总数增加27.89万元，主要原因是</w:t>
      </w:r>
      <w:r>
        <w:rPr>
          <w:rFonts w:hint="default" w:ascii="Times New Roman" w:hAnsi="Times New Roman" w:eastAsia="仿宋_GB2312" w:cs="Times New Roman"/>
          <w:sz w:val="32"/>
          <w:szCs w:val="32"/>
        </w:rPr>
        <w:t>本年度在职人员较上年度</w:t>
      </w:r>
      <w:r>
        <w:rPr>
          <w:rFonts w:hint="eastAsia" w:ascii="Times New Roman" w:hAnsi="Times New Roman" w:eastAsia="仿宋_GB2312" w:cs="Times New Roman"/>
          <w:sz w:val="32"/>
          <w:szCs w:val="32"/>
          <w:lang w:val="en-US" w:eastAsia="zh-CN"/>
        </w:rPr>
        <w:t>增加3</w:t>
      </w:r>
      <w:r>
        <w:rPr>
          <w:rFonts w:hint="default" w:ascii="Times New Roman" w:hAnsi="Times New Roman" w:eastAsia="仿宋_GB2312" w:cs="Times New Roman"/>
          <w:sz w:val="32"/>
          <w:szCs w:val="32"/>
        </w:rPr>
        <w:t>人</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37672530"/>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广元市青川生态环境局2024年收入预算493.26万元，其中：一般公共预算拨款收入493.26万元，占100%。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152409751"/>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广元市青川生态环境局2024年支出预算493.26万元，其中：基本支出382.86万元，占77.62%；项目支出110.4万元，占22.38%</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1946688148"/>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广元市青川生态环境局2024年财政拨款收支预算总数493.26万元,比2023年财政拨款收支预算总数增加27.89万元，主要原因是</w:t>
      </w:r>
      <w:r>
        <w:rPr>
          <w:rFonts w:hint="default" w:ascii="Times New Roman" w:hAnsi="Times New Roman" w:eastAsia="仿宋_GB2312" w:cs="Times New Roman"/>
          <w:sz w:val="32"/>
          <w:szCs w:val="32"/>
        </w:rPr>
        <w:t>本年度在职人员较上年度</w:t>
      </w:r>
      <w:r>
        <w:rPr>
          <w:rFonts w:hint="eastAsia" w:ascii="Times New Roman" w:hAnsi="Times New Roman" w:eastAsia="仿宋_GB2312" w:cs="Times New Roman"/>
          <w:sz w:val="32"/>
          <w:szCs w:val="32"/>
          <w:lang w:val="en-US" w:eastAsia="zh-CN"/>
        </w:rPr>
        <w:t>增加3</w:t>
      </w:r>
      <w:r>
        <w:rPr>
          <w:rFonts w:hint="default" w:ascii="Times New Roman" w:hAnsi="Times New Roman" w:eastAsia="仿宋_GB2312" w:cs="Times New Roman"/>
          <w:sz w:val="32"/>
          <w:szCs w:val="32"/>
        </w:rPr>
        <w:t>人</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收入包括：本年一般公共预算拨款收入493.26万元；支出包括：社会保障和就业支出33.66万元、卫生健康支出15.46万元、 节能环保支出417.64万元，住房保障支出26.5万元。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564760628"/>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388795185"/>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广元市青川生态环境局2024年一般公共预算当年拨款493.26万元，比2023年预算数增加27.89万元，主要原因是</w:t>
      </w:r>
      <w:r>
        <w:rPr>
          <w:rFonts w:hint="default" w:ascii="Times New Roman" w:hAnsi="Times New Roman" w:eastAsia="仿宋_GB2312" w:cs="Times New Roman"/>
          <w:sz w:val="32"/>
          <w:szCs w:val="32"/>
        </w:rPr>
        <w:t>本年度在职人员较上年度</w:t>
      </w:r>
      <w:r>
        <w:rPr>
          <w:rFonts w:hint="eastAsia" w:ascii="Times New Roman" w:hAnsi="Times New Roman" w:eastAsia="仿宋_GB2312" w:cs="Times New Roman"/>
          <w:sz w:val="32"/>
          <w:szCs w:val="32"/>
          <w:lang w:val="en-US" w:eastAsia="zh-CN"/>
        </w:rPr>
        <w:t>增加3</w:t>
      </w:r>
      <w:r>
        <w:rPr>
          <w:rFonts w:hint="default" w:ascii="Times New Roman" w:hAnsi="Times New Roman" w:eastAsia="仿宋_GB2312" w:cs="Times New Roman"/>
          <w:sz w:val="32"/>
          <w:szCs w:val="32"/>
        </w:rPr>
        <w:t>人</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899261898"/>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社会保障和就业支出33.66万元，占6.82%；卫生健康支出15.46万元，占3.14%；</w:t>
      </w:r>
      <w:r>
        <w:rPr>
          <w:rFonts w:hint="default" w:ascii="Times New Roman" w:hAnsi="Times New Roman" w:eastAsia="仿宋_GB2312" w:cs="Times New Roman"/>
          <w:sz w:val="32"/>
          <w:szCs w:val="32"/>
        </w:rPr>
        <w:t>节能环保支出417.64万元</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占</w:t>
      </w:r>
      <w:r>
        <w:rPr>
          <w:rFonts w:hint="eastAsia" w:ascii="Times New Roman" w:hAnsi="Times New Roman" w:eastAsia="仿宋_GB2312" w:cs="Times New Roman"/>
          <w:sz w:val="32"/>
          <w:szCs w:val="32"/>
          <w:lang w:val="en-US" w:eastAsia="zh-CN"/>
        </w:rPr>
        <w:t>84.67</w:t>
      </w:r>
      <w:r>
        <w:rPr>
          <w:rFonts w:hint="default" w:ascii="Times New Roman" w:hAnsi="Times New Roman" w:eastAsia="仿宋_GB2312" w:cs="Times New Roman"/>
          <w:sz w:val="32"/>
          <w:szCs w:val="32"/>
        </w:rPr>
        <w:t>%；</w:t>
      </w:r>
      <w:r>
        <w:rPr>
          <w:rFonts w:hint="eastAsia" w:ascii="仿宋_GB2312" w:hAnsi="仿宋_GB2312" w:eastAsia="仿宋_GB2312" w:cs="仿宋_GB2312"/>
          <w:sz w:val="32"/>
          <w:szCs w:val="32"/>
          <w:lang w:val="en-US" w:eastAsia="zh-CN"/>
        </w:rPr>
        <w:t>住房保障支出26.5万元，占5.37%。</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721132063"/>
      <w:r>
        <w:rPr>
          <w:rFonts w:hint="eastAsia" w:ascii="楷体_GB2312" w:hAnsi="楷体_GB2312" w:eastAsia="楷体_GB2312" w:cs="楷体_GB2312"/>
          <w:sz w:val="32"/>
          <w:szCs w:val="32"/>
          <w:lang w:val="en-US" w:eastAsia="zh-CN"/>
        </w:rPr>
        <w:t>（三）一般公共预算当年拨款具体使用情况</w:t>
      </w:r>
      <w:bookmarkEnd w:id="11"/>
    </w:p>
    <w:p>
      <w:pPr>
        <w:spacing w:line="576" w:lineRule="exact"/>
        <w:ind w:firstLine="640" w:firstLineChars="200"/>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default" w:ascii="Times New Roman" w:hAnsi="Times New Roman" w:eastAsia="仿宋_GB2312" w:cs="Times New Roman"/>
          <w:sz w:val="32"/>
          <w:szCs w:val="32"/>
        </w:rPr>
        <w:t>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2024年预算数为32.99万元，主要用于：</w:t>
      </w:r>
      <w:r>
        <w:rPr>
          <w:rFonts w:hint="default" w:ascii="Times New Roman" w:hAnsi="Times New Roman" w:eastAsia="仿宋_GB2312" w:cs="Times New Roman"/>
          <w:sz w:val="32"/>
          <w:szCs w:val="32"/>
        </w:rPr>
        <w:t>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2.</w:t>
      </w:r>
      <w:r>
        <w:rPr>
          <w:rFonts w:hint="default" w:ascii="Times New Roman" w:hAnsi="Times New Roman" w:eastAsia="仿宋_GB2312" w:cs="Times New Roman"/>
          <w:sz w:val="32"/>
          <w:szCs w:val="32"/>
          <w:highlight w:val="none"/>
        </w:rPr>
        <w:t>社会保障和就业（类）其他社会保障和就业支出（款）其他社会保障和就业支出（项）</w:t>
      </w:r>
      <w:r>
        <w:rPr>
          <w:rFonts w:hint="eastAsia" w:ascii="仿宋_GB2312" w:hAnsi="仿宋_GB2312" w:eastAsia="仿宋_GB2312" w:cs="仿宋_GB2312"/>
          <w:sz w:val="32"/>
          <w:szCs w:val="32"/>
          <w:highlight w:val="none"/>
          <w:lang w:val="en-US" w:eastAsia="zh-CN"/>
        </w:rPr>
        <w:t>2024年预算数为0.67万元，主要用于：</w:t>
      </w:r>
      <w:r>
        <w:rPr>
          <w:rFonts w:hint="default" w:ascii="Times New Roman" w:hAnsi="Times New Roman" w:eastAsia="仿宋_GB2312" w:cs="Times New Roman"/>
          <w:sz w:val="32"/>
          <w:szCs w:val="32"/>
        </w:rPr>
        <w:t>机关及参公管理事业单位按规定由单位缴纳的</w:t>
      </w:r>
      <w:r>
        <w:rPr>
          <w:rFonts w:hint="eastAsia" w:ascii="Times New Roman" w:hAnsi="Times New Roman" w:eastAsia="仿宋_GB2312" w:cs="Times New Roman"/>
          <w:sz w:val="32"/>
          <w:szCs w:val="32"/>
          <w:lang w:val="en-US" w:eastAsia="zh-CN"/>
        </w:rPr>
        <w:t>工伤、失业</w:t>
      </w:r>
      <w:r>
        <w:rPr>
          <w:rFonts w:hint="default" w:ascii="Times New Roman" w:hAnsi="Times New Roman" w:eastAsia="仿宋_GB2312" w:cs="Times New Roman"/>
          <w:sz w:val="32"/>
          <w:szCs w:val="32"/>
        </w:rPr>
        <w:t>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w:t>
      </w:r>
      <w:r>
        <w:rPr>
          <w:rFonts w:hint="default" w:ascii="Times New Roman" w:hAnsi="Times New Roman" w:eastAsia="仿宋_GB2312" w:cs="Times New Roman"/>
          <w:sz w:val="32"/>
          <w:szCs w:val="32"/>
        </w:rPr>
        <w:t>卫生健康（类）行政事业单位医疗（款）行政单位医疗（项）</w:t>
      </w:r>
      <w:r>
        <w:rPr>
          <w:rFonts w:hint="eastAsia" w:ascii="仿宋_GB2312" w:hAnsi="仿宋_GB2312" w:eastAsia="仿宋_GB2312" w:cs="仿宋_GB2312"/>
          <w:sz w:val="32"/>
          <w:szCs w:val="32"/>
          <w:lang w:val="en-US" w:eastAsia="zh-CN"/>
        </w:rPr>
        <w:t>2024年预算数为15.46万元，主要用于：</w:t>
      </w:r>
      <w:r>
        <w:rPr>
          <w:rFonts w:hint="default" w:ascii="Times New Roman" w:hAnsi="Times New Roman" w:eastAsia="仿宋_GB2312" w:cs="Times New Roman"/>
          <w:sz w:val="32"/>
          <w:szCs w:val="32"/>
        </w:rPr>
        <w:t>机关及参公管理事业单位按规定由单位缴纳的基本医疗保险支出。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yellow"/>
        </w:rPr>
      </w:pPr>
      <w:r>
        <w:rPr>
          <w:rFonts w:hint="eastAsia" w:ascii="仿宋_GB2312" w:hAnsi="仿宋_GB2312" w:eastAsia="仿宋_GB2312" w:cs="仿宋_GB2312"/>
          <w:sz w:val="32"/>
          <w:szCs w:val="32"/>
          <w:lang w:val="en-US" w:eastAsia="zh-CN"/>
        </w:rPr>
        <w:t>4.</w:t>
      </w:r>
      <w:r>
        <w:rPr>
          <w:rFonts w:hint="default" w:ascii="Times New Roman" w:hAnsi="Times New Roman" w:eastAsia="仿宋_GB2312" w:cs="Times New Roman"/>
          <w:sz w:val="32"/>
          <w:szCs w:val="32"/>
        </w:rPr>
        <w:t>节能环保支出（类）环境保护管理事务（款）行政运行（项）</w:t>
      </w:r>
      <w:r>
        <w:rPr>
          <w:rFonts w:hint="eastAsia" w:ascii="仿宋_GB2312" w:hAnsi="仿宋_GB2312" w:eastAsia="仿宋_GB2312" w:cs="仿宋_GB2312"/>
          <w:sz w:val="32"/>
          <w:szCs w:val="32"/>
          <w:lang w:val="en-US" w:eastAsia="zh-CN"/>
        </w:rPr>
        <w:t>2024年预算数为307.24万元，主要用于：</w:t>
      </w:r>
      <w:r>
        <w:rPr>
          <w:rFonts w:hint="eastAsia" w:ascii="仿宋_GB2312" w:hAnsi="仿宋_GB2312" w:eastAsia="仿宋_GB2312" w:cs="仿宋_GB2312"/>
          <w:b w:val="0"/>
          <w:bCs w:val="0"/>
          <w:color w:val="auto"/>
          <w:kern w:val="0"/>
          <w:sz w:val="32"/>
          <w:szCs w:val="32"/>
        </w:rPr>
        <w:t>行政单位工资奖金津补贴</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lang w:val="en-US" w:eastAsia="zh-CN"/>
        </w:rPr>
        <w:t>工资福利支出、办公经费、培训费、</w:t>
      </w:r>
      <w:r>
        <w:rPr>
          <w:rFonts w:hint="eastAsia" w:ascii="仿宋_GB2312" w:hAnsi="仿宋_GB2312" w:eastAsia="仿宋_GB2312" w:cs="仿宋_GB2312"/>
          <w:b w:val="0"/>
          <w:bCs w:val="0"/>
          <w:color w:val="auto"/>
          <w:kern w:val="0"/>
          <w:sz w:val="32"/>
          <w:szCs w:val="32"/>
        </w:rPr>
        <w:t>公务接待费、公务用车运行维护费</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其他商品和服务支出</w:t>
      </w:r>
      <w:r>
        <w:rPr>
          <w:rFonts w:hint="eastAsia" w:ascii="仿宋_GB2312" w:hAnsi="仿宋_GB2312" w:eastAsia="仿宋_GB2312" w:cs="仿宋_GB2312"/>
          <w:b w:val="0"/>
          <w:bCs w:val="0"/>
          <w:color w:val="auto"/>
          <w:kern w:val="0"/>
          <w:sz w:val="32"/>
          <w:szCs w:val="32"/>
          <w:lang w:val="en-US" w:eastAsia="zh-CN"/>
        </w:rPr>
        <w:t>等</w:t>
      </w:r>
      <w:r>
        <w:rPr>
          <w:rFonts w:hint="eastAsia" w:ascii="仿宋_GB2312" w:hAnsi="仿宋_GB2312" w:eastAsia="仿宋_GB2312" w:cs="仿宋_GB2312"/>
          <w:sz w:val="32"/>
          <w:szCs w:val="32"/>
          <w:lang w:val="en-US" w:eastAsia="zh-CN"/>
        </w:rPr>
        <w:t>。</w:t>
      </w:r>
    </w:p>
    <w:p>
      <w:pPr>
        <w:spacing w:line="576" w:lineRule="exact"/>
        <w:ind w:firstLine="640" w:firstLineChars="200"/>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lang w:val="en-US" w:eastAsia="zh-CN"/>
        </w:rPr>
        <w:t>5.</w:t>
      </w:r>
      <w:r>
        <w:rPr>
          <w:rFonts w:hint="default" w:ascii="Times New Roman" w:hAnsi="Times New Roman" w:eastAsia="仿宋_GB2312" w:cs="Times New Roman"/>
          <w:sz w:val="32"/>
          <w:szCs w:val="32"/>
        </w:rPr>
        <w:t>节能环保支出（类）环境保护管理事务（款）一般行政管理事务（项）</w:t>
      </w:r>
      <w:r>
        <w:rPr>
          <w:rFonts w:hint="eastAsia" w:ascii="仿宋_GB2312" w:hAnsi="仿宋_GB2312" w:eastAsia="仿宋_GB2312" w:cs="仿宋_GB2312"/>
          <w:sz w:val="32"/>
          <w:szCs w:val="32"/>
          <w:lang w:val="en-US" w:eastAsia="zh-CN"/>
        </w:rPr>
        <w:t>2024年预算数为14万元，主要用于：</w:t>
      </w:r>
      <w:r>
        <w:rPr>
          <w:rFonts w:hint="default" w:ascii="Times New Roman" w:hAnsi="Times New Roman" w:eastAsia="仿宋_GB2312" w:cs="Times New Roman"/>
          <w:sz w:val="32"/>
          <w:szCs w:val="32"/>
        </w:rPr>
        <w:t>环境执法监察工作经费。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lang w:val="en-US" w:eastAsia="zh-CN"/>
        </w:rPr>
        <w:t>6.</w:t>
      </w:r>
      <w:r>
        <w:rPr>
          <w:rFonts w:hint="default" w:ascii="Times New Roman" w:hAnsi="Times New Roman" w:eastAsia="仿宋_GB2312" w:cs="Times New Roman"/>
          <w:sz w:val="32"/>
          <w:szCs w:val="32"/>
        </w:rPr>
        <w:t>节能环保支出（类）污染防治（款）其他污染防治支出（项）</w:t>
      </w:r>
      <w:r>
        <w:rPr>
          <w:rFonts w:hint="eastAsia" w:ascii="仿宋_GB2312" w:hAnsi="仿宋_GB2312" w:eastAsia="仿宋_GB2312" w:cs="仿宋_GB2312"/>
          <w:sz w:val="32"/>
          <w:szCs w:val="32"/>
          <w:lang w:val="en-US" w:eastAsia="zh-CN"/>
        </w:rPr>
        <w:t>2024年预算数为96.4万元，主要用于：</w:t>
      </w:r>
      <w:r>
        <w:rPr>
          <w:rFonts w:hint="default" w:ascii="Times New Roman" w:hAnsi="Times New Roman" w:eastAsia="仿宋_GB2312" w:cs="Times New Roman"/>
          <w:sz w:val="32"/>
          <w:szCs w:val="32"/>
        </w:rPr>
        <w:t>生态环境保护污染防治工作经费37.40万元，污染源监督性监测、执法监测和应急监测、自动站运维保障经费59万元。</w:t>
      </w:r>
    </w:p>
    <w:p>
      <w:pPr>
        <w:spacing w:line="576" w:lineRule="exact"/>
        <w:ind w:firstLine="640" w:firstLineChars="200"/>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lang w:val="en-US" w:eastAsia="zh-CN"/>
        </w:rPr>
        <w:t>7.</w:t>
      </w:r>
      <w:r>
        <w:rPr>
          <w:rFonts w:hint="default" w:ascii="Times New Roman" w:hAnsi="Times New Roman" w:eastAsia="仿宋_GB2312" w:cs="Times New Roman"/>
          <w:sz w:val="32"/>
          <w:szCs w:val="32"/>
        </w:rPr>
        <w:t>住房保障（类）住房改革支出（款）住房公积金（项）</w:t>
      </w:r>
      <w:r>
        <w:rPr>
          <w:rFonts w:hint="eastAsia" w:ascii="仿宋_GB2312" w:hAnsi="仿宋_GB2312" w:eastAsia="仿宋_GB2312" w:cs="仿宋_GB2312"/>
          <w:sz w:val="32"/>
          <w:szCs w:val="32"/>
          <w:lang w:val="en-US" w:eastAsia="zh-CN"/>
        </w:rPr>
        <w:t>2024年预算数为26.5万元，主要用于：</w:t>
      </w:r>
      <w:r>
        <w:rPr>
          <w:rFonts w:hint="default" w:ascii="Times New Roman" w:hAnsi="Times New Roman" w:eastAsia="仿宋_GB2312" w:cs="Times New Roman"/>
          <w:sz w:val="32"/>
          <w:szCs w:val="32"/>
        </w:rPr>
        <w:t>单位按规定为职工缴纳的住房公积金支出。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1430743521"/>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广元市青川生态环境局2024年一般公共预算基本支出382.86万元，其中：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人员经费298.74万元，主要包括：基本工资、津贴补贴、奖金、</w:t>
      </w:r>
      <w:r>
        <w:rPr>
          <w:rFonts w:hint="default" w:ascii="Times New Roman" w:hAnsi="Times New Roman" w:eastAsia="仿宋_GB2312" w:cs="Times New Roman"/>
          <w:sz w:val="32"/>
          <w:szCs w:val="32"/>
        </w:rPr>
        <w:t>绩效工资</w:t>
      </w:r>
      <w:r>
        <w:rPr>
          <w:rFonts w:hint="eastAsia" w:ascii="Times New Roman" w:hAnsi="Times New Roman" w:eastAsia="仿宋_GB2312" w:cs="Times New Roman"/>
          <w:sz w:val="32"/>
          <w:szCs w:val="32"/>
          <w:lang w:eastAsia="zh-CN"/>
        </w:rPr>
        <w:t>、机关事业单位基本养老保险缴费、职工基本医疗保险缴费、其他社会保障缴费、</w:t>
      </w:r>
      <w:r>
        <w:rPr>
          <w:rFonts w:hint="eastAsia" w:ascii="仿宋_GB2312" w:hAnsi="仿宋_GB2312" w:eastAsia="仿宋_GB2312" w:cs="仿宋_GB2312"/>
          <w:sz w:val="32"/>
          <w:szCs w:val="32"/>
          <w:lang w:val="en-US" w:eastAsia="zh-CN"/>
        </w:rPr>
        <w:t>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公用经费84.12万元，主要包括：办公费、印刷费、水费、电费、邮电费、差旅费、租赁费、培训费、公务接待费、工会经费、福利费、公务用车运行维护费、其他交通费用、其他商品和服务支出等支出。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725873958"/>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广元市青川生态环境局2024年“三公”经费财政拨款预算数11.39万元，其中：公务接待费1.39万元，公务用车购置及运行维护费10万元，因公出国（境）经费0万元。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767267463"/>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公务接待费与2023年预算相比下降0.01万元，主要原因是</w:t>
      </w:r>
      <w:r>
        <w:rPr>
          <w:rFonts w:hint="default" w:ascii="Times New Roman" w:hAnsi="Times New Roman" w:eastAsia="仿宋_GB2312" w:cs="Times New Roman"/>
          <w:sz w:val="32"/>
          <w:szCs w:val="32"/>
        </w:rPr>
        <w:t>厉行节约</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625882628"/>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公务用车购置及运行维护费与2023年预算相比下降3万元，主要原因是厉行节约，合理有效安排公车运行。</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单位现有公务用车5辆，其中：轿车2辆，越野车3辆。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2024年安排公务用车运行维护费10万元，用于5辆公务用车燃油、过路（桥）、维修、保险等方面支出，主要保障</w:t>
      </w:r>
      <w:r>
        <w:rPr>
          <w:rFonts w:hint="default" w:ascii="Times New Roman" w:hAnsi="Times New Roman" w:eastAsia="仿宋_GB2312" w:cs="Times New Roman"/>
          <w:sz w:val="32"/>
          <w:szCs w:val="32"/>
        </w:rPr>
        <w:t>环保行政执法检查、环境应急处置、环保督察、环境监察、环境监测、核与辐射监测、污染防治、生态保护、危废医废处置、环保宣传教育等工作开展。</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1199358136"/>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因公出国（境）经费与2023年预算持平。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723446884"/>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广元市青川生态环境局2024年无政府性基金预算拨款安排的支出。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909205854"/>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广元市青川生态环境局2024年无国有资本经营预算拨款安排的支出。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1898608968"/>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2024年，广元市青川生态环境局下属局机关等1家行政单位和1家参公管理事业单位的机关运行经费财政拨款预算为84.12万元，比2023年预算增加8万元，增长10.51%。主要原因</w:t>
      </w:r>
      <w:r>
        <w:rPr>
          <w:rFonts w:hint="default" w:ascii="Times New Roman" w:hAnsi="Times New Roman" w:eastAsia="仿宋_GB2312" w:cs="Times New Roman"/>
          <w:sz w:val="32"/>
          <w:szCs w:val="32"/>
        </w:rPr>
        <w:t>本年度在职人员较上年度</w:t>
      </w:r>
      <w:r>
        <w:rPr>
          <w:rFonts w:hint="eastAsia" w:ascii="Times New Roman" w:hAnsi="Times New Roman" w:eastAsia="仿宋_GB2312" w:cs="Times New Roman"/>
          <w:sz w:val="32"/>
          <w:szCs w:val="32"/>
          <w:lang w:val="en-US" w:eastAsia="zh-CN"/>
        </w:rPr>
        <w:t>增加3</w:t>
      </w:r>
      <w:r>
        <w:rPr>
          <w:rFonts w:hint="default" w:ascii="Times New Roman" w:hAnsi="Times New Roman" w:eastAsia="仿宋_GB2312" w:cs="Times New Roman"/>
          <w:sz w:val="32"/>
          <w:szCs w:val="32"/>
        </w:rPr>
        <w:t>人</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2024年，广元市青川生态环境局安排政府采购预算43.1万元，其中：政府采购服务预算43.1万元。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截至2023年底，广元市青川生态环境局共有车辆5辆，其中，执法执勤用车5辆。单位无价值200万元以上的大型设备。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2024年广元市青川生态环境局开展绩效目标管理的项目11个，涉及预算493.26万元。其中：人员类项目4个，涉及预算298.74万元；运转类项目4个，涉及预算84.12万元；特定目标类项目3个，涉及预算110.4万元。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995360203"/>
      <w:r>
        <w:rPr>
          <w:rFonts w:hint="eastAsia" w:ascii="黑体" w:hAnsi="黑体" w:eastAsia="黑体" w:cs="黑体"/>
          <w:sz w:val="32"/>
          <w:szCs w:val="32"/>
          <w:lang w:val="en-US" w:eastAsia="zh-CN"/>
        </w:rPr>
        <w:t>十一、名词解释</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shd w:val="clear" w:color="auto" w:fill="FFFFFF"/>
        <w:kinsoku/>
        <w:wordWrap/>
        <w:overflowPunct/>
        <w:topLinePunct w:val="0"/>
        <w:autoSpaceDE/>
        <w:autoSpaceDN/>
        <w:bidi w:val="0"/>
        <w:adjustRightInd/>
        <w:spacing w:beforeAutospacing="0" w:afterAutospacing="0"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w:t>
      </w:r>
      <w:r>
        <w:rPr>
          <w:rFonts w:hint="default" w:ascii="楷体_GB2312" w:hAnsi="楷体_GB2312" w:eastAsia="楷体_GB2312" w:cs="楷体_GB2312"/>
          <w:sz w:val="32"/>
          <w:szCs w:val="32"/>
          <w:lang w:val="en-US" w:eastAsia="zh-CN"/>
        </w:rPr>
        <w:t>社会保障和就业（类）行政事业单位养老支出（款）机关事业单位基本养老保险缴费支出（项）：</w:t>
      </w:r>
      <w:r>
        <w:rPr>
          <w:rFonts w:hint="default" w:ascii="Times New Roman" w:hAnsi="Times New Roman" w:eastAsia="仿宋_GB2312" w:cs="Times New Roman"/>
          <w:sz w:val="32"/>
          <w:szCs w:val="32"/>
        </w:rPr>
        <w:t>指</w:t>
      </w:r>
      <w:r>
        <w:rPr>
          <w:rFonts w:hint="eastAsia" w:ascii="Times New Roman" w:hAnsi="Times New Roman" w:eastAsia="仿宋_GB2312" w:cs="Times New Roman"/>
          <w:sz w:val="32"/>
          <w:szCs w:val="32"/>
          <w:lang w:val="en-US" w:eastAsia="zh-CN"/>
        </w:rPr>
        <w:t>机关事业单位</w:t>
      </w:r>
      <w:r>
        <w:rPr>
          <w:rFonts w:hint="default" w:ascii="Times New Roman" w:hAnsi="Times New Roman" w:eastAsia="仿宋_GB2312" w:cs="Times New Roman"/>
          <w:sz w:val="32"/>
          <w:szCs w:val="32"/>
        </w:rPr>
        <w:t>实施养老保险制度由单位缴纳的养老保险</w:t>
      </w:r>
      <w:r>
        <w:rPr>
          <w:rFonts w:hint="eastAsia" w:ascii="Times New Roman" w:hAnsi="Times New Roman" w:eastAsia="仿宋_GB2312" w:cs="Times New Roman"/>
          <w:sz w:val="32"/>
          <w:szCs w:val="32"/>
          <w:lang w:val="en-US" w:eastAsia="zh-CN"/>
        </w:rPr>
        <w:t>费</w:t>
      </w:r>
      <w:r>
        <w:rPr>
          <w:rFonts w:hint="default" w:ascii="Times New Roman" w:hAnsi="Times New Roman" w:eastAsia="仿宋_GB2312" w:cs="Times New Roman"/>
          <w:sz w:val="32"/>
          <w:szCs w:val="32"/>
        </w:rPr>
        <w:t>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w:t>
      </w:r>
      <w:r>
        <w:rPr>
          <w:rFonts w:hint="default" w:ascii="楷体_GB2312" w:hAnsi="楷体_GB2312" w:eastAsia="楷体_GB2312" w:cs="楷体_GB2312"/>
          <w:sz w:val="32"/>
          <w:szCs w:val="32"/>
          <w:lang w:val="en-US" w:eastAsia="zh-CN"/>
        </w:rPr>
        <w:t>社会保障和就业</w:t>
      </w:r>
      <w:r>
        <w:rPr>
          <w:rFonts w:hint="eastAsia" w:ascii="楷体_GB2312" w:hAnsi="楷体_GB2312" w:eastAsia="楷体_GB2312" w:cs="楷体_GB2312"/>
          <w:sz w:val="32"/>
          <w:szCs w:val="32"/>
          <w:lang w:val="en-US" w:eastAsia="zh-CN"/>
        </w:rPr>
        <w:t>（类）其他社会保障和就业支出（款）其他社会保障和就业支出（项）：</w:t>
      </w:r>
      <w:r>
        <w:rPr>
          <w:rFonts w:hint="eastAsia" w:ascii="Times New Roman" w:hAnsi="Times New Roman" w:eastAsia="仿宋_GB2312" w:cs="Times New Roman"/>
          <w:sz w:val="32"/>
          <w:szCs w:val="32"/>
          <w:lang w:val="en-US" w:eastAsia="zh-CN"/>
        </w:rPr>
        <w:t>指除上述项目以外其他用于社会保障和就业方面的支出。</w:t>
      </w:r>
      <w:r>
        <w:rPr>
          <w:rFonts w:hint="eastAsia" w:ascii="Times New Roman" w:hAnsi="Times New Roman" w:eastAsia="仿宋_GB2312" w:cs="Times New Roman"/>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（四）</w:t>
      </w:r>
      <w:r>
        <w:rPr>
          <w:rFonts w:hint="default" w:ascii="楷体_GB2312" w:hAnsi="楷体_GB2312" w:eastAsia="楷体_GB2312" w:cs="楷体_GB2312"/>
          <w:sz w:val="32"/>
          <w:szCs w:val="32"/>
          <w:lang w:val="en-US" w:eastAsia="zh-CN"/>
        </w:rPr>
        <w:t>卫生健康（类）行政事业单位医疗（款）行政单位医疗（项）</w:t>
      </w:r>
      <w:r>
        <w:rPr>
          <w:rFonts w:hint="eastAsia" w:ascii="楷体_GB2312" w:hAnsi="楷体_GB2312" w:eastAsia="楷体_GB2312" w:cs="楷体_GB2312"/>
          <w:sz w:val="32"/>
          <w:szCs w:val="32"/>
          <w:lang w:val="en-US" w:eastAsia="zh-CN"/>
        </w:rPr>
        <w:t>：</w:t>
      </w:r>
      <w:r>
        <w:rPr>
          <w:rFonts w:hint="eastAsia" w:ascii="Times New Roman" w:hAnsi="Times New Roman" w:eastAsia="仿宋_GB2312" w:cs="Times New Roman"/>
          <w:sz w:val="32"/>
          <w:szCs w:val="32"/>
          <w:lang w:val="en-US" w:eastAsia="zh-CN"/>
        </w:rPr>
        <w:t>反映财政部门安排的行政单位（包括实行公务员管理的事业单位）基本医疗保险缴费经费,未参加医疗保险的行政单位的公费医疗经费,按国家规定享受离休人员、红军老战士待遇人员的医疗经费。　</w:t>
      </w:r>
    </w:p>
    <w:p>
      <w:pPr>
        <w:keepNext w:val="0"/>
        <w:keepLines w:val="0"/>
        <w:pageBreakBefore w:val="0"/>
        <w:widowControl/>
        <w:shd w:val="clear" w:color="auto" w:fill="FFFFFF"/>
        <w:kinsoku/>
        <w:wordWrap/>
        <w:overflowPunct/>
        <w:topLinePunct w:val="0"/>
        <w:autoSpaceDE/>
        <w:autoSpaceDN/>
        <w:bidi w:val="0"/>
        <w:adjustRightInd/>
        <w:spacing w:beforeAutospacing="0" w:afterAutospacing="0" w:line="576" w:lineRule="exact"/>
        <w:ind w:firstLine="320" w:firstLineChars="100"/>
        <w:textAlignment w:val="auto"/>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w:t>
      </w:r>
      <w:r>
        <w:rPr>
          <w:rFonts w:hint="default" w:ascii="楷体_GB2312" w:hAnsi="楷体_GB2312" w:eastAsia="楷体_GB2312" w:cs="楷体_GB2312"/>
          <w:sz w:val="32"/>
          <w:szCs w:val="32"/>
          <w:lang w:val="en-US" w:eastAsia="zh-CN"/>
        </w:rPr>
        <w:t>节能环保支出（类）环境保护管理事务（款）行政运行（项）</w:t>
      </w:r>
      <w:r>
        <w:rPr>
          <w:rFonts w:hint="eastAsia" w:ascii="楷体_GB2312" w:hAnsi="楷体_GB2312" w:eastAsia="楷体_GB2312" w:cs="楷体_GB2312"/>
          <w:sz w:val="32"/>
          <w:szCs w:val="32"/>
          <w:lang w:val="en-US" w:eastAsia="zh-CN"/>
        </w:rPr>
        <w:t>：</w:t>
      </w:r>
      <w:r>
        <w:rPr>
          <w:rFonts w:hint="eastAsia" w:ascii="Times New Roman" w:hAnsi="Times New Roman" w:eastAsia="仿宋_GB2312" w:cs="Times New Roman"/>
          <w:sz w:val="32"/>
          <w:szCs w:val="32"/>
          <w:lang w:val="en-US" w:eastAsia="zh-CN"/>
        </w:rPr>
        <w:t>指行政单位（包括实行公务员管理的事业单位）的基本支出。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w:t>
      </w:r>
      <w:r>
        <w:rPr>
          <w:rFonts w:hint="default" w:ascii="楷体_GB2312" w:hAnsi="楷体_GB2312" w:eastAsia="楷体_GB2312" w:cs="楷体_GB2312"/>
          <w:sz w:val="32"/>
          <w:szCs w:val="32"/>
          <w:lang w:val="en-US" w:eastAsia="zh-CN"/>
        </w:rPr>
        <w:t>节能环保支出（类）环境保护管理事务（款）一般行政管理事务（项）</w:t>
      </w:r>
      <w:r>
        <w:rPr>
          <w:rFonts w:hint="eastAsia" w:ascii="楷体_GB2312" w:hAnsi="楷体_GB2312" w:eastAsia="楷体_GB2312" w:cs="楷体_GB2312"/>
          <w:sz w:val="32"/>
          <w:szCs w:val="32"/>
          <w:lang w:val="en-US" w:eastAsia="zh-CN"/>
        </w:rPr>
        <w:t>：</w:t>
      </w:r>
      <w:r>
        <w:rPr>
          <w:rFonts w:hint="eastAsia" w:ascii="仿宋_GB2312" w:hAnsi="仿宋_GB2312" w:eastAsia="仿宋_GB2312" w:cs="仿宋_GB2312"/>
          <w:b w:val="0"/>
          <w:bCs w:val="0"/>
          <w:color w:val="auto"/>
          <w:kern w:val="0"/>
          <w:sz w:val="32"/>
          <w:szCs w:val="32"/>
          <w:shd w:val="clear" w:color="auto" w:fill="FFFFFF"/>
          <w:lang w:val="en-US" w:eastAsia="zh-CN" w:bidi="ar"/>
        </w:rPr>
        <w:t>指行政单位（包括实行公务员管理的事业单位）</w:t>
      </w:r>
      <w:r>
        <w:rPr>
          <w:rFonts w:hint="eastAsia" w:ascii="仿宋_GB2312" w:hAnsi="仿宋_GB2312" w:eastAsia="仿宋_GB2312" w:cs="仿宋_GB2312"/>
          <w:b w:val="0"/>
          <w:bCs w:val="0"/>
          <w:color w:val="auto"/>
          <w:kern w:val="0"/>
          <w:sz w:val="32"/>
          <w:szCs w:val="32"/>
          <w:shd w:val="clear" w:color="auto" w:fill="FFFFFF"/>
          <w:lang w:eastAsia="zh-CN" w:bidi="ar"/>
        </w:rPr>
        <w:t>未单独设置项级科目的其他项目支出。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w:t>
      </w:r>
      <w:r>
        <w:rPr>
          <w:rFonts w:hint="default" w:ascii="楷体_GB2312" w:hAnsi="楷体_GB2312" w:eastAsia="楷体_GB2312" w:cs="楷体_GB2312"/>
          <w:sz w:val="32"/>
          <w:szCs w:val="32"/>
          <w:lang w:val="en-US" w:eastAsia="zh-CN"/>
        </w:rPr>
        <w:t>节能环保支出（类）污染防治（款）其他污染防治支出（项）</w:t>
      </w:r>
      <w:r>
        <w:rPr>
          <w:rFonts w:hint="eastAsia" w:ascii="楷体_GB2312" w:hAnsi="楷体_GB2312" w:eastAsia="楷体_GB2312" w:cs="楷体_GB2312"/>
          <w:sz w:val="32"/>
          <w:szCs w:val="32"/>
          <w:lang w:val="en-US" w:eastAsia="zh-CN"/>
        </w:rPr>
        <w:t>：</w:t>
      </w:r>
      <w:r>
        <w:rPr>
          <w:rStyle w:val="14"/>
          <w:rFonts w:hint="eastAsia" w:ascii="仿宋_GB2312" w:hAnsi="仿宋_GB2312" w:eastAsia="仿宋_GB2312" w:cs="仿宋_GB2312"/>
          <w:b w:val="0"/>
          <w:bCs w:val="0"/>
          <w:sz w:val="32"/>
          <w:szCs w:val="32"/>
          <w:lang w:val="en-US" w:eastAsia="zh-CN"/>
        </w:rPr>
        <w:t>指</w:t>
      </w:r>
      <w:r>
        <w:rPr>
          <w:rStyle w:val="14"/>
          <w:rFonts w:hint="eastAsia" w:ascii="仿宋_GB2312" w:hAnsi="仿宋_GB2312" w:eastAsia="仿宋_GB2312" w:cs="仿宋_GB2312"/>
          <w:b w:val="0"/>
          <w:bCs w:val="0"/>
          <w:sz w:val="32"/>
          <w:szCs w:val="32"/>
        </w:rPr>
        <w:t>政府在除大气、水体、噪声</w:t>
      </w:r>
      <w:r>
        <w:rPr>
          <w:rStyle w:val="14"/>
          <w:rFonts w:hint="eastAsia" w:ascii="仿宋_GB2312" w:hAnsi="仿宋_GB2312" w:eastAsia="仿宋_GB2312" w:cs="仿宋_GB2312"/>
          <w:b w:val="0"/>
          <w:bCs w:val="0"/>
          <w:sz w:val="32"/>
          <w:szCs w:val="32"/>
          <w:lang w:eastAsia="zh-CN"/>
        </w:rPr>
        <w:t>、</w:t>
      </w:r>
      <w:r>
        <w:rPr>
          <w:rStyle w:val="14"/>
          <w:rFonts w:hint="eastAsia" w:ascii="仿宋_GB2312" w:hAnsi="仿宋_GB2312" w:eastAsia="仿宋_GB2312" w:cs="仿宋_GB2312"/>
          <w:b w:val="0"/>
          <w:bCs w:val="0"/>
          <w:sz w:val="32"/>
          <w:szCs w:val="32"/>
          <w:lang w:val="en-US" w:eastAsia="zh-CN"/>
        </w:rPr>
        <w:t>固体废弃物和化学品、放射源和放射性废物监管、辐射、土壤</w:t>
      </w:r>
      <w:r>
        <w:rPr>
          <w:rStyle w:val="14"/>
          <w:rFonts w:hint="eastAsia" w:ascii="仿宋_GB2312" w:hAnsi="仿宋_GB2312" w:eastAsia="仿宋_GB2312" w:cs="仿宋_GB2312"/>
          <w:b w:val="0"/>
          <w:bCs w:val="0"/>
          <w:sz w:val="32"/>
          <w:szCs w:val="32"/>
        </w:rPr>
        <w:t>等</w:t>
      </w:r>
      <w:r>
        <w:rPr>
          <w:rStyle w:val="14"/>
          <w:rFonts w:hint="eastAsia" w:ascii="仿宋_GB2312" w:hAnsi="仿宋_GB2312" w:eastAsia="仿宋_GB2312" w:cs="仿宋_GB2312"/>
          <w:b w:val="0"/>
          <w:bCs w:val="0"/>
          <w:sz w:val="32"/>
          <w:szCs w:val="32"/>
          <w:lang w:val="en-US" w:eastAsia="zh-CN"/>
        </w:rPr>
        <w:t>项目以外</w:t>
      </w:r>
      <w:r>
        <w:rPr>
          <w:rStyle w:val="14"/>
          <w:rFonts w:hint="eastAsia" w:ascii="仿宋_GB2312" w:hAnsi="仿宋_GB2312" w:eastAsia="仿宋_GB2312" w:cs="仿宋_GB2312"/>
          <w:b w:val="0"/>
          <w:bCs w:val="0"/>
          <w:sz w:val="32"/>
          <w:szCs w:val="32"/>
        </w:rPr>
        <w:t>其他</w:t>
      </w:r>
      <w:r>
        <w:rPr>
          <w:rStyle w:val="14"/>
          <w:rFonts w:hint="eastAsia" w:ascii="仿宋_GB2312" w:hAnsi="仿宋_GB2312" w:eastAsia="仿宋_GB2312" w:cs="仿宋_GB2312"/>
          <w:b w:val="0"/>
          <w:bCs w:val="0"/>
          <w:sz w:val="32"/>
          <w:szCs w:val="32"/>
          <w:lang w:eastAsia="zh-CN"/>
        </w:rPr>
        <w:t>用于</w:t>
      </w:r>
      <w:r>
        <w:rPr>
          <w:rStyle w:val="14"/>
          <w:rFonts w:hint="eastAsia" w:ascii="仿宋_GB2312" w:hAnsi="仿宋_GB2312" w:eastAsia="仿宋_GB2312" w:cs="仿宋_GB2312"/>
          <w:b w:val="0"/>
          <w:bCs w:val="0"/>
          <w:sz w:val="32"/>
          <w:szCs w:val="32"/>
        </w:rPr>
        <w:t>污染防治治理方面的支出。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（八）</w:t>
      </w:r>
      <w:r>
        <w:rPr>
          <w:rFonts w:hint="default" w:ascii="楷体_GB2312" w:hAnsi="楷体_GB2312" w:eastAsia="楷体_GB2312" w:cs="楷体_GB2312"/>
          <w:sz w:val="32"/>
          <w:szCs w:val="32"/>
          <w:lang w:val="en-US" w:eastAsia="zh-CN"/>
        </w:rPr>
        <w:t>住房保障（类）住房改革支出（款）住房公积金（项）</w:t>
      </w:r>
      <w:r>
        <w:rPr>
          <w:rFonts w:hint="eastAsia" w:ascii="楷体_GB2312" w:hAnsi="楷体_GB2312" w:eastAsia="楷体_GB2312" w:cs="楷体_GB2312"/>
          <w:sz w:val="32"/>
          <w:szCs w:val="32"/>
          <w:lang w:val="en-US" w:eastAsia="zh-CN"/>
        </w:rPr>
        <w:t>：</w:t>
      </w:r>
      <w:r>
        <w:rPr>
          <w:rStyle w:val="14"/>
          <w:rFonts w:hint="eastAsia" w:ascii="仿宋_GB2312" w:hAnsi="仿宋_GB2312" w:eastAsia="仿宋_GB2312" w:cs="仿宋_GB2312"/>
          <w:b w:val="0"/>
          <w:bCs w:val="0"/>
          <w:sz w:val="32"/>
          <w:szCs w:val="32"/>
          <w:lang w:val="en-US" w:eastAsia="zh-CN"/>
        </w:rPr>
        <w:t>指行政事业单位按人力资源和社会保障部、财政部规定的基本工资和津贴补贴以及规定比例为职工缴纳的住房公积金。</w:t>
      </w:r>
      <w:r>
        <w:rPr>
          <w:rStyle w:val="14"/>
          <w:rFonts w:hint="eastAsia" w:ascii="仿宋_GB2312" w:hAnsi="仿宋_GB2312" w:eastAsia="仿宋_GB2312" w:cs="仿宋_GB2312"/>
          <w:b w:val="0"/>
          <w:bCs w:val="0"/>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（九）基本支出：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（十一）“三公”经费：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（十二）机关运行经费：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Cambria">
    <w:altName w:val="Georgia"/>
    <w:panose1 w:val="02040503050406030204"/>
    <w:charset w:val="00"/>
    <w:family w:val="roman"/>
    <w:pitch w:val="default"/>
    <w:sig w:usb0="00000000" w:usb1="00000000" w:usb2="02000000" w:usb3="00000000" w:csb0="2000019F" w:csb1="00000000"/>
  </w:font>
  <w:font w:name="Georgia">
    <w:panose1 w:val="02040502050405020303"/>
    <w:charset w:val="00"/>
    <w:family w:val="auto"/>
    <w:pitch w:val="default"/>
    <w:sig w:usb0="00000287" w:usb1="00000000" w:usb2="00000000" w:usb3="00000000" w:csb0="2000009F"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BDE287"/>
    <w:multiLevelType w:val="singleLevel"/>
    <w:tmpl w:val="9ABDE287"/>
    <w:lvl w:ilvl="0" w:tentative="0">
      <w:start w:val="2"/>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iYzRkYjA2YWRmMmYzZDE5NzYxZmRhZWQ4M2I1ZTkifQ=="/>
  </w:docVars>
  <w:rsids>
    <w:rsidRoot w:val="00000000"/>
    <w:rsid w:val="012352D1"/>
    <w:rsid w:val="03536FC6"/>
    <w:rsid w:val="1D9F113A"/>
    <w:rsid w:val="1F7BF06F"/>
    <w:rsid w:val="1FEE4B73"/>
    <w:rsid w:val="22E4210E"/>
    <w:rsid w:val="23CE9849"/>
    <w:rsid w:val="2B3B9618"/>
    <w:rsid w:val="372799D5"/>
    <w:rsid w:val="39F304DD"/>
    <w:rsid w:val="3CEB5CB2"/>
    <w:rsid w:val="3DA957C6"/>
    <w:rsid w:val="46DF61F1"/>
    <w:rsid w:val="54244390"/>
    <w:rsid w:val="54662A63"/>
    <w:rsid w:val="58064E12"/>
    <w:rsid w:val="5ABE65D9"/>
    <w:rsid w:val="5BFEE015"/>
    <w:rsid w:val="62792B83"/>
    <w:rsid w:val="63EDCF55"/>
    <w:rsid w:val="63FBFBCF"/>
    <w:rsid w:val="669360FD"/>
    <w:rsid w:val="68FF6A83"/>
    <w:rsid w:val="6AEF6005"/>
    <w:rsid w:val="6E3DB48E"/>
    <w:rsid w:val="6FBBC9CF"/>
    <w:rsid w:val="72BDE561"/>
    <w:rsid w:val="78462278"/>
    <w:rsid w:val="7997EA6C"/>
    <w:rsid w:val="7AEAE675"/>
    <w:rsid w:val="7BAFCE5D"/>
    <w:rsid w:val="7D46598C"/>
    <w:rsid w:val="7D9F8F0F"/>
    <w:rsid w:val="7DFB240B"/>
    <w:rsid w:val="7DFE05E7"/>
    <w:rsid w:val="7E0935ED"/>
    <w:rsid w:val="7FCD2266"/>
    <w:rsid w:val="7FCF2AF7"/>
    <w:rsid w:val="9FEF033D"/>
    <w:rsid w:val="A27FF1E5"/>
    <w:rsid w:val="AF3FEDDD"/>
    <w:rsid w:val="AFDEB5A7"/>
    <w:rsid w:val="AFEA7FBF"/>
    <w:rsid w:val="B83F4767"/>
    <w:rsid w:val="BF930F07"/>
    <w:rsid w:val="BFCE8436"/>
    <w:rsid w:val="BFFC20E0"/>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BF342F2"/>
    <w:rsid w:val="FDEE6989"/>
    <w:rsid w:val="FE5EB44A"/>
    <w:rsid w:val="FF5E7DB8"/>
    <w:rsid w:val="FF77E367"/>
    <w:rsid w:val="FFD576EB"/>
    <w:rsid w:val="FFDB1578"/>
    <w:rsid w:val="FFEBE2AE"/>
    <w:rsid w:val="FFFADE43"/>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3">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0" w:after="140" w:line="276" w:lineRule="auto"/>
    </w:pPr>
  </w:style>
  <w:style w:type="paragraph" w:styleId="4">
    <w:name w:val="caption"/>
    <w:basedOn w:val="1"/>
    <w:next w:val="1"/>
    <w:qFormat/>
    <w:uiPriority w:val="0"/>
    <w:pPr>
      <w:widowControl w:val="0"/>
      <w:suppressLineNumbers/>
      <w:suppressAutoHyphens/>
      <w:spacing w:before="120" w:after="120"/>
    </w:pPr>
    <w:rPr>
      <w:i/>
      <w:iCs/>
      <w:sz w:val="24"/>
      <w:szCs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2"/>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character" w:customStyle="1" w:styleId="14">
    <w:name w:val="标题 2 Char"/>
    <w:basedOn w:val="10"/>
    <w:link w:val="3"/>
    <w:qFormat/>
    <w:uiPriority w:val="9"/>
    <w:rPr>
      <w:rFonts w:asciiTheme="majorHAnsi" w:hAnsiTheme="majorHAnsi" w:eastAsiaTheme="majorEastAsia" w:cstheme="majorBidi"/>
      <w:b/>
      <w:bCs/>
      <w:sz w:val="32"/>
      <w:szCs w:val="32"/>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admin</dc:creator>
  <cp:lastModifiedBy> </cp:lastModifiedBy>
  <dcterms:modified xsi:type="dcterms:W3CDTF">2024-02-27T18:32:36Z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