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广元市紧急救援中心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shd w:val="clear"/>
        <w:jc w:val="center"/>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目   录</w:t>
      </w:r>
    </w:p>
    <w:sdt>
      <w:sdtPr>
        <w:rPr>
          <w:rFonts w:ascii="宋体" w:hAnsi="宋体" w:eastAsia="宋体" w:cs="Times New Roman"/>
          <w:color w:val="auto"/>
          <w:kern w:val="2"/>
          <w:sz w:val="21"/>
          <w:szCs w:val="24"/>
          <w:lang w:val="en-US" w:eastAsia="zh-CN" w:bidi="ar-SA"/>
        </w:rPr>
        <w:id w:val="147462900"/>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hd w:val="clear"/>
            <w:spacing w:before="0" w:beforeLines="0" w:after="0" w:afterLines="0" w:line="240" w:lineRule="auto"/>
            <w:ind w:left="0" w:leftChars="0" w:right="0" w:rightChars="0" w:firstLine="0" w:firstLineChars="0"/>
            <w:jc w:val="center"/>
          </w:pPr>
          <w:bookmarkStart w:id="20" w:name="_GoBack"/>
          <w:bookmarkEnd w:id="20"/>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sz w:val="28"/>
              <w:szCs w:val="28"/>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spacing w:val="0"/>
              <w:kern w:val="0"/>
              <w:sz w:val="28"/>
              <w:szCs w:val="28"/>
              <w:highlight w:val="none"/>
              <w:shd w:val="clear" w:color="auto" w:fill="FFFFFF"/>
              <w:lang w:val="en-US" w:eastAsia="zh-CN" w:bidi="ar"/>
            </w:rPr>
            <w:instrText xml:space="preserve"> HYPERLINK \l _Toc18374 </w:instrText>
          </w:r>
          <w:r>
            <w:rPr>
              <w:rFonts w:hint="eastAsia" w:ascii="黑体" w:hAnsi="黑体" w:eastAsia="黑体" w:cs="黑体"/>
              <w:b w:val="0"/>
              <w:bCs/>
              <w:i w:val="0"/>
              <w:caps w:val="0"/>
              <w:spacing w:val="0"/>
              <w:kern w:val="0"/>
              <w:sz w:val="28"/>
              <w:szCs w:val="28"/>
              <w:highlight w:val="none"/>
              <w:shd w:val="clear" w:color="auto" w:fill="FFFFFF"/>
              <w:lang w:val="en-US" w:eastAsia="zh-CN" w:bidi="ar"/>
            </w:rPr>
            <w:fldChar w:fldCharType="separate"/>
          </w:r>
          <w:r>
            <w:rPr>
              <w:rFonts w:hint="eastAsia" w:ascii="黑体" w:hAnsi="黑体" w:eastAsia="黑体" w:cs="黑体"/>
              <w:b w:val="0"/>
              <w:bCs/>
              <w:sz w:val="28"/>
              <w:szCs w:val="28"/>
              <w:lang w:val="en-US" w:eastAsia="zh-CN"/>
            </w:rPr>
            <w:t>一、基本职能及主要工作</w:t>
          </w:r>
          <w:r>
            <w:rPr>
              <w:rFonts w:hint="eastAsia" w:ascii="黑体" w:hAnsi="黑体" w:eastAsia="黑体" w:cs="黑体"/>
              <w:b w:val="0"/>
              <w:bCs/>
              <w:sz w:val="28"/>
              <w:szCs w:val="28"/>
            </w:rPr>
            <w:tab/>
          </w:r>
          <w:r>
            <w:rPr>
              <w:rFonts w:hint="default" w:ascii="Times New Roman" w:hAnsi="Times New Roman" w:eastAsia="黑体" w:cs="Times New Roman"/>
              <w:b w:val="0"/>
              <w:bCs/>
              <w:sz w:val="28"/>
              <w:szCs w:val="28"/>
            </w:rPr>
            <w:fldChar w:fldCharType="begin"/>
          </w:r>
          <w:r>
            <w:rPr>
              <w:rFonts w:hint="default" w:ascii="Times New Roman" w:hAnsi="Times New Roman" w:eastAsia="黑体" w:cs="Times New Roman"/>
              <w:b w:val="0"/>
              <w:bCs/>
              <w:sz w:val="28"/>
              <w:szCs w:val="28"/>
            </w:rPr>
            <w:instrText xml:space="preserve"> PAGEREF _Toc18374 \h </w:instrText>
          </w:r>
          <w:r>
            <w:rPr>
              <w:rFonts w:hint="default" w:ascii="Times New Roman" w:hAnsi="Times New Roman" w:eastAsia="黑体" w:cs="Times New Roman"/>
              <w:b w:val="0"/>
              <w:bCs/>
              <w:sz w:val="28"/>
              <w:szCs w:val="28"/>
            </w:rPr>
            <w:fldChar w:fldCharType="separate"/>
          </w:r>
          <w:r>
            <w:rPr>
              <w:rFonts w:hint="default" w:ascii="Times New Roman" w:hAnsi="Times New Roman" w:eastAsia="黑体" w:cs="Times New Roman"/>
              <w:b w:val="0"/>
              <w:bCs/>
              <w:sz w:val="28"/>
              <w:szCs w:val="28"/>
            </w:rPr>
            <w:t>2</w:t>
          </w:r>
          <w:r>
            <w:rPr>
              <w:rFonts w:hint="default" w:ascii="Times New Roman" w:hAnsi="Times New Roman" w:eastAsia="黑体" w:cs="Times New Roman"/>
              <w:b w:val="0"/>
              <w:bCs/>
              <w:sz w:val="28"/>
              <w:szCs w:val="28"/>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_Toc4751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（一）单位职能简介</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_Toc4751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1</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_Toc30690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（二）单位2024年重点工作</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_Toc30690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1</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_Toc26705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二、单位预算单位构成</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_Toc26705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2</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_Toc8574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三、收支预算情况说明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_Toc8574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2</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_Toc21367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（一）收入预算情况</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_Toc21367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2</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_Toc28220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（二）支出预算情况</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_Toc28220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_Toc28752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四、财政拨款收支预算情况说明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_Toc28752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Times New Roman" w:hAnsi="Times New Roman" w:eastAsia="黑体" w:cs="Times New Roman"/>
              <w:b w:val="0"/>
              <w:bCs/>
              <w:sz w:val="28"/>
              <w:szCs w:val="28"/>
              <w:lang w:val="en-US" w:eastAsia="zh-CN"/>
            </w:rPr>
          </w:pP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HYPERLINK \l _Toc1429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五、一般公共预算当年拨款情况说明</w:t>
          </w:r>
          <w:r>
            <w:rPr>
              <w:rFonts w:hint="eastAsia" w:ascii="Times New Roman" w:hAnsi="Times New Roman" w:eastAsia="黑体" w:cs="Times New Roman"/>
              <w:b w:val="0"/>
              <w:bCs/>
              <w:sz w:val="28"/>
              <w:szCs w:val="28"/>
              <w:lang w:val="en-US" w:eastAsia="zh-CN"/>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_Toc1429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Times New Roman" w:hAnsi="Times New Roman" w:eastAsia="黑体" w:cs="Times New Roman"/>
              <w:b w:val="0"/>
              <w:bCs/>
              <w:sz w:val="28"/>
              <w:szCs w:val="28"/>
              <w:lang w:val="en-US" w:eastAsia="zh-CN"/>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_Toc31539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（一）一般公共预算当年拨款规模变化情况</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_Toc31539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_Toc8774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（二）一般公共预算当年拨款结构情况</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_Toc8774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4"/>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_Toc23740 </w:instrTex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（三）一般公共预算当年拨款具体使用情况</w:t>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_Toc23740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3</w:t>
          </w:r>
          <w:r>
            <w:rPr>
              <w:rFonts w:hint="eastAsia" w:ascii="Times New Roman" w:hAnsi="Times New Roman" w:eastAsia="黑体" w:cs="Times New Roman"/>
              <w:b w:val="0"/>
              <w:bCs/>
              <w:sz w:val="28"/>
              <w:szCs w:val="28"/>
              <w:lang w:val="en-US" w:eastAsia="zh-CN"/>
            </w:rPr>
            <w:fldChar w:fldCharType="end"/>
          </w:r>
          <w:r>
            <w:rPr>
              <w:rFonts w:hint="eastAsia" w:ascii="楷体" w:hAnsi="楷体" w:eastAsia="楷体" w:cs="楷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_Toc2046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六、一般公共预算基本支出情况说明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_Toc2046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4</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_Toc31036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七、“三公”经费财政拨款预算安排情况说明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_Toc31036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5</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_Toc933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八、政府性基金预算支出情况说明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_Toc933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5</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_Toc25709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九、国有资本经营预算支出情况说明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_Toc25709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5</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_Toc12984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十、其他重要事项的情况说明</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_Toc12984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6</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13"/>
            <w:keepNext w:val="0"/>
            <w:keepLines w:val="0"/>
            <w:pageBreakBefore w:val="0"/>
            <w:widowControl/>
            <w:shd w:val="clear"/>
            <w:tabs>
              <w:tab w:val="right" w:leader="dot" w:pos="8845"/>
            </w:tabs>
            <w:kinsoku/>
            <w:wordWrap/>
            <w:overflowPunct/>
            <w:topLinePunct w:val="0"/>
            <w:autoSpaceDE/>
            <w:autoSpaceDN/>
            <w:bidi w:val="0"/>
            <w:adjustRightInd/>
            <w:snapToGrid/>
            <w:spacing w:line="600" w:lineRule="exact"/>
            <w:textAlignment w:val="auto"/>
            <w:rPr>
              <w:rFonts w:hint="eastAsia" w:ascii="黑体" w:hAnsi="黑体" w:eastAsia="黑体" w:cs="黑体"/>
              <w:b w:val="0"/>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 HYPERLINK \l _Toc15807 </w:instrTex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十一、名词解释</w:t>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tab/>
          </w:r>
          <w:r>
            <w:rPr>
              <w:rFonts w:hint="eastAsia" w:ascii="Times New Roman" w:hAnsi="Times New Roman" w:eastAsia="黑体" w:cs="Times New Roman"/>
              <w:b w:val="0"/>
              <w:bCs/>
              <w:sz w:val="28"/>
              <w:szCs w:val="28"/>
              <w:lang w:val="en-US" w:eastAsia="zh-CN"/>
            </w:rPr>
            <w:fldChar w:fldCharType="begin"/>
          </w:r>
          <w:r>
            <w:rPr>
              <w:rFonts w:hint="eastAsia" w:ascii="Times New Roman" w:hAnsi="Times New Roman" w:eastAsia="黑体" w:cs="Times New Roman"/>
              <w:b w:val="0"/>
              <w:bCs/>
              <w:sz w:val="28"/>
              <w:szCs w:val="28"/>
              <w:lang w:val="en-US" w:eastAsia="zh-CN"/>
            </w:rPr>
            <w:instrText xml:space="preserve"> PAGEREF _Toc15807 \h </w:instrText>
          </w:r>
          <w:r>
            <w:rPr>
              <w:rFonts w:hint="eastAsia" w:ascii="Times New Roman" w:hAnsi="Times New Roman" w:eastAsia="黑体" w:cs="Times New Roman"/>
              <w:b w:val="0"/>
              <w:bCs/>
              <w:sz w:val="28"/>
              <w:szCs w:val="28"/>
              <w:lang w:val="en-US" w:eastAsia="zh-CN"/>
            </w:rPr>
            <w:fldChar w:fldCharType="separate"/>
          </w:r>
          <w:r>
            <w:rPr>
              <w:rFonts w:hint="eastAsia" w:ascii="Times New Roman" w:hAnsi="Times New Roman" w:eastAsia="黑体" w:cs="Times New Roman"/>
              <w:b w:val="0"/>
              <w:bCs/>
              <w:sz w:val="28"/>
              <w:szCs w:val="28"/>
              <w:lang w:val="en-US" w:eastAsia="zh-CN"/>
            </w:rPr>
            <w:t>6</w:t>
          </w:r>
          <w:r>
            <w:rPr>
              <w:rFonts w:hint="eastAsia" w:ascii="Times New Roman" w:hAnsi="Times New Roman" w:eastAsia="黑体" w:cs="Times New Roman"/>
              <w:b w:val="0"/>
              <w:bCs/>
              <w:sz w:val="28"/>
              <w:szCs w:val="28"/>
              <w:lang w:val="en-US" w:eastAsia="zh-CN"/>
            </w:rPr>
            <w:fldChar w:fldCharType="end"/>
          </w:r>
          <w:r>
            <w:rPr>
              <w:rFonts w:hint="eastAsia" w:ascii="黑体" w:hAnsi="黑体" w:eastAsia="黑体" w:cs="黑体"/>
              <w:b w:val="0"/>
              <w:bCs/>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jc w:val="both"/>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bookmarkStart w:id="0" w:name="_Toc18374"/>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475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广元市紧急救援中心</w:t>
      </w:r>
      <w:r>
        <w:rPr>
          <w:rFonts w:hint="eastAsia" w:ascii="楷体_GB2312" w:hAnsi="楷体_GB2312" w:eastAsia="楷体_GB2312" w:cs="楷体_GB2312"/>
          <w:sz w:val="32"/>
          <w:szCs w:val="32"/>
        </w:rPr>
        <w:t>职能简介</w:t>
      </w:r>
      <w:bookmarkEnd w:id="1"/>
    </w:p>
    <w:p>
      <w:pPr>
        <w:pStyle w:val="7"/>
        <w:keepNext w:val="0"/>
        <w:keepLines w:val="0"/>
        <w:pageBreakBefore w:val="0"/>
        <w:widowControl/>
        <w:shd w:val="clear" w:color="auto"/>
        <w:kinsoku/>
        <w:wordWrap/>
        <w:overflowPunct/>
        <w:topLinePunct w:val="0"/>
        <w:autoSpaceDE/>
        <w:autoSpaceDN/>
        <w:bidi w:val="0"/>
        <w:adjustRightInd/>
        <w:snapToGrid/>
        <w:spacing w:line="576" w:lineRule="exact"/>
        <w:ind w:firstLine="640" w:firstLineChars="200"/>
        <w:textAlignment w:val="auto"/>
        <w:rPr>
          <w:rFonts w:hint="eastAsia" w:ascii="仿宋_GB2312" w:hAnsi="黑体" w:eastAsia="仿宋_GB2312" w:cs="黑体"/>
          <w:b w:val="0"/>
          <w:bCs w:val="0"/>
          <w:color w:val="000000" w:themeColor="text1"/>
          <w:kern w:val="2"/>
          <w:sz w:val="32"/>
          <w:szCs w:val="32"/>
          <w:lang w:val="en-US" w:eastAsia="zh-CN" w:bidi="ar-SA"/>
          <w14:textFill>
            <w14:solidFill>
              <w14:schemeClr w14:val="tx1"/>
            </w14:solidFill>
          </w14:textFill>
        </w:rPr>
      </w:pPr>
      <w:r>
        <w:rPr>
          <w:rFonts w:hint="eastAsia" w:ascii="仿宋_GB2312" w:hAnsi="黑体" w:eastAsia="仿宋_GB2312" w:cs="黑体"/>
          <w:b w:val="0"/>
          <w:bCs w:val="0"/>
          <w:color w:val="000000" w:themeColor="text1"/>
          <w:kern w:val="2"/>
          <w:sz w:val="32"/>
          <w:szCs w:val="32"/>
          <w:lang w:val="en-US" w:eastAsia="zh-CN" w:bidi="ar-SA"/>
          <w14:textFill>
            <w14:solidFill>
              <w14:schemeClr w14:val="tx1"/>
            </w14:solidFill>
          </w14:textFill>
        </w:rPr>
        <w:t>承担全市境内突发公共卫生事件处置及其他突发事件紧急医疗救援的指挥调度；负责全市所有医疗急救资源的调度、指挥并开展院前急救、转运和重症病人转运途中的监护；负责全市网络医院监管、急救人员培训等工作。</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30690"/>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广元市紧急救援中心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shd w:val="clear"/>
        <w:spacing w:line="576" w:lineRule="exact"/>
        <w:ind w:firstLine="640" w:firstLineChars="200"/>
        <w:rPr>
          <w:rFonts w:ascii="仿宋_GB2312" w:hAnsi="黑体" w:eastAsia="仿宋_GB2312" w:cs="黑体"/>
          <w:bCs/>
          <w:color w:val="000000" w:themeColor="text1"/>
          <w:sz w:val="32"/>
          <w:szCs w:val="32"/>
          <w14:textFill>
            <w14:solidFill>
              <w14:schemeClr w14:val="tx1"/>
            </w14:solidFill>
          </w14:textFill>
        </w:rPr>
      </w:pPr>
      <w:r>
        <w:rPr>
          <w:rFonts w:hint="eastAsia" w:ascii="仿宋_GB2312" w:hAnsi="黑体" w:eastAsia="仿宋_GB2312" w:cs="黑体"/>
          <w:b w:val="0"/>
          <w:bCs w:val="0"/>
          <w:color w:val="000000" w:themeColor="text1"/>
          <w:sz w:val="32"/>
          <w:szCs w:val="32"/>
          <w:lang w:val="en-US" w:eastAsia="zh-CN"/>
          <w14:textFill>
            <w14:solidFill>
              <w14:schemeClr w14:val="tx1"/>
            </w14:solidFill>
          </w14:textFill>
        </w:rPr>
        <w:t>1.</w:t>
      </w:r>
      <w:r>
        <w:rPr>
          <w:rFonts w:hint="eastAsia" w:ascii="仿宋_GB2312" w:hAnsi="黑体" w:eastAsia="仿宋_GB2312" w:cs="黑体"/>
          <w:b w:val="0"/>
          <w:bCs w:val="0"/>
          <w:color w:val="000000" w:themeColor="text1"/>
          <w:sz w:val="32"/>
          <w:szCs w:val="32"/>
          <w14:textFill>
            <w14:solidFill>
              <w14:schemeClr w14:val="tx1"/>
            </w14:solidFill>
          </w14:textFill>
        </w:rPr>
        <w:t>坚持党建引领推进各项工作高质量完成</w:t>
      </w:r>
      <w:r>
        <w:rPr>
          <w:rFonts w:hint="eastAsia" w:ascii="仿宋_GB2312" w:hAnsi="黑体" w:eastAsia="仿宋_GB2312"/>
          <w:b w:val="0"/>
          <w:bCs w:val="0"/>
          <w:color w:val="000000" w:themeColor="text1"/>
          <w:sz w:val="32"/>
          <w:szCs w:val="32"/>
          <w14:textFill>
            <w14:solidFill>
              <w14:schemeClr w14:val="tx1"/>
            </w14:solidFill>
          </w14:textFill>
        </w:rPr>
        <w:t>。</w:t>
      </w:r>
      <w:r>
        <w:rPr>
          <w:rFonts w:hint="eastAsia" w:ascii="仿宋_GB2312" w:hAnsi="黑体" w:eastAsia="仿宋_GB2312" w:cs="黑体"/>
          <w:bCs/>
          <w:color w:val="000000" w:themeColor="text1"/>
          <w:sz w:val="32"/>
          <w:szCs w:val="32"/>
          <w14:textFill>
            <w14:solidFill>
              <w14:schemeClr w14:val="tx1"/>
            </w14:solidFill>
          </w14:textFill>
        </w:rPr>
        <w:t>坚持用习近平新时代中国特色社会主义思想武装头脑、指导实践、推进工作，用好“三会一课</w:t>
      </w:r>
      <w:r>
        <w:rPr>
          <w:rFonts w:hint="eastAsia" w:ascii="仿宋_GB2312" w:hAnsi="黑体" w:eastAsia="仿宋_GB2312" w:cs="黑体"/>
          <w:bCs/>
          <w:color w:val="000000" w:themeColor="text1"/>
          <w:sz w:val="32"/>
          <w:szCs w:val="32"/>
          <w:lang w:eastAsia="zh-CN"/>
          <w14:textFill>
            <w14:solidFill>
              <w14:schemeClr w14:val="tx1"/>
            </w14:solidFill>
          </w14:textFill>
        </w:rPr>
        <w:t>”“</w:t>
      </w:r>
      <w:r>
        <w:rPr>
          <w:rFonts w:hint="eastAsia" w:ascii="仿宋_GB2312" w:hAnsi="黑体" w:eastAsia="仿宋_GB2312" w:cs="黑体"/>
          <w:bCs/>
          <w:color w:val="000000" w:themeColor="text1"/>
          <w:sz w:val="32"/>
          <w:szCs w:val="32"/>
          <w14:textFill>
            <w14:solidFill>
              <w14:schemeClr w14:val="tx1"/>
            </w14:solidFill>
          </w14:textFill>
        </w:rPr>
        <w:t>主题党日”活动制度和“学习强国”学习平台，引导全体党员真正学进去、做起来，把主题教育学习成果转化为推动院前急救事业发展的实际成果。</w:t>
      </w:r>
    </w:p>
    <w:p>
      <w:pPr>
        <w:shd w:val="clea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val="0"/>
          <w:bCs/>
          <w:color w:val="000000" w:themeColor="text1"/>
          <w:sz w:val="32"/>
          <w:szCs w:val="32"/>
          <w:lang w:val="en-US" w:eastAsia="zh-CN"/>
          <w14:textFill>
            <w14:solidFill>
              <w14:schemeClr w14:val="tx1"/>
            </w14:solidFill>
          </w14:textFill>
        </w:rPr>
        <w:t>2.</w:t>
      </w:r>
      <w:r>
        <w:rPr>
          <w:rFonts w:hint="eastAsia" w:ascii="仿宋_GB2312" w:eastAsia="仿宋_GB2312"/>
          <w:b w:val="0"/>
          <w:bCs/>
          <w:color w:val="000000" w:themeColor="text1"/>
          <w:sz w:val="32"/>
          <w:szCs w:val="32"/>
          <w14:textFill>
            <w14:solidFill>
              <w14:schemeClr w14:val="tx1"/>
            </w14:solidFill>
          </w14:textFill>
        </w:rPr>
        <w:t>持续</w:t>
      </w:r>
      <w:r>
        <w:rPr>
          <w:rFonts w:hint="eastAsia" w:ascii="仿宋_GB2312" w:hAnsi="楷体" w:eastAsia="仿宋_GB2312"/>
          <w:b w:val="0"/>
          <w:bCs/>
          <w:color w:val="000000" w:themeColor="text1"/>
          <w:sz w:val="32"/>
          <w:szCs w:val="32"/>
          <w14:textFill>
            <w14:solidFill>
              <w14:schemeClr w14:val="tx1"/>
            </w14:solidFill>
          </w14:textFill>
        </w:rPr>
        <w:t>优化急救资源网络布局。</w:t>
      </w:r>
      <w:r>
        <w:rPr>
          <w:rFonts w:hint="eastAsia" w:ascii="仿宋_GB2312" w:eastAsia="仿宋_GB2312"/>
          <w:b w:val="0"/>
          <w:bCs/>
          <w:color w:val="000000" w:themeColor="text1"/>
          <w:sz w:val="32"/>
          <w:szCs w:val="32"/>
          <w14:textFill>
            <w14:solidFill>
              <w14:schemeClr w14:val="tx1"/>
            </w14:solidFill>
          </w14:textFill>
        </w:rPr>
        <w:t>按照我</w:t>
      </w:r>
      <w:r>
        <w:rPr>
          <w:rFonts w:hint="eastAsia" w:ascii="仿宋_GB2312" w:eastAsia="仿宋_GB2312"/>
          <w:color w:val="000000" w:themeColor="text1"/>
          <w:sz w:val="32"/>
          <w:szCs w:val="32"/>
          <w14:textFill>
            <w14:solidFill>
              <w14:schemeClr w14:val="tx1"/>
            </w14:solidFill>
          </w14:textFill>
        </w:rPr>
        <w:t>省区域急救网络布局原则及院前医疗急救网络布局标准，依据人群、体系平均急救反应时间、专科急救能力的覆盖状况，结合撤乡并镇后基层急救能力评估及履行院前急救质效评价，持续调整网络医疗机构密度和结构。</w:t>
      </w:r>
    </w:p>
    <w:p>
      <w:pPr>
        <w:shd w:val="clear"/>
        <w:spacing w:line="576"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eastAsia="仿宋_GB2312"/>
          <w:b w:val="0"/>
          <w:bCs/>
          <w:color w:val="000000" w:themeColor="text1"/>
          <w:sz w:val="32"/>
          <w:szCs w:val="32"/>
          <w:lang w:val="en-US" w:eastAsia="zh-CN"/>
          <w14:textFill>
            <w14:solidFill>
              <w14:schemeClr w14:val="tx1"/>
            </w14:solidFill>
          </w14:textFill>
        </w:rPr>
        <w:t>3.</w:t>
      </w:r>
      <w:r>
        <w:rPr>
          <w:rFonts w:hint="eastAsia" w:ascii="仿宋_GB2312" w:eastAsia="仿宋_GB2312"/>
          <w:b w:val="0"/>
          <w:bCs/>
          <w:color w:val="000000" w:themeColor="text1"/>
          <w:sz w:val="32"/>
          <w:szCs w:val="32"/>
          <w14:textFill>
            <w14:solidFill>
              <w14:schemeClr w14:val="tx1"/>
            </w14:solidFill>
          </w14:textFill>
        </w:rPr>
        <w:t>推进</w:t>
      </w:r>
      <w:r>
        <w:rPr>
          <w:rFonts w:hint="eastAsia" w:ascii="仿宋_GB2312" w:hAnsi="仿宋" w:eastAsia="仿宋_GB2312"/>
          <w:b w:val="0"/>
          <w:bCs/>
          <w:color w:val="000000" w:themeColor="text1"/>
          <w:sz w:val="32"/>
          <w:szCs w:val="32"/>
          <w14:textFill>
            <w14:solidFill>
              <w14:schemeClr w14:val="tx1"/>
            </w14:solidFill>
          </w14:textFill>
        </w:rPr>
        <w:t>“5G+智慧急救”信息化</w:t>
      </w:r>
      <w:r>
        <w:rPr>
          <w:rFonts w:hint="eastAsia" w:ascii="仿宋_GB2312" w:eastAsia="仿宋_GB2312"/>
          <w:b w:val="0"/>
          <w:bCs/>
          <w:color w:val="000000" w:themeColor="text1"/>
          <w:sz w:val="32"/>
          <w:szCs w:val="32"/>
          <w14:textFill>
            <w14:solidFill>
              <w14:schemeClr w14:val="tx1"/>
            </w14:solidFill>
          </w14:textFill>
        </w:rPr>
        <w:t>建设。学习借鉴省内外先</w:t>
      </w:r>
      <w:r>
        <w:rPr>
          <w:rFonts w:hint="eastAsia" w:ascii="仿宋_GB2312" w:eastAsia="仿宋_GB2312"/>
          <w:color w:val="000000" w:themeColor="text1"/>
          <w:sz w:val="32"/>
          <w:szCs w:val="32"/>
          <w14:textFill>
            <w14:solidFill>
              <w14:schemeClr w14:val="tx1"/>
            </w14:solidFill>
          </w14:textFill>
        </w:rPr>
        <w:t>进经验做法，调研拟定加强我市院前急救信息化建设方案，结合我市健康守护工程公共卫生补短行动，统筹推进城乡院前急救信息化一</w:t>
      </w:r>
      <w:r>
        <w:rPr>
          <w:rFonts w:hint="eastAsia" w:ascii="仿宋_GB2312" w:eastAsia="仿宋_GB2312"/>
          <w:color w:val="000000" w:themeColor="text1"/>
          <w:sz w:val="32"/>
          <w:szCs w:val="32"/>
          <w:lang w:eastAsia="zh-CN"/>
          <w14:textFill>
            <w14:solidFill>
              <w14:schemeClr w14:val="tx1"/>
            </w14:solidFill>
          </w14:textFill>
        </w:rPr>
        <w:t>体化</w:t>
      </w:r>
      <w:r>
        <w:rPr>
          <w:rFonts w:hint="eastAsia" w:ascii="仿宋_GB2312" w:eastAsia="仿宋_GB2312"/>
          <w:color w:val="000000" w:themeColor="text1"/>
          <w:sz w:val="32"/>
          <w:szCs w:val="32"/>
          <w14:textFill>
            <w14:solidFill>
              <w14:schemeClr w14:val="tx1"/>
            </w14:solidFill>
          </w14:textFill>
        </w:rPr>
        <w:t>建设。</w:t>
      </w:r>
      <w:r>
        <w:rPr>
          <w:rFonts w:hint="eastAsia" w:ascii="仿宋_GB2312" w:hAnsi="仿宋" w:eastAsia="仿宋_GB2312"/>
          <w:color w:val="000000" w:themeColor="text1"/>
          <w:sz w:val="32"/>
          <w:szCs w:val="32"/>
          <w14:textFill>
            <w14:solidFill>
              <w14:schemeClr w14:val="tx1"/>
            </w14:solidFill>
          </w14:textFill>
        </w:rPr>
        <w:t>建立全市统一调度、分级监管、院前院内信息互联、区域救治资源共享的院前急救智慧化云平台，完善院前医疗急救接报调度、监测预警智能化功能，实现报警呼救、实时定位等急救功能，提升指挥调度和信息处理能力。</w:t>
      </w:r>
    </w:p>
    <w:p>
      <w:pPr>
        <w:shd w:val="clear"/>
        <w:spacing w:line="576"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楷体" w:eastAsia="仿宋_GB2312"/>
          <w:b w:val="0"/>
          <w:bCs/>
          <w:color w:val="000000" w:themeColor="text1"/>
          <w:sz w:val="32"/>
          <w:szCs w:val="32"/>
          <w:lang w:val="en-US" w:eastAsia="zh-CN"/>
          <w14:textFill>
            <w14:solidFill>
              <w14:schemeClr w14:val="tx1"/>
            </w14:solidFill>
          </w14:textFill>
        </w:rPr>
        <w:t>4.</w:t>
      </w:r>
      <w:r>
        <w:rPr>
          <w:rFonts w:hint="eastAsia" w:ascii="仿宋_GB2312" w:hAnsi="楷体" w:eastAsia="仿宋_GB2312"/>
          <w:b w:val="0"/>
          <w:bCs/>
          <w:color w:val="000000" w:themeColor="text1"/>
          <w:sz w:val="32"/>
          <w:szCs w:val="32"/>
          <w14:textFill>
            <w14:solidFill>
              <w14:schemeClr w14:val="tx1"/>
            </w14:solidFill>
          </w14:textFill>
        </w:rPr>
        <w:t>不断提升院前医疗急救服务质量</w:t>
      </w:r>
      <w:r>
        <w:rPr>
          <w:rFonts w:hint="eastAsia" w:ascii="仿宋_GB2312" w:hAnsi="仿宋" w:eastAsia="仿宋_GB2312"/>
          <w:b w:val="0"/>
          <w:bCs/>
          <w:color w:val="000000" w:themeColor="text1"/>
          <w:sz w:val="32"/>
          <w:szCs w:val="32"/>
          <w14:textFill>
            <w14:solidFill>
              <w14:schemeClr w14:val="tx1"/>
            </w14:solidFill>
          </w14:textFill>
        </w:rPr>
        <w:t>。完善我市急诊急救质</w:t>
      </w:r>
      <w:r>
        <w:rPr>
          <w:rFonts w:hint="eastAsia" w:ascii="仿宋_GB2312" w:hAnsi="仿宋" w:eastAsia="仿宋_GB2312"/>
          <w:color w:val="000000" w:themeColor="text1"/>
          <w:sz w:val="32"/>
          <w:szCs w:val="32"/>
          <w14:textFill>
            <w14:solidFill>
              <w14:schemeClr w14:val="tx1"/>
            </w14:solidFill>
          </w14:textFill>
        </w:rPr>
        <w:t>控要求和标准，落实院前院内急救衔接工作规范，推进实施分级分类调度救治工作，加强院前急救质控标准化规范化精细化管理。</w:t>
      </w:r>
      <w:r>
        <w:rPr>
          <w:rFonts w:hint="eastAsia" w:ascii="仿宋_GB2312" w:hAnsi="黑体" w:eastAsia="仿宋_GB2312"/>
          <w:color w:val="000000" w:themeColor="text1"/>
          <w:sz w:val="32"/>
          <w:szCs w:val="32"/>
          <w14:textFill>
            <w14:solidFill>
              <w14:schemeClr w14:val="tx1"/>
            </w14:solidFill>
          </w14:textFill>
        </w:rPr>
        <w:t>加强调度员团队能力建设，</w:t>
      </w:r>
      <w:r>
        <w:rPr>
          <w:rFonts w:hint="eastAsia" w:ascii="仿宋_GB2312" w:hAnsi="仿宋" w:eastAsia="仿宋_GB2312" w:cs="宋体"/>
          <w:color w:val="000000" w:themeColor="text1"/>
          <w:kern w:val="0"/>
          <w:sz w:val="32"/>
          <w:szCs w:val="32"/>
          <w14:textFill>
            <w14:solidFill>
              <w14:schemeClr w14:val="tx1"/>
            </w14:solidFill>
          </w14:textFill>
        </w:rPr>
        <w:t>采取多种方式经常性开展思想政治学习、职业道德、廉洁从业教育，不断增强职业使命感和工作责任心，用好调度大讲堂学习交流载体，</w:t>
      </w:r>
      <w:r>
        <w:rPr>
          <w:rFonts w:hint="eastAsia" w:ascii="仿宋_GB2312" w:hAnsi="黑体" w:eastAsia="仿宋_GB2312" w:cs="宋体"/>
          <w:color w:val="000000" w:themeColor="text1"/>
          <w:kern w:val="0"/>
          <w:sz w:val="32"/>
          <w:szCs w:val="32"/>
          <w14:textFill>
            <w14:solidFill>
              <w14:schemeClr w14:val="tx1"/>
            </w14:solidFill>
          </w14:textFill>
        </w:rPr>
        <w:t>持续提升业务</w:t>
      </w:r>
      <w:r>
        <w:rPr>
          <w:rFonts w:hint="eastAsia" w:ascii="仿宋_GB2312" w:hAnsi="仿宋" w:eastAsia="仿宋_GB2312" w:cs="宋体"/>
          <w:color w:val="000000" w:themeColor="text1"/>
          <w:kern w:val="0"/>
          <w:sz w:val="32"/>
          <w:szCs w:val="32"/>
          <w14:textFill>
            <w14:solidFill>
              <w14:schemeClr w14:val="tx1"/>
            </w14:solidFill>
          </w14:textFill>
        </w:rPr>
        <w:t>技能。</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楷体" w:eastAsia="仿宋_GB2312"/>
          <w:b w:val="0"/>
          <w:bCs/>
          <w:color w:val="000000" w:themeColor="text1"/>
          <w:sz w:val="32"/>
          <w:szCs w:val="32"/>
          <w:lang w:val="en-US" w:eastAsia="zh-CN"/>
          <w14:textFill>
            <w14:solidFill>
              <w14:schemeClr w14:val="tx1"/>
            </w14:solidFill>
          </w14:textFill>
        </w:rPr>
        <w:t>5.</w:t>
      </w:r>
      <w:r>
        <w:rPr>
          <w:rFonts w:hint="eastAsia" w:ascii="仿宋_GB2312" w:hAnsi="楷体" w:eastAsia="仿宋_GB2312"/>
          <w:b w:val="0"/>
          <w:bCs/>
          <w:color w:val="000000" w:themeColor="text1"/>
          <w:sz w:val="32"/>
          <w:szCs w:val="32"/>
          <w14:textFill>
            <w14:solidFill>
              <w14:schemeClr w14:val="tx1"/>
            </w14:solidFill>
          </w14:textFill>
        </w:rPr>
        <w:t>提升公众急救知识和技能水平</w:t>
      </w:r>
      <w:r>
        <w:rPr>
          <w:rFonts w:hint="eastAsia" w:ascii="仿宋_GB2312" w:hAnsi="仿宋" w:eastAsia="仿宋_GB2312"/>
          <w:b w:val="0"/>
          <w:bCs/>
          <w:color w:val="000000" w:themeColor="text1"/>
          <w:sz w:val="32"/>
          <w:szCs w:val="32"/>
          <w14:textFill>
            <w14:solidFill>
              <w14:schemeClr w14:val="tx1"/>
            </w14:solidFill>
          </w14:textFill>
        </w:rPr>
        <w:t>。加强公众急救培训师资</w:t>
      </w:r>
      <w:r>
        <w:rPr>
          <w:rFonts w:hint="eastAsia" w:ascii="仿宋_GB2312" w:hAnsi="仿宋" w:eastAsia="仿宋_GB2312"/>
          <w:color w:val="000000" w:themeColor="text1"/>
          <w:sz w:val="32"/>
          <w:szCs w:val="32"/>
          <w14:textFill>
            <w14:solidFill>
              <w14:schemeClr w14:val="tx1"/>
            </w14:solidFill>
          </w14:textFill>
        </w:rPr>
        <w:t>队伍建设，常态化开展公众急救科普技能培训，重点强化重点人群和场所急救技能培训，营造社会急救环境。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3" w:name="_Toc26705"/>
      <w:r>
        <w:rPr>
          <w:rFonts w:hint="eastAsia" w:ascii="黑体" w:hAnsi="黑体" w:eastAsia="黑体" w:cs="黑体"/>
          <w:sz w:val="32"/>
          <w:szCs w:val="32"/>
          <w:highlight w:val="none"/>
          <w:lang w:val="en-US" w:eastAsia="zh-CN"/>
        </w:rPr>
        <w:t>二、单位预算单位构成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我单位为广元市卫生健康委员会的下属二级预算单位，本单位无下属机构，设有内设机构3个。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8574"/>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紧急救援中心所有收入和支出均纳入部门预算管理。收入包括：一般公共预算拨款收入；支出包括：社会保障和就业支出、卫生健康支出、住房保障支出。广元市紧急救援中心2024年收支预算总数279.04万元，比2023年收支预算总数</w:t>
      </w:r>
      <w:r>
        <w:rPr>
          <w:rFonts w:hint="eastAsia" w:ascii="仿宋_GB2312" w:hAnsi="宋体" w:eastAsia="仿宋_GB2312" w:cs="宋体"/>
          <w:color w:val="333333"/>
          <w:kern w:val="0"/>
          <w:sz w:val="32"/>
          <w:szCs w:val="32"/>
          <w:shd w:val="clear" w:color="auto" w:fill="FFFFFF"/>
          <w:lang w:bidi="ar"/>
        </w:rPr>
        <w:t>266.89万元</w:t>
      </w:r>
      <w:r>
        <w:rPr>
          <w:rFonts w:hint="eastAsia" w:ascii="仿宋_GB2312" w:hAnsi="仿宋_GB2312" w:eastAsia="仿宋_GB2312" w:cs="仿宋_GB2312"/>
          <w:sz w:val="32"/>
          <w:szCs w:val="32"/>
          <w:lang w:val="en-US" w:eastAsia="zh-CN"/>
        </w:rPr>
        <w:t>增加12.15万元，主要原因是人员经费增加。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1367"/>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广元市紧急救援中心2024年收入预算279.04万元，其中：一般公共预算拨款收入279.04万元，占100%。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8220"/>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广元市紧急救援中心2024年支出预算279.04万元，其中：基本支出231.15万元，占82.84%；项目支出47.89万元，占17.16%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8752"/>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广元市紧急救援中心2024年财政拨款收支预算总数279.04万元，比2023年财政拨款收支预算总数</w:t>
      </w:r>
      <w:r>
        <w:rPr>
          <w:rFonts w:hint="eastAsia" w:ascii="仿宋_GB2312" w:hAnsi="宋体" w:eastAsia="仿宋_GB2312" w:cs="宋体"/>
          <w:color w:val="333333"/>
          <w:kern w:val="0"/>
          <w:sz w:val="32"/>
          <w:szCs w:val="32"/>
          <w:shd w:val="clear" w:color="auto" w:fill="FFFFFF"/>
          <w:lang w:bidi="ar"/>
        </w:rPr>
        <w:t>266.89万元</w:t>
      </w:r>
      <w:r>
        <w:rPr>
          <w:rFonts w:hint="eastAsia" w:ascii="仿宋_GB2312" w:hAnsi="仿宋_GB2312" w:eastAsia="仿宋_GB2312" w:cs="仿宋_GB2312"/>
          <w:sz w:val="32"/>
          <w:szCs w:val="32"/>
          <w:lang w:val="en-US" w:eastAsia="zh-CN"/>
        </w:rPr>
        <w:t>增加12.15万元，主要原因是人员经费增加。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收入包括：本年一般公共预算拨款收入279.04万元；支出包括：社会保障和就业支出23.23万元、卫生健康支出236.19万元、住房保障支出19.62万元。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429"/>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31539"/>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广元市紧急救援中心2024年一般公共预算当年拨款279.04万元，比2023年预算数</w:t>
      </w:r>
      <w:r>
        <w:rPr>
          <w:rFonts w:hint="eastAsia" w:ascii="仿宋_GB2312" w:hAnsi="宋体" w:eastAsia="仿宋_GB2312" w:cs="宋体"/>
          <w:color w:val="333333"/>
          <w:kern w:val="0"/>
          <w:sz w:val="32"/>
          <w:szCs w:val="32"/>
          <w:shd w:val="clear" w:color="auto" w:fill="FFFFFF"/>
          <w:lang w:bidi="ar"/>
        </w:rPr>
        <w:t>266.89</w:t>
      </w:r>
      <w:r>
        <w:rPr>
          <w:rFonts w:hint="eastAsia" w:ascii="仿宋_GB2312" w:hAnsi="宋体" w:eastAsia="仿宋_GB2312" w:cs="宋体"/>
          <w:bCs/>
          <w:color w:val="333333"/>
          <w:kern w:val="0"/>
          <w:sz w:val="32"/>
          <w:szCs w:val="32"/>
          <w:shd w:val="clear" w:color="auto" w:fill="FFFFFF"/>
          <w:lang w:bidi="ar"/>
        </w:rPr>
        <w:t>万元</w:t>
      </w:r>
      <w:r>
        <w:rPr>
          <w:rFonts w:hint="eastAsia" w:ascii="仿宋_GB2312" w:hAnsi="仿宋_GB2312" w:eastAsia="仿宋_GB2312" w:cs="仿宋_GB2312"/>
          <w:sz w:val="32"/>
          <w:szCs w:val="32"/>
          <w:lang w:val="en-US" w:eastAsia="zh-CN"/>
        </w:rPr>
        <w:t>增加12.15万元，主要原因是人员经费增加。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8774"/>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社会保障和就业支出23.23万元，占8.32%；卫生健康支出236.19万元，占84.65%；住房保障支出19.62万元，占7.03%。</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3740"/>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社会保障和就业（类）行政事业单位养老支出（款）机关事业单位基本养老保险缴费支出（项）2024年预算数为23.23万元，主要用于：实施养老保险制度由单位缴纳的基本养老保险支出。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卫生健康（类）行政事业单位医疗（款）事业单位医疗（项）2024年预算数为7.64万元，主要用于：事业单位按规定由单位缴纳的基本医疗保险支出。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卫生健康（类）公共卫生（款）应急救治机构（项）2024年预算数为228.56万元，主要用于：卫生健康、疾病预防控制部门所属应急救治机构的支出。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4.住房保障（类）住房改革支出（款）住房公积金（项）2024年预算数为19.62万元，主要用于：部门按规定为职工缴纳的住房公积金支出。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046"/>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广元市紧急救援中心2024年一般公共预算基本支出231.15万元，其中：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人员经费210.14万元，主要包括：基本工资、津贴补贴、奖金、绩效工资、机关事业单位基本养老保险缴费、职工基本医疗保险缴费、其他社会保障缴费、住房公积金、生活补助等支出。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公用经费21.01万元，主要包括：办公费、水费、物业管理费、差旅费、维修（护）费、公务接待费、工会经费、福利费、其他交通费用、其他商品和服务支出等支出。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31036"/>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广元市紧急救援中心2024年“三公”经费财政拨款预算数0.3万元，其中：公务接待费0.3万元，公务用车购置及运行维护费0万元，因公出国（境）经费0万元。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公务用车购置及运行维护费与2023年预算相比持平，未安排预算资金。单位无公务用车。</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933"/>
      <w:r>
        <w:rPr>
          <w:rFonts w:hint="eastAsia" w:ascii="黑体" w:hAnsi="黑体" w:eastAsia="黑体" w:cs="黑体"/>
          <w:sz w:val="32"/>
          <w:szCs w:val="32"/>
          <w:lang w:val="en-US" w:eastAsia="zh-CN"/>
        </w:rPr>
        <w:t>八、政府性基金预算支出情况说明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广元市紧急救援中心2024年无政府性基金预算拨款安排的支出。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5" w:name="_Toc25709"/>
      <w:r>
        <w:rPr>
          <w:rFonts w:hint="eastAsia" w:ascii="黑体" w:hAnsi="黑体" w:eastAsia="黑体" w:cs="黑体"/>
          <w:sz w:val="32"/>
          <w:szCs w:val="32"/>
          <w:lang w:val="en-US" w:eastAsia="zh-CN"/>
        </w:rPr>
        <w:t>九、国有资本经营预算支出情况说明</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广元市紧急救援中心2024年无国有资本经营预算拨款安排的支出。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2984"/>
      <w:r>
        <w:rPr>
          <w:rFonts w:hint="eastAsia" w:ascii="黑体" w:hAnsi="黑体" w:eastAsia="黑体" w:cs="黑体"/>
          <w:sz w:val="32"/>
          <w:szCs w:val="32"/>
          <w:lang w:val="en-US" w:eastAsia="zh-CN"/>
        </w:rPr>
        <w:t>十、其他重要事项的情况说明</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bookmarkStart w:id="17" w:name="_Toc25567"/>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广元市紧急救援中心为事业单位，按规定未使用机关运行的相关科目。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2024年，广元市紧急救援中心未安排政府采购预算。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29315"/>
      <w:r>
        <w:rPr>
          <w:rFonts w:hint="eastAsia" w:ascii="楷体_GB2312" w:hAnsi="楷体_GB2312" w:eastAsia="楷体_GB2312" w:cs="楷体_GB2312"/>
          <w:sz w:val="32"/>
          <w:szCs w:val="32"/>
          <w:lang w:val="en-US" w:eastAsia="zh-CN"/>
        </w:rPr>
        <w:t>（三）国有资产占有使用情况</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截至2023年底，广元市紧急救援中心无车辆。单位无价值200万元以上的大型设备。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sz w:val="32"/>
          <w:szCs w:val="32"/>
          <w:lang w:val="en-US" w:eastAsia="zh-CN"/>
        </w:rPr>
        <w:t>2024年广元市紧急救援中心开展绩效目标管理的项目12个，涉及预算279.04万元。其中：人员类项目5个，涉及预算210.14万元；运转类项目3个，涉及预算21.01万元；特定目标类项目4个，涉及预算47.89万元。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5807"/>
      <w:r>
        <w:rPr>
          <w:rFonts w:hint="eastAsia" w:ascii="黑体" w:hAnsi="黑体" w:eastAsia="黑体" w:cs="黑体"/>
          <w:sz w:val="32"/>
          <w:szCs w:val="32"/>
          <w:lang w:val="en-US" w:eastAsia="zh-CN"/>
        </w:rPr>
        <w:t>十一、名词解释</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指市财政当年安排的财政预算收入。按现行管理制度，单位预算中反映的财政拨款包括一般公共预算拨款和政府性基金预算拨款。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（二）一般公共预算拨款收入：</w:t>
      </w:r>
      <w:r>
        <w:rPr>
          <w:rFonts w:hint="eastAsia" w:ascii="仿宋_GB2312" w:hAnsi="仿宋_GB2312" w:eastAsia="仿宋_GB2312" w:cs="仿宋_GB2312"/>
          <w:sz w:val="32"/>
          <w:szCs w:val="32"/>
          <w:lang w:val="en-US" w:eastAsia="zh-CN"/>
        </w:rPr>
        <w:t>指市级财政当年拨付的资金。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（三）社会保障和就业（类）行政事业单位养老支出（款）机关事业单位基本养老保险缴费支出（项）：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指机关事业单位实施养老保险制度由单位缴纳的基本养老保险费支出。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（五）卫生健康（类）公共卫生（款）应急救治机构（项）：</w:t>
      </w:r>
      <w:r>
        <w:rPr>
          <w:rFonts w:hint="eastAsia" w:ascii="仿宋_GB2312" w:hAnsi="仿宋_GB2312" w:eastAsia="仿宋_GB2312" w:cs="仿宋_GB2312"/>
          <w:sz w:val="32"/>
          <w:szCs w:val="32"/>
          <w:lang w:val="en-US" w:eastAsia="zh-CN"/>
        </w:rPr>
        <w:t>指卫生健康、疾病预防控制部门所属应急救治机构的支出。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F53BC5-C8EB-414B-B224-2DC9004F3A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1A3C6585-6FAC-4E12-BE66-3C09558B3316}"/>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3" w:fontKey="{3432D447-DBD7-4916-A2FA-573232B06662}"/>
  </w:font>
  <w:font w:name="楷体">
    <w:panose1 w:val="02010609060101010101"/>
    <w:charset w:val="86"/>
    <w:family w:val="modern"/>
    <w:pitch w:val="default"/>
    <w:sig w:usb0="800002BF" w:usb1="38CF7CFA" w:usb2="00000016" w:usb3="00000000" w:csb0="00040001" w:csb1="00000000"/>
    <w:embedRegular r:id="rId4" w:fontKey="{255E8F2F-E4AD-4EDB-B673-400D9902B13D}"/>
  </w:font>
  <w:font w:name="楷体_GB2312">
    <w:altName w:val="楷体"/>
    <w:panose1 w:val="02010609030101010101"/>
    <w:charset w:val="86"/>
    <w:family w:val="auto"/>
    <w:pitch w:val="default"/>
    <w:sig w:usb0="00000000" w:usb1="00000000" w:usb2="00000000" w:usb3="00000000" w:csb0="00040000" w:csb1="00000000"/>
    <w:embedRegular r:id="rId5" w:fontKey="{902B5738-5343-4F1C-AF5F-2FB246302FF8}"/>
  </w:font>
  <w:font w:name="仿宋">
    <w:panose1 w:val="02010609060101010101"/>
    <w:charset w:val="86"/>
    <w:family w:val="modern"/>
    <w:pitch w:val="default"/>
    <w:sig w:usb0="800002BF" w:usb1="38CF7CFA" w:usb2="00000016" w:usb3="00000000" w:csb0="00040001" w:csb1="00000000"/>
    <w:embedRegular r:id="rId6" w:fontKey="{6599AC58-B0F2-4E56-906F-9B1FAE527023}"/>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pPr>
                            <w:pStyle w:val="4"/>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pPr>
                      <w:pStyle w:val="4"/>
                      <w:rPr>
                        <w:rFonts w:hint="eastAsia" w:asciiTheme="minorEastAsia" w:hAnsiTheme="minorEastAsia" w:eastAsiaTheme="minorEastAsia" w:cstheme="minorEastAsia"/>
                        <w:sz w:val="28"/>
                        <w:szCs w:val="2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3DE771E"/>
    <w:rsid w:val="05021FBB"/>
    <w:rsid w:val="08FC424A"/>
    <w:rsid w:val="0BA819A0"/>
    <w:rsid w:val="0C4B3723"/>
    <w:rsid w:val="0D990F1C"/>
    <w:rsid w:val="0DED07E1"/>
    <w:rsid w:val="13A05E40"/>
    <w:rsid w:val="19407168"/>
    <w:rsid w:val="198F2E37"/>
    <w:rsid w:val="1CA32A41"/>
    <w:rsid w:val="1D9F113A"/>
    <w:rsid w:val="1DE95711"/>
    <w:rsid w:val="1E1147CA"/>
    <w:rsid w:val="1F7BF06F"/>
    <w:rsid w:val="1FEE4B73"/>
    <w:rsid w:val="221A7ADA"/>
    <w:rsid w:val="23CE9849"/>
    <w:rsid w:val="24674E49"/>
    <w:rsid w:val="25BC6147"/>
    <w:rsid w:val="29A70679"/>
    <w:rsid w:val="30382854"/>
    <w:rsid w:val="32670764"/>
    <w:rsid w:val="33244CAC"/>
    <w:rsid w:val="372799D5"/>
    <w:rsid w:val="39F304DD"/>
    <w:rsid w:val="3C694875"/>
    <w:rsid w:val="3D481307"/>
    <w:rsid w:val="41A14D9C"/>
    <w:rsid w:val="4BCA4CED"/>
    <w:rsid w:val="52C45009"/>
    <w:rsid w:val="54244390"/>
    <w:rsid w:val="54662A63"/>
    <w:rsid w:val="559D36AA"/>
    <w:rsid w:val="5679014A"/>
    <w:rsid w:val="58064E12"/>
    <w:rsid w:val="5BA42BAA"/>
    <w:rsid w:val="5BC8654D"/>
    <w:rsid w:val="5BFEE015"/>
    <w:rsid w:val="63D07307"/>
    <w:rsid w:val="63EDCF55"/>
    <w:rsid w:val="63FBFBCF"/>
    <w:rsid w:val="669360FD"/>
    <w:rsid w:val="66C45526"/>
    <w:rsid w:val="67AC2C84"/>
    <w:rsid w:val="68FF6A83"/>
    <w:rsid w:val="6AC5471F"/>
    <w:rsid w:val="6AEF6005"/>
    <w:rsid w:val="6BA32FE0"/>
    <w:rsid w:val="6BC256F3"/>
    <w:rsid w:val="6E3DB48E"/>
    <w:rsid w:val="6E774E19"/>
    <w:rsid w:val="6FBBC9CF"/>
    <w:rsid w:val="72255756"/>
    <w:rsid w:val="72BDE561"/>
    <w:rsid w:val="76D73214"/>
    <w:rsid w:val="76DA2638"/>
    <w:rsid w:val="78462278"/>
    <w:rsid w:val="791141CE"/>
    <w:rsid w:val="7997EA6C"/>
    <w:rsid w:val="7AEAE675"/>
    <w:rsid w:val="7BAFCE5D"/>
    <w:rsid w:val="7D46598C"/>
    <w:rsid w:val="7D9F8F0F"/>
    <w:rsid w:val="7DA83EE7"/>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25</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玖千余为春秋</cp:lastModifiedBy>
  <cp:lastPrinted>2024-02-19T02:46:00Z</cp:lastPrinted>
  <dcterms:modified xsi:type="dcterms:W3CDTF">2024-03-02T04:39:36Z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