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华文中宋" w:hAnsi="华文中宋" w:eastAsia="华文中宋" w:cs="华文中宋"/>
          <w:b/>
          <w:bCs/>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华文中宋" w:hAnsi="华文中宋" w:eastAsia="华文中宋" w:cs="华文中宋"/>
          <w:b/>
          <w:bCs/>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华文中宋" w:hAnsi="华文中宋" w:eastAsia="华文中宋" w:cs="华文中宋"/>
          <w:b/>
          <w:bCs/>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华文中宋" w:hAnsi="华文中宋" w:eastAsia="华文中宋" w:cs="华文中宋"/>
          <w:b/>
          <w:bCs/>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pPr>
      <w:r>
        <w:rPr>
          <w:rFonts w:hint="eastAsia" w:ascii="华文中宋" w:hAnsi="华文中宋" w:eastAsia="华文中宋" w:cs="华文中宋"/>
          <w:b/>
          <w:bCs/>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t>四川省广元中学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华文中宋" w:hAnsi="华文中宋" w:eastAsia="华文中宋" w:cs="华文中宋"/>
          <w:b/>
          <w:bCs/>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pPr>
      <w:r>
        <w:rPr>
          <w:rFonts w:hint="eastAsia" w:ascii="华文中宋" w:hAnsi="华文中宋" w:eastAsia="华文中宋" w:cs="华文中宋"/>
          <w:b/>
          <w:bCs/>
          <w:i w:val="0"/>
          <w:caps w:val="0"/>
          <w:color w:val="000000" w:themeColor="text1"/>
          <w:spacing w:val="0"/>
          <w:kern w:val="0"/>
          <w:sz w:val="72"/>
          <w:szCs w:val="72"/>
          <w:highlight w:val="none"/>
          <w:shd w:val="clear" w:color="auto" w:fill="FFFFFF"/>
          <w:lang w:val="en-US" w:eastAsia="zh-CN" w:bidi="ar"/>
          <w14:textFill>
            <w14:solidFill>
              <w14:schemeClr w14:val="tx1"/>
            </w14:solidFill>
          </w14:textFill>
        </w:rPr>
        <w:t>2024年单位预算编制说明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bCs/>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titlePg/>
          <w:docGrid w:type="lines" w:linePitch="312" w:charSpace="0"/>
        </w:sectPr>
      </w:pPr>
    </w:p>
    <w:p>
      <w:pPr>
        <w:shd w:val="clear"/>
        <w:spacing w:before="0" w:beforeLines="0" w:after="0" w:afterLines="0" w:line="240" w:lineRule="auto"/>
        <w:ind w:left="0" w:leftChars="0" w:right="0" w:rightChars="0" w:firstLine="0" w:firstLineChars="0"/>
        <w:jc w:val="center"/>
      </w:pPr>
    </w:p>
    <w:sdt>
      <w:sdtPr>
        <w:rPr>
          <w:rFonts w:hint="eastAsia" w:ascii="黑体" w:hAnsi="黑体" w:eastAsia="黑体" w:cs="黑体"/>
          <w:color w:val="auto"/>
          <w:kern w:val="2"/>
          <w:sz w:val="28"/>
          <w:szCs w:val="36"/>
          <w:lang w:val="en-US" w:eastAsia="zh-CN" w:bidi="ar-SA"/>
        </w:rPr>
        <w:id w:val="147481388"/>
        <w15:color w:val="DBDBDB"/>
        <w:docPartObj>
          <w:docPartGallery w:val="Table of Contents"/>
          <w:docPartUnique/>
        </w:docPartObj>
      </w:sdtPr>
      <w:sdtEndPr>
        <w:rPr>
          <w:rFonts w:hint="eastAsia" w:ascii="黑体" w:hAnsi="黑体" w:eastAsia="黑体" w:cs="黑体"/>
          <w:b/>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hd w:val="clear"/>
            <w:spacing w:before="0" w:beforeLines="0" w:after="0" w:afterLines="0" w:line="240" w:lineRule="auto"/>
            <w:ind w:left="0" w:leftChars="0" w:right="0" w:rightChars="0" w:firstLine="0" w:firstLineChars="0"/>
            <w:jc w:val="center"/>
            <w:rPr>
              <w:rFonts w:hint="eastAsia" w:ascii="黑体" w:hAnsi="黑体" w:eastAsia="黑体" w:cs="黑体"/>
              <w:sz w:val="36"/>
              <w:szCs w:val="44"/>
            </w:rPr>
          </w:pPr>
          <w:r>
            <w:rPr>
              <w:rFonts w:hint="eastAsia" w:ascii="黑体" w:hAnsi="黑体" w:eastAsia="黑体" w:cs="黑体"/>
              <w:sz w:val="32"/>
              <w:szCs w:val="40"/>
            </w:rPr>
            <w:t>目</w:t>
          </w:r>
          <w:r>
            <w:rPr>
              <w:rFonts w:hint="eastAsia" w:ascii="黑体" w:hAnsi="黑体" w:eastAsia="黑体" w:cs="黑体"/>
              <w:sz w:val="32"/>
              <w:szCs w:val="40"/>
              <w:lang w:val="en-US" w:eastAsia="zh-CN"/>
            </w:rPr>
            <w:t xml:space="preserve">  </w:t>
          </w:r>
          <w:r>
            <w:rPr>
              <w:rFonts w:hint="eastAsia" w:ascii="黑体" w:hAnsi="黑体" w:eastAsia="黑体" w:cs="黑体"/>
              <w:sz w:val="32"/>
              <w:szCs w:val="40"/>
            </w:rPr>
            <w:t>录</w:t>
          </w:r>
        </w:p>
        <w:p>
          <w:pPr>
            <w:pStyle w:val="6"/>
            <w:shd w:val="clear"/>
            <w:tabs>
              <w:tab w:val="right" w:leader="dot" w:pos="8845"/>
            </w:tabs>
            <w:spacing w:line="360" w:lineRule="auto"/>
            <w:rPr>
              <w:sz w:val="24"/>
              <w:szCs w:val="32"/>
            </w:rPr>
          </w:pPr>
          <w:r>
            <w:rPr>
              <w:rFonts w:hint="eastAsia" w:ascii="黑体" w:hAnsi="黑体" w:eastAsia="黑体" w:cs="黑体"/>
              <w:b w:val="0"/>
              <w:bCs w:val="0"/>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instrText xml:space="preserve">TOC \o "1-2" \h \u </w:instrText>
          </w:r>
          <w:r>
            <w:rPr>
              <w:rFonts w:hint="eastAsia" w:ascii="黑体" w:hAnsi="黑体" w:eastAsia="黑体" w:cs="黑体"/>
              <w:b w:val="0"/>
              <w:bCs w:val="0"/>
              <w:i w:val="0"/>
              <w:caps w:val="0"/>
              <w:color w:val="000000" w:themeColor="text1"/>
              <w:spacing w:val="0"/>
              <w:kern w:val="0"/>
              <w:sz w:val="40"/>
              <w:szCs w:val="40"/>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_Toc25353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一、基本职能及主要工作</w:t>
          </w:r>
          <w:r>
            <w:rPr>
              <w:sz w:val="24"/>
              <w:szCs w:val="32"/>
            </w:rPr>
            <w:tab/>
          </w:r>
          <w:r>
            <w:rPr>
              <w:sz w:val="24"/>
              <w:szCs w:val="32"/>
            </w:rPr>
            <w:fldChar w:fldCharType="begin"/>
          </w:r>
          <w:r>
            <w:rPr>
              <w:sz w:val="24"/>
              <w:szCs w:val="32"/>
            </w:rPr>
            <w:instrText xml:space="preserve"> PAGEREF _Toc25353 \h </w:instrText>
          </w:r>
          <w:r>
            <w:rPr>
              <w:sz w:val="24"/>
              <w:szCs w:val="32"/>
            </w:rPr>
            <w:fldChar w:fldCharType="separate"/>
          </w:r>
          <w:r>
            <w:rPr>
              <w:sz w:val="24"/>
              <w:szCs w:val="32"/>
            </w:rPr>
            <w:t>3</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_Toc27164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二、部门预算单位构成</w:t>
          </w:r>
          <w:r>
            <w:rPr>
              <w:sz w:val="24"/>
              <w:szCs w:val="32"/>
            </w:rPr>
            <w:tab/>
          </w:r>
          <w:r>
            <w:rPr>
              <w:sz w:val="24"/>
              <w:szCs w:val="32"/>
            </w:rPr>
            <w:fldChar w:fldCharType="begin"/>
          </w:r>
          <w:r>
            <w:rPr>
              <w:sz w:val="24"/>
              <w:szCs w:val="32"/>
            </w:rPr>
            <w:instrText xml:space="preserve"> PAGEREF _Toc27164 \h </w:instrText>
          </w:r>
          <w:r>
            <w:rPr>
              <w:sz w:val="24"/>
              <w:szCs w:val="32"/>
            </w:rPr>
            <w:fldChar w:fldCharType="separate"/>
          </w:r>
          <w:r>
            <w:rPr>
              <w:sz w:val="24"/>
              <w:szCs w:val="32"/>
            </w:rPr>
            <w:t>3</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_Toc14399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三、收支预算情况说明</w:t>
          </w:r>
          <w:r>
            <w:rPr>
              <w:sz w:val="24"/>
              <w:szCs w:val="32"/>
            </w:rPr>
            <w:tab/>
          </w:r>
          <w:r>
            <w:rPr>
              <w:sz w:val="24"/>
              <w:szCs w:val="32"/>
            </w:rPr>
            <w:fldChar w:fldCharType="begin"/>
          </w:r>
          <w:r>
            <w:rPr>
              <w:sz w:val="24"/>
              <w:szCs w:val="32"/>
            </w:rPr>
            <w:instrText xml:space="preserve"> PAGEREF _Toc14399 \h </w:instrText>
          </w:r>
          <w:r>
            <w:rPr>
              <w:sz w:val="24"/>
              <w:szCs w:val="32"/>
            </w:rPr>
            <w:fldChar w:fldCharType="separate"/>
          </w:r>
          <w:r>
            <w:rPr>
              <w:sz w:val="24"/>
              <w:szCs w:val="32"/>
            </w:rPr>
            <w:t>3</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keepNext w:val="0"/>
            <w:keepLines w:val="0"/>
            <w:pageBreakBefore w:val="0"/>
            <w:widowControl w:val="0"/>
            <w:shd w:val="clear"/>
            <w:tabs>
              <w:tab w:val="right" w:leader="dot" w:pos="8845"/>
            </w:tabs>
            <w:kinsoku/>
            <w:wordWrap/>
            <w:overflowPunct/>
            <w:topLinePunct w:val="0"/>
            <w:autoSpaceDE/>
            <w:autoSpaceDN/>
            <w:bidi w:val="0"/>
            <w:adjustRightInd/>
            <w:snapToGrid/>
            <w:spacing w:line="360" w:lineRule="auto"/>
            <w:textAlignment w:val="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_Toc2358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（一）收入预算情况</w:t>
          </w:r>
          <w:r>
            <w:rPr>
              <w:sz w:val="24"/>
              <w:szCs w:val="32"/>
            </w:rPr>
            <w:tab/>
          </w:r>
          <w:r>
            <w:rPr>
              <w:sz w:val="24"/>
              <w:szCs w:val="32"/>
            </w:rPr>
            <w:fldChar w:fldCharType="begin"/>
          </w:r>
          <w:r>
            <w:rPr>
              <w:sz w:val="24"/>
              <w:szCs w:val="32"/>
            </w:rPr>
            <w:instrText xml:space="preserve"> PAGEREF _Toc2358 \h </w:instrText>
          </w:r>
          <w:r>
            <w:rPr>
              <w:sz w:val="24"/>
              <w:szCs w:val="32"/>
            </w:rPr>
            <w:fldChar w:fldCharType="separate"/>
          </w:r>
          <w:r>
            <w:rPr>
              <w:sz w:val="24"/>
              <w:szCs w:val="32"/>
            </w:rPr>
            <w:t>4</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_Toc29665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（二）支出预算情况</w:t>
          </w:r>
          <w:r>
            <w:rPr>
              <w:sz w:val="24"/>
              <w:szCs w:val="32"/>
            </w:rPr>
            <w:tab/>
          </w:r>
          <w:r>
            <w:rPr>
              <w:sz w:val="24"/>
              <w:szCs w:val="32"/>
            </w:rPr>
            <w:fldChar w:fldCharType="begin"/>
          </w:r>
          <w:r>
            <w:rPr>
              <w:sz w:val="24"/>
              <w:szCs w:val="32"/>
            </w:rPr>
            <w:instrText xml:space="preserve"> PAGEREF _Toc29665 \h </w:instrText>
          </w:r>
          <w:r>
            <w:rPr>
              <w:sz w:val="24"/>
              <w:szCs w:val="32"/>
            </w:rPr>
            <w:fldChar w:fldCharType="separate"/>
          </w:r>
          <w:r>
            <w:rPr>
              <w:sz w:val="24"/>
              <w:szCs w:val="32"/>
            </w:rPr>
            <w:t>4</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_Toc11297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四、财政拨款收支预算情况说明</w:t>
          </w:r>
          <w:r>
            <w:rPr>
              <w:sz w:val="24"/>
              <w:szCs w:val="32"/>
            </w:rPr>
            <w:tab/>
          </w:r>
          <w:r>
            <w:rPr>
              <w:sz w:val="24"/>
              <w:szCs w:val="32"/>
            </w:rPr>
            <w:fldChar w:fldCharType="begin"/>
          </w:r>
          <w:r>
            <w:rPr>
              <w:sz w:val="24"/>
              <w:szCs w:val="32"/>
            </w:rPr>
            <w:instrText xml:space="preserve"> PAGEREF _Toc11297 \h </w:instrText>
          </w:r>
          <w:r>
            <w:rPr>
              <w:sz w:val="24"/>
              <w:szCs w:val="32"/>
            </w:rPr>
            <w:fldChar w:fldCharType="separate"/>
          </w:r>
          <w:r>
            <w:rPr>
              <w:sz w:val="24"/>
              <w:szCs w:val="32"/>
            </w:rPr>
            <w:t>4</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_Toc10188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五、一般公共预算当年拨款情况说明</w:t>
          </w:r>
          <w:r>
            <w:rPr>
              <w:sz w:val="24"/>
              <w:szCs w:val="32"/>
            </w:rPr>
            <w:tab/>
          </w:r>
          <w:r>
            <w:rPr>
              <w:sz w:val="24"/>
              <w:szCs w:val="32"/>
            </w:rPr>
            <w:fldChar w:fldCharType="begin"/>
          </w:r>
          <w:r>
            <w:rPr>
              <w:sz w:val="24"/>
              <w:szCs w:val="32"/>
            </w:rPr>
            <w:instrText xml:space="preserve"> PAGEREF _Toc10188 \h </w:instrText>
          </w:r>
          <w:r>
            <w:rPr>
              <w:sz w:val="24"/>
              <w:szCs w:val="32"/>
            </w:rPr>
            <w:fldChar w:fldCharType="separate"/>
          </w:r>
          <w:r>
            <w:rPr>
              <w:sz w:val="24"/>
              <w:szCs w:val="32"/>
            </w:rPr>
            <w:t>4</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_Toc24568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（一）一般公共预算当年拨款规模变化情况</w:t>
          </w:r>
          <w:r>
            <w:rPr>
              <w:sz w:val="24"/>
              <w:szCs w:val="32"/>
            </w:rPr>
            <w:tab/>
          </w:r>
          <w:r>
            <w:rPr>
              <w:sz w:val="24"/>
              <w:szCs w:val="32"/>
            </w:rPr>
            <w:fldChar w:fldCharType="begin"/>
          </w:r>
          <w:r>
            <w:rPr>
              <w:sz w:val="24"/>
              <w:szCs w:val="32"/>
            </w:rPr>
            <w:instrText xml:space="preserve"> PAGEREF _Toc24568 \h </w:instrText>
          </w:r>
          <w:r>
            <w:rPr>
              <w:sz w:val="24"/>
              <w:szCs w:val="32"/>
            </w:rPr>
            <w:fldChar w:fldCharType="separate"/>
          </w:r>
          <w:r>
            <w:rPr>
              <w:sz w:val="24"/>
              <w:szCs w:val="32"/>
            </w:rPr>
            <w:t>4</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_Toc11418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（二）一般公共预算当年拨款结构情况</w:t>
          </w:r>
          <w:r>
            <w:rPr>
              <w:sz w:val="24"/>
              <w:szCs w:val="32"/>
            </w:rPr>
            <w:tab/>
          </w:r>
          <w:r>
            <w:rPr>
              <w:sz w:val="24"/>
              <w:szCs w:val="32"/>
            </w:rPr>
            <w:fldChar w:fldCharType="begin"/>
          </w:r>
          <w:r>
            <w:rPr>
              <w:sz w:val="24"/>
              <w:szCs w:val="32"/>
            </w:rPr>
            <w:instrText xml:space="preserve"> PAGEREF _Toc11418 \h </w:instrText>
          </w:r>
          <w:r>
            <w:rPr>
              <w:sz w:val="24"/>
              <w:szCs w:val="32"/>
            </w:rPr>
            <w:fldChar w:fldCharType="separate"/>
          </w:r>
          <w:r>
            <w:rPr>
              <w:sz w:val="24"/>
              <w:szCs w:val="32"/>
            </w:rPr>
            <w:t>4</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_Toc17202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（三）一般公共预算当年拨款具体使用情况</w:t>
          </w:r>
          <w:r>
            <w:rPr>
              <w:sz w:val="24"/>
              <w:szCs w:val="32"/>
            </w:rPr>
            <w:tab/>
          </w:r>
          <w:r>
            <w:rPr>
              <w:sz w:val="24"/>
              <w:szCs w:val="32"/>
            </w:rPr>
            <w:fldChar w:fldCharType="begin"/>
          </w:r>
          <w:r>
            <w:rPr>
              <w:sz w:val="24"/>
              <w:szCs w:val="32"/>
            </w:rPr>
            <w:instrText xml:space="preserve"> PAGEREF _Toc17202 \h </w:instrText>
          </w:r>
          <w:r>
            <w:rPr>
              <w:sz w:val="24"/>
              <w:szCs w:val="32"/>
            </w:rPr>
            <w:fldChar w:fldCharType="separate"/>
          </w:r>
          <w:r>
            <w:rPr>
              <w:sz w:val="24"/>
              <w:szCs w:val="32"/>
            </w:rPr>
            <w:t>5</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_Toc13856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六、一般公共预算基本支出情况说明</w:t>
          </w:r>
          <w:r>
            <w:rPr>
              <w:sz w:val="24"/>
              <w:szCs w:val="32"/>
            </w:rPr>
            <w:tab/>
          </w:r>
          <w:r>
            <w:rPr>
              <w:sz w:val="24"/>
              <w:szCs w:val="32"/>
            </w:rPr>
            <w:fldChar w:fldCharType="begin"/>
          </w:r>
          <w:r>
            <w:rPr>
              <w:sz w:val="24"/>
              <w:szCs w:val="32"/>
            </w:rPr>
            <w:instrText xml:space="preserve"> PAGEREF _Toc13856 \h </w:instrText>
          </w:r>
          <w:r>
            <w:rPr>
              <w:sz w:val="24"/>
              <w:szCs w:val="32"/>
            </w:rPr>
            <w:fldChar w:fldCharType="separate"/>
          </w:r>
          <w:r>
            <w:rPr>
              <w:sz w:val="24"/>
              <w:szCs w:val="32"/>
            </w:rPr>
            <w:t>5</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_Toc29854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七、 “三公”经费财政拨款预算安排情况说明</w:t>
          </w:r>
          <w:r>
            <w:rPr>
              <w:sz w:val="24"/>
              <w:szCs w:val="32"/>
            </w:rPr>
            <w:tab/>
          </w:r>
          <w:r>
            <w:rPr>
              <w:sz w:val="24"/>
              <w:szCs w:val="32"/>
            </w:rPr>
            <w:fldChar w:fldCharType="begin"/>
          </w:r>
          <w:r>
            <w:rPr>
              <w:sz w:val="24"/>
              <w:szCs w:val="32"/>
            </w:rPr>
            <w:instrText xml:space="preserve"> PAGEREF _Toc29854 \h </w:instrText>
          </w:r>
          <w:r>
            <w:rPr>
              <w:sz w:val="24"/>
              <w:szCs w:val="32"/>
            </w:rPr>
            <w:fldChar w:fldCharType="separate"/>
          </w:r>
          <w:r>
            <w:rPr>
              <w:sz w:val="24"/>
              <w:szCs w:val="32"/>
            </w:rPr>
            <w:t>6</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_Toc254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（一） 公务接待费</w:t>
          </w:r>
          <w:r>
            <w:rPr>
              <w:sz w:val="24"/>
              <w:szCs w:val="32"/>
            </w:rPr>
            <w:tab/>
          </w:r>
          <w:r>
            <w:rPr>
              <w:sz w:val="24"/>
              <w:szCs w:val="32"/>
            </w:rPr>
            <w:fldChar w:fldCharType="begin"/>
          </w:r>
          <w:r>
            <w:rPr>
              <w:sz w:val="24"/>
              <w:szCs w:val="32"/>
            </w:rPr>
            <w:instrText xml:space="preserve"> PAGEREF _Toc254 \h </w:instrText>
          </w:r>
          <w:r>
            <w:rPr>
              <w:sz w:val="24"/>
              <w:szCs w:val="32"/>
            </w:rPr>
            <w:fldChar w:fldCharType="separate"/>
          </w:r>
          <w:r>
            <w:rPr>
              <w:sz w:val="24"/>
              <w:szCs w:val="32"/>
            </w:rPr>
            <w:t>6</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_Toc6980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 w:hAnsi="楷体" w:eastAsia="楷体" w:cs="楷体"/>
              <w:sz w:val="24"/>
              <w:szCs w:val="40"/>
              <w:lang w:val="en-US" w:eastAsia="zh-CN"/>
            </w:rPr>
            <w:t>（二）公务用车购置及运行维护费</w:t>
          </w:r>
          <w:r>
            <w:rPr>
              <w:sz w:val="24"/>
              <w:szCs w:val="32"/>
            </w:rPr>
            <w:tab/>
          </w:r>
          <w:r>
            <w:rPr>
              <w:sz w:val="24"/>
              <w:szCs w:val="32"/>
            </w:rPr>
            <w:fldChar w:fldCharType="begin"/>
          </w:r>
          <w:r>
            <w:rPr>
              <w:sz w:val="24"/>
              <w:szCs w:val="32"/>
            </w:rPr>
            <w:instrText xml:space="preserve"> PAGEREF _Toc6980 \h </w:instrText>
          </w:r>
          <w:r>
            <w:rPr>
              <w:sz w:val="24"/>
              <w:szCs w:val="32"/>
            </w:rPr>
            <w:fldChar w:fldCharType="separate"/>
          </w:r>
          <w:r>
            <w:rPr>
              <w:sz w:val="24"/>
              <w:szCs w:val="32"/>
            </w:rPr>
            <w:t>6</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_Toc2418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kern w:val="2"/>
              <w:sz w:val="24"/>
              <w:szCs w:val="40"/>
              <w:lang w:val="en-US" w:eastAsia="zh-CN" w:bidi="ar-SA"/>
            </w:rPr>
            <w:t>（三）</w:t>
          </w:r>
          <w:r>
            <w:rPr>
              <w:rFonts w:hint="eastAsia" w:ascii="楷体_GB2312" w:hAnsi="楷体_GB2312" w:eastAsia="楷体_GB2312" w:cs="楷体_GB2312"/>
              <w:sz w:val="24"/>
              <w:szCs w:val="40"/>
              <w:lang w:val="en-US" w:eastAsia="zh-CN"/>
            </w:rPr>
            <w:t>因公出国（境）经费</w:t>
          </w:r>
          <w:r>
            <w:rPr>
              <w:sz w:val="24"/>
              <w:szCs w:val="32"/>
            </w:rPr>
            <w:tab/>
          </w:r>
          <w:r>
            <w:rPr>
              <w:sz w:val="24"/>
              <w:szCs w:val="32"/>
            </w:rPr>
            <w:fldChar w:fldCharType="begin"/>
          </w:r>
          <w:r>
            <w:rPr>
              <w:sz w:val="24"/>
              <w:szCs w:val="32"/>
            </w:rPr>
            <w:instrText xml:space="preserve"> PAGEREF _Toc2418 \h </w:instrText>
          </w:r>
          <w:r>
            <w:rPr>
              <w:sz w:val="24"/>
              <w:szCs w:val="32"/>
            </w:rPr>
            <w:fldChar w:fldCharType="separate"/>
          </w:r>
          <w:r>
            <w:rPr>
              <w:sz w:val="24"/>
              <w:szCs w:val="32"/>
            </w:rPr>
            <w:t>7</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_Toc22101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八、政府性基金预算支出情况说明</w:t>
          </w:r>
          <w:r>
            <w:rPr>
              <w:sz w:val="24"/>
              <w:szCs w:val="32"/>
            </w:rPr>
            <w:tab/>
          </w:r>
          <w:r>
            <w:rPr>
              <w:sz w:val="24"/>
              <w:szCs w:val="32"/>
            </w:rPr>
            <w:fldChar w:fldCharType="begin"/>
          </w:r>
          <w:r>
            <w:rPr>
              <w:sz w:val="24"/>
              <w:szCs w:val="32"/>
            </w:rPr>
            <w:instrText xml:space="preserve"> PAGEREF _Toc22101 \h </w:instrText>
          </w:r>
          <w:r>
            <w:rPr>
              <w:sz w:val="24"/>
              <w:szCs w:val="32"/>
            </w:rPr>
            <w:fldChar w:fldCharType="separate"/>
          </w:r>
          <w:r>
            <w:rPr>
              <w:sz w:val="24"/>
              <w:szCs w:val="32"/>
            </w:rPr>
            <w:t>7</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_Toc32277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九、国有资本经营预算支出情况说明</w:t>
          </w:r>
          <w:r>
            <w:rPr>
              <w:sz w:val="24"/>
              <w:szCs w:val="32"/>
            </w:rPr>
            <w:tab/>
          </w:r>
          <w:r>
            <w:rPr>
              <w:sz w:val="24"/>
              <w:szCs w:val="32"/>
            </w:rPr>
            <w:fldChar w:fldCharType="begin"/>
          </w:r>
          <w:r>
            <w:rPr>
              <w:sz w:val="24"/>
              <w:szCs w:val="32"/>
            </w:rPr>
            <w:instrText xml:space="preserve"> PAGEREF _Toc32277 \h </w:instrText>
          </w:r>
          <w:r>
            <w:rPr>
              <w:sz w:val="24"/>
              <w:szCs w:val="32"/>
            </w:rPr>
            <w:fldChar w:fldCharType="separate"/>
          </w:r>
          <w:r>
            <w:rPr>
              <w:sz w:val="24"/>
              <w:szCs w:val="32"/>
            </w:rPr>
            <w:t>7</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_Toc7566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十、 其他重要事项的情况说明</w:t>
          </w:r>
          <w:r>
            <w:rPr>
              <w:sz w:val="24"/>
              <w:szCs w:val="32"/>
            </w:rPr>
            <w:tab/>
          </w:r>
          <w:r>
            <w:rPr>
              <w:sz w:val="24"/>
              <w:szCs w:val="32"/>
            </w:rPr>
            <w:fldChar w:fldCharType="begin"/>
          </w:r>
          <w:r>
            <w:rPr>
              <w:sz w:val="24"/>
              <w:szCs w:val="32"/>
            </w:rPr>
            <w:instrText xml:space="preserve"> PAGEREF _Toc7566 \h </w:instrText>
          </w:r>
          <w:r>
            <w:rPr>
              <w:sz w:val="24"/>
              <w:szCs w:val="32"/>
            </w:rPr>
            <w:fldChar w:fldCharType="separate"/>
          </w:r>
          <w:r>
            <w:rPr>
              <w:sz w:val="24"/>
              <w:szCs w:val="32"/>
            </w:rPr>
            <w:t>7</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_Toc29992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（一） 机关运行经费</w:t>
          </w:r>
          <w:r>
            <w:rPr>
              <w:sz w:val="24"/>
              <w:szCs w:val="32"/>
            </w:rPr>
            <w:tab/>
          </w:r>
          <w:r>
            <w:rPr>
              <w:sz w:val="24"/>
              <w:szCs w:val="32"/>
            </w:rPr>
            <w:fldChar w:fldCharType="begin"/>
          </w:r>
          <w:r>
            <w:rPr>
              <w:sz w:val="24"/>
              <w:szCs w:val="32"/>
            </w:rPr>
            <w:instrText xml:space="preserve"> PAGEREF _Toc29992 \h </w:instrText>
          </w:r>
          <w:r>
            <w:rPr>
              <w:sz w:val="24"/>
              <w:szCs w:val="32"/>
            </w:rPr>
            <w:fldChar w:fldCharType="separate"/>
          </w:r>
          <w:r>
            <w:rPr>
              <w:sz w:val="24"/>
              <w:szCs w:val="32"/>
            </w:rPr>
            <w:t>7</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_Toc7609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（二） 政府采购情况</w:t>
          </w:r>
          <w:r>
            <w:rPr>
              <w:sz w:val="24"/>
              <w:szCs w:val="32"/>
            </w:rPr>
            <w:tab/>
          </w:r>
          <w:r>
            <w:rPr>
              <w:sz w:val="24"/>
              <w:szCs w:val="32"/>
            </w:rPr>
            <w:fldChar w:fldCharType="begin"/>
          </w:r>
          <w:r>
            <w:rPr>
              <w:sz w:val="24"/>
              <w:szCs w:val="32"/>
            </w:rPr>
            <w:instrText xml:space="preserve"> PAGEREF _Toc7609 \h </w:instrText>
          </w:r>
          <w:r>
            <w:rPr>
              <w:sz w:val="24"/>
              <w:szCs w:val="32"/>
            </w:rPr>
            <w:fldChar w:fldCharType="separate"/>
          </w:r>
          <w:r>
            <w:rPr>
              <w:sz w:val="24"/>
              <w:szCs w:val="32"/>
            </w:rPr>
            <w:t>7</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_Toc24985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（三）国有资产占有使用情况</w:t>
          </w:r>
          <w:r>
            <w:rPr>
              <w:sz w:val="24"/>
              <w:szCs w:val="32"/>
            </w:rPr>
            <w:tab/>
          </w:r>
          <w:r>
            <w:rPr>
              <w:sz w:val="24"/>
              <w:szCs w:val="32"/>
            </w:rPr>
            <w:fldChar w:fldCharType="begin"/>
          </w:r>
          <w:r>
            <w:rPr>
              <w:sz w:val="24"/>
              <w:szCs w:val="32"/>
            </w:rPr>
            <w:instrText xml:space="preserve"> PAGEREF _Toc24985 \h </w:instrText>
          </w:r>
          <w:r>
            <w:rPr>
              <w:sz w:val="24"/>
              <w:szCs w:val="32"/>
            </w:rPr>
            <w:fldChar w:fldCharType="separate"/>
          </w:r>
          <w:r>
            <w:rPr>
              <w:sz w:val="24"/>
              <w:szCs w:val="32"/>
            </w:rPr>
            <w:t>7</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8"/>
            <w:shd w:val="clear"/>
            <w:tabs>
              <w:tab w:val="right" w:leader="dot" w:pos="8845"/>
            </w:tabs>
            <w:spacing w:line="360" w:lineRule="auto"/>
            <w:rPr>
              <w:sz w:val="24"/>
              <w:szCs w:val="32"/>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_Toc14898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楷体_GB2312" w:hAnsi="楷体_GB2312" w:eastAsia="楷体_GB2312" w:cs="楷体_GB2312"/>
              <w:sz w:val="24"/>
              <w:szCs w:val="40"/>
              <w:lang w:val="en-US" w:eastAsia="zh-CN"/>
            </w:rPr>
            <w:t>（三） 绩效目标设置情况</w:t>
          </w:r>
          <w:r>
            <w:rPr>
              <w:sz w:val="24"/>
              <w:szCs w:val="32"/>
            </w:rPr>
            <w:tab/>
          </w:r>
          <w:r>
            <w:rPr>
              <w:sz w:val="24"/>
              <w:szCs w:val="32"/>
            </w:rPr>
            <w:fldChar w:fldCharType="begin"/>
          </w:r>
          <w:r>
            <w:rPr>
              <w:sz w:val="24"/>
              <w:szCs w:val="32"/>
            </w:rPr>
            <w:instrText xml:space="preserve"> PAGEREF _Toc14898 \h </w:instrText>
          </w:r>
          <w:r>
            <w:rPr>
              <w:sz w:val="24"/>
              <w:szCs w:val="32"/>
            </w:rPr>
            <w:fldChar w:fldCharType="separate"/>
          </w:r>
          <w:r>
            <w:rPr>
              <w:sz w:val="24"/>
              <w:szCs w:val="32"/>
            </w:rPr>
            <w:t>7</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Pr>
            <w:pStyle w:val="6"/>
            <w:shd w:val="clear"/>
            <w:tabs>
              <w:tab w:val="right" w:leader="dot" w:pos="8845"/>
            </w:tabs>
            <w:spacing w:line="360" w:lineRule="auto"/>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 w:val="24"/>
              <w:szCs w:val="40"/>
              <w:highlight w:val="none"/>
              <w:shd w:val="clear" w:color="auto" w:fill="FFFFFF"/>
              <w:lang w:val="en-US" w:eastAsia="zh-CN" w:bidi="ar"/>
            </w:rPr>
            <w:instrText xml:space="preserve"> HYPERLINK \l _Toc27884 </w:instrText>
          </w:r>
          <w:r>
            <w:rPr>
              <w:rFonts w:hint="eastAsia" w:ascii="黑体" w:hAnsi="黑体" w:eastAsia="黑体" w:cs="黑体"/>
              <w:bCs w:val="0"/>
              <w:i w:val="0"/>
              <w:caps w:val="0"/>
              <w:spacing w:val="0"/>
              <w:kern w:val="0"/>
              <w:sz w:val="24"/>
              <w:szCs w:val="40"/>
              <w:highlight w:val="none"/>
              <w:shd w:val="clear" w:color="auto" w:fill="FFFFFF"/>
              <w:lang w:val="en-US" w:eastAsia="zh-CN" w:bidi="ar"/>
            </w:rPr>
            <w:fldChar w:fldCharType="separate"/>
          </w:r>
          <w:r>
            <w:rPr>
              <w:rFonts w:hint="eastAsia" w:ascii="黑体" w:hAnsi="黑体" w:eastAsia="黑体" w:cs="黑体"/>
              <w:sz w:val="24"/>
              <w:szCs w:val="40"/>
              <w:lang w:val="en-US" w:eastAsia="zh-CN"/>
            </w:rPr>
            <w:t>十一、名词解释</w:t>
          </w:r>
          <w:r>
            <w:rPr>
              <w:sz w:val="24"/>
              <w:szCs w:val="32"/>
            </w:rPr>
            <w:tab/>
          </w:r>
          <w:r>
            <w:rPr>
              <w:sz w:val="24"/>
              <w:szCs w:val="32"/>
            </w:rPr>
            <w:fldChar w:fldCharType="begin"/>
          </w:r>
          <w:r>
            <w:rPr>
              <w:sz w:val="24"/>
              <w:szCs w:val="32"/>
            </w:rPr>
            <w:instrText xml:space="preserve"> PAGEREF _Toc27884 \h </w:instrText>
          </w:r>
          <w:r>
            <w:rPr>
              <w:sz w:val="24"/>
              <w:szCs w:val="32"/>
            </w:rPr>
            <w:fldChar w:fldCharType="separate"/>
          </w:r>
          <w:r>
            <w:rPr>
              <w:sz w:val="24"/>
              <w:szCs w:val="32"/>
            </w:rPr>
            <w:t>8</w:t>
          </w:r>
          <w:r>
            <w:rPr>
              <w:sz w:val="24"/>
              <w:szCs w:val="32"/>
            </w:rPr>
            <w:fldChar w:fldCharType="end"/>
          </w: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p/>
        <w:p>
          <w:pPr>
            <w:shd w:val="clear"/>
            <w:spacing w:line="360" w:lineRule="auto"/>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Cs w:val="0"/>
              <w:i w:val="0"/>
              <w:caps w:val="0"/>
              <w:color w:val="000000" w:themeColor="text1"/>
              <w:spacing w:val="0"/>
              <w:kern w:val="0"/>
              <w:sz w:val="24"/>
              <w:szCs w:val="40"/>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lang w:val="en-US" w:eastAsia="zh-CN"/>
        </w:rPr>
      </w:pPr>
      <w:bookmarkStart w:id="0" w:name="_Toc25353"/>
      <w:r>
        <w:rPr>
          <w:rFonts w:hint="eastAsia" w:ascii="黑体" w:hAnsi="黑体" w:eastAsia="黑体" w:cs="黑体"/>
          <w:sz w:val="32"/>
          <w:szCs w:val="32"/>
          <w:lang w:val="en-US" w:eastAsia="zh-CN"/>
        </w:rPr>
        <w:t>基本职能及主要工作</w:t>
      </w:r>
      <w:bookmarkEnd w:id="0"/>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rightChars="0" w:firstLine="640" w:firstLineChars="200"/>
        <w:jc w:val="both"/>
        <w:rPr>
          <w:rFonts w:hint="eastAsia" w:ascii="楷体_GB2312" w:hAnsi="楷体_GB2312" w:eastAsia="楷体_GB2312" w:cs="楷体_GB2312"/>
          <w:sz w:val="32"/>
          <w:szCs w:val="32"/>
        </w:rPr>
      </w:pPr>
      <w:r>
        <w:rPr>
          <w:rFonts w:hint="eastAsia" w:ascii="仿宋" w:hAnsi="仿宋" w:eastAsia="仿宋" w:cs="仿宋"/>
          <w:i w:val="0"/>
          <w:iCs w:val="0"/>
          <w:caps w:val="0"/>
          <w:color w:val="auto"/>
          <w:spacing w:val="0"/>
          <w:kern w:val="0"/>
          <w:sz w:val="32"/>
          <w:szCs w:val="32"/>
          <w:shd w:val="clear" w:color="auto" w:fill="FFFFFF"/>
          <w:lang w:val="en-US" w:eastAsia="zh-CN" w:bidi="ar"/>
        </w:rPr>
        <w:t>四川省广元中学（简称“广中”）办学性质为公办全日制完全中学学历教育，</w:t>
      </w:r>
      <w:r>
        <w:rPr>
          <w:rFonts w:hint="eastAsia" w:ascii="仿宋" w:hAnsi="仿宋" w:eastAsia="仿宋" w:cs="仿宋"/>
          <w:b w:val="0"/>
          <w:bCs/>
          <w:i w:val="0"/>
          <w:caps w:val="0"/>
          <w:color w:val="333333"/>
          <w:spacing w:val="0"/>
          <w:sz w:val="32"/>
          <w:szCs w:val="32"/>
          <w:highlight w:val="none"/>
          <w:shd w:val="clear" w:color="auto" w:fill="FFFFFF"/>
        </w:rPr>
        <w:t>承担</w:t>
      </w:r>
      <w:r>
        <w:rPr>
          <w:rFonts w:hint="eastAsia" w:ascii="仿宋" w:hAnsi="仿宋" w:eastAsia="仿宋" w:cs="仿宋"/>
          <w:b w:val="0"/>
          <w:bCs/>
          <w:i w:val="0"/>
          <w:caps w:val="0"/>
          <w:color w:val="333333"/>
          <w:spacing w:val="0"/>
          <w:sz w:val="32"/>
          <w:szCs w:val="32"/>
          <w:highlight w:val="none"/>
          <w:shd w:val="clear" w:color="auto" w:fill="FFFFFF"/>
          <w:lang w:val="en-US" w:eastAsia="zh-CN"/>
        </w:rPr>
        <w:t>初、</w:t>
      </w:r>
      <w:r>
        <w:rPr>
          <w:rFonts w:hint="eastAsia" w:ascii="仿宋" w:hAnsi="仿宋" w:eastAsia="仿宋" w:cs="仿宋"/>
          <w:b w:val="0"/>
          <w:bCs/>
          <w:i w:val="0"/>
          <w:caps w:val="0"/>
          <w:color w:val="333333"/>
          <w:spacing w:val="0"/>
          <w:sz w:val="32"/>
          <w:szCs w:val="32"/>
          <w:highlight w:val="none"/>
          <w:shd w:val="clear" w:color="auto" w:fill="FFFFFF"/>
        </w:rPr>
        <w:t>高中教育阶段的教育教学工作</w:t>
      </w:r>
      <w:r>
        <w:rPr>
          <w:rFonts w:hint="eastAsia" w:ascii="仿宋" w:hAnsi="仿宋" w:eastAsia="仿宋" w:cs="仿宋"/>
          <w:b w:val="0"/>
          <w:bCs/>
          <w:i w:val="0"/>
          <w:caps w:val="0"/>
          <w:color w:val="333333"/>
          <w:spacing w:val="0"/>
          <w:sz w:val="32"/>
          <w:szCs w:val="32"/>
          <w:highlight w:val="none"/>
          <w:shd w:val="clear" w:color="auto" w:fill="FFFFFF"/>
          <w:lang w:eastAsia="zh-CN"/>
        </w:rPr>
        <w:t>。</w:t>
      </w:r>
      <w:r>
        <w:rPr>
          <w:rFonts w:hint="eastAsia" w:ascii="仿宋" w:hAnsi="仿宋" w:eastAsia="仿宋" w:cs="仿宋"/>
          <w:i w:val="0"/>
          <w:iCs w:val="0"/>
          <w:caps w:val="0"/>
          <w:color w:val="auto"/>
          <w:spacing w:val="0"/>
          <w:kern w:val="0"/>
          <w:sz w:val="32"/>
          <w:szCs w:val="32"/>
          <w:shd w:val="clear" w:color="auto" w:fill="FFFFFF"/>
          <w:lang w:val="en-US" w:eastAsia="zh-CN" w:bidi="ar"/>
        </w:rPr>
        <w:t>学校始终秉承着“博学广才，器识为先”的办学理念，全面贯彻党的教育方针，坚持社会主义办学方向，从本校实际出发，制定学校发展规划、年度工作计划并组织实施。统一指挥、协调各部门，促进学校健康、稳定发展。按教育规律办学，全面实施素质教育，培养学生的创新精神和实践能力，为学生全面发展和终身发展奠定基础，为高校输送优秀合格人才，使之成为社会主义事业的建设者和接班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27164"/>
      <w:r>
        <w:rPr>
          <w:rFonts w:hint="eastAsia" w:ascii="黑体" w:hAnsi="黑体" w:eastAsia="黑体" w:cs="黑体"/>
          <w:sz w:val="32"/>
          <w:szCs w:val="32"/>
          <w:lang w:val="en-US" w:eastAsia="zh-CN"/>
        </w:rPr>
        <w:t>二、预算单位构成</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i w:val="0"/>
          <w:iCs w:val="0"/>
          <w:caps w:val="0"/>
          <w:color w:val="auto"/>
          <w:spacing w:val="0"/>
          <w:kern w:val="0"/>
          <w:sz w:val="32"/>
          <w:szCs w:val="32"/>
          <w:shd w:val="clear" w:color="auto" w:fill="FFFFFF"/>
          <w:lang w:val="en-US" w:eastAsia="zh-CN" w:bidi="ar"/>
        </w:rPr>
        <w:t>四川省广元中学</w:t>
      </w:r>
      <w:r>
        <w:rPr>
          <w:rFonts w:hint="eastAsia" w:ascii="仿宋_GB2312" w:hAnsi="仿宋_GB2312" w:eastAsia="仿宋_GB2312" w:cs="仿宋_GB2312"/>
          <w:sz w:val="32"/>
          <w:szCs w:val="32"/>
          <w:lang w:val="en-US" w:eastAsia="zh-CN"/>
        </w:rPr>
        <w:t>为广元市教育局的下属二级预算单位，本单位无下属机构。</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14399"/>
      <w:r>
        <w:rPr>
          <w:rFonts w:hint="eastAsia" w:ascii="黑体" w:hAnsi="黑体" w:eastAsia="黑体" w:cs="黑体"/>
          <w:sz w:val="32"/>
          <w:szCs w:val="32"/>
          <w:lang w:val="en-US" w:eastAsia="zh-CN"/>
        </w:rPr>
        <w:t>三、收支预算情况说明</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四川省广元中学所有收入和支出均纳入部门预算管理。收入包括：一般公共预算拨款收入、事业收入、其他收入；支出包括：教育支出、社会保障和就业支出、卫生健康支出、住房保障支出。2024年收支预算总数8462.66万元，比2023年收支预算总数增加1030.65万元，主要原因：一是事业收入、其他收入增加，二是单位新招录工作人员，人员经费及公用经费预算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 w:name="_Toc2358"/>
      <w:r>
        <w:rPr>
          <w:rFonts w:hint="eastAsia" w:ascii="楷体_GB2312" w:hAnsi="楷体_GB2312" w:eastAsia="楷体_GB2312" w:cs="楷体_GB2312"/>
          <w:sz w:val="32"/>
          <w:szCs w:val="32"/>
          <w:lang w:val="en-US" w:eastAsia="zh-CN"/>
        </w:rPr>
        <w:t>（一）收入预算情况</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2024年收入预算8462.66万元，其中：一般公共预算拨款收入7,592.66万元，占89.72%；事业收入770.00万元，占9.10%；其他收入100.00万元，占1.18%。</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 w:name="_Toc29665"/>
      <w:r>
        <w:rPr>
          <w:rFonts w:hint="eastAsia" w:ascii="楷体_GB2312" w:hAnsi="楷体_GB2312" w:eastAsia="楷体_GB2312" w:cs="楷体_GB2312"/>
          <w:sz w:val="32"/>
          <w:szCs w:val="32"/>
          <w:lang w:val="en-US" w:eastAsia="zh-CN"/>
        </w:rPr>
        <w:t>（二）支出预算情况</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2024年支出预算8462.66万元，其中：基本支出7,963.02万元，占94.10%；项目支出499.64万元，占5.90%</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1297"/>
      <w:r>
        <w:rPr>
          <w:rFonts w:hint="eastAsia" w:ascii="黑体" w:hAnsi="黑体" w:eastAsia="黑体" w:cs="黑体"/>
          <w:sz w:val="32"/>
          <w:szCs w:val="32"/>
          <w:lang w:val="en-US" w:eastAsia="zh-CN"/>
        </w:rPr>
        <w:t>四、财政拨款收支预算情况说明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2024年财政拨款收支预算总数7,592.66万元，比2023年财政拨款收支预算总数增加160.65万元，主要原因是新招录工作人员，人员经费及公用经费预算增加。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收入包括：本年一般公共预算拨款收入7,592.66万元；支出包括：教育支出5,870.88万元、社会保障和就业支出836.89万元、卫生健康支出277.30万元、住房保障支出607.59万元。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6" w:name="_Toc10188"/>
      <w:r>
        <w:rPr>
          <w:rFonts w:hint="eastAsia" w:ascii="黑体" w:hAnsi="黑体" w:eastAsia="黑体" w:cs="黑体"/>
          <w:sz w:val="32"/>
          <w:szCs w:val="32"/>
          <w:lang w:val="en-US" w:eastAsia="zh-CN"/>
        </w:rPr>
        <w:t>五、一般公共预算当年拨款情况说明</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4568"/>
      <w:r>
        <w:rPr>
          <w:rFonts w:hint="eastAsia" w:ascii="楷体_GB2312" w:hAnsi="楷体_GB2312" w:eastAsia="楷体_GB2312" w:cs="楷体_GB2312"/>
          <w:sz w:val="32"/>
          <w:szCs w:val="32"/>
          <w:lang w:val="en-US" w:eastAsia="zh-CN"/>
        </w:rPr>
        <w:t>（一）一般公共预算当年拨款规模变化情况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2024年一般公共预算当年拨款7,592.66万元，比2023年预算数增加160.65万元，主要原因是单位新进人员增加，人员经费及公用经费预算增加。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11418"/>
      <w:r>
        <w:rPr>
          <w:rFonts w:hint="eastAsia" w:ascii="楷体_GB2312" w:hAnsi="楷体_GB2312" w:eastAsia="楷体_GB2312" w:cs="楷体_GB2312"/>
          <w:sz w:val="32"/>
          <w:szCs w:val="32"/>
          <w:lang w:val="en-US" w:eastAsia="zh-CN"/>
        </w:rPr>
        <w:t>（二）一般公共预算当年拨款结构情况</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教育支出5,870.88万元，占77.33%；社会保障和就业支出836.89万元，占11.02%；卫生健康支出277.30万元，占3.65%；住房保障支出607.59万元，占8.00%。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7202"/>
      <w:r>
        <w:rPr>
          <w:rFonts w:hint="eastAsia" w:ascii="楷体_GB2312" w:hAnsi="楷体_GB2312" w:eastAsia="楷体_GB2312" w:cs="楷体_GB2312"/>
          <w:sz w:val="32"/>
          <w:szCs w:val="32"/>
          <w:lang w:val="en-US" w:eastAsia="zh-CN"/>
        </w:rPr>
        <w:t>（三）一般公共预算当年拨款具体使用情况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color w:val="auto"/>
          <w:sz w:val="32"/>
          <w:szCs w:val="32"/>
          <w:lang w:val="en-US" w:eastAsia="zh-CN"/>
        </w:rPr>
        <w:t>教育支出（类）普通教育（款）高中教育（项）预算数5,870.88万，主要用于</w:t>
      </w:r>
      <w:r>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t>单位工资福利支出及公用经费支出等</w:t>
      </w:r>
      <w:r>
        <w:rPr>
          <w:rFonts w:hint="eastAsia" w:ascii="仿宋_GB2312" w:hAnsi="仿宋_GB2312" w:eastAsia="仿宋_GB2312" w:cs="仿宋_GB2312"/>
          <w:color w:val="auto"/>
          <w:sz w:val="32"/>
          <w:szCs w:val="32"/>
          <w:lang w:val="en-US" w:eastAsia="zh-CN"/>
        </w:rPr>
        <w:t>。</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2.社会保障和就业支出（类）行政事业单位养老保险（款）机关事业单位基本养老保险缴费支出（项）预算数为808.79万元，主要用于实施养老保险制度由单位缴纳的基本养老保险支出。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3.卫生健康支出（类）行政事业单位医疗（款）事业单位医疗（项）预算数为277.30万元，主要用于按规定由单位缴纳的基本医疗保险支出。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4.住房保障支出（类）住房改革支出（款）住房公积金（项）预算数为607.59万元，主要用于单位按规定为职工缴纳的住房公积金支出。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5.社会保障和就业（类）其他社会保障和就业支出（款）其他社会保障和就业支出（项）预算数为28.10万元，主要用于由单位缴纳的其他社会保障和支出。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10" w:name="_Toc13856"/>
      <w:r>
        <w:rPr>
          <w:rFonts w:hint="eastAsia" w:ascii="黑体" w:hAnsi="黑体" w:eastAsia="黑体" w:cs="黑体"/>
          <w:sz w:val="32"/>
          <w:szCs w:val="32"/>
          <w:lang w:val="en-US" w:eastAsia="zh-CN"/>
        </w:rPr>
        <w:t>六、一般公共预算基本支出情况说明</w:t>
      </w:r>
      <w:bookmarkEnd w:id="1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2024年一般公共预算基本支出7,589.02万元，其中：</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bookmarkStart w:id="23" w:name="_GoBack"/>
      <w:r>
        <w:rPr>
          <w:rFonts w:hint="eastAsia" w:ascii="仿宋_GB2312" w:hAnsi="仿宋_GB2312" w:eastAsia="仿宋_GB2312" w:cs="仿宋_GB2312"/>
          <w:sz w:val="32"/>
          <w:szCs w:val="32"/>
          <w:lang w:val="en-US" w:eastAsia="zh-CN"/>
        </w:rPr>
        <w:t>人员经费7,358.18万元，主要包括：</w:t>
      </w:r>
      <w:r>
        <w:rPr>
          <w:rFonts w:hint="eastAsia" w:ascii="仿宋_GB2312" w:hAnsi="仿宋_GB2312" w:eastAsia="仿宋_GB2312" w:cs="仿宋_GB2312"/>
          <w:color w:val="auto"/>
          <w:sz w:val="32"/>
          <w:szCs w:val="32"/>
          <w:lang w:val="en-US" w:eastAsia="zh-CN"/>
        </w:rPr>
        <w:t>基本工资、津贴补贴、奖金、绩效工资、机关事业单位基本养老保险缴费、职工基本医疗保险缴费、其他社会保障缴费、住房公积金、离休费、生活补助等支出。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公用经费230.84万元，主要包括：</w:t>
      </w:r>
      <w:r>
        <w:rPr>
          <w:rFonts w:hint="eastAsia" w:ascii="仿宋_GB2312" w:hAnsi="仿宋_GB2312" w:eastAsia="仿宋_GB2312" w:cs="仿宋_GB2312"/>
          <w:color w:val="auto"/>
          <w:sz w:val="32"/>
          <w:szCs w:val="32"/>
          <w:lang w:val="en-US" w:eastAsia="zh-CN"/>
        </w:rPr>
        <w:t>工会经费、福利费、党建经费、退休人员活动费等支出。</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0"/>
        <w:rPr>
          <w:rFonts w:hint="eastAsia" w:ascii="黑体" w:hAnsi="黑体" w:eastAsia="黑体" w:cs="黑体"/>
          <w:sz w:val="32"/>
          <w:szCs w:val="32"/>
          <w:lang w:val="en-US" w:eastAsia="zh-CN"/>
        </w:rPr>
      </w:pPr>
      <w:bookmarkStart w:id="11" w:name="_Toc29854"/>
      <w:r>
        <w:rPr>
          <w:rFonts w:hint="eastAsia" w:ascii="黑体" w:hAnsi="黑体" w:eastAsia="黑体" w:cs="黑体"/>
          <w:sz w:val="32"/>
          <w:szCs w:val="32"/>
          <w:lang w:val="en-US" w:eastAsia="zh-CN"/>
        </w:rPr>
        <w:t>“三公”经费财政拨款预算安排情况说明</w:t>
      </w:r>
      <w:bookmarkEnd w:id="1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2024年“三公”经费财政拨款预算数0万元，其中：公务接待费0万元，公务用车购置及运行维护费0万元，因公出国（境）经费0万元。</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2" w:name="_Toc254"/>
      <w:r>
        <w:rPr>
          <w:rFonts w:hint="eastAsia" w:ascii="楷体_GB2312" w:hAnsi="楷体_GB2312" w:eastAsia="楷体_GB2312" w:cs="楷体_GB2312"/>
          <w:sz w:val="32"/>
          <w:szCs w:val="32"/>
          <w:lang w:val="en-US" w:eastAsia="zh-CN"/>
        </w:rPr>
        <w:t>公务接待费</w:t>
      </w:r>
      <w:bookmarkEnd w:id="12"/>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2024年公务接待费预算0元，较2023年相比无变化，本年度未</w:t>
      </w:r>
      <w:r>
        <w:rPr>
          <w:rFonts w:hint="eastAsia" w:ascii="仿宋_GB2312" w:hAnsi="仿宋_GB2312" w:eastAsia="仿宋_GB2312" w:cs="仿宋_GB2312"/>
          <w:sz w:val="32"/>
          <w:szCs w:val="32"/>
          <w:lang w:val="en-US" w:eastAsia="zh-CN"/>
        </w:rPr>
        <w:t>在财政拨款中安排该项预算。</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1"/>
        <w:rPr>
          <w:rFonts w:hint="eastAsia" w:ascii="楷体" w:hAnsi="楷体" w:eastAsia="楷体" w:cs="楷体"/>
          <w:sz w:val="32"/>
          <w:szCs w:val="32"/>
          <w:lang w:val="en-US" w:eastAsia="zh-CN"/>
        </w:rPr>
      </w:pPr>
      <w:bookmarkStart w:id="13" w:name="_Toc6980"/>
      <w:r>
        <w:rPr>
          <w:rFonts w:hint="eastAsia" w:ascii="楷体" w:hAnsi="楷体" w:eastAsia="楷体" w:cs="楷体"/>
          <w:sz w:val="32"/>
          <w:szCs w:val="32"/>
          <w:lang w:val="en-US" w:eastAsia="zh-CN"/>
        </w:rPr>
        <w:t>（二）公务用车购置及运行维护费</w:t>
      </w:r>
      <w:bookmarkEnd w:id="1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r>
        <w:rPr>
          <w:rFonts w:hint="eastAsia" w:ascii="仿宋_GB2312" w:hAnsi="仿宋_GB2312" w:eastAsia="仿宋_GB2312" w:cs="仿宋_GB2312"/>
          <w:color w:val="auto"/>
          <w:sz w:val="32"/>
          <w:szCs w:val="32"/>
          <w:lang w:val="en-US" w:eastAsia="zh-CN"/>
        </w:rPr>
        <w:t>本年度未在财政拨款中安排该项预算。</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单位现有公务用车1辆，其中：轿车1辆。其经费来源主要为教育收费。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4" w:name="_Toc2418"/>
      <w:r>
        <w:rPr>
          <w:rFonts w:hint="eastAsia" w:ascii="楷体_GB2312" w:hAnsi="楷体_GB2312" w:eastAsia="楷体_GB2312" w:cs="楷体_GB2312"/>
          <w:color w:val="auto"/>
          <w:kern w:val="2"/>
          <w:sz w:val="32"/>
          <w:szCs w:val="32"/>
          <w:lang w:val="en-US" w:eastAsia="zh-CN" w:bidi="ar-SA"/>
        </w:rPr>
        <w:t>（三）</w:t>
      </w:r>
      <w:r>
        <w:rPr>
          <w:rFonts w:hint="eastAsia" w:ascii="楷体_GB2312" w:hAnsi="楷体_GB2312" w:eastAsia="楷体_GB2312" w:cs="楷体_GB2312"/>
          <w:sz w:val="32"/>
          <w:szCs w:val="32"/>
          <w:lang w:val="en-US" w:eastAsia="zh-CN"/>
        </w:rPr>
        <w:t>因公出国（境）经费</w:t>
      </w:r>
      <w:bookmarkEnd w:id="14"/>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因公出国（境）经费与2023年预算相比持平，本年度未在财政拨款中安</w:t>
      </w:r>
      <w:r>
        <w:rPr>
          <w:rFonts w:hint="eastAsia" w:ascii="仿宋_GB2312" w:hAnsi="仿宋_GB2312" w:eastAsia="仿宋_GB2312" w:cs="仿宋_GB2312"/>
          <w:color w:val="auto"/>
          <w:sz w:val="32"/>
          <w:szCs w:val="32"/>
          <w:lang w:val="en-US" w:eastAsia="zh-CN"/>
        </w:rPr>
        <w:t>排该项预算。</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0"/>
        <w:rPr>
          <w:rFonts w:hint="eastAsia" w:ascii="黑体" w:hAnsi="黑体" w:eastAsia="黑体" w:cs="黑体"/>
          <w:sz w:val="32"/>
          <w:szCs w:val="32"/>
          <w:lang w:val="en-US" w:eastAsia="zh-CN"/>
        </w:rPr>
      </w:pPr>
      <w:bookmarkStart w:id="15" w:name="_Toc22101"/>
      <w:r>
        <w:rPr>
          <w:rFonts w:hint="eastAsia" w:ascii="黑体" w:hAnsi="黑体" w:eastAsia="黑体" w:cs="黑体"/>
          <w:sz w:val="32"/>
          <w:szCs w:val="32"/>
          <w:lang w:val="en-US" w:eastAsia="zh-CN"/>
        </w:rPr>
        <w:t>八、政府性基金预算支出情况说明</w:t>
      </w:r>
      <w:bookmarkEnd w:id="1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color w:val="auto"/>
          <w:sz w:val="32"/>
          <w:szCs w:val="32"/>
          <w:lang w:val="en-US" w:eastAsia="zh-CN"/>
        </w:rPr>
        <w:t>没有使用政府性基金预算拨款安排的支出。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0"/>
        <w:rPr>
          <w:rFonts w:hint="eastAsia" w:ascii="黑体" w:hAnsi="黑体" w:eastAsia="黑体" w:cs="黑体"/>
          <w:color w:val="auto"/>
          <w:sz w:val="32"/>
          <w:szCs w:val="32"/>
          <w:lang w:val="en-US" w:eastAsia="zh-CN"/>
        </w:rPr>
      </w:pPr>
      <w:bookmarkStart w:id="16" w:name="_Toc32277"/>
      <w:r>
        <w:rPr>
          <w:rFonts w:hint="eastAsia" w:ascii="黑体" w:hAnsi="黑体" w:eastAsia="黑体" w:cs="黑体"/>
          <w:color w:val="auto"/>
          <w:sz w:val="32"/>
          <w:szCs w:val="32"/>
          <w:lang w:val="en-US" w:eastAsia="zh-CN"/>
        </w:rPr>
        <w:t>九、国有资本经营预算支出情况说明</w:t>
      </w:r>
      <w:bookmarkEnd w:id="16"/>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2024年没有使用国有资本经营预算拨款安排的支出。</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0"/>
        <w:rPr>
          <w:rFonts w:hint="eastAsia" w:ascii="黑体" w:hAnsi="黑体" w:eastAsia="黑体" w:cs="黑体"/>
          <w:sz w:val="32"/>
          <w:szCs w:val="32"/>
          <w:lang w:val="en-US" w:eastAsia="zh-CN"/>
        </w:rPr>
      </w:pPr>
      <w:bookmarkStart w:id="17" w:name="_Toc7566"/>
      <w:r>
        <w:rPr>
          <w:rFonts w:hint="eastAsia" w:ascii="黑体" w:hAnsi="黑体" w:eastAsia="黑体" w:cs="黑体"/>
          <w:sz w:val="32"/>
          <w:szCs w:val="32"/>
          <w:lang w:val="en-US" w:eastAsia="zh-CN"/>
        </w:rPr>
        <w:t>其他重要事项的情况说明</w:t>
      </w:r>
      <w:bookmarkEnd w:id="17"/>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8" w:name="_Toc29992"/>
      <w:r>
        <w:rPr>
          <w:rFonts w:hint="eastAsia" w:ascii="楷体_GB2312" w:hAnsi="楷体_GB2312" w:eastAsia="楷体_GB2312" w:cs="楷体_GB2312"/>
          <w:sz w:val="32"/>
          <w:szCs w:val="32"/>
          <w:lang w:val="en-US" w:eastAsia="zh-CN"/>
        </w:rPr>
        <w:t>机关运行经费</w:t>
      </w:r>
      <w:bookmarkEnd w:id="18"/>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eastAsia" w:ascii="仿宋" w:hAnsi="仿宋" w:eastAsia="仿宋" w:cs="仿宋"/>
          <w:i w:val="0"/>
          <w:iCs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四川省广元中学为事业单位，按规定未使用机关运行相关科目</w:t>
      </w:r>
      <w:r>
        <w:rPr>
          <w:rFonts w:hint="eastAsia" w:ascii="仿宋" w:hAnsi="仿宋" w:eastAsia="仿宋" w:cs="仿宋"/>
          <w:i w:val="0"/>
          <w:iCs w:val="0"/>
          <w:caps w:val="0"/>
          <w:color w:val="auto"/>
          <w:spacing w:val="0"/>
          <w:kern w:val="0"/>
          <w:sz w:val="32"/>
          <w:szCs w:val="32"/>
          <w:shd w:val="clear" w:color="auto" w:fill="FFFFFF"/>
          <w:lang w:val="en-US" w:eastAsia="zh-CN" w:bidi="ar"/>
        </w:rPr>
        <w:t>。</w:t>
      </w:r>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9" w:name="_Toc7609"/>
      <w:r>
        <w:rPr>
          <w:rFonts w:hint="eastAsia" w:ascii="楷体_GB2312" w:hAnsi="楷体_GB2312" w:eastAsia="楷体_GB2312" w:cs="楷体_GB2312"/>
          <w:sz w:val="32"/>
          <w:szCs w:val="32"/>
          <w:lang w:val="en-US" w:eastAsia="zh-CN"/>
        </w:rPr>
        <w:t>政府采购情况</w:t>
      </w:r>
      <w:bookmarkEnd w:id="1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outlineLvl w:val="9"/>
        <w:rPr>
          <w:rFonts w:hint="eastAsia" w:ascii="仿宋" w:hAnsi="仿宋" w:eastAsia="仿宋" w:cs="仿宋"/>
          <w:i w:val="0"/>
          <w:iCs w:val="0"/>
          <w:caps w:val="0"/>
          <w:color w:val="auto"/>
          <w:spacing w:val="0"/>
          <w:kern w:val="0"/>
          <w:sz w:val="32"/>
          <w:szCs w:val="32"/>
          <w:shd w:val="clear" w:color="auto" w:fill="FFFFFF"/>
          <w:lang w:val="en-US" w:eastAsia="zh-CN" w:bidi="ar"/>
        </w:rPr>
      </w:pPr>
      <w:r>
        <w:rPr>
          <w:rFonts w:hint="eastAsia" w:ascii="仿宋" w:hAnsi="仿宋" w:eastAsia="仿宋" w:cs="仿宋"/>
          <w:i w:val="0"/>
          <w:iCs w:val="0"/>
          <w:caps w:val="0"/>
          <w:color w:val="auto"/>
          <w:spacing w:val="0"/>
          <w:kern w:val="0"/>
          <w:sz w:val="32"/>
          <w:szCs w:val="32"/>
          <w:shd w:val="clear" w:color="auto" w:fill="FFFFFF"/>
          <w:lang w:val="en-US" w:eastAsia="zh-CN" w:bidi="ar"/>
        </w:rPr>
        <w:t>2024年，我单位一般公共预算拨款未安排政府采购预算。</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outlineLvl w:val="1"/>
        <w:rPr>
          <w:rFonts w:hint="eastAsia" w:ascii="楷体_GB2312" w:hAnsi="楷体_GB2312" w:eastAsia="楷体_GB2312" w:cs="楷体_GB2312"/>
          <w:sz w:val="32"/>
          <w:szCs w:val="32"/>
          <w:lang w:val="en-US" w:eastAsia="zh-CN"/>
        </w:rPr>
      </w:pPr>
      <w:bookmarkStart w:id="20" w:name="_Toc24985"/>
      <w:r>
        <w:rPr>
          <w:rFonts w:hint="eastAsia" w:ascii="楷体_GB2312" w:hAnsi="楷体_GB2312" w:eastAsia="楷体_GB2312" w:cs="楷体_GB2312"/>
          <w:sz w:val="32"/>
          <w:szCs w:val="32"/>
          <w:lang w:val="en-US" w:eastAsia="zh-CN"/>
        </w:rPr>
        <w:t>（三）国有资产占有使用情况</w:t>
      </w:r>
      <w:bookmarkEnd w:id="20"/>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截至2023年底，我单位共有车辆1辆，其中，定向保障用车1辆，单位无价值200万元以上的大型设备。2024年部门预算未安排购置车辆及单位价值200万元以上大型设备。</w:t>
      </w:r>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21" w:name="_Toc14898"/>
      <w:r>
        <w:rPr>
          <w:rFonts w:hint="eastAsia" w:ascii="楷体_GB2312" w:hAnsi="楷体_GB2312" w:eastAsia="楷体_GB2312" w:cs="楷体_GB2312"/>
          <w:sz w:val="32"/>
          <w:szCs w:val="32"/>
          <w:lang w:val="en-US" w:eastAsia="zh-CN"/>
        </w:rPr>
        <w:t>绩效目标设置情况</w:t>
      </w:r>
      <w:bookmarkEnd w:id="2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2024年开展绩效目标管理的项目14个，涉及预算8462.66万元。其中：人员类项目7个，涉及预算 7429.18万元；运转类项目3个，涉及预算533.84万元；特定目标类项目4个，涉及预算499.64万元。</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22" w:name="_Toc27884"/>
      <w:r>
        <w:rPr>
          <w:rFonts w:hint="eastAsia" w:ascii="黑体" w:hAnsi="黑体" w:eastAsia="黑体" w:cs="黑体"/>
          <w:sz w:val="32"/>
          <w:szCs w:val="32"/>
          <w:lang w:val="en-US" w:eastAsia="zh-CN"/>
        </w:rPr>
        <w:t>名词解释</w:t>
      </w:r>
      <w:bookmarkEnd w:id="22"/>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事业收入：</w:t>
      </w:r>
      <w:r>
        <w:rPr>
          <w:rFonts w:hint="eastAsia" w:ascii="仿宋_GB2312" w:hAnsi="仿宋_GB2312" w:eastAsia="仿宋_GB2312" w:cs="仿宋_GB2312"/>
          <w:sz w:val="32"/>
          <w:szCs w:val="32"/>
          <w:lang w:val="en-US" w:eastAsia="zh-CN"/>
        </w:rPr>
        <w:t>主要为学校根据国家有关部门批准的项目和标准收取的学费、住宿费等。</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其他收入：</w:t>
      </w:r>
      <w:r>
        <w:rPr>
          <w:rFonts w:hint="eastAsia" w:ascii="仿宋_GB2312" w:hAnsi="仿宋_GB2312" w:eastAsia="仿宋_GB2312" w:cs="仿宋_GB2312"/>
          <w:sz w:val="32"/>
          <w:szCs w:val="32"/>
          <w:lang w:val="en-US" w:eastAsia="zh-CN"/>
        </w:rPr>
        <w:t>指义务教育课后延时服务收入。</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教育支出（类）普通教育（款）初中教育（项）：</w:t>
      </w:r>
      <w:r>
        <w:rPr>
          <w:rFonts w:hint="eastAsia" w:ascii="仿宋_GB2312" w:hAnsi="仿宋_GB2312" w:eastAsia="仿宋_GB2312" w:cs="仿宋_GB2312"/>
          <w:sz w:val="32"/>
          <w:szCs w:val="32"/>
          <w:lang w:val="en-US" w:eastAsia="zh-CN"/>
        </w:rPr>
        <w:t>指本单位举办的初中教育支出。</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教育（类）普通教育（款）高中教育（项）：</w:t>
      </w:r>
      <w:r>
        <w:rPr>
          <w:rFonts w:hint="eastAsia" w:ascii="仿宋_GB2312" w:hAnsi="仿宋_GB2312" w:eastAsia="仿宋_GB2312" w:cs="仿宋_GB2312"/>
          <w:sz w:val="32"/>
          <w:szCs w:val="32"/>
          <w:lang w:val="en-US" w:eastAsia="zh-CN"/>
        </w:rPr>
        <w:t>指本单位高中教育支出。</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 w:hAnsi="仿宋" w:eastAsia="仿宋" w:cs="仿宋"/>
          <w:i w:val="0"/>
          <w:iCs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社会保障和就业（类）行政事业单位养老支出（款）机关事业单位养老保险缴费支出（项）</w:t>
      </w:r>
      <w:r>
        <w:rPr>
          <w:rFonts w:hint="eastAsia" w:ascii="仿宋" w:hAnsi="仿宋" w:eastAsia="仿宋" w:cs="仿宋"/>
          <w:i w:val="0"/>
          <w:iCs w:val="0"/>
          <w:caps w:val="0"/>
          <w:color w:val="auto"/>
          <w:spacing w:val="0"/>
          <w:kern w:val="0"/>
          <w:sz w:val="32"/>
          <w:szCs w:val="32"/>
          <w:shd w:val="clear" w:color="auto" w:fill="FFFFFF"/>
          <w:lang w:val="en-US" w:eastAsia="zh-CN" w:bidi="ar"/>
        </w:rPr>
        <w:t>：指本单位实施养老保险制度由单位缴纳的基本养老保险费支出。</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 w:hAnsi="仿宋" w:eastAsia="仿宋" w:cs="仿宋"/>
          <w:i w:val="0"/>
          <w:iCs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社会保障和就业（类）其他社会保障和就业支出（款）其他社会保障和就业支出（项）：</w:t>
      </w:r>
      <w:r>
        <w:rPr>
          <w:rFonts w:hint="eastAsia" w:ascii="仿宋" w:hAnsi="仿宋" w:eastAsia="仿宋" w:cs="仿宋"/>
          <w:i w:val="0"/>
          <w:iCs w:val="0"/>
          <w:caps w:val="0"/>
          <w:color w:val="auto"/>
          <w:spacing w:val="0"/>
          <w:kern w:val="0"/>
          <w:sz w:val="32"/>
          <w:szCs w:val="32"/>
          <w:shd w:val="clear" w:color="auto" w:fill="FFFFFF"/>
          <w:lang w:val="en-US" w:eastAsia="zh-CN" w:bidi="ar"/>
        </w:rPr>
        <w:t>指本单位工伤、失业保险等方面的支出。</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 w:hAnsi="仿宋" w:eastAsia="仿宋" w:cs="仿宋"/>
          <w:i w:val="0"/>
          <w:iCs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卫生健康支出（类）行政事业单位医疗（款）事业单位医疗（项）：</w:t>
      </w:r>
      <w:r>
        <w:rPr>
          <w:rFonts w:hint="eastAsia" w:ascii="仿宋" w:hAnsi="仿宋" w:eastAsia="仿宋" w:cs="仿宋"/>
          <w:i w:val="0"/>
          <w:iCs w:val="0"/>
          <w:caps w:val="0"/>
          <w:color w:val="auto"/>
          <w:spacing w:val="0"/>
          <w:kern w:val="0"/>
          <w:sz w:val="32"/>
          <w:szCs w:val="32"/>
          <w:shd w:val="clear" w:color="auto" w:fill="FFFFFF"/>
          <w:lang w:val="en-US" w:eastAsia="zh-CN" w:bidi="ar"/>
        </w:rPr>
        <w:t>指我单位财政部门安排的医疗保险缴费经费。</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 w:hAnsi="仿宋" w:eastAsia="仿宋" w:cs="仿宋"/>
          <w:i w:val="0"/>
          <w:iCs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住房保障（类）住房改革支出（款）住房公积金（项）：</w:t>
      </w:r>
      <w:r>
        <w:rPr>
          <w:rFonts w:hint="eastAsia" w:ascii="仿宋" w:hAnsi="仿宋" w:eastAsia="仿宋" w:cs="仿宋"/>
          <w:i w:val="0"/>
          <w:iCs w:val="0"/>
          <w:caps w:val="0"/>
          <w:color w:val="auto"/>
          <w:spacing w:val="0"/>
          <w:kern w:val="0"/>
          <w:sz w:val="32"/>
          <w:szCs w:val="32"/>
          <w:shd w:val="clear" w:color="auto" w:fill="FFFFFF"/>
          <w:lang w:val="en-US" w:eastAsia="zh-CN" w:bidi="ar"/>
        </w:rPr>
        <w:t>指本单位按人力资源和社会保障部、财政部规定的基本工资和津贴补贴以及规定比例为职工缴纳的住房公积金。</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 w:hAnsi="仿宋" w:eastAsia="仿宋" w:cs="仿宋"/>
          <w:i w:val="0"/>
          <w:iCs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基本支出：</w:t>
      </w:r>
      <w:r>
        <w:rPr>
          <w:rFonts w:hint="eastAsia" w:ascii="仿宋" w:hAnsi="仿宋" w:eastAsia="仿宋" w:cs="仿宋"/>
          <w:i w:val="0"/>
          <w:iCs w:val="0"/>
          <w:caps w:val="0"/>
          <w:color w:val="auto"/>
          <w:spacing w:val="0"/>
          <w:kern w:val="0"/>
          <w:sz w:val="32"/>
          <w:szCs w:val="32"/>
          <w:shd w:val="clear" w:color="auto" w:fill="FFFFFF"/>
          <w:lang w:val="en-US" w:eastAsia="zh-CN" w:bidi="ar"/>
        </w:rPr>
        <w:t>指为保证机构正常运转，完成日常工作任务而发生的人员支出和公用支出。</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 w:hAnsi="仿宋" w:eastAsia="仿宋" w:cs="仿宋"/>
          <w:i w:val="0"/>
          <w:iCs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项目支出：</w:t>
      </w:r>
      <w:r>
        <w:rPr>
          <w:rFonts w:hint="eastAsia" w:ascii="仿宋" w:hAnsi="仿宋" w:eastAsia="仿宋" w:cs="仿宋"/>
          <w:i w:val="0"/>
          <w:iCs w:val="0"/>
          <w:caps w:val="0"/>
          <w:color w:val="auto"/>
          <w:spacing w:val="0"/>
          <w:kern w:val="0"/>
          <w:sz w:val="32"/>
          <w:szCs w:val="32"/>
          <w:shd w:val="clear" w:color="auto" w:fill="FFFFFF"/>
          <w:lang w:val="en-US" w:eastAsia="zh-CN" w:bidi="ar"/>
        </w:rPr>
        <w:t>指在基本支出之外为完成特定行政任务和事业发展目标所发生的支出。</w:t>
      </w:r>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leftChars="0" w:right="0" w:rightChars="0" w:firstLine="420" w:firstLineChars="0"/>
        <w:jc w:val="both"/>
        <w:textAlignment w:val="auto"/>
        <w:outlineLvl w:val="9"/>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bookmarkEnd w:id="23"/>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附件：单位预算公开表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9"/>
        <w:rPr>
          <w:rFonts w:hint="eastAsia" w:ascii="仿宋_GB2312" w:hAnsi="仿宋_GB2312" w:eastAsia="仿宋_GB2312" w:cs="仿宋_GB2312"/>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FB199A-766C-47BB-A531-CC71DF1132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华文中宋">
    <w:panose1 w:val="02010600040101010101"/>
    <w:charset w:val="86"/>
    <w:family w:val="auto"/>
    <w:pitch w:val="default"/>
    <w:sig w:usb0="00000287" w:usb1="080F0000" w:usb2="00000000" w:usb3="00000000" w:csb0="0004009F" w:csb1="DFD70000"/>
    <w:embedRegular r:id="rId2" w:fontKey="{B8779173-B4F0-4C2E-8F30-A7E15F6F1C17}"/>
  </w:font>
  <w:font w:name="方正小标宋简体">
    <w:panose1 w:val="03000509000000000000"/>
    <w:charset w:val="86"/>
    <w:family w:val="auto"/>
    <w:pitch w:val="default"/>
    <w:sig w:usb0="00000001" w:usb1="080E0000" w:usb2="00000000" w:usb3="00000000" w:csb0="00040000" w:csb1="00000000"/>
    <w:embedRegular r:id="rId3" w:fontKey="{72C3A0F8-4482-4591-85B6-91FC7F4415E2}"/>
  </w:font>
  <w:font w:name="楷体_GB2312">
    <w:panose1 w:val="02010609030101010101"/>
    <w:charset w:val="86"/>
    <w:family w:val="auto"/>
    <w:pitch w:val="default"/>
    <w:sig w:usb0="00000001" w:usb1="080E0000" w:usb2="00000000" w:usb3="00000000" w:csb0="00040000" w:csb1="00000000"/>
    <w:embedRegular r:id="rId4" w:fontKey="{1D65A738-8F46-4267-99E7-BAAA05C8A6E1}"/>
  </w:font>
  <w:font w:name="楷体">
    <w:panose1 w:val="02010609060101010101"/>
    <w:charset w:val="86"/>
    <w:family w:val="auto"/>
    <w:pitch w:val="default"/>
    <w:sig w:usb0="800002BF" w:usb1="38CF7CFA" w:usb2="00000016" w:usb3="00000000" w:csb0="00040001" w:csb1="00000000"/>
    <w:embedRegular r:id="rId5" w:fontKey="{B651ECA0-27FC-4351-B2C1-2296C047AD33}"/>
  </w:font>
  <w:font w:name="仿宋">
    <w:panose1 w:val="02010609060101010101"/>
    <w:charset w:val="86"/>
    <w:family w:val="auto"/>
    <w:pitch w:val="default"/>
    <w:sig w:usb0="800002BF" w:usb1="38CF7CFA" w:usb2="00000016" w:usb3="00000000" w:csb0="00040001" w:csb1="00000000"/>
    <w:embedRegular r:id="rId6" w:fontKey="{C5460D9D-01C8-46CD-9ECA-A189656A064C}"/>
  </w:font>
  <w:font w:name="仿宋_GB2312">
    <w:panose1 w:val="02010609030101010101"/>
    <w:charset w:val="86"/>
    <w:family w:val="modern"/>
    <w:pitch w:val="default"/>
    <w:sig w:usb0="00000001" w:usb1="080E0000" w:usb2="00000000" w:usb3="00000000" w:csb0="00040000" w:csb1="00000000"/>
    <w:embedRegular r:id="rId7" w:fontKey="{DDFD3F24-1059-4B33-A47B-24B72569DB36}"/>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13704E"/>
    <w:multiLevelType w:val="singleLevel"/>
    <w:tmpl w:val="8C13704E"/>
    <w:lvl w:ilvl="0" w:tentative="0">
      <w:start w:val="1"/>
      <w:numFmt w:val="chineseCounting"/>
      <w:suff w:val="nothing"/>
      <w:lvlText w:val="%1、"/>
      <w:lvlJc w:val="left"/>
      <w:rPr>
        <w:rFonts w:hint="eastAsia"/>
      </w:rPr>
    </w:lvl>
  </w:abstractNum>
  <w:abstractNum w:abstractNumId="1">
    <w:nsid w:val="A07C167F"/>
    <w:multiLevelType w:val="singleLevel"/>
    <w:tmpl w:val="A07C167F"/>
    <w:lvl w:ilvl="0" w:tentative="0">
      <w:start w:val="1"/>
      <w:numFmt w:val="chineseCounting"/>
      <w:suff w:val="nothing"/>
      <w:lvlText w:val="（%1）"/>
      <w:lvlJc w:val="left"/>
      <w:rPr>
        <w:rFonts w:hint="eastAsia"/>
      </w:rPr>
    </w:lvl>
  </w:abstractNum>
  <w:abstractNum w:abstractNumId="2">
    <w:nsid w:val="21A67DB4"/>
    <w:multiLevelType w:val="singleLevel"/>
    <w:tmpl w:val="21A67DB4"/>
    <w:lvl w:ilvl="0" w:tentative="0">
      <w:start w:val="10"/>
      <w:numFmt w:val="chineseCounting"/>
      <w:suff w:val="nothing"/>
      <w:lvlText w:val="%1、"/>
      <w:lvlJc w:val="left"/>
      <w:rPr>
        <w:rFonts w:hint="eastAsia"/>
      </w:rPr>
    </w:lvl>
  </w:abstractNum>
  <w:abstractNum w:abstractNumId="3">
    <w:nsid w:val="27DE5036"/>
    <w:multiLevelType w:val="singleLevel"/>
    <w:tmpl w:val="27DE5036"/>
    <w:lvl w:ilvl="0" w:tentative="0">
      <w:start w:val="1"/>
      <w:numFmt w:val="chineseCounting"/>
      <w:suff w:val="nothing"/>
      <w:lvlText w:val="（%1）"/>
      <w:lvlJc w:val="left"/>
      <w:pPr>
        <w:ind w:left="0" w:firstLine="420"/>
      </w:pPr>
      <w:rPr>
        <w:rFonts w:hint="eastAsia"/>
        <w:b w:val="0"/>
        <w:bCs w:val="0"/>
      </w:rPr>
    </w:lvl>
  </w:abstractNum>
  <w:abstractNum w:abstractNumId="4">
    <w:nsid w:val="4C286A7D"/>
    <w:multiLevelType w:val="singleLevel"/>
    <w:tmpl w:val="4C286A7D"/>
    <w:lvl w:ilvl="0" w:tentative="0">
      <w:start w:val="1"/>
      <w:numFmt w:val="chineseCounting"/>
      <w:suff w:val="nothing"/>
      <w:lvlText w:val="（%1）"/>
      <w:lvlJc w:val="left"/>
      <w:rPr>
        <w:rFonts w:hint="eastAsia"/>
      </w:rPr>
    </w:lvl>
  </w:abstractNum>
  <w:abstractNum w:abstractNumId="5">
    <w:nsid w:val="65752713"/>
    <w:multiLevelType w:val="singleLevel"/>
    <w:tmpl w:val="65752713"/>
    <w:lvl w:ilvl="0" w:tentative="0">
      <w:start w:val="7"/>
      <w:numFmt w:val="chineseCounting"/>
      <w:suff w:val="nothing"/>
      <w:lvlText w:val="%1、"/>
      <w:lvlJc w:val="left"/>
      <w:rPr>
        <w:rFonts w:hint="eastAsia"/>
      </w:r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1a6782b6-e01f-4ff0-9ed8-deb239596861"/>
  </w:docVars>
  <w:rsids>
    <w:rsidRoot w:val="00000000"/>
    <w:rsid w:val="012352D1"/>
    <w:rsid w:val="058E0FB9"/>
    <w:rsid w:val="06436049"/>
    <w:rsid w:val="082D517A"/>
    <w:rsid w:val="0D4F5FEC"/>
    <w:rsid w:val="0F9416A7"/>
    <w:rsid w:val="0FBC375C"/>
    <w:rsid w:val="0FE80928"/>
    <w:rsid w:val="0FE86D06"/>
    <w:rsid w:val="12BB4B7A"/>
    <w:rsid w:val="140219E2"/>
    <w:rsid w:val="14212297"/>
    <w:rsid w:val="15BF2FBD"/>
    <w:rsid w:val="190B18FC"/>
    <w:rsid w:val="1ACB68E1"/>
    <w:rsid w:val="1B086405"/>
    <w:rsid w:val="1C085EB8"/>
    <w:rsid w:val="1C3715D7"/>
    <w:rsid w:val="1F7BF06F"/>
    <w:rsid w:val="1FEE4B73"/>
    <w:rsid w:val="20234AC9"/>
    <w:rsid w:val="210437B9"/>
    <w:rsid w:val="22051885"/>
    <w:rsid w:val="2229539C"/>
    <w:rsid w:val="23615817"/>
    <w:rsid w:val="23B8092A"/>
    <w:rsid w:val="23CE9849"/>
    <w:rsid w:val="25645E7F"/>
    <w:rsid w:val="263E7FE9"/>
    <w:rsid w:val="28850FA5"/>
    <w:rsid w:val="2A2165D3"/>
    <w:rsid w:val="2BD04E7B"/>
    <w:rsid w:val="2C1E56F0"/>
    <w:rsid w:val="2DD2576D"/>
    <w:rsid w:val="2DD5373D"/>
    <w:rsid w:val="2F0121E9"/>
    <w:rsid w:val="2FE729B2"/>
    <w:rsid w:val="33D8283D"/>
    <w:rsid w:val="343D58AA"/>
    <w:rsid w:val="351B4D2E"/>
    <w:rsid w:val="3609784F"/>
    <w:rsid w:val="36555EE1"/>
    <w:rsid w:val="37564659"/>
    <w:rsid w:val="37C46A70"/>
    <w:rsid w:val="386911E5"/>
    <w:rsid w:val="39F304DD"/>
    <w:rsid w:val="3B6E336A"/>
    <w:rsid w:val="3CBB7CB3"/>
    <w:rsid w:val="3ED71BF5"/>
    <w:rsid w:val="3EDB1EAC"/>
    <w:rsid w:val="415E7BFF"/>
    <w:rsid w:val="443800FA"/>
    <w:rsid w:val="485C7545"/>
    <w:rsid w:val="489D5DB0"/>
    <w:rsid w:val="4BBA024C"/>
    <w:rsid w:val="4BCB5F67"/>
    <w:rsid w:val="4C327295"/>
    <w:rsid w:val="4CC61682"/>
    <w:rsid w:val="4E555611"/>
    <w:rsid w:val="4F9D2A7C"/>
    <w:rsid w:val="50766A2C"/>
    <w:rsid w:val="51311242"/>
    <w:rsid w:val="51B255F6"/>
    <w:rsid w:val="51DC1903"/>
    <w:rsid w:val="53171462"/>
    <w:rsid w:val="53427896"/>
    <w:rsid w:val="539C2D37"/>
    <w:rsid w:val="53A54549"/>
    <w:rsid w:val="54244390"/>
    <w:rsid w:val="54662A63"/>
    <w:rsid w:val="54A737FB"/>
    <w:rsid w:val="55897E5D"/>
    <w:rsid w:val="55E81280"/>
    <w:rsid w:val="560927D9"/>
    <w:rsid w:val="58064E12"/>
    <w:rsid w:val="58CD57C0"/>
    <w:rsid w:val="5A276CF7"/>
    <w:rsid w:val="5A5F26D4"/>
    <w:rsid w:val="5BFEE015"/>
    <w:rsid w:val="5CDA3CE1"/>
    <w:rsid w:val="5DA97F19"/>
    <w:rsid w:val="5EF81ADD"/>
    <w:rsid w:val="5F532913"/>
    <w:rsid w:val="5FA0576E"/>
    <w:rsid w:val="5FB86698"/>
    <w:rsid w:val="5FBB081C"/>
    <w:rsid w:val="63EDCF55"/>
    <w:rsid w:val="63FBFBCF"/>
    <w:rsid w:val="647153D0"/>
    <w:rsid w:val="66933384"/>
    <w:rsid w:val="669360FD"/>
    <w:rsid w:val="66DF73D5"/>
    <w:rsid w:val="68FF6A83"/>
    <w:rsid w:val="691530BA"/>
    <w:rsid w:val="6D2F407A"/>
    <w:rsid w:val="6DC65762"/>
    <w:rsid w:val="6E2C6662"/>
    <w:rsid w:val="6EA41295"/>
    <w:rsid w:val="6EE91235"/>
    <w:rsid w:val="6F334713"/>
    <w:rsid w:val="6F841181"/>
    <w:rsid w:val="6FBBC9CF"/>
    <w:rsid w:val="6FE10C9C"/>
    <w:rsid w:val="6FEE562A"/>
    <w:rsid w:val="700466C4"/>
    <w:rsid w:val="717E2669"/>
    <w:rsid w:val="724970D8"/>
    <w:rsid w:val="72A64CA8"/>
    <w:rsid w:val="72BDE561"/>
    <w:rsid w:val="742D1BD6"/>
    <w:rsid w:val="776F409C"/>
    <w:rsid w:val="77F57A00"/>
    <w:rsid w:val="78462278"/>
    <w:rsid w:val="78730AC1"/>
    <w:rsid w:val="7997EA6C"/>
    <w:rsid w:val="79C350D5"/>
    <w:rsid w:val="7AEAE675"/>
    <w:rsid w:val="7B822CD6"/>
    <w:rsid w:val="7BAFCE5D"/>
    <w:rsid w:val="7BD83FE2"/>
    <w:rsid w:val="7C5B5D8E"/>
    <w:rsid w:val="7D46598C"/>
    <w:rsid w:val="7D6B3C6E"/>
    <w:rsid w:val="7D7D3E8C"/>
    <w:rsid w:val="7DFB240B"/>
    <w:rsid w:val="7E0935ED"/>
    <w:rsid w:val="7FAF608A"/>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qFormat/>
    <w:uiPriority w:val="0"/>
  </w:style>
  <w:style w:type="paragraph" w:styleId="8">
    <w:name w:val="toc 2"/>
    <w:basedOn w:val="1"/>
    <w:next w:val="1"/>
    <w:qFormat/>
    <w:uiPriority w:val="0"/>
    <w:pPr>
      <w:ind w:left="420" w:leftChars="200"/>
    </w:pPr>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3058</Words>
  <Characters>3372</Characters>
  <TotalTime>16</TotalTime>
  <ScaleCrop>false</ScaleCrop>
  <LinksUpToDate>false</LinksUpToDate>
  <CharactersWithSpaces>3456</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dell</cp:lastModifiedBy>
  <dcterms:modified xsi:type="dcterms:W3CDTF">2024-03-03T15:02:11Z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B1704D82A4F64AC29D9374BB1209F14A</vt:lpwstr>
  </property>
</Properties>
</file>