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outlineLvl w:val="0"/>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971"/>
      <w:bookmarkStart w:id="1" w:name="_Toc18570"/>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四川省广元外国语学校</w:t>
      </w:r>
      <w:bookmarkEnd w:id="0"/>
      <w:bookmarkEnd w:id="1"/>
    </w:p>
    <w:p>
      <w:pPr>
        <w:shd w:val="clear"/>
        <w:jc w:val="cente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t>单位</w:t>
      </w: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预算编制说</w:t>
      </w:r>
      <w:r>
        <w:rPr>
          <w:rFonts w:hint="eastAsia" w:ascii="方正小标宋简体" w:hAnsi="方正小标宋简体" w:eastAsia="方正小标宋简体" w:cs="方正小标宋简体"/>
          <w:color w:val="000000" w:themeColor="text1"/>
          <w:kern w:val="0"/>
          <w:sz w:val="44"/>
          <w:szCs w:val="44"/>
          <w:shd w:val="clear" w:color="auto" w:fill="FFFFFF"/>
          <w:lang w:val="en-US" w:eastAsia="zh-CN" w:bidi="ar"/>
          <w14:textFill>
            <w14:solidFill>
              <w14:schemeClr w14:val="tx1"/>
            </w14:solidFill>
          </w14:textFill>
        </w:rPr>
        <w:t>明</w:t>
      </w:r>
    </w:p>
    <w:sdt>
      <w:sdtPr>
        <w:rPr>
          <w:rFonts w:ascii="宋体" w:hAnsi="宋体" w:eastAsia="宋体" w:cs="Times New Roman"/>
          <w:kern w:val="2"/>
          <w:sz w:val="21"/>
          <w:szCs w:val="24"/>
          <w:lang w:val="en-US" w:eastAsia="zh-CN" w:bidi="ar-SA"/>
        </w:rPr>
        <w:id w:val="147477537"/>
        <w15:color w:val="DBDBDB"/>
        <w:docPartObj>
          <w:docPartGallery w:val="Table of Contents"/>
          <w:docPartUnique/>
        </w:docPartObj>
      </w:sdtPr>
      <w:sdtEndPr>
        <w:rPr>
          <w:rFonts w:ascii="宋体" w:hAnsi="宋体" w:eastAsia="宋体" w:cs="宋体"/>
          <w:b/>
          <w:color w:val="000000" w:themeColor="text1"/>
          <w:kern w:val="0"/>
          <w:sz w:val="24"/>
          <w:szCs w:val="28"/>
          <w:shd w:val="clear" w:color="auto" w:fill="FFFFFF"/>
          <w:lang w:val="en-US" w:eastAsia="zh-CN" w:bidi="ar"/>
          <w14:textFill>
            <w14:solidFill>
              <w14:schemeClr w14:val="tx1"/>
            </w14:solidFill>
          </w14:textFill>
        </w:rPr>
      </w:sdtEndPr>
      <w:sdtContent>
        <w:p>
          <w:pPr>
            <w:keepNext w:val="0"/>
            <w:keepLines w:val="0"/>
            <w:pageBreakBefore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pPr>
          <w:r>
            <w:rPr>
              <w:rFonts w:ascii="宋体" w:hAnsi="宋体" w:eastAsia="宋体"/>
              <w:sz w:val="21"/>
            </w:rPr>
            <w:t>目录</w:t>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color w:val="000000" w:themeColor="text1"/>
              <w:kern w:val="0"/>
              <w:sz w:val="28"/>
              <w:szCs w:val="28"/>
              <w:shd w:val="clear" w:color="auto" w:fill="FFFFFF"/>
              <w:lang w:bidi="ar"/>
              <w14:textFill>
                <w14:solidFill>
                  <w14:schemeClr w14:val="tx1"/>
                </w14:solidFill>
              </w14:textFill>
            </w:rPr>
            <w:fldChar w:fldCharType="begin"/>
          </w:r>
          <w:r>
            <w:rPr>
              <w:rFonts w:ascii="宋体" w:hAnsi="宋体" w:cs="宋体"/>
              <w:color w:val="000000" w:themeColor="text1"/>
              <w:kern w:val="0"/>
              <w:sz w:val="28"/>
              <w:szCs w:val="28"/>
              <w:shd w:val="clear" w:color="auto" w:fill="FFFFFF"/>
              <w:lang w:bidi="ar"/>
              <w14:textFill>
                <w14:solidFill>
                  <w14:schemeClr w14:val="tx1"/>
                </w14:solidFill>
              </w14:textFill>
            </w:rPr>
            <w:instrText xml:space="preserve">TOC \o "1-2" \h \u </w:instrText>
          </w:r>
          <w:r>
            <w:rPr>
              <w:rFonts w:ascii="宋体" w:hAnsi="宋体" w:cs="宋体"/>
              <w:color w:val="000000" w:themeColor="text1"/>
              <w:kern w:val="0"/>
              <w:sz w:val="28"/>
              <w:szCs w:val="28"/>
              <w:shd w:val="clear" w:color="auto" w:fill="FFFFFF"/>
              <w:lang w:bidi="ar"/>
              <w14:textFill>
                <w14:solidFill>
                  <w14:schemeClr w14:val="tx1"/>
                </w14:solidFill>
              </w14:textFill>
            </w:rPr>
            <w:fldChar w:fldCharType="separate"/>
          </w: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_Toc20036 </w:instrText>
          </w:r>
          <w:r>
            <w:rPr>
              <w:rFonts w:ascii="宋体" w:hAnsi="宋体" w:cs="宋体"/>
              <w:b/>
              <w:kern w:val="0"/>
              <w:szCs w:val="28"/>
              <w:shd w:val="clear" w:color="auto" w:fill="FFFFFF"/>
              <w:lang w:bidi="ar"/>
            </w:rPr>
            <w:fldChar w:fldCharType="separate"/>
          </w:r>
          <w:r>
            <w:rPr>
              <w:rFonts w:hint="eastAsia"/>
              <w:b/>
            </w:rPr>
            <w:t>一、基本职能及主要工作</w:t>
          </w:r>
          <w:r>
            <w:rPr>
              <w:b/>
            </w:rPr>
            <w:tab/>
          </w:r>
          <w:r>
            <w:rPr>
              <w:b/>
            </w:rPr>
            <w:fldChar w:fldCharType="begin"/>
          </w:r>
          <w:r>
            <w:rPr>
              <w:b/>
            </w:rPr>
            <w:instrText xml:space="preserve"> PAGEREF _Toc20036 \h </w:instrText>
          </w:r>
          <w:r>
            <w:rPr>
              <w:b/>
            </w:rPr>
            <w:fldChar w:fldCharType="separate"/>
          </w:r>
          <w:r>
            <w:rPr>
              <w:b/>
            </w:rPr>
            <w:t>2</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_Toc24834 </w:instrText>
          </w:r>
          <w:r>
            <w:rPr>
              <w:rFonts w:ascii="宋体" w:hAnsi="宋体" w:cs="宋体"/>
              <w:kern w:val="0"/>
              <w:szCs w:val="28"/>
              <w:shd w:val="clear" w:color="auto" w:fill="FFFFFF"/>
              <w:lang w:bidi="ar"/>
            </w:rPr>
            <w:fldChar w:fldCharType="separate"/>
          </w:r>
          <w:r>
            <w:rPr>
              <w:rFonts w:hint="eastAsia"/>
            </w:rPr>
            <w:t>（一）基本职能</w:t>
          </w:r>
          <w:r>
            <w:tab/>
          </w:r>
          <w:r>
            <w:fldChar w:fldCharType="begin"/>
          </w:r>
          <w:r>
            <w:instrText xml:space="preserve"> PAGEREF _Toc24834 \h </w:instrText>
          </w:r>
          <w:r>
            <w:fldChar w:fldCharType="separate"/>
          </w:r>
          <w:r>
            <w:t>2</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_Toc21879 </w:instrText>
          </w:r>
          <w:r>
            <w:rPr>
              <w:rFonts w:ascii="宋体" w:hAnsi="宋体" w:cs="宋体"/>
              <w:kern w:val="0"/>
              <w:szCs w:val="28"/>
              <w:shd w:val="clear" w:color="auto" w:fill="FFFFFF"/>
              <w:lang w:bidi="ar"/>
            </w:rPr>
            <w:fldChar w:fldCharType="separate"/>
          </w:r>
          <w:r>
            <w:rPr>
              <w:rFonts w:hint="eastAsia" w:ascii="宋体" w:hAnsi="宋体" w:cs="宋体"/>
              <w:bCs/>
              <w:szCs w:val="28"/>
              <w:shd w:val="clear" w:color="auto" w:fill="FFFFFF"/>
            </w:rPr>
            <w:t>实施小学、初中义务教育以及高中教育，促进基础教育发展。</w:t>
          </w:r>
          <w:r>
            <w:tab/>
          </w:r>
          <w:r>
            <w:fldChar w:fldCharType="begin"/>
          </w:r>
          <w:r>
            <w:instrText xml:space="preserve"> PAGEREF _Toc21879 \h </w:instrText>
          </w:r>
          <w:r>
            <w:fldChar w:fldCharType="separate"/>
          </w:r>
          <w:r>
            <w:t>2</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_Toc26814 </w:instrText>
          </w:r>
          <w:r>
            <w:rPr>
              <w:rFonts w:ascii="宋体" w:hAnsi="宋体" w:cs="宋体"/>
              <w:kern w:val="0"/>
              <w:szCs w:val="28"/>
              <w:shd w:val="clear" w:color="auto" w:fill="FFFFFF"/>
              <w:lang w:bidi="ar"/>
            </w:rPr>
            <w:fldChar w:fldCharType="separate"/>
          </w:r>
          <w:r>
            <w:rPr>
              <w:rFonts w:hint="eastAsia" w:ascii="楷体_GB2312" w:hAnsi="楷体_GB2312" w:eastAsia="楷体_GB2312" w:cs="楷体_GB2312"/>
              <w:szCs w:val="32"/>
            </w:rPr>
            <w:t>（二）2024年重点工作</w:t>
          </w:r>
          <w:r>
            <w:tab/>
          </w:r>
          <w:r>
            <w:fldChar w:fldCharType="begin"/>
          </w:r>
          <w:r>
            <w:instrText xml:space="preserve"> PAGEREF _Toc26814 \h </w:instrText>
          </w:r>
          <w:r>
            <w:fldChar w:fldCharType="separate"/>
          </w:r>
          <w:r>
            <w:t>2</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_Toc14566 </w:instrText>
          </w:r>
          <w:r>
            <w:rPr>
              <w:rFonts w:ascii="宋体" w:hAnsi="宋体" w:cs="宋体"/>
              <w:b/>
              <w:kern w:val="0"/>
              <w:szCs w:val="28"/>
              <w:shd w:val="clear" w:color="auto" w:fill="FFFFFF"/>
              <w:lang w:bidi="ar"/>
            </w:rPr>
            <w:fldChar w:fldCharType="separate"/>
          </w:r>
          <w:r>
            <w:rPr>
              <w:rFonts w:hint="eastAsia"/>
              <w:b/>
            </w:rPr>
            <w:t>二、预算单位构成</w:t>
          </w:r>
          <w:r>
            <w:rPr>
              <w:b/>
            </w:rPr>
            <w:tab/>
          </w:r>
          <w:r>
            <w:rPr>
              <w:b/>
            </w:rPr>
            <w:fldChar w:fldCharType="begin"/>
          </w:r>
          <w:r>
            <w:rPr>
              <w:b/>
            </w:rPr>
            <w:instrText xml:space="preserve"> PAGEREF _Toc14566 \h </w:instrText>
          </w:r>
          <w:r>
            <w:rPr>
              <w:b/>
            </w:rPr>
            <w:fldChar w:fldCharType="separate"/>
          </w:r>
          <w:r>
            <w:rPr>
              <w:b/>
            </w:rPr>
            <w:t>3</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_Toc22181 </w:instrText>
          </w:r>
          <w:r>
            <w:rPr>
              <w:rFonts w:ascii="宋体" w:hAnsi="宋体" w:cs="宋体"/>
              <w:b/>
              <w:kern w:val="0"/>
              <w:szCs w:val="28"/>
              <w:shd w:val="clear" w:color="auto" w:fill="FFFFFF"/>
              <w:lang w:bidi="ar"/>
            </w:rPr>
            <w:fldChar w:fldCharType="separate"/>
          </w:r>
          <w:r>
            <w:rPr>
              <w:rFonts w:hint="eastAsia"/>
              <w:b/>
            </w:rPr>
            <w:t>三、收支预算情况说明</w:t>
          </w:r>
          <w:r>
            <w:rPr>
              <w:b/>
            </w:rPr>
            <w:tab/>
          </w:r>
          <w:r>
            <w:rPr>
              <w:b/>
            </w:rPr>
            <w:fldChar w:fldCharType="begin"/>
          </w:r>
          <w:r>
            <w:rPr>
              <w:b/>
            </w:rPr>
            <w:instrText xml:space="preserve"> PAGEREF _Toc22181 \h </w:instrText>
          </w:r>
          <w:r>
            <w:rPr>
              <w:b/>
            </w:rPr>
            <w:fldChar w:fldCharType="separate"/>
          </w:r>
          <w:r>
            <w:rPr>
              <w:b/>
            </w:rPr>
            <w:t>3</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_Toc3633 </w:instrText>
          </w:r>
          <w:r>
            <w:rPr>
              <w:rFonts w:ascii="宋体" w:hAnsi="宋体" w:cs="宋体"/>
              <w:kern w:val="0"/>
              <w:szCs w:val="28"/>
              <w:shd w:val="clear" w:color="auto" w:fill="FFFFFF"/>
              <w:lang w:bidi="ar"/>
            </w:rPr>
            <w:fldChar w:fldCharType="separate"/>
          </w:r>
          <w:r>
            <w:rPr>
              <w:rFonts w:hint="eastAsia"/>
            </w:rPr>
            <w:t>（一）收入预算情况</w:t>
          </w:r>
          <w:r>
            <w:tab/>
          </w:r>
          <w:r>
            <w:fldChar w:fldCharType="begin"/>
          </w:r>
          <w:r>
            <w:instrText xml:space="preserve"> PAGEREF _Toc3633 \h </w:instrText>
          </w:r>
          <w:r>
            <w:fldChar w:fldCharType="separate"/>
          </w:r>
          <w:r>
            <w:t>3</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_Toc17124 </w:instrText>
          </w:r>
          <w:r>
            <w:rPr>
              <w:rFonts w:ascii="宋体" w:hAnsi="宋体" w:cs="宋体"/>
              <w:kern w:val="0"/>
              <w:szCs w:val="28"/>
              <w:shd w:val="clear" w:color="auto" w:fill="FFFFFF"/>
              <w:lang w:bidi="ar"/>
            </w:rPr>
            <w:fldChar w:fldCharType="separate"/>
          </w:r>
          <w:r>
            <w:rPr>
              <w:rFonts w:hint="eastAsia"/>
            </w:rPr>
            <w:t>（二）支出预算情况</w:t>
          </w:r>
          <w:r>
            <w:tab/>
          </w:r>
          <w:r>
            <w:fldChar w:fldCharType="begin"/>
          </w:r>
          <w:r>
            <w:instrText xml:space="preserve"> PAGEREF _Toc17124 \h </w:instrText>
          </w:r>
          <w:r>
            <w:fldChar w:fldCharType="separate"/>
          </w:r>
          <w:r>
            <w:t>3</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_Toc10672 </w:instrText>
          </w:r>
          <w:r>
            <w:rPr>
              <w:rFonts w:ascii="宋体" w:hAnsi="宋体" w:cs="宋体"/>
              <w:b/>
              <w:kern w:val="0"/>
              <w:szCs w:val="28"/>
              <w:shd w:val="clear" w:color="auto" w:fill="FFFFFF"/>
              <w:lang w:bidi="ar"/>
            </w:rPr>
            <w:fldChar w:fldCharType="separate"/>
          </w:r>
          <w:r>
            <w:rPr>
              <w:rFonts w:hint="eastAsia"/>
              <w:b/>
            </w:rPr>
            <w:t>四、财政拨款收支预算情况说明</w:t>
          </w:r>
          <w:r>
            <w:rPr>
              <w:b/>
            </w:rPr>
            <w:tab/>
          </w:r>
          <w:r>
            <w:rPr>
              <w:b/>
            </w:rPr>
            <w:fldChar w:fldCharType="begin"/>
          </w:r>
          <w:r>
            <w:rPr>
              <w:b/>
            </w:rPr>
            <w:instrText xml:space="preserve"> PAGEREF _Toc10672 \h </w:instrText>
          </w:r>
          <w:r>
            <w:rPr>
              <w:b/>
            </w:rPr>
            <w:fldChar w:fldCharType="separate"/>
          </w:r>
          <w:r>
            <w:rPr>
              <w:b/>
            </w:rPr>
            <w:t>4</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_Toc25037 </w:instrText>
          </w:r>
          <w:r>
            <w:rPr>
              <w:rFonts w:ascii="宋体" w:hAnsi="宋体" w:cs="宋体"/>
              <w:b/>
              <w:kern w:val="0"/>
              <w:szCs w:val="28"/>
              <w:shd w:val="clear" w:color="auto" w:fill="FFFFFF"/>
              <w:lang w:bidi="ar"/>
            </w:rPr>
            <w:fldChar w:fldCharType="separate"/>
          </w:r>
          <w:r>
            <w:rPr>
              <w:rFonts w:hint="eastAsia"/>
              <w:b/>
            </w:rPr>
            <w:t>五、一般公共预算当年拨款情况说明</w:t>
          </w:r>
          <w:r>
            <w:rPr>
              <w:b/>
            </w:rPr>
            <w:tab/>
          </w:r>
          <w:r>
            <w:rPr>
              <w:b/>
            </w:rPr>
            <w:fldChar w:fldCharType="begin"/>
          </w:r>
          <w:r>
            <w:rPr>
              <w:b/>
            </w:rPr>
            <w:instrText xml:space="preserve"> PAGEREF _Toc25037 \h </w:instrText>
          </w:r>
          <w:r>
            <w:rPr>
              <w:b/>
            </w:rPr>
            <w:fldChar w:fldCharType="separate"/>
          </w:r>
          <w:r>
            <w:rPr>
              <w:b/>
            </w:rPr>
            <w:t>4</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_Toc16997 </w:instrText>
          </w:r>
          <w:r>
            <w:rPr>
              <w:rFonts w:ascii="宋体" w:hAnsi="宋体" w:cs="宋体"/>
              <w:kern w:val="0"/>
              <w:szCs w:val="28"/>
              <w:shd w:val="clear" w:color="auto" w:fill="FFFFFF"/>
              <w:lang w:bidi="ar"/>
            </w:rPr>
            <w:fldChar w:fldCharType="separate"/>
          </w:r>
          <w:r>
            <w:rPr>
              <w:rFonts w:hint="eastAsia"/>
            </w:rPr>
            <w:t>（一）一般公共预算当年拨款规模变化情况</w:t>
          </w:r>
          <w:r>
            <w:tab/>
          </w:r>
          <w:r>
            <w:fldChar w:fldCharType="begin"/>
          </w:r>
          <w:r>
            <w:instrText xml:space="preserve"> PAGEREF _Toc16997 \h </w:instrText>
          </w:r>
          <w:r>
            <w:fldChar w:fldCharType="separate"/>
          </w:r>
          <w:r>
            <w:t>4</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_Toc23174 </w:instrText>
          </w:r>
          <w:r>
            <w:rPr>
              <w:rFonts w:ascii="宋体" w:hAnsi="宋体" w:cs="宋体"/>
              <w:kern w:val="0"/>
              <w:szCs w:val="28"/>
              <w:shd w:val="clear" w:color="auto" w:fill="FFFFFF"/>
              <w:lang w:bidi="ar"/>
            </w:rPr>
            <w:fldChar w:fldCharType="separate"/>
          </w:r>
          <w:r>
            <w:rPr>
              <w:rFonts w:hint="eastAsia"/>
            </w:rPr>
            <w:t>（二）一般公共预算当年拨款结构情况</w:t>
          </w:r>
          <w:r>
            <w:tab/>
          </w:r>
          <w:r>
            <w:fldChar w:fldCharType="begin"/>
          </w:r>
          <w:r>
            <w:instrText xml:space="preserve"> PAGEREF _Toc23174 \h </w:instrText>
          </w:r>
          <w:r>
            <w:fldChar w:fldCharType="separate"/>
          </w:r>
          <w:r>
            <w:t>4</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_Toc9819 </w:instrText>
          </w:r>
          <w:r>
            <w:rPr>
              <w:rFonts w:ascii="宋体" w:hAnsi="宋体" w:cs="宋体"/>
              <w:kern w:val="0"/>
              <w:szCs w:val="28"/>
              <w:shd w:val="clear" w:color="auto" w:fill="FFFFFF"/>
              <w:lang w:bidi="ar"/>
            </w:rPr>
            <w:fldChar w:fldCharType="separate"/>
          </w:r>
          <w:r>
            <w:rPr>
              <w:rFonts w:hint="eastAsia"/>
            </w:rPr>
            <w:t>（三）一般公共预算当年拨款具体使用情况</w:t>
          </w:r>
          <w:r>
            <w:tab/>
          </w:r>
          <w:r>
            <w:fldChar w:fldCharType="begin"/>
          </w:r>
          <w:r>
            <w:instrText xml:space="preserve"> PAGEREF _Toc9819 \h </w:instrText>
          </w:r>
          <w:r>
            <w:fldChar w:fldCharType="separate"/>
          </w:r>
          <w:r>
            <w:t>4</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_Toc97 </w:instrText>
          </w:r>
          <w:r>
            <w:rPr>
              <w:rFonts w:ascii="宋体" w:hAnsi="宋体" w:cs="宋体"/>
              <w:b/>
              <w:kern w:val="0"/>
              <w:szCs w:val="28"/>
              <w:shd w:val="clear" w:color="auto" w:fill="FFFFFF"/>
              <w:lang w:bidi="ar"/>
            </w:rPr>
            <w:fldChar w:fldCharType="separate"/>
          </w:r>
          <w:r>
            <w:rPr>
              <w:rFonts w:hint="eastAsia"/>
              <w:b/>
            </w:rPr>
            <w:t>六、一般公共预算基本支出情况说明</w:t>
          </w:r>
          <w:r>
            <w:rPr>
              <w:b/>
            </w:rPr>
            <w:tab/>
          </w:r>
          <w:r>
            <w:rPr>
              <w:b/>
            </w:rPr>
            <w:fldChar w:fldCharType="begin"/>
          </w:r>
          <w:r>
            <w:rPr>
              <w:b/>
            </w:rPr>
            <w:instrText xml:space="preserve"> PAGEREF _Toc97 \h </w:instrText>
          </w:r>
          <w:r>
            <w:rPr>
              <w:b/>
            </w:rPr>
            <w:fldChar w:fldCharType="separate"/>
          </w:r>
          <w:r>
            <w:rPr>
              <w:b/>
            </w:rPr>
            <w:t>5</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_Toc2861 </w:instrText>
          </w:r>
          <w:r>
            <w:rPr>
              <w:rFonts w:ascii="宋体" w:hAnsi="宋体" w:cs="宋体"/>
              <w:b/>
              <w:kern w:val="0"/>
              <w:szCs w:val="28"/>
              <w:shd w:val="clear" w:color="auto" w:fill="FFFFFF"/>
              <w:lang w:bidi="ar"/>
            </w:rPr>
            <w:fldChar w:fldCharType="separate"/>
          </w:r>
          <w:r>
            <w:rPr>
              <w:rFonts w:hint="eastAsia"/>
              <w:b/>
            </w:rPr>
            <w:t>七、“三公”经费财政拨款预算安排情况说明</w:t>
          </w:r>
          <w:r>
            <w:rPr>
              <w:b/>
            </w:rPr>
            <w:tab/>
          </w:r>
          <w:r>
            <w:rPr>
              <w:b/>
            </w:rPr>
            <w:fldChar w:fldCharType="begin"/>
          </w:r>
          <w:r>
            <w:rPr>
              <w:b/>
            </w:rPr>
            <w:instrText xml:space="preserve"> PAGEREF _Toc2861 \h </w:instrText>
          </w:r>
          <w:r>
            <w:rPr>
              <w:b/>
            </w:rPr>
            <w:fldChar w:fldCharType="separate"/>
          </w:r>
          <w:r>
            <w:rPr>
              <w:b/>
            </w:rPr>
            <w:t>5</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_Toc27612 </w:instrText>
          </w:r>
          <w:r>
            <w:rPr>
              <w:rFonts w:ascii="宋体" w:hAnsi="宋体" w:cs="宋体"/>
              <w:kern w:val="0"/>
              <w:szCs w:val="28"/>
              <w:shd w:val="clear" w:color="auto" w:fill="FFFFFF"/>
              <w:lang w:bidi="ar"/>
            </w:rPr>
            <w:fldChar w:fldCharType="separate"/>
          </w:r>
          <w:r>
            <w:rPr>
              <w:rFonts w:hint="eastAsia"/>
            </w:rPr>
            <w:t>（一）公务接待费</w:t>
          </w:r>
          <w:r>
            <w:tab/>
          </w:r>
          <w:r>
            <w:fldChar w:fldCharType="begin"/>
          </w:r>
          <w:r>
            <w:instrText xml:space="preserve"> PAGEREF _Toc27612 \h </w:instrText>
          </w:r>
          <w:r>
            <w:fldChar w:fldCharType="separate"/>
          </w:r>
          <w:r>
            <w:t>6</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_Toc9095 </w:instrText>
          </w:r>
          <w:r>
            <w:rPr>
              <w:rFonts w:ascii="宋体" w:hAnsi="宋体" w:cs="宋体"/>
              <w:kern w:val="0"/>
              <w:szCs w:val="28"/>
              <w:shd w:val="clear" w:color="auto" w:fill="FFFFFF"/>
              <w:lang w:bidi="ar"/>
            </w:rPr>
            <w:fldChar w:fldCharType="separate"/>
          </w:r>
          <w:r>
            <w:rPr>
              <w:rFonts w:hint="eastAsia"/>
            </w:rPr>
            <w:t>（二）公务用车购置及运行维护费</w:t>
          </w:r>
          <w:r>
            <w:tab/>
          </w:r>
          <w:r>
            <w:fldChar w:fldCharType="begin"/>
          </w:r>
          <w:r>
            <w:instrText xml:space="preserve"> PAGEREF _Toc9095 \h </w:instrText>
          </w:r>
          <w:r>
            <w:fldChar w:fldCharType="separate"/>
          </w:r>
          <w:r>
            <w:t>6</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_Toc6284 </w:instrText>
          </w:r>
          <w:r>
            <w:rPr>
              <w:rFonts w:ascii="宋体" w:hAnsi="宋体" w:cs="宋体"/>
              <w:kern w:val="0"/>
              <w:szCs w:val="28"/>
              <w:shd w:val="clear" w:color="auto" w:fill="FFFFFF"/>
              <w:lang w:bidi="ar"/>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_Toc6284 \h </w:instrText>
          </w:r>
          <w:r>
            <w:fldChar w:fldCharType="separate"/>
          </w:r>
          <w:r>
            <w:t>6</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_Toc10715 </w:instrText>
          </w:r>
          <w:r>
            <w:rPr>
              <w:rFonts w:ascii="宋体" w:hAnsi="宋体" w:cs="宋体"/>
              <w:b/>
              <w:kern w:val="0"/>
              <w:szCs w:val="28"/>
              <w:shd w:val="clear" w:color="auto" w:fill="FFFFFF"/>
              <w:lang w:bidi="ar"/>
            </w:rPr>
            <w:fldChar w:fldCharType="separate"/>
          </w:r>
          <w:r>
            <w:rPr>
              <w:rFonts w:hint="eastAsia"/>
              <w:b/>
            </w:rPr>
            <w:t>八、政府性基金预算支出情况说明</w:t>
          </w:r>
          <w:r>
            <w:rPr>
              <w:b/>
            </w:rPr>
            <w:tab/>
          </w:r>
          <w:r>
            <w:rPr>
              <w:b/>
            </w:rPr>
            <w:fldChar w:fldCharType="begin"/>
          </w:r>
          <w:r>
            <w:rPr>
              <w:b/>
            </w:rPr>
            <w:instrText xml:space="preserve"> PAGEREF _Toc10715 \h </w:instrText>
          </w:r>
          <w:r>
            <w:rPr>
              <w:b/>
            </w:rPr>
            <w:fldChar w:fldCharType="separate"/>
          </w:r>
          <w:r>
            <w:rPr>
              <w:b/>
            </w:rPr>
            <w:t>6</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_Toc6024 </w:instrText>
          </w:r>
          <w:r>
            <w:rPr>
              <w:rFonts w:ascii="宋体" w:hAnsi="宋体" w:cs="宋体"/>
              <w:b/>
              <w:kern w:val="0"/>
              <w:szCs w:val="28"/>
              <w:shd w:val="clear" w:color="auto" w:fill="FFFFFF"/>
              <w:lang w:bidi="ar"/>
            </w:rPr>
            <w:fldChar w:fldCharType="separate"/>
          </w:r>
          <w:r>
            <w:rPr>
              <w:rFonts w:hint="eastAsia"/>
              <w:b/>
            </w:rPr>
            <w:t>九、国有资本经营预算支出情况说明</w:t>
          </w:r>
          <w:r>
            <w:rPr>
              <w:b/>
            </w:rPr>
            <w:tab/>
          </w:r>
          <w:r>
            <w:rPr>
              <w:b/>
            </w:rPr>
            <w:fldChar w:fldCharType="begin"/>
          </w:r>
          <w:r>
            <w:rPr>
              <w:b/>
            </w:rPr>
            <w:instrText xml:space="preserve"> PAGEREF _Toc6024 \h </w:instrText>
          </w:r>
          <w:r>
            <w:rPr>
              <w:b/>
            </w:rPr>
            <w:fldChar w:fldCharType="separate"/>
          </w:r>
          <w:r>
            <w:rPr>
              <w:b/>
            </w:rPr>
            <w:t>6</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_Toc20901 </w:instrText>
          </w:r>
          <w:r>
            <w:rPr>
              <w:rFonts w:ascii="宋体" w:hAnsi="宋体" w:cs="宋体"/>
              <w:b/>
              <w:kern w:val="0"/>
              <w:szCs w:val="28"/>
              <w:shd w:val="clear" w:color="auto" w:fill="FFFFFF"/>
              <w:lang w:bidi="ar"/>
            </w:rPr>
            <w:fldChar w:fldCharType="separate"/>
          </w:r>
          <w:r>
            <w:rPr>
              <w:rFonts w:hint="eastAsia"/>
              <w:b/>
            </w:rPr>
            <w:t>十、其他重要事项的情况说明</w:t>
          </w:r>
          <w:r>
            <w:rPr>
              <w:b/>
            </w:rPr>
            <w:tab/>
          </w:r>
          <w:r>
            <w:rPr>
              <w:b/>
            </w:rPr>
            <w:fldChar w:fldCharType="begin"/>
          </w:r>
          <w:r>
            <w:rPr>
              <w:b/>
            </w:rPr>
            <w:instrText xml:space="preserve"> PAGEREF _Toc20901 \h </w:instrText>
          </w:r>
          <w:r>
            <w:rPr>
              <w:b/>
            </w:rPr>
            <w:fldChar w:fldCharType="separate"/>
          </w:r>
          <w:r>
            <w:rPr>
              <w:b/>
            </w:rPr>
            <w:t>7</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_Toc8721 </w:instrText>
          </w:r>
          <w:r>
            <w:rPr>
              <w:rFonts w:ascii="宋体" w:hAnsi="宋体" w:cs="宋体"/>
              <w:kern w:val="0"/>
              <w:szCs w:val="28"/>
              <w:shd w:val="clear" w:color="auto" w:fill="FFFFFF"/>
              <w:lang w:bidi="ar"/>
            </w:rPr>
            <w:fldChar w:fldCharType="separate"/>
          </w:r>
          <w:r>
            <w:rPr>
              <w:rFonts w:hint="eastAsia"/>
            </w:rPr>
            <w:t>（一）机关运行经费</w:t>
          </w:r>
          <w:r>
            <w:tab/>
          </w:r>
          <w:r>
            <w:fldChar w:fldCharType="begin"/>
          </w:r>
          <w:r>
            <w:instrText xml:space="preserve"> PAGEREF _Toc8721 \h </w:instrText>
          </w:r>
          <w:r>
            <w:fldChar w:fldCharType="separate"/>
          </w:r>
          <w:r>
            <w:t>7</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_Toc23541 </w:instrText>
          </w:r>
          <w:r>
            <w:rPr>
              <w:rFonts w:ascii="宋体" w:hAnsi="宋体" w:cs="宋体"/>
              <w:kern w:val="0"/>
              <w:szCs w:val="28"/>
              <w:shd w:val="clear" w:color="auto" w:fill="FFFFFF"/>
              <w:lang w:bidi="ar"/>
            </w:rPr>
            <w:fldChar w:fldCharType="separate"/>
          </w:r>
          <w:r>
            <w:rPr>
              <w:rFonts w:hint="eastAsia"/>
            </w:rPr>
            <w:t>（二）政府采购情况</w:t>
          </w:r>
          <w:r>
            <w:tab/>
          </w:r>
          <w:r>
            <w:fldChar w:fldCharType="begin"/>
          </w:r>
          <w:r>
            <w:instrText xml:space="preserve"> PAGEREF _Toc23541 \h </w:instrText>
          </w:r>
          <w:r>
            <w:fldChar w:fldCharType="separate"/>
          </w:r>
          <w:r>
            <w:t>7</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_Toc30340 </w:instrText>
          </w:r>
          <w:r>
            <w:rPr>
              <w:rFonts w:ascii="宋体" w:hAnsi="宋体" w:cs="宋体"/>
              <w:kern w:val="0"/>
              <w:szCs w:val="28"/>
              <w:shd w:val="clear" w:color="auto" w:fill="FFFFFF"/>
              <w:lang w:bidi="ar"/>
            </w:rPr>
            <w:fldChar w:fldCharType="separate"/>
          </w:r>
          <w:r>
            <w:rPr>
              <w:rFonts w:hint="eastAsia"/>
            </w:rPr>
            <w:t>（三）国有资产占有使用情况</w:t>
          </w:r>
          <w:r>
            <w:tab/>
          </w:r>
          <w:r>
            <w:fldChar w:fldCharType="begin"/>
          </w:r>
          <w:r>
            <w:instrText xml:space="preserve"> PAGEREF _Toc30340 \h </w:instrText>
          </w:r>
          <w:r>
            <w:fldChar w:fldCharType="separate"/>
          </w:r>
          <w:r>
            <w:t>7</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8"/>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kern w:val="0"/>
              <w:szCs w:val="28"/>
              <w:shd w:val="clear" w:color="auto" w:fill="FFFFFF"/>
              <w:lang w:bidi="ar"/>
              <w14:textFill>
                <w14:solidFill>
                  <w14:schemeClr w14:val="tx1"/>
                </w14:solidFill>
              </w14:textFill>
            </w:rPr>
            <w:fldChar w:fldCharType="begin"/>
          </w:r>
          <w:r>
            <w:rPr>
              <w:rFonts w:ascii="宋体" w:hAnsi="宋体" w:cs="宋体"/>
              <w:kern w:val="0"/>
              <w:szCs w:val="28"/>
              <w:shd w:val="clear" w:color="auto" w:fill="FFFFFF"/>
              <w:lang w:bidi="ar"/>
            </w:rPr>
            <w:instrText xml:space="preserve"> HYPERLINK \l _Toc12564 </w:instrText>
          </w:r>
          <w:r>
            <w:rPr>
              <w:rFonts w:ascii="宋体" w:hAnsi="宋体" w:cs="宋体"/>
              <w:kern w:val="0"/>
              <w:szCs w:val="28"/>
              <w:shd w:val="clear" w:color="auto" w:fill="FFFFFF"/>
              <w:lang w:bidi="ar"/>
            </w:rPr>
            <w:fldChar w:fldCharType="separate"/>
          </w:r>
          <w:r>
            <w:rPr>
              <w:rFonts w:hint="eastAsia"/>
            </w:rPr>
            <w:t>（四）绩效目标设置情况</w:t>
          </w:r>
          <w:r>
            <w:tab/>
          </w:r>
          <w:r>
            <w:fldChar w:fldCharType="begin"/>
          </w:r>
          <w:r>
            <w:instrText xml:space="preserve"> PAGEREF _Toc12564 \h </w:instrText>
          </w:r>
          <w:r>
            <w:fldChar w:fldCharType="separate"/>
          </w:r>
          <w:r>
            <w:t>7</w:t>
          </w:r>
          <w:r>
            <w:fldChar w:fldCharType="end"/>
          </w:r>
          <w:r>
            <w:rPr>
              <w:rFonts w:ascii="宋体" w:hAnsi="宋体" w:cs="宋体"/>
              <w:color w:val="000000" w:themeColor="text1"/>
              <w:kern w:val="0"/>
              <w:szCs w:val="28"/>
              <w:shd w:val="clear" w:color="auto" w:fill="FFFFFF"/>
              <w:lang w:bidi="ar"/>
              <w14:textFill>
                <w14:solidFill>
                  <w14:schemeClr w14:val="tx1"/>
                </w14:solidFill>
              </w14:textFill>
            </w:rPr>
            <w:fldChar w:fldCharType="end"/>
          </w:r>
        </w:p>
        <w:p>
          <w:pPr>
            <w:pStyle w:val="17"/>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kern w:val="0"/>
              <w:szCs w:val="28"/>
              <w:shd w:val="clear" w:color="auto" w:fill="FFFFFF"/>
              <w:lang w:bidi="ar"/>
              <w14:textFill>
                <w14:solidFill>
                  <w14:schemeClr w14:val="tx1"/>
                </w14:solidFill>
              </w14:textFill>
            </w:rPr>
            <w:fldChar w:fldCharType="begin"/>
          </w:r>
          <w:r>
            <w:rPr>
              <w:rFonts w:ascii="宋体" w:hAnsi="宋体" w:cs="宋体"/>
              <w:b/>
              <w:kern w:val="0"/>
              <w:szCs w:val="28"/>
              <w:shd w:val="clear" w:color="auto" w:fill="FFFFFF"/>
              <w:lang w:bidi="ar"/>
            </w:rPr>
            <w:instrText xml:space="preserve"> HYPERLINK \l _Toc31198 </w:instrText>
          </w:r>
          <w:r>
            <w:rPr>
              <w:rFonts w:ascii="宋体" w:hAnsi="宋体" w:cs="宋体"/>
              <w:b/>
              <w:kern w:val="0"/>
              <w:szCs w:val="28"/>
              <w:shd w:val="clear" w:color="auto" w:fill="FFFFFF"/>
              <w:lang w:bidi="ar"/>
            </w:rPr>
            <w:fldChar w:fldCharType="separate"/>
          </w:r>
          <w:r>
            <w:rPr>
              <w:rFonts w:hint="eastAsia"/>
              <w:b/>
            </w:rPr>
            <w:t>十一、名词解释</w:t>
          </w:r>
          <w:r>
            <w:rPr>
              <w:b/>
            </w:rPr>
            <w:tab/>
          </w:r>
          <w:r>
            <w:rPr>
              <w:b/>
            </w:rPr>
            <w:fldChar w:fldCharType="begin"/>
          </w:r>
          <w:r>
            <w:rPr>
              <w:b/>
            </w:rPr>
            <w:instrText xml:space="preserve"> PAGEREF _Toc31198 \h </w:instrText>
          </w:r>
          <w:r>
            <w:rPr>
              <w:b/>
            </w:rPr>
            <w:fldChar w:fldCharType="separate"/>
          </w:r>
          <w:r>
            <w:rPr>
              <w:b/>
            </w:rPr>
            <w:t>7</w:t>
          </w:r>
          <w:r>
            <w:rPr>
              <w:b/>
            </w:rPr>
            <w:fldChar w:fldCharType="end"/>
          </w:r>
          <w:r>
            <w:rPr>
              <w:rFonts w:ascii="宋体" w:hAnsi="宋体" w:cs="宋体"/>
              <w:b/>
              <w:color w:val="000000" w:themeColor="text1"/>
              <w:kern w:val="0"/>
              <w:szCs w:val="28"/>
              <w:shd w:val="clear" w:color="auto" w:fill="FFFFFF"/>
              <w:lang w:bidi="ar"/>
              <w14:textFill>
                <w14:solidFill>
                  <w14:schemeClr w14:val="tx1"/>
                </w14:solidFill>
              </w14:textFill>
            </w:rPr>
            <w:fldChar w:fldCharType="end"/>
          </w:r>
        </w:p>
        <w:p>
          <w:pPr>
            <w:pStyle w:val="11"/>
            <w:keepNext w:val="0"/>
            <w:keepLines w:val="0"/>
            <w:pageBreakBefore w:val="0"/>
            <w:widowControl/>
            <w:shd w:val="clear" w:color="auto"/>
            <w:kinsoku/>
            <w:wordWrap/>
            <w:overflowPunct/>
            <w:topLinePunct w:val="0"/>
            <w:autoSpaceDE/>
            <w:autoSpaceDN/>
            <w:bidi w:val="0"/>
            <w:adjustRightInd/>
            <w:snapToGrid/>
            <w:spacing w:before="130" w:line="460" w:lineRule="exact"/>
            <w:textAlignment w:val="auto"/>
            <w:rPr>
              <w:rFonts w:ascii="宋体" w:hAnsi="宋体" w:cs="宋体"/>
              <w:color w:val="000000" w:themeColor="text1"/>
              <w:kern w:val="0"/>
              <w:sz w:val="28"/>
              <w:szCs w:val="28"/>
              <w:shd w:val="clear" w:color="auto" w:fill="FFFFFF"/>
              <w:lang w:bidi="ar"/>
              <w14:textFill>
                <w14:solidFill>
                  <w14:schemeClr w14:val="tx1"/>
                </w14:solidFill>
              </w14:textFill>
            </w:rPr>
          </w:pPr>
          <w:r>
            <w:rPr>
              <w:rFonts w:ascii="宋体" w:hAnsi="宋体" w:cs="宋体"/>
              <w:b/>
              <w:color w:val="000000" w:themeColor="text1"/>
              <w:kern w:val="0"/>
              <w:szCs w:val="28"/>
              <w:shd w:val="clear" w:color="auto" w:fill="FFFFFF"/>
              <w:lang w:bidi="ar"/>
              <w14:textFill>
                <w14:solidFill>
                  <w14:schemeClr w14:val="tx1"/>
                </w14:solidFill>
              </w14:textFill>
            </w:rPr>
            <w:fldChar w:fldCharType="end"/>
          </w:r>
        </w:p>
      </w:sdtContent>
    </w:sdt>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 w:name="_Toc20036"/>
      <w:bookmarkStart w:id="28" w:name="_GoBack"/>
      <w:r>
        <w:rPr>
          <w:rFonts w:hint="eastAsia"/>
        </w:rPr>
        <w:t>一、基本职能及主要工作</w:t>
      </w:r>
      <w:bookmarkEnd w:id="2"/>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rPr>
          <w:rFonts w:hint="eastAsia"/>
        </w:rPr>
      </w:pPr>
      <w:bookmarkStart w:id="3" w:name="_Toc24834"/>
      <w:r>
        <w:rPr>
          <w:rFonts w:hint="eastAsia"/>
        </w:rPr>
        <w:t>（一）基本职能</w:t>
      </w:r>
      <w:bookmarkEnd w:id="3"/>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ind w:firstLine="840" w:firstLineChars="300"/>
        <w:jc w:val="both"/>
        <w:rPr>
          <w:rFonts w:ascii="宋体" w:hAnsi="宋体" w:cs="宋体"/>
          <w:bCs/>
          <w:color w:val="333333"/>
          <w:sz w:val="28"/>
          <w:szCs w:val="28"/>
          <w:shd w:val="clear" w:color="auto" w:fill="FFFFFF"/>
        </w:rPr>
      </w:pPr>
      <w:bookmarkStart w:id="4" w:name="_Toc21879"/>
      <w:r>
        <w:rPr>
          <w:rFonts w:hint="eastAsia" w:ascii="宋体" w:hAnsi="宋体" w:cs="宋体"/>
          <w:bCs/>
          <w:color w:val="333333"/>
          <w:sz w:val="28"/>
          <w:szCs w:val="28"/>
          <w:shd w:val="clear" w:color="auto" w:fill="FFFFFF"/>
        </w:rPr>
        <w:t>实施小学、初中义务教育以及高中教育，促进基础教育发展。</w:t>
      </w:r>
      <w:bookmarkEnd w:id="4"/>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rPr>
          <w:rFonts w:ascii="楷体_GB2312" w:hAnsi="楷体_GB2312" w:eastAsia="楷体_GB2312" w:cs="楷体_GB2312"/>
          <w:sz w:val="32"/>
          <w:szCs w:val="32"/>
        </w:rPr>
      </w:pPr>
      <w:bookmarkStart w:id="5" w:name="_Toc26814"/>
      <w:r>
        <w:rPr>
          <w:rFonts w:hint="eastAsia" w:ascii="楷体_GB2312" w:hAnsi="楷体_GB2312" w:eastAsia="楷体_GB2312" w:cs="楷体_GB2312"/>
          <w:sz w:val="32"/>
          <w:szCs w:val="32"/>
        </w:rPr>
        <w:t>（二）2024年重点工作</w:t>
      </w:r>
      <w:bookmarkEnd w:id="5"/>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34" w:firstLineChars="298"/>
        <w:jc w:val="both"/>
        <w:rPr>
          <w:rFonts w:hAnsi="宋体" w:cs="Arial"/>
          <w:bCs/>
          <w:sz w:val="28"/>
          <w:szCs w:val="28"/>
        </w:rPr>
      </w:pPr>
      <w:r>
        <w:rPr>
          <w:rFonts w:hint="eastAsia" w:cs="Arial"/>
          <w:bCs/>
          <w:sz w:val="28"/>
          <w:szCs w:val="28"/>
        </w:rPr>
        <w:t>1、继续</w:t>
      </w:r>
      <w:r>
        <w:rPr>
          <w:rFonts w:hAnsi="宋体" w:cs="Arial"/>
          <w:bCs/>
          <w:sz w:val="28"/>
          <w:szCs w:val="28"/>
        </w:rPr>
        <w:t>扎扎实实抓安全工作</w:t>
      </w:r>
      <w:r>
        <w:rPr>
          <w:rFonts w:hint="eastAsia" w:hAnsi="宋体" w:cs="Arial"/>
          <w:bCs/>
          <w:sz w:val="28"/>
          <w:szCs w:val="28"/>
        </w:rPr>
        <w:t>；</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40" w:firstLineChars="300"/>
        <w:jc w:val="both"/>
        <w:rPr>
          <w:rFonts w:ascii="宋体" w:hAnsi="宋体" w:cs="宋体"/>
          <w:bCs/>
          <w:sz w:val="28"/>
          <w:szCs w:val="28"/>
        </w:rPr>
      </w:pPr>
      <w:r>
        <w:rPr>
          <w:rFonts w:hint="eastAsia" w:hAnsi="宋体"/>
          <w:sz w:val="28"/>
          <w:szCs w:val="28"/>
        </w:rPr>
        <w:t>2、</w:t>
      </w:r>
      <w:r>
        <w:rPr>
          <w:rFonts w:hint="eastAsia" w:ascii="宋体" w:hAnsi="宋体" w:cs="宋体"/>
          <w:bCs/>
          <w:sz w:val="28"/>
          <w:szCs w:val="28"/>
        </w:rPr>
        <w:t>继续</w:t>
      </w:r>
      <w:r>
        <w:rPr>
          <w:rFonts w:ascii="宋体" w:hAnsi="宋体" w:cs="宋体"/>
          <w:bCs/>
          <w:sz w:val="28"/>
          <w:szCs w:val="28"/>
        </w:rPr>
        <w:t>扎扎实实抓好党建</w:t>
      </w:r>
      <w:r>
        <w:rPr>
          <w:rFonts w:hint="eastAsia" w:ascii="宋体" w:hAnsi="宋体" w:cs="宋体"/>
          <w:bCs/>
          <w:sz w:val="28"/>
          <w:szCs w:val="28"/>
        </w:rPr>
        <w:t>工作；</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34" w:firstLineChars="298"/>
        <w:jc w:val="both"/>
        <w:rPr>
          <w:rFonts w:ascii="宋体" w:hAnsi="宋体" w:cs="宋体"/>
          <w:bCs/>
          <w:sz w:val="28"/>
          <w:szCs w:val="28"/>
        </w:rPr>
      </w:pPr>
      <w:r>
        <w:rPr>
          <w:rFonts w:hint="eastAsia" w:ascii="宋体" w:hAnsi="宋体" w:cs="宋体"/>
          <w:bCs/>
          <w:sz w:val="28"/>
          <w:szCs w:val="28"/>
        </w:rPr>
        <w:t>3、继续</w:t>
      </w:r>
      <w:r>
        <w:rPr>
          <w:rFonts w:ascii="宋体" w:hAnsi="宋体" w:cs="宋体"/>
          <w:bCs/>
          <w:sz w:val="28"/>
          <w:szCs w:val="28"/>
        </w:rPr>
        <w:t>扎扎实实抓好师德师风建设</w:t>
      </w:r>
      <w:r>
        <w:rPr>
          <w:rFonts w:hint="eastAsia" w:ascii="宋体" w:hAnsi="宋体" w:cs="宋体"/>
          <w:bCs/>
          <w:sz w:val="28"/>
          <w:szCs w:val="28"/>
        </w:rPr>
        <w:t>；</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34" w:firstLineChars="298"/>
        <w:jc w:val="both"/>
        <w:rPr>
          <w:rFonts w:ascii="宋体" w:hAnsi="宋体" w:cs="宋体"/>
          <w:bCs/>
          <w:sz w:val="28"/>
          <w:szCs w:val="28"/>
        </w:rPr>
      </w:pPr>
      <w:r>
        <w:rPr>
          <w:rFonts w:hint="eastAsia" w:ascii="宋体" w:hAnsi="宋体" w:cs="宋体"/>
          <w:bCs/>
          <w:sz w:val="28"/>
          <w:szCs w:val="28"/>
        </w:rPr>
        <w:t>4、继续</w:t>
      </w:r>
      <w:r>
        <w:rPr>
          <w:rFonts w:ascii="宋体" w:hAnsi="宋体" w:cs="宋体"/>
          <w:bCs/>
          <w:sz w:val="28"/>
          <w:szCs w:val="28"/>
        </w:rPr>
        <w:t>扎扎实实抓好德育工作</w:t>
      </w:r>
      <w:r>
        <w:rPr>
          <w:rFonts w:hint="eastAsia" w:ascii="宋体" w:hAnsi="宋体" w:cs="宋体"/>
          <w:bCs/>
          <w:sz w:val="28"/>
          <w:szCs w:val="28"/>
        </w:rPr>
        <w:t>；</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34" w:firstLineChars="298"/>
        <w:jc w:val="both"/>
        <w:rPr>
          <w:rFonts w:ascii="宋体" w:hAnsi="宋体" w:cs="宋体"/>
          <w:bCs/>
          <w:sz w:val="28"/>
          <w:szCs w:val="28"/>
        </w:rPr>
      </w:pPr>
      <w:r>
        <w:rPr>
          <w:rFonts w:hint="eastAsia" w:ascii="宋体" w:hAnsi="宋体" w:cs="宋体"/>
          <w:bCs/>
          <w:sz w:val="28"/>
          <w:szCs w:val="28"/>
        </w:rPr>
        <w:t>5、继续</w:t>
      </w:r>
      <w:r>
        <w:rPr>
          <w:rFonts w:ascii="宋体" w:hAnsi="宋体" w:cs="宋体"/>
          <w:bCs/>
          <w:sz w:val="28"/>
          <w:szCs w:val="28"/>
        </w:rPr>
        <w:t>扎扎实实抓好教学工作</w:t>
      </w:r>
      <w:r>
        <w:rPr>
          <w:rFonts w:hint="eastAsia" w:ascii="宋体" w:hAnsi="宋体" w:cs="宋体"/>
          <w:bCs/>
          <w:sz w:val="28"/>
          <w:szCs w:val="28"/>
        </w:rPr>
        <w:t>；</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34" w:firstLineChars="298"/>
        <w:jc w:val="both"/>
        <w:rPr>
          <w:sz w:val="28"/>
          <w:szCs w:val="28"/>
        </w:rPr>
      </w:pPr>
      <w:r>
        <w:rPr>
          <w:rFonts w:hint="eastAsia" w:ascii="宋体" w:hAnsi="宋体" w:cs="宋体"/>
          <w:bCs/>
          <w:sz w:val="28"/>
          <w:szCs w:val="28"/>
        </w:rPr>
        <w:t>6、</w:t>
      </w:r>
      <w:r>
        <w:rPr>
          <w:rFonts w:hint="eastAsia" w:hAnsi="宋体" w:cs="宋体"/>
          <w:bCs/>
          <w:sz w:val="28"/>
          <w:szCs w:val="28"/>
        </w:rPr>
        <w:t>继续</w:t>
      </w:r>
      <w:r>
        <w:rPr>
          <w:rFonts w:hAnsi="宋体" w:cs="宋体"/>
          <w:bCs/>
          <w:sz w:val="28"/>
          <w:szCs w:val="28"/>
        </w:rPr>
        <w:t>扎扎实实</w:t>
      </w:r>
      <w:r>
        <w:rPr>
          <w:rFonts w:cs="宋体"/>
          <w:bCs/>
          <w:sz w:val="28"/>
          <w:szCs w:val="28"/>
        </w:rPr>
        <w:t>抓好科</w:t>
      </w:r>
      <w:r>
        <w:rPr>
          <w:rFonts w:hint="eastAsia" w:cs="宋体"/>
          <w:bCs/>
          <w:sz w:val="28"/>
          <w:szCs w:val="28"/>
          <w:lang w:eastAsia="zh-CN"/>
        </w:rPr>
        <w:t>研培</w:t>
      </w:r>
      <w:r>
        <w:rPr>
          <w:rFonts w:cs="宋体"/>
          <w:bCs/>
          <w:sz w:val="28"/>
          <w:szCs w:val="28"/>
        </w:rPr>
        <w:t>训</w:t>
      </w:r>
      <w:r>
        <w:rPr>
          <w:rFonts w:hint="eastAsia" w:cs="宋体"/>
          <w:bCs/>
          <w:sz w:val="28"/>
          <w:szCs w:val="28"/>
        </w:rPr>
        <w:t>；</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ind w:firstLine="840" w:firstLineChars="300"/>
        <w:jc w:val="both"/>
        <w:rPr>
          <w:rFonts w:hAnsi="宋体"/>
          <w:sz w:val="28"/>
          <w:szCs w:val="28"/>
        </w:rPr>
      </w:pPr>
      <w:r>
        <w:rPr>
          <w:rFonts w:hint="eastAsia" w:hAnsi="宋体"/>
          <w:sz w:val="28"/>
          <w:szCs w:val="28"/>
        </w:rPr>
        <w:t>7、</w:t>
      </w:r>
      <w:r>
        <w:rPr>
          <w:rFonts w:hint="eastAsia" w:hAnsi="宋体" w:cs="宋体"/>
          <w:bCs/>
          <w:sz w:val="28"/>
          <w:szCs w:val="28"/>
        </w:rPr>
        <w:t>继续</w:t>
      </w:r>
      <w:r>
        <w:rPr>
          <w:rFonts w:cs="宋体"/>
          <w:bCs/>
          <w:sz w:val="28"/>
          <w:szCs w:val="28"/>
        </w:rPr>
        <w:t>扎扎实实抓好行政服务</w:t>
      </w:r>
      <w:r>
        <w:rPr>
          <w:rFonts w:hint="eastAsia" w:cs="宋体"/>
          <w:bCs/>
          <w:sz w:val="28"/>
          <w:szCs w:val="28"/>
        </w:rPr>
        <w:t>。</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6" w:name="_Toc14566"/>
      <w:r>
        <w:rPr>
          <w:rFonts w:hint="eastAsia"/>
        </w:rPr>
        <w:t>二、部门预算单位构成</w:t>
      </w:r>
      <w:bookmarkEnd w:id="6"/>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我单位为广元市教育局下属二级预算单位，本单位无下属机构，设有内设机构1个。</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7" w:name="_Toc22181"/>
      <w:r>
        <w:rPr>
          <w:rFonts w:hint="eastAsia"/>
        </w:rPr>
        <w:t>三、收支预算情况说明</w:t>
      </w:r>
      <w:bookmarkEnd w:id="7"/>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t>按照综合预算的原则，四川省广元外国语学校所有收入和支出均纳入部门预算管理。收入包括：一般公共预算拨款收入；支出包括：教育支出、社会保障和就业支出、卫生健康支出、住房保障支出。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四川省广元外国语学校2024年收支预算总数558.97万元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比2023年收支预算总数减少17.28万元，主要原因是2023年7月份退休1人。</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8" w:name="_Toc3633"/>
      <w:r>
        <w:rPr>
          <w:rFonts w:hint="eastAsia"/>
        </w:rPr>
        <w:t>（一）收入预算情况</w:t>
      </w:r>
      <w:bookmarkEnd w:id="8"/>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t>四川省广元外国语学校2024年收入预算558.97万元，其中：一般公共预算拨款收入558.97万元，占100%。</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9" w:name="_Toc17124"/>
      <w:r>
        <w:rPr>
          <w:rFonts w:hint="eastAsia"/>
        </w:rPr>
        <w:t>（二）支出预算情况</w:t>
      </w:r>
      <w:bookmarkEnd w:id="9"/>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t>四川省广元外国语学校2024年支出预算558.97万元，其中：基本支出558.97万元，占100%。</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0" w:name="_Toc10672"/>
      <w:r>
        <w:rPr>
          <w:rFonts w:hint="eastAsia"/>
        </w:rPr>
        <w:t>四、财政拨款收支预算情况说明</w:t>
      </w:r>
      <w:bookmarkEnd w:id="10"/>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四川省广元外国语学校2024年财政拨款收支预算总数558.97万元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比2023年财政拨款收支预算总数减少17.28万元，主要原因是2023年7月份退休1人。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收入包括：本年一般公共预算拨款收入558.97万元；支出包括：教育支出430.47万元、社会保障和就业支出61.94万元、卫生健康支出21.46万元、住房保障支出45.10万元。</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1" w:name="_Toc25037"/>
      <w:r>
        <w:rPr>
          <w:rFonts w:hint="eastAsia"/>
        </w:rPr>
        <w:t>五、一般公共预算当年拨款情况说明</w:t>
      </w:r>
      <w:bookmarkEnd w:id="11"/>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2" w:name="_Toc16997"/>
      <w:r>
        <w:rPr>
          <w:rFonts w:hint="eastAsia"/>
        </w:rPr>
        <w:t>（一）一般公共预算当年拨款规模变化情况</w:t>
      </w:r>
      <w:bookmarkEnd w:id="12"/>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四川省广元外国语学校2024年一般公共预算当年拨款558.97万元，比2023年预算数减少17.28万元，主要原因是2023年7月份退休1人。</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3" w:name="_Toc23174"/>
      <w:r>
        <w:rPr>
          <w:rFonts w:hint="eastAsia"/>
        </w:rPr>
        <w:t>（二）一般公共预算当年拨款结构情况</w:t>
      </w:r>
      <w:bookmarkEnd w:id="13"/>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教育支出430.47万元，占77.01%；社会保障和就业支出61.94万元，占11.08%；卫生健康支出21.46万元，占3.84%；住房保障支出45.01万元，占8.07%。</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4" w:name="_Toc9819"/>
      <w:r>
        <w:rPr>
          <w:rFonts w:hint="eastAsia"/>
        </w:rPr>
        <w:t>（三）一般公共预算当年拨款具体使用情况</w:t>
      </w:r>
      <w:bookmarkEnd w:id="14"/>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教育（类）普通教育支出（款）高中教育（项）2024年预算数为430.47万元，主要用于：工资福利支出、</w:t>
      </w:r>
      <w:r>
        <w:rPr>
          <w:rFonts w:hint="eastAsia" w:ascii="宋体" w:hAnsi="宋体" w:cs="宋体"/>
          <w:color w:val="333333"/>
          <w:kern w:val="0"/>
          <w:sz w:val="28"/>
          <w:szCs w:val="28"/>
          <w:shd w:val="clear" w:color="auto" w:fill="FFFFFF"/>
          <w:lang w:bidi="ar"/>
        </w:rPr>
        <w:t>商品和服务支出、对个人和家庭的补助。</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2.社会保障和就业（类）行政事业单位养老支出（款）机关事业单位基本养老保险缴费支出（项）2024年预算数为59.77万元，主要用于：实施养老保险制度由单位缴纳的基本养老保险支出。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3.社会保障和就业（类）其他社会保障和就业支出（款）其他社会保障和就业支出（项）2024年预算数为2.17万元，主要用于：实施养老保险制度由单位缴纳的失业保险、工伤保险支出。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4.卫生健康（类）行政事业单位医疗（款）事业单位医疗（项）2024年预算数为21.46万元，主要用于：事业单位按规定由单位缴纳的基本医疗保险支出。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5.住房保障（类）住房改革支出（款）住房公积金（项）2024年预算数为45.01万元，主要用于：部门按规定为职工缴纳的住房公积金支出。</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5" w:name="_Toc97"/>
      <w:r>
        <w:rPr>
          <w:rFonts w:hint="eastAsia"/>
        </w:rPr>
        <w:t>六、一般公共预算基本支出情况说明</w:t>
      </w:r>
      <w:bookmarkEnd w:id="15"/>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四川省广元外国语学校2024年一般公共预算基本支出558.97万元，其中：</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人员经费541.06万元，主要包括：基本工资、津贴补贴、奖金、绩效工资、机关事业单位基本养老保险缴费、职工基本医疗保险缴费、其他社会保障缴费、住房公积金、生活补助等支出。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公用经费17.91万元，主要包括：工会经费、福利费、党建经费、退休人员活动费等支出。</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6" w:name="_Toc2861"/>
      <w:r>
        <w:rPr>
          <w:rFonts w:hint="eastAsia"/>
        </w:rPr>
        <w:t>七、“三公”经费财政拨款预算安排情况说明</w:t>
      </w:r>
      <w:bookmarkEnd w:id="16"/>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四川省广元外国语学校2024年“三公”经费财政拨款预算数0万元，其中：公务接待费0万元，公务用车购置及运行维护费0万元，因公出国（境）经费0万元。</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7" w:name="_Toc27612"/>
      <w:r>
        <w:rPr>
          <w:rFonts w:hint="eastAsia"/>
        </w:rPr>
        <w:t>（一）公务接待费</w:t>
      </w:r>
      <w:bookmarkEnd w:id="17"/>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2024年无预算拨款安排。</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18" w:name="_Toc9095"/>
      <w:r>
        <w:rPr>
          <w:rFonts w:hint="eastAsia"/>
        </w:rPr>
        <w:t>（二）公务用车购置及运行维护费</w:t>
      </w:r>
      <w:bookmarkEnd w:id="18"/>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公务用车购置及运行维护费与2023年预算相比持平。</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单位现有公务用车0辆</w:t>
      </w:r>
      <w:r>
        <w:rPr>
          <w:rFonts w:hint="eastAsia" w:ascii="仿宋_GB2312" w:hAnsi="仿宋_GB2312" w:eastAsia="仿宋_GB2312" w:cs="仿宋_GB2312"/>
          <w:sz w:val="32"/>
          <w:szCs w:val="32"/>
          <w:lang w:eastAsia="zh-CN"/>
        </w:rPr>
        <w:t>。</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rPr>
          <w:rFonts w:ascii="仿宋_GB2312" w:hAnsi="仿宋_GB2312" w:eastAsia="仿宋_GB2312" w:cs="仿宋_GB2312"/>
          <w:sz w:val="32"/>
          <w:szCs w:val="32"/>
        </w:rPr>
      </w:pPr>
      <w:bookmarkStart w:id="19" w:name="_Toc6284"/>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9"/>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因公出国（境）经费与2023年预算相比持平。2024年无预算拨款安排。</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0" w:name="_Toc10715"/>
      <w:r>
        <w:rPr>
          <w:rFonts w:hint="eastAsia"/>
        </w:rPr>
        <w:t>八、政府性基金预算支出情况说明</w:t>
      </w:r>
      <w:bookmarkEnd w:id="20"/>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四川省广元外国语学校2024年无政府性基金预算拨款安排的支出。</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1" w:name="_Toc6024"/>
      <w:r>
        <w:rPr>
          <w:rFonts w:hint="eastAsia"/>
        </w:rPr>
        <w:t>九、国有资本经营预算支出情况说明</w:t>
      </w:r>
      <w:bookmarkEnd w:id="21"/>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四川省广元外国语学校2024年无国有资本经营预算拨款安排的支出。</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2" w:name="_Toc20901"/>
      <w:r>
        <w:rPr>
          <w:rFonts w:hint="eastAsia"/>
        </w:rPr>
        <w:t>十、其他重要事项的情况说明</w:t>
      </w:r>
      <w:bookmarkEnd w:id="22"/>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3" w:name="_Toc8721"/>
      <w:r>
        <w:rPr>
          <w:rFonts w:hint="eastAsia"/>
        </w:rPr>
        <w:t>（一）机关运行经费</w:t>
      </w:r>
      <w:bookmarkEnd w:id="23"/>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2024年，四川省广元外国语学校为事业单位，按规定未使用机关运行的相关科目。</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4" w:name="_Toc23541"/>
      <w:r>
        <w:rPr>
          <w:rFonts w:hint="eastAsia"/>
        </w:rPr>
        <w:t>（二）政府采购情况</w:t>
      </w:r>
      <w:bookmarkEnd w:id="24"/>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2024年，四川省广元外国语学校未安排政府采购预算。</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5" w:name="_Toc30340"/>
      <w:r>
        <w:rPr>
          <w:rFonts w:hint="eastAsia"/>
        </w:rPr>
        <w:t>（三）国有资产占有使用情况</w:t>
      </w:r>
      <w:bookmarkEnd w:id="25"/>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截至2023年底，四川省广元外国语学校共有车辆0辆。</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bookmarkStart w:id="26" w:name="_Toc12564"/>
      <w:r>
        <w:rPr>
          <w:rFonts w:hint="eastAsia" w:ascii="仿宋_GB2312" w:hAnsi="仿宋_GB2312" w:eastAsia="仿宋_GB2312" w:cs="仿宋_GB2312"/>
          <w:sz w:val="32"/>
          <w:szCs w:val="32"/>
          <w:lang w:val="en-US" w:eastAsia="zh-CN"/>
        </w:rPr>
        <w:t>2024年部门预算未安排购置车辆及单位价值200万元以上大型设备。</w:t>
      </w:r>
    </w:p>
    <w:p>
      <w:pPr>
        <w:pStyle w:val="3"/>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ind w:left="0" w:leftChars="0" w:firstLine="640" w:firstLineChars="200"/>
        <w:jc w:val="both"/>
      </w:pPr>
      <w:r>
        <w:rPr>
          <w:rFonts w:hint="eastAsia"/>
        </w:rPr>
        <w:t>（四）绩效目标设置情况</w:t>
      </w:r>
      <w:bookmarkEnd w:id="26"/>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2024年四川省广元外国语学校开展绩效目标管理的项目2个，涉及预算558.97万元。其中：人员类项目1个，涉及预算 541.06万元；运转类项目1个，涉及预算17.91万元。</w:t>
      </w:r>
    </w:p>
    <w:p>
      <w:pPr>
        <w:pStyle w:val="2"/>
        <w:keepNext w:val="0"/>
        <w:keepLines w:val="0"/>
        <w:pBdr>
          <w:top w:val="none" w:color="auto" w:sz="0" w:space="1"/>
          <w:left w:val="none" w:color="auto" w:sz="0" w:space="4"/>
          <w:bottom w:val="none" w:color="auto" w:sz="0" w:space="1"/>
          <w:right w:val="none" w:color="auto" w:sz="0" w:space="4"/>
          <w:between w:val="none" w:color="auto" w:sz="0" w:space="0"/>
        </w:pBdr>
        <w:suppressAutoHyphens/>
        <w:bidi w:val="0"/>
        <w:jc w:val="both"/>
      </w:pPr>
      <w:bookmarkStart w:id="27" w:name="_Toc31198"/>
      <w:r>
        <w:rPr>
          <w:rFonts w:hint="eastAsia"/>
        </w:rPr>
        <w:t>十一、名词解释</w:t>
      </w:r>
      <w:bookmarkEnd w:id="27"/>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（二）教育（类）普通教育支出（款）高中教育（项）：</w:t>
      </w:r>
      <w:r>
        <w:rPr>
          <w:rFonts w:hint="eastAsia" w:ascii="宋体" w:hAnsi="宋体" w:cs="宋体"/>
          <w:color w:val="333333"/>
          <w:kern w:val="0"/>
          <w:sz w:val="28"/>
          <w:szCs w:val="28"/>
          <w:shd w:val="clear" w:color="auto" w:fill="FFFFFF"/>
          <w:lang w:bidi="ar"/>
        </w:rPr>
        <w:t>指为保证机构正常运转，完成日常工作任务而发生的人员支出和公用支出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（四）社会保障和就业（类）其他社会保障和就业支出（款）其他社会保障和就业支出（项）：</w:t>
      </w:r>
      <w:r>
        <w:rPr>
          <w:rFonts w:hint="eastAsia" w:ascii="仿宋_GB2312" w:hAnsi="仿宋_GB2312" w:eastAsia="仿宋_GB2312" w:cs="仿宋_GB2312"/>
          <w:sz w:val="32"/>
          <w:szCs w:val="32"/>
        </w:rPr>
        <w:t>指部门实施养老保险制度由单位缴纳的失业保险、工伤保险支出。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（五）卫生健康（类）行政事业单位医疗（款）事业单位医疗（项）：</w:t>
      </w:r>
      <w:r>
        <w:rPr>
          <w:rFonts w:hint="eastAsia" w:ascii="仿宋_GB2312" w:hAnsi="仿宋_GB2312" w:eastAsia="仿宋_GB2312" w:cs="仿宋_GB2312"/>
          <w:sz w:val="32"/>
          <w:szCs w:val="32"/>
        </w:rPr>
        <w:t>指事业单位用于单位应缴纳基本医疗保险支出。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（六）住房保障（类）住房改革支出（款）住房公积金（项）：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（七）基本支出：</w:t>
      </w:r>
      <w:r>
        <w:rPr>
          <w:rFonts w:hint="eastAsia" w:ascii="仿宋_GB2312" w:hAnsi="仿宋_GB2312" w:eastAsia="仿宋_GB2312" w:cs="仿宋_GB2312"/>
          <w:sz w:val="32"/>
          <w:szCs w:val="32"/>
        </w:rPr>
        <w:t>指为保证机构正常运转，完成日常工作任务而发生的人员支出和公用支出。</w:t>
      </w:r>
    </w:p>
    <w:p>
      <w:pPr>
        <w:keepNext w:val="0"/>
        <w:keepLines w:val="0"/>
        <w:pBdr>
          <w:top w:val="none" w:color="auto" w:sz="0" w:space="1"/>
          <w:left w:val="none" w:color="auto" w:sz="0" w:space="4"/>
          <w:bottom w:val="none" w:color="auto" w:sz="0" w:space="1"/>
          <w:right w:val="none" w:color="auto" w:sz="0" w:space="4"/>
          <w:between w:val="none" w:color="auto" w:sz="0" w:space="0"/>
        </w:pBdr>
        <w:shd w:val="clear"/>
        <w:suppressAutoHyphens/>
        <w:bidi w:val="0"/>
        <w:spacing w:line="576" w:lineRule="exact"/>
        <w:ind w:firstLine="640" w:firstLineChars="200"/>
        <w:jc w:val="both"/>
        <w:rPr>
          <w:rFonts w:ascii="仿宋_GB2312" w:hAnsi="仿宋_GB2312" w:eastAsia="仿宋_GB2312" w:cs="仿宋_GB2312"/>
          <w:sz w:val="32"/>
          <w:szCs w:val="32"/>
        </w:rPr>
      </w:pPr>
      <w:r>
        <w:rPr>
          <w:rFonts w:hint="eastAsia" w:ascii="楷体_GB2312" w:hAnsi="楷体_GB2312" w:eastAsia="楷体_GB2312" w:cs="楷体_GB2312"/>
          <w:sz w:val="32"/>
          <w:szCs w:val="32"/>
        </w:rPr>
        <w:t>（八）“三公”经费：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bookmarkEnd w:id="28"/>
    <w:p>
      <w:pPr>
        <w:shd w:val="clear"/>
        <w:spacing w:line="576" w:lineRule="exact"/>
        <w:ind w:firstLine="640" w:firstLineChars="200"/>
        <w:rPr>
          <w:rFonts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预算公开表</w:t>
      </w:r>
    </w:p>
    <w:p>
      <w:pPr>
        <w:shd w:val="clear"/>
        <w:spacing w:line="576" w:lineRule="exact"/>
        <w:rPr>
          <w:rFonts w:ascii="仿宋_GB2312" w:hAnsi="仿宋_GB2312" w:eastAsia="仿宋_GB2312" w:cs="仿宋_GB2312"/>
          <w:b/>
          <w:bCs/>
          <w:sz w:val="32"/>
          <w:szCs w:val="32"/>
        </w:rPr>
      </w:pPr>
    </w:p>
    <w:sectPr>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Liberation Sans">
    <w:altName w:val="Arial Unicode MS"/>
    <w:panose1 w:val="00000000000000000000"/>
    <w:charset w:val="00"/>
    <w:family w:val="swiss"/>
    <w:pitch w:val="default"/>
    <w:sig w:usb0="00000000" w:usb1="00000000" w:usb2="00000000" w:usb3="00000000" w:csb0="6000009F" w:csb1="DFD70000"/>
  </w:font>
  <w:font w:name="Noto Sans CJK SC Regular">
    <w:altName w:val="Arial Unicode MS"/>
    <w:panose1 w:val="000000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0b361568-0fdb-4094-9025-a72baaf8caa5"/>
  </w:docVars>
  <w:rsids>
    <w:rsidRoot w:val="00983D96"/>
    <w:rsid w:val="000014A0"/>
    <w:rsid w:val="000557E4"/>
    <w:rsid w:val="0006696C"/>
    <w:rsid w:val="000B3937"/>
    <w:rsid w:val="0012746B"/>
    <w:rsid w:val="003A0A72"/>
    <w:rsid w:val="003B122C"/>
    <w:rsid w:val="00482F1B"/>
    <w:rsid w:val="004D2F07"/>
    <w:rsid w:val="005B3591"/>
    <w:rsid w:val="005C34F4"/>
    <w:rsid w:val="00673BF2"/>
    <w:rsid w:val="006F5DDB"/>
    <w:rsid w:val="00730DC4"/>
    <w:rsid w:val="00792371"/>
    <w:rsid w:val="0084108A"/>
    <w:rsid w:val="00983D96"/>
    <w:rsid w:val="0099288D"/>
    <w:rsid w:val="009C0EDA"/>
    <w:rsid w:val="009C1A6D"/>
    <w:rsid w:val="009F0E87"/>
    <w:rsid w:val="00A35AEB"/>
    <w:rsid w:val="00AF750A"/>
    <w:rsid w:val="00B448BB"/>
    <w:rsid w:val="00B947A7"/>
    <w:rsid w:val="00C7485B"/>
    <w:rsid w:val="00E57A5C"/>
    <w:rsid w:val="00E82B16"/>
    <w:rsid w:val="00F250CD"/>
    <w:rsid w:val="00F75E5C"/>
    <w:rsid w:val="00F9077D"/>
    <w:rsid w:val="012352D1"/>
    <w:rsid w:val="1D9F113A"/>
    <w:rsid w:val="1F7BF06F"/>
    <w:rsid w:val="1FEE4B73"/>
    <w:rsid w:val="23CE9849"/>
    <w:rsid w:val="372799D5"/>
    <w:rsid w:val="39F304DD"/>
    <w:rsid w:val="39F96ADF"/>
    <w:rsid w:val="54244390"/>
    <w:rsid w:val="54662A63"/>
    <w:rsid w:val="58064E12"/>
    <w:rsid w:val="5BFEE015"/>
    <w:rsid w:val="626763B5"/>
    <w:rsid w:val="63EDCF55"/>
    <w:rsid w:val="63FBFBCF"/>
    <w:rsid w:val="669360FD"/>
    <w:rsid w:val="68FF6A83"/>
    <w:rsid w:val="6AEF6005"/>
    <w:rsid w:val="6B5415A7"/>
    <w:rsid w:val="6E3DB48E"/>
    <w:rsid w:val="6FBBC9CF"/>
    <w:rsid w:val="72BDE561"/>
    <w:rsid w:val="78462278"/>
    <w:rsid w:val="7997EA6C"/>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3">
    <w:name w:val="heading 2"/>
    <w:basedOn w:val="1"/>
    <w:next w:val="1"/>
    <w:unhideWhenUsed/>
    <w:qFormat/>
    <w:uiPriority w:val="0"/>
    <w:pPr>
      <w:keepNext w:val="0"/>
      <w:keepLines w:val="0"/>
      <w:spacing w:line="560" w:lineRule="exact"/>
      <w:ind w:firstLine="880" w:firstLineChars="200"/>
      <w:jc w:val="both"/>
      <w:outlineLvl w:val="1"/>
    </w:pPr>
    <w:rPr>
      <w:rFonts w:ascii="Arial" w:hAnsi="Arial" w:eastAsia="楷体" w:cs="Times New Roman"/>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uppressLineNumbers/>
      <w:spacing w:before="120" w:after="120"/>
    </w:pPr>
    <w:rPr>
      <w:i/>
      <w:iCs/>
      <w:sz w:val="24"/>
    </w:rPr>
  </w:style>
  <w:style w:type="paragraph" w:styleId="5">
    <w:name w:val="Body Text"/>
    <w:basedOn w:val="1"/>
    <w:qFormat/>
    <w:uiPriority w:val="0"/>
    <w:pPr>
      <w:spacing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List"/>
    <w:basedOn w:val="5"/>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qFormat/>
    <w:uiPriority w:val="0"/>
    <w:pPr>
      <w:suppressLineNumber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3144</Words>
  <Characters>3415</Characters>
  <Lines>27</Lines>
  <Paragraphs>7</Paragraphs>
  <TotalTime>2</TotalTime>
  <ScaleCrop>false</ScaleCrop>
  <LinksUpToDate>false</LinksUpToDate>
  <CharactersWithSpaces>3506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dell</cp:lastModifiedBy>
  <dcterms:modified xsi:type="dcterms:W3CDTF">2024-03-03T15:07:51Z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