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outlineLvl w:val="0"/>
        <w:rPr>
          <w:rFonts w:hint="eastAsia" w:ascii="方正小标宋_GBK" w:hAnsi="宋体" w:eastAsia="方正小标宋_GBK" w:cs="宋体"/>
          <w:kern w:val="0"/>
          <w:sz w:val="44"/>
          <w:szCs w:val="44"/>
          <w:shd w:val="clear" w:color="auto" w:fill="FFFFFF"/>
          <w:lang w:bidi="ar"/>
        </w:rPr>
      </w:pPr>
      <w:bookmarkStart w:id="0" w:name="_Toc3026"/>
      <w:bookmarkStart w:id="1" w:name="_Toc29629"/>
      <w:bookmarkStart w:id="2" w:name="_Toc15318"/>
      <w:r>
        <w:rPr>
          <w:rFonts w:hint="eastAsia" w:ascii="方正小标宋_GBK" w:hAnsi="宋体" w:eastAsia="方正小标宋_GBK" w:cs="宋体"/>
          <w:kern w:val="0"/>
          <w:sz w:val="44"/>
          <w:szCs w:val="44"/>
          <w:shd w:val="clear" w:color="auto" w:fill="FFFFFF"/>
          <w:lang w:bidi="ar"/>
        </w:rPr>
        <w:t>广元市示范性综合实践基地管理中心</w:t>
      </w:r>
      <w:bookmarkEnd w:id="0"/>
      <w:bookmarkEnd w:id="1"/>
      <w:bookmarkEnd w:id="2"/>
    </w:p>
    <w:p>
      <w:pPr>
        <w:spacing w:line="700" w:lineRule="exact"/>
        <w:jc w:val="center"/>
        <w:rPr>
          <w:rFonts w:hint="eastAsia" w:ascii="方正小标宋_GBK" w:hAnsi="宋体" w:eastAsia="方正小标宋_GBK" w:cs="宋体"/>
          <w:kern w:val="0"/>
          <w:sz w:val="44"/>
          <w:szCs w:val="44"/>
          <w:shd w:val="clear" w:color="auto" w:fill="FFFFFF"/>
          <w:lang w:val="en-US" w:eastAsia="zh-CN" w:bidi="ar"/>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_GBK" w:hAnsi="宋体" w:eastAsia="方正小标宋_GBK" w:cs="宋体"/>
          <w:kern w:val="0"/>
          <w:sz w:val="44"/>
          <w:szCs w:val="44"/>
          <w:shd w:val="clear" w:color="auto" w:fill="FFFFFF"/>
          <w:lang w:bidi="ar"/>
        </w:rPr>
        <w:t>202</w:t>
      </w:r>
      <w:r>
        <w:rPr>
          <w:rFonts w:hint="eastAsia" w:ascii="方正小标宋_GBK" w:hAnsi="宋体" w:eastAsia="方正小标宋_GBK" w:cs="宋体"/>
          <w:kern w:val="0"/>
          <w:sz w:val="44"/>
          <w:szCs w:val="44"/>
          <w:shd w:val="clear" w:color="auto" w:fill="FFFFFF"/>
          <w:lang w:val="en-US" w:eastAsia="zh-CN" w:bidi="ar"/>
        </w:rPr>
        <w:t>4</w:t>
      </w:r>
      <w:r>
        <w:rPr>
          <w:rFonts w:hint="eastAsia" w:ascii="方正小标宋_GBK" w:hAnsi="宋体" w:eastAsia="方正小标宋_GBK" w:cs="宋体"/>
          <w:kern w:val="0"/>
          <w:sz w:val="44"/>
          <w:szCs w:val="44"/>
          <w:shd w:val="clear" w:color="auto" w:fill="FFFFFF"/>
          <w:lang w:bidi="ar"/>
        </w:rPr>
        <w:t>年部门预算编制</w:t>
      </w:r>
      <w:r>
        <w:rPr>
          <w:rFonts w:hint="eastAsia" w:ascii="方正小标宋_GBK" w:hAnsi="宋体" w:eastAsia="方正小标宋_GBK" w:cs="宋体"/>
          <w:kern w:val="0"/>
          <w:sz w:val="44"/>
          <w:szCs w:val="44"/>
          <w:shd w:val="clear" w:color="auto" w:fill="FFFFFF"/>
          <w:lang w:val="en-US" w:eastAsia="zh-CN" w:bidi="ar"/>
        </w:rPr>
        <w:t>说明</w:t>
      </w:r>
    </w:p>
    <w:p>
      <w:pPr>
        <w:spacing w:line="700" w:lineRule="exact"/>
        <w:jc w:val="center"/>
        <w:rPr>
          <w:rFonts w:hint="eastAsia" w:ascii="方正小标宋_GBK" w:hAnsi="宋体" w:eastAsia="方正小标宋_GBK" w:cs="宋体"/>
          <w:kern w:val="0"/>
          <w:sz w:val="44"/>
          <w:szCs w:val="44"/>
          <w:shd w:val="clear" w:color="auto" w:fill="FFFFFF"/>
          <w:lang w:bidi="ar"/>
        </w:rPr>
      </w:pPr>
      <w:r>
        <w:rPr>
          <w:rFonts w:hint="eastAsia" w:ascii="方正小标宋_GBK" w:hAnsi="宋体" w:eastAsia="方正小标宋_GBK" w:cs="宋体"/>
          <w:kern w:val="0"/>
          <w:sz w:val="44"/>
          <w:szCs w:val="44"/>
          <w:shd w:val="clear" w:color="auto" w:fill="FFFFFF"/>
          <w:lang w:bidi="ar"/>
        </w:rPr>
        <w:t>目     录</w:t>
      </w:r>
    </w:p>
    <w:sdt>
      <w:sdtPr>
        <w:rPr>
          <w:rFonts w:ascii="宋体" w:hAnsi="宋体" w:eastAsia="宋体" w:cs="Times New Roman"/>
          <w:color w:val="auto"/>
          <w:kern w:val="2"/>
          <w:sz w:val="21"/>
          <w:szCs w:val="24"/>
          <w:lang w:val="en-US" w:eastAsia="zh-CN" w:bidi="ar-SA"/>
        </w:rPr>
        <w:id w:val="147463811"/>
        <w15:color w:val="DBDBDB"/>
        <w:docPartObj>
          <w:docPartGallery w:val="Table of Contents"/>
          <w:docPartUnique/>
        </w:docPartObj>
      </w:sdtPr>
      <w:sdtEndPr>
        <w:rPr>
          <w:rFonts w:hint="eastAsia" w:ascii="黑体" w:hAnsi="黑体" w:eastAsia="黑体" w:cs="黑体"/>
          <w:color w:val="auto"/>
          <w:kern w:val="2"/>
          <w:sz w:val="21"/>
          <w:szCs w:val="32"/>
          <w:highlight w:val="none"/>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left="0" w:leftChars="0" w:right="0" w:rightChars="0" w:firstLine="0" w:firstLineChars="0"/>
            <w:jc w:val="center"/>
            <w:textAlignment w:val="auto"/>
          </w:pP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 w:val="32"/>
              <w:szCs w:val="32"/>
              <w:highlight w:val="none"/>
              <w:lang w:val="en-US" w:eastAsia="zh-CN"/>
            </w:rPr>
            <w:fldChar w:fldCharType="begin"/>
          </w:r>
          <w:r>
            <w:rPr>
              <w:rFonts w:hint="eastAsia" w:ascii="黑体" w:hAnsi="黑体" w:eastAsia="黑体" w:cs="黑体"/>
              <w:sz w:val="32"/>
              <w:szCs w:val="32"/>
              <w:highlight w:val="none"/>
              <w:lang w:val="en-US" w:eastAsia="zh-CN"/>
            </w:rPr>
            <w:instrText xml:space="preserve">TOC \o "1-3" \h \u </w:instrText>
          </w:r>
          <w:r>
            <w:rPr>
              <w:rFonts w:hint="eastAsia" w:ascii="黑体" w:hAnsi="黑体" w:eastAsia="黑体" w:cs="黑体"/>
              <w:sz w:val="32"/>
              <w:szCs w:val="32"/>
              <w:highlight w:val="none"/>
              <w:lang w:val="en-US" w:eastAsia="zh-CN"/>
            </w:rPr>
            <w:fldChar w:fldCharType="separate"/>
          </w: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_Toc15632 </w:instrText>
          </w:r>
          <w:r>
            <w:rPr>
              <w:rFonts w:hint="eastAsia" w:ascii="黑体" w:hAnsi="黑体" w:eastAsia="黑体" w:cs="黑体"/>
              <w:szCs w:val="32"/>
              <w:highlight w:val="none"/>
              <w:lang w:val="en-US" w:eastAsia="zh-CN"/>
            </w:rPr>
            <w:fldChar w:fldCharType="separate"/>
          </w:r>
          <w:r>
            <w:rPr>
              <w:rFonts w:hint="eastAsia" w:ascii="黑体" w:hAnsi="黑体" w:eastAsia="黑体" w:cs="黑体"/>
              <w:szCs w:val="32"/>
              <w:highlight w:val="none"/>
              <w:lang w:val="en-US" w:eastAsia="zh-CN"/>
            </w:rPr>
            <w:t>一、基本职能及主要工作</w:t>
          </w:r>
          <w:r>
            <w:tab/>
          </w:r>
          <w:r>
            <w:rPr>
              <w:rFonts w:hint="eastAsia"/>
              <w:lang w:val="en-US" w:eastAsia="zh-CN"/>
            </w:rPr>
            <w:t>1</w:t>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_Toc13357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highlight w:val="none"/>
            </w:rPr>
            <w:t>（一）</w:t>
          </w:r>
          <w:r>
            <w:rPr>
              <w:rFonts w:hint="eastAsia" w:ascii="楷体_GB2312" w:hAnsi="楷体_GB2312" w:eastAsia="楷体_GB2312" w:cs="楷体_GB2312"/>
              <w:szCs w:val="32"/>
              <w:highlight w:val="none"/>
              <w:lang w:eastAsia="zh-CN"/>
            </w:rPr>
            <w:t>本</w:t>
          </w:r>
          <w:r>
            <w:rPr>
              <w:rFonts w:hint="eastAsia" w:ascii="楷体_GB2312" w:hAnsi="楷体_GB2312" w:eastAsia="楷体_GB2312" w:cs="楷体_GB2312"/>
              <w:szCs w:val="32"/>
              <w:highlight w:val="none"/>
              <w:lang w:val="en-US" w:eastAsia="zh-CN"/>
            </w:rPr>
            <w:t>单位</w:t>
          </w:r>
          <w:r>
            <w:rPr>
              <w:rFonts w:hint="eastAsia" w:ascii="楷体_GB2312" w:hAnsi="楷体_GB2312" w:eastAsia="楷体_GB2312" w:cs="楷体_GB2312"/>
              <w:szCs w:val="32"/>
              <w:highlight w:val="none"/>
            </w:rPr>
            <w:t>职能简介</w:t>
          </w:r>
          <w:r>
            <w:tab/>
          </w:r>
          <w:r>
            <w:fldChar w:fldCharType="begin"/>
          </w:r>
          <w:r>
            <w:instrText xml:space="preserve"> PAGEREF _Toc13357 \h </w:instrText>
          </w:r>
          <w:r>
            <w:fldChar w:fldCharType="separate"/>
          </w:r>
          <w:r>
            <w:t>3</w:t>
          </w:r>
          <w:r>
            <w:fldChar w:fldCharType="end"/>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_Toc11011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highlight w:val="none"/>
              <w:lang w:eastAsia="zh-CN"/>
            </w:rPr>
            <w:t>本</w:t>
          </w:r>
          <w:r>
            <w:rPr>
              <w:rFonts w:hint="eastAsia" w:ascii="楷体_GB2312" w:hAnsi="楷体_GB2312" w:eastAsia="楷体_GB2312" w:cs="楷体_GB2312"/>
              <w:szCs w:val="32"/>
              <w:highlight w:val="none"/>
              <w:lang w:val="en-US" w:eastAsia="zh-CN"/>
            </w:rPr>
            <w:t>单位</w:t>
          </w:r>
          <w:r>
            <w:rPr>
              <w:rFonts w:hint="eastAsia" w:ascii="楷体_GB2312" w:hAnsi="楷体_GB2312" w:eastAsia="楷体_GB2312" w:cs="楷体_GB2312"/>
              <w:szCs w:val="32"/>
              <w:highlight w:val="none"/>
              <w:lang w:val="en-US"/>
            </w:rPr>
            <w:t>2024</w:t>
          </w:r>
          <w:r>
            <w:rPr>
              <w:rFonts w:hint="eastAsia" w:ascii="楷体_GB2312" w:hAnsi="楷体_GB2312" w:eastAsia="楷体_GB2312" w:cs="楷体_GB2312"/>
              <w:szCs w:val="32"/>
              <w:highlight w:val="none"/>
            </w:rPr>
            <w:t>年重点工作</w:t>
          </w:r>
          <w:r>
            <w:tab/>
          </w:r>
          <w:r>
            <w:fldChar w:fldCharType="begin"/>
          </w:r>
          <w:r>
            <w:instrText xml:space="preserve"> PAGEREF _Toc11011 \h </w:instrText>
          </w:r>
          <w:r>
            <w:fldChar w:fldCharType="separate"/>
          </w:r>
          <w:r>
            <w:t>3</w:t>
          </w:r>
          <w:r>
            <w:fldChar w:fldCharType="end"/>
          </w:r>
          <w:r>
            <w:rPr>
              <w:rFonts w:hint="eastAsia" w:ascii="黑体" w:hAnsi="黑体" w:eastAsia="黑体" w:cs="黑体"/>
              <w:szCs w:val="32"/>
              <w:highlight w:val="none"/>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_Toc29102 </w:instrText>
          </w:r>
          <w:r>
            <w:rPr>
              <w:rFonts w:hint="eastAsia" w:ascii="黑体" w:hAnsi="黑体" w:eastAsia="黑体" w:cs="黑体"/>
              <w:szCs w:val="32"/>
              <w:highlight w:val="none"/>
              <w:lang w:val="en-US" w:eastAsia="zh-CN"/>
            </w:rP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_Toc29102 \h </w:instrText>
          </w:r>
          <w:r>
            <w:fldChar w:fldCharType="separate"/>
          </w:r>
          <w:r>
            <w:t>4</w:t>
          </w:r>
          <w:r>
            <w:fldChar w:fldCharType="end"/>
          </w:r>
          <w:r>
            <w:rPr>
              <w:rFonts w:hint="eastAsia" w:ascii="黑体" w:hAnsi="黑体" w:eastAsia="黑体" w:cs="黑体"/>
              <w:szCs w:val="32"/>
              <w:highlight w:val="none"/>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_Toc7450 </w:instrText>
          </w:r>
          <w:r>
            <w:rPr>
              <w:rFonts w:hint="eastAsia" w:ascii="黑体" w:hAnsi="黑体" w:eastAsia="黑体" w:cs="黑体"/>
              <w:szCs w:val="32"/>
              <w:highlight w:val="none"/>
              <w:lang w:val="en-US" w:eastAsia="zh-CN"/>
            </w:rP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_Toc7450 \h </w:instrText>
          </w:r>
          <w:r>
            <w:fldChar w:fldCharType="separate"/>
          </w:r>
          <w:r>
            <w:t>4</w:t>
          </w:r>
          <w:r>
            <w:fldChar w:fldCharType="end"/>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_Toc22972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_Toc22972 \h </w:instrText>
          </w:r>
          <w:r>
            <w:fldChar w:fldCharType="separate"/>
          </w:r>
          <w:r>
            <w:t>4</w:t>
          </w:r>
          <w:r>
            <w:fldChar w:fldCharType="end"/>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_Toc28560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_Toc28560 \h </w:instrText>
          </w:r>
          <w:r>
            <w:fldChar w:fldCharType="separate"/>
          </w:r>
          <w:r>
            <w:t>4</w:t>
          </w:r>
          <w:r>
            <w:fldChar w:fldCharType="end"/>
          </w:r>
          <w:r>
            <w:rPr>
              <w:rFonts w:hint="eastAsia" w:ascii="黑体" w:hAnsi="黑体" w:eastAsia="黑体" w:cs="黑体"/>
              <w:szCs w:val="32"/>
              <w:highlight w:val="none"/>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_Toc29078 </w:instrText>
          </w:r>
          <w:r>
            <w:rPr>
              <w:rFonts w:hint="eastAsia" w:ascii="黑体" w:hAnsi="黑体" w:eastAsia="黑体" w:cs="黑体"/>
              <w:szCs w:val="32"/>
              <w:highlight w:val="none"/>
              <w:lang w:val="en-US" w:eastAsia="zh-CN"/>
            </w:rP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_Toc29078 \h </w:instrText>
          </w:r>
          <w:r>
            <w:fldChar w:fldCharType="separate"/>
          </w:r>
          <w:r>
            <w:t>5</w:t>
          </w:r>
          <w:r>
            <w:fldChar w:fldCharType="end"/>
          </w:r>
          <w:r>
            <w:rPr>
              <w:rFonts w:hint="eastAsia" w:ascii="黑体" w:hAnsi="黑体" w:eastAsia="黑体" w:cs="黑体"/>
              <w:szCs w:val="32"/>
              <w:highlight w:val="none"/>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_Toc27886 </w:instrText>
          </w:r>
          <w:r>
            <w:rPr>
              <w:rFonts w:hint="eastAsia" w:ascii="黑体" w:hAnsi="黑体" w:eastAsia="黑体" w:cs="黑体"/>
              <w:szCs w:val="32"/>
              <w:highlight w:val="none"/>
              <w:lang w:val="en-US" w:eastAsia="zh-CN"/>
            </w:rP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_Toc27886 \h </w:instrText>
          </w:r>
          <w:r>
            <w:fldChar w:fldCharType="separate"/>
          </w:r>
          <w:r>
            <w:t>5</w:t>
          </w:r>
          <w:r>
            <w:fldChar w:fldCharType="end"/>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_Toc21211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_Toc21211 \h </w:instrText>
          </w:r>
          <w:r>
            <w:fldChar w:fldCharType="separate"/>
          </w:r>
          <w:r>
            <w:t>5</w:t>
          </w:r>
          <w:r>
            <w:fldChar w:fldCharType="end"/>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_Toc17577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_Toc17577 \h </w:instrText>
          </w:r>
          <w:r>
            <w:fldChar w:fldCharType="separate"/>
          </w:r>
          <w:r>
            <w:t>5</w:t>
          </w:r>
          <w:r>
            <w:fldChar w:fldCharType="end"/>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_Toc16948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_Toc16948 \h </w:instrText>
          </w:r>
          <w:r>
            <w:fldChar w:fldCharType="separate"/>
          </w:r>
          <w:r>
            <w:t>5</w:t>
          </w:r>
          <w:r>
            <w:fldChar w:fldCharType="end"/>
          </w:r>
          <w:r>
            <w:rPr>
              <w:rFonts w:hint="eastAsia" w:ascii="黑体" w:hAnsi="黑体" w:eastAsia="黑体" w:cs="黑体"/>
              <w:szCs w:val="32"/>
              <w:highlight w:val="none"/>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_Toc22435 </w:instrText>
          </w:r>
          <w:r>
            <w:rPr>
              <w:rFonts w:hint="eastAsia" w:ascii="黑体" w:hAnsi="黑体" w:eastAsia="黑体" w:cs="黑体"/>
              <w:szCs w:val="32"/>
              <w:highlight w:val="none"/>
              <w:lang w:val="en-US" w:eastAsia="zh-CN"/>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_Toc22435 \h </w:instrText>
          </w:r>
          <w:r>
            <w:fldChar w:fldCharType="separate"/>
          </w:r>
          <w:r>
            <w:t>6</w:t>
          </w:r>
          <w:r>
            <w:fldChar w:fldCharType="end"/>
          </w:r>
          <w:r>
            <w:rPr>
              <w:rFonts w:hint="eastAsia" w:ascii="黑体" w:hAnsi="黑体" w:eastAsia="黑体" w:cs="黑体"/>
              <w:szCs w:val="32"/>
              <w:highlight w:val="none"/>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_Toc6227 </w:instrText>
          </w:r>
          <w:r>
            <w:rPr>
              <w:rFonts w:hint="eastAsia" w:ascii="黑体" w:hAnsi="黑体" w:eastAsia="黑体" w:cs="黑体"/>
              <w:szCs w:val="32"/>
              <w:highlight w:val="none"/>
              <w:lang w:val="en-US" w:eastAsia="zh-CN"/>
            </w:rP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_Toc6227 \h </w:instrText>
          </w:r>
          <w:r>
            <w:fldChar w:fldCharType="separate"/>
          </w:r>
          <w:r>
            <w:t>6</w:t>
          </w:r>
          <w:r>
            <w:fldChar w:fldCharType="end"/>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_Toc4541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_Toc4541 \h </w:instrText>
          </w:r>
          <w:r>
            <w:fldChar w:fldCharType="separate"/>
          </w:r>
          <w:r>
            <w:t>6</w:t>
          </w:r>
          <w:r>
            <w:fldChar w:fldCharType="end"/>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_Toc30659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_Toc30659 \h </w:instrText>
          </w:r>
          <w:r>
            <w:fldChar w:fldCharType="separate"/>
          </w:r>
          <w:r>
            <w:t>7</w:t>
          </w:r>
          <w:r>
            <w:fldChar w:fldCharType="end"/>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_Toc213 </w:instrText>
          </w:r>
          <w:r>
            <w:rPr>
              <w:rFonts w:hint="eastAsia" w:ascii="黑体" w:hAnsi="黑体" w:eastAsia="黑体" w:cs="黑体"/>
              <w:szCs w:val="32"/>
              <w:highlight w:val="none"/>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_Toc213 \h </w:instrText>
          </w:r>
          <w:r>
            <w:fldChar w:fldCharType="separate"/>
          </w:r>
          <w:r>
            <w:t>7</w:t>
          </w:r>
          <w:r>
            <w:fldChar w:fldCharType="end"/>
          </w:r>
          <w:r>
            <w:rPr>
              <w:rFonts w:hint="eastAsia" w:ascii="黑体" w:hAnsi="黑体" w:eastAsia="黑体" w:cs="黑体"/>
              <w:szCs w:val="32"/>
              <w:highlight w:val="none"/>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_Toc24159 </w:instrText>
          </w:r>
          <w:r>
            <w:rPr>
              <w:rFonts w:hint="eastAsia" w:ascii="黑体" w:hAnsi="黑体" w:eastAsia="黑体" w:cs="黑体"/>
              <w:szCs w:val="32"/>
              <w:highlight w:val="none"/>
              <w:lang w:val="en-US" w:eastAsia="zh-CN"/>
            </w:rP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_Toc24159 \h </w:instrText>
          </w:r>
          <w:r>
            <w:fldChar w:fldCharType="separate"/>
          </w:r>
          <w:r>
            <w:t>7</w:t>
          </w:r>
          <w:r>
            <w:fldChar w:fldCharType="end"/>
          </w:r>
          <w:r>
            <w:rPr>
              <w:rFonts w:hint="eastAsia" w:ascii="黑体" w:hAnsi="黑体" w:eastAsia="黑体" w:cs="黑体"/>
              <w:szCs w:val="32"/>
              <w:highlight w:val="none"/>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_Toc7405 </w:instrText>
          </w:r>
          <w:r>
            <w:rPr>
              <w:rFonts w:hint="eastAsia" w:ascii="黑体" w:hAnsi="黑体" w:eastAsia="黑体" w:cs="黑体"/>
              <w:szCs w:val="32"/>
              <w:highlight w:val="none"/>
              <w:lang w:val="en-US" w:eastAsia="zh-CN"/>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_Toc7405 \h </w:instrText>
          </w:r>
          <w:r>
            <w:fldChar w:fldCharType="separate"/>
          </w:r>
          <w:r>
            <w:t>7</w:t>
          </w:r>
          <w:r>
            <w:fldChar w:fldCharType="end"/>
          </w:r>
          <w:r>
            <w:rPr>
              <w:rFonts w:hint="eastAsia" w:ascii="黑体" w:hAnsi="黑体" w:eastAsia="黑体" w:cs="黑体"/>
              <w:szCs w:val="32"/>
              <w:highlight w:val="none"/>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_Toc22385 </w:instrText>
          </w:r>
          <w:r>
            <w:rPr>
              <w:rFonts w:hint="eastAsia" w:ascii="黑体" w:hAnsi="黑体" w:eastAsia="黑体" w:cs="黑体"/>
              <w:szCs w:val="32"/>
              <w:highlight w:val="none"/>
              <w:lang w:val="en-US" w:eastAsia="zh-CN"/>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_Toc22385 \h </w:instrText>
          </w:r>
          <w:r>
            <w:fldChar w:fldCharType="separate"/>
          </w:r>
          <w:r>
            <w:t>7</w:t>
          </w:r>
          <w:r>
            <w:fldChar w:fldCharType="end"/>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_Toc4683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_Toc4683 \h </w:instrText>
          </w:r>
          <w:r>
            <w:fldChar w:fldCharType="separate"/>
          </w:r>
          <w:r>
            <w:t>7</w:t>
          </w:r>
          <w:r>
            <w:fldChar w:fldCharType="end"/>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_Toc31678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_Toc31678 \h </w:instrText>
          </w:r>
          <w:r>
            <w:fldChar w:fldCharType="separate"/>
          </w:r>
          <w:r>
            <w:t>7</w:t>
          </w:r>
          <w:r>
            <w:fldChar w:fldCharType="end"/>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_Toc9679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_Toc9679 \h </w:instrText>
          </w:r>
          <w:r>
            <w:fldChar w:fldCharType="separate"/>
          </w:r>
          <w:r>
            <w:t>7</w:t>
          </w:r>
          <w:r>
            <w:fldChar w:fldCharType="end"/>
          </w:r>
          <w:r>
            <w:rPr>
              <w:rFonts w:hint="eastAsia" w:ascii="黑体" w:hAnsi="黑体" w:eastAsia="黑体" w:cs="黑体"/>
              <w:szCs w:val="32"/>
              <w:highlight w:val="none"/>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_Toc5906 </w:instrText>
          </w:r>
          <w:r>
            <w:rPr>
              <w:rFonts w:hint="eastAsia" w:ascii="黑体" w:hAnsi="黑体" w:eastAsia="黑体" w:cs="黑体"/>
              <w:szCs w:val="32"/>
              <w:highlight w:val="none"/>
              <w:lang w:val="en-US" w:eastAsia="zh-CN"/>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_Toc5906 \h </w:instrText>
          </w:r>
          <w:r>
            <w:fldChar w:fldCharType="separate"/>
          </w:r>
          <w:r>
            <w:t>8</w:t>
          </w:r>
          <w:r>
            <w:fldChar w:fldCharType="end"/>
          </w:r>
          <w:r>
            <w:rPr>
              <w:rFonts w:hint="eastAsia" w:ascii="黑体" w:hAnsi="黑体" w:eastAsia="黑体" w:cs="黑体"/>
              <w:szCs w:val="32"/>
              <w:highlight w:val="none"/>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黑体" w:hAnsi="黑体" w:eastAsia="黑体" w:cs="黑体"/>
              <w:szCs w:val="32"/>
              <w:highlight w:val="none"/>
              <w:lang w:val="en-US" w:eastAsia="zh-CN"/>
            </w:rPr>
            <w:fldChar w:fldCharType="begin"/>
          </w:r>
          <w:r>
            <w:rPr>
              <w:rFonts w:hint="eastAsia" w:ascii="黑体" w:hAnsi="黑体" w:eastAsia="黑体" w:cs="黑体"/>
              <w:szCs w:val="32"/>
              <w:highlight w:val="none"/>
              <w:lang w:val="en-US" w:eastAsia="zh-CN"/>
            </w:rPr>
            <w:instrText xml:space="preserve"> HYPERLINK \l _Toc19671 </w:instrText>
          </w:r>
          <w:r>
            <w:rPr>
              <w:rFonts w:hint="eastAsia" w:ascii="黑体" w:hAnsi="黑体" w:eastAsia="黑体" w:cs="黑体"/>
              <w:szCs w:val="32"/>
              <w:highlight w:val="none"/>
              <w:lang w:val="en-US" w:eastAsia="zh-CN"/>
            </w:rPr>
            <w:fldChar w:fldCharType="separate"/>
          </w:r>
          <w:r>
            <w:rPr>
              <w:rFonts w:hint="eastAsia" w:ascii="黑体" w:hAnsi="黑体" w:eastAsia="黑体" w:cs="黑体"/>
              <w:szCs w:val="32"/>
              <w:lang w:val="en-US" w:eastAsia="zh-CN"/>
            </w:rPr>
            <w:t>十一、名词解释</w:t>
          </w:r>
          <w:r>
            <w:tab/>
          </w:r>
          <w:r>
            <w:fldChar w:fldCharType="begin"/>
          </w:r>
          <w:r>
            <w:instrText xml:space="preserve"> PAGEREF _Toc19671 \h </w:instrText>
          </w:r>
          <w:r>
            <w:fldChar w:fldCharType="separate"/>
          </w:r>
          <w:r>
            <w:t>8</w:t>
          </w:r>
          <w:r>
            <w:fldChar w:fldCharType="end"/>
          </w:r>
          <w:r>
            <w:rPr>
              <w:rFonts w:hint="eastAsia" w:ascii="黑体" w:hAnsi="黑体" w:eastAsia="黑体" w:cs="黑体"/>
              <w:szCs w:val="32"/>
              <w:highlight w:val="none"/>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黑体" w:hAnsi="黑体" w:eastAsia="黑体" w:cs="黑体"/>
              <w:sz w:val="32"/>
              <w:szCs w:val="32"/>
              <w:highlight w:val="none"/>
              <w:lang w:val="en-US" w:eastAsia="zh-CN"/>
            </w:rPr>
          </w:pPr>
          <w:r>
            <w:rPr>
              <w:rFonts w:hint="eastAsia" w:ascii="黑体" w:hAnsi="黑体" w:eastAsia="黑体" w:cs="黑体"/>
              <w:szCs w:val="32"/>
              <w:highlight w:val="none"/>
              <w:lang w:val="en-US" w:eastAsia="zh-CN"/>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eastAsia" w:ascii="黑体" w:hAnsi="黑体" w:eastAsia="黑体" w:cs="黑体"/>
          <w:sz w:val="32"/>
          <w:szCs w:val="32"/>
          <w:highlight w:val="none"/>
          <w:lang w:val="en-US" w:eastAsia="zh-CN"/>
        </w:rPr>
        <w:sectPr>
          <w:pgSz w:w="11906" w:h="16838"/>
          <w:pgMar w:top="2098" w:right="1474" w:bottom="1984" w:left="1587" w:header="720" w:footer="1559" w:gutter="0"/>
          <w:pgNumType w:fmt="decimal"/>
          <w:cols w:space="720" w:num="1"/>
          <w:docGrid w:type="lines" w:linePitch="312" w:charSpace="0"/>
        </w:sectPr>
      </w:pPr>
      <w:bookmarkStart w:id="3" w:name="_Toc1563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一、基本职能及主要工作</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4" w:name="_Toc15599"/>
      <w:bookmarkStart w:id="5" w:name="_Toc13357"/>
      <w:r>
        <w:rPr>
          <w:rFonts w:hint="eastAsia" w:ascii="楷体_GB2312" w:hAnsi="楷体_GB2312" w:eastAsia="楷体_GB2312" w:cs="楷体_GB2312"/>
          <w:sz w:val="32"/>
          <w:szCs w:val="32"/>
          <w:highlight w:val="none"/>
        </w:rPr>
        <w:t>（一）</w:t>
      </w:r>
      <w:r>
        <w:rPr>
          <w:rFonts w:hint="eastAsia" w:ascii="楷体_GB2312" w:hAnsi="楷体_GB2312" w:eastAsia="楷体_GB2312" w:cs="楷体_GB2312"/>
          <w:sz w:val="32"/>
          <w:szCs w:val="32"/>
          <w:highlight w:val="none"/>
          <w:lang w:eastAsia="zh-CN"/>
        </w:rPr>
        <w:t>本</w:t>
      </w:r>
      <w:r>
        <w:rPr>
          <w:rFonts w:hint="eastAsia" w:ascii="楷体_GB2312" w:hAnsi="楷体_GB2312" w:eastAsia="楷体_GB2312" w:cs="楷体_GB2312"/>
          <w:sz w:val="32"/>
          <w:szCs w:val="32"/>
          <w:highlight w:val="none"/>
          <w:lang w:val="en-US" w:eastAsia="zh-CN"/>
        </w:rPr>
        <w:t>单位</w:t>
      </w:r>
      <w:r>
        <w:rPr>
          <w:rFonts w:hint="eastAsia" w:ascii="楷体_GB2312" w:hAnsi="楷体_GB2312" w:eastAsia="楷体_GB2312" w:cs="楷体_GB2312"/>
          <w:sz w:val="32"/>
          <w:szCs w:val="32"/>
          <w:highlight w:val="none"/>
        </w:rPr>
        <w:t>职能简介</w:t>
      </w:r>
      <w:bookmarkEnd w:id="4"/>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单位主要负责为未成年学生提供系统的校外综合实践活动，加强青少年儿童特别是留守学生思想道德建设；推进新课程改革、培养青少年动手实践与创新能力；负责藏区中等职业学校学生招生就业工作，为藏区学生提供服务；负责各类藏区中职生免费教育工作。</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6" w:name="_Toc11011"/>
      <w:bookmarkStart w:id="7" w:name="_Toc23485"/>
      <w:r>
        <w:rPr>
          <w:rFonts w:hint="eastAsia" w:ascii="楷体_GB2312" w:hAnsi="楷体_GB2312" w:eastAsia="楷体_GB2312" w:cs="楷体_GB2312"/>
          <w:sz w:val="32"/>
          <w:szCs w:val="32"/>
          <w:highlight w:val="none"/>
          <w:lang w:eastAsia="zh-CN"/>
        </w:rPr>
        <w:t>本</w:t>
      </w:r>
      <w:r>
        <w:rPr>
          <w:rFonts w:hint="eastAsia" w:ascii="楷体_GB2312" w:hAnsi="楷体_GB2312" w:eastAsia="楷体_GB2312" w:cs="楷体_GB2312"/>
          <w:sz w:val="32"/>
          <w:szCs w:val="32"/>
          <w:highlight w:val="none"/>
          <w:lang w:val="en-US" w:eastAsia="zh-CN"/>
        </w:rPr>
        <w:t>单位</w:t>
      </w:r>
      <w:r>
        <w:rPr>
          <w:rFonts w:hint="eastAsia" w:ascii="楷体_GB2312" w:hAnsi="楷体_GB2312" w:eastAsia="楷体_GB2312" w:cs="楷体_GB2312"/>
          <w:sz w:val="32"/>
          <w:szCs w:val="32"/>
          <w:highlight w:val="none"/>
          <w:lang w:val="en-US"/>
        </w:rPr>
        <w:t>2024</w:t>
      </w:r>
      <w:r>
        <w:rPr>
          <w:rFonts w:hint="eastAsia" w:ascii="楷体_GB2312" w:hAnsi="楷体_GB2312" w:eastAsia="楷体_GB2312" w:cs="楷体_GB2312"/>
          <w:sz w:val="32"/>
          <w:szCs w:val="32"/>
          <w:highlight w:val="none"/>
        </w:rPr>
        <w:t>年重点工作</w:t>
      </w:r>
      <w:bookmarkEnd w:id="6"/>
      <w:bookmarkEnd w:id="7"/>
    </w:p>
    <w:p>
      <w:pPr>
        <w:keepNext w:val="0"/>
        <w:keepLines w:val="0"/>
        <w:pageBreakBefore w:val="0"/>
        <w:widowControl w:val="0"/>
        <w:kinsoku/>
        <w:wordWrap/>
        <w:overflowPunct/>
        <w:topLinePunct w:val="0"/>
        <w:autoSpaceDE/>
        <w:autoSpaceDN/>
        <w:bidi w:val="0"/>
        <w:adjustRightInd/>
        <w:snapToGrid/>
        <w:spacing w:after="157" w:afterLines="50" w:line="576"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楷体_GB2312" w:hAnsi="宋体" w:eastAsia="楷体_GB2312" w:cs="楷体_GB2312"/>
          <w:i w:val="0"/>
          <w:iCs w:val="0"/>
          <w:caps w:val="0"/>
          <w:color w:val="222222"/>
          <w:spacing w:val="0"/>
          <w:kern w:val="0"/>
          <w:sz w:val="32"/>
          <w:szCs w:val="32"/>
          <w:lang w:val="en-US" w:eastAsia="zh-CN" w:bidi="ar"/>
        </w:rPr>
        <w:t>1、全面推进实践育人，落实根本任务。</w:t>
      </w:r>
      <w:r>
        <w:rPr>
          <w:rFonts w:hint="eastAsia" w:ascii="仿宋_GB2312" w:hAnsi="仿宋_GB2312" w:eastAsia="仿宋_GB2312" w:cs="仿宋_GB2312"/>
          <w:sz w:val="32"/>
          <w:szCs w:val="32"/>
          <w:highlight w:val="none"/>
          <w:lang w:val="en-US" w:eastAsia="zh-CN"/>
        </w:rPr>
        <w:t>根据业务主管部门统一安排，组织并开展好广元市2023—2024学年度中小学劳动与实践教育活动；统筹推进心理健康教育，建设心理健康教育教室，设置心理健康教育课程，加强学生心理健康监测、干预和指导，守护学生健康成长。</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76"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楷体_GB2312" w:hAnsi="宋体" w:eastAsia="楷体_GB2312" w:cs="楷体_GB2312"/>
          <w:i w:val="0"/>
          <w:iCs w:val="0"/>
          <w:caps w:val="0"/>
          <w:color w:val="222222"/>
          <w:spacing w:val="0"/>
          <w:kern w:val="0"/>
          <w:sz w:val="32"/>
          <w:szCs w:val="32"/>
          <w:lang w:val="en-US" w:eastAsia="zh-CN" w:bidi="ar"/>
        </w:rPr>
        <w:t>2、打造专业师资队伍，提升育人水平。</w:t>
      </w:r>
      <w:r>
        <w:rPr>
          <w:rFonts w:hint="eastAsia" w:ascii="仿宋_GB2312" w:hAnsi="仿宋_GB2312" w:eastAsia="仿宋_GB2312" w:cs="仿宋_GB2312"/>
          <w:sz w:val="32"/>
          <w:szCs w:val="32"/>
          <w:highlight w:val="none"/>
          <w:lang w:val="en-US" w:eastAsia="zh-CN"/>
        </w:rPr>
        <w:t>持续加强劳动与实践教育指导教师培训，强化教师教育教学、课程开发、课题研究能力，着力提升教师队伍素质。</w:t>
      </w:r>
    </w:p>
    <w:p>
      <w:pPr>
        <w:keepNext w:val="0"/>
        <w:keepLines w:val="0"/>
        <w:pageBreakBefore w:val="0"/>
        <w:widowControl w:val="0"/>
        <w:kinsoku/>
        <w:wordWrap/>
        <w:overflowPunct/>
        <w:topLinePunct w:val="0"/>
        <w:autoSpaceDE/>
        <w:autoSpaceDN/>
        <w:bidi w:val="0"/>
        <w:adjustRightInd/>
        <w:snapToGrid/>
        <w:spacing w:after="157" w:afterLines="50"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宋体" w:eastAsia="楷体_GB2312" w:cs="楷体_GB2312"/>
          <w:i w:val="0"/>
          <w:iCs w:val="0"/>
          <w:caps w:val="0"/>
          <w:color w:val="222222"/>
          <w:spacing w:val="0"/>
          <w:kern w:val="0"/>
          <w:sz w:val="32"/>
          <w:szCs w:val="32"/>
          <w:lang w:val="en-US" w:eastAsia="zh-CN" w:bidi="ar"/>
        </w:rPr>
        <w:t>3、推动特色示范创建，提升教育品牌。</w:t>
      </w:r>
      <w:r>
        <w:rPr>
          <w:rFonts w:hint="eastAsia" w:ascii="仿宋_GB2312" w:hAnsi="仿宋_GB2312" w:eastAsia="仿宋_GB2312" w:cs="仿宋_GB2312"/>
          <w:sz w:val="32"/>
          <w:szCs w:val="32"/>
          <w:highlight w:val="none"/>
          <w:lang w:val="en-US" w:eastAsia="zh-CN"/>
        </w:rPr>
        <w:t>持续加强研学基地、劳动基地规范化建设指导，完善劳动与实践教育管理机制建设</w:t>
      </w:r>
      <w:bookmarkStart w:id="8" w:name="_Toc1332"/>
      <w:r>
        <w:rPr>
          <w:rFonts w:hint="eastAsia" w:ascii="仿宋_GB2312" w:hAnsi="仿宋_GB2312" w:eastAsia="仿宋_GB2312" w:cs="仿宋_GB2312"/>
          <w:sz w:val="32"/>
          <w:szCs w:val="32"/>
          <w:highlight w:val="none"/>
          <w:lang w:val="en-US" w:eastAsia="zh-CN"/>
        </w:rPr>
        <w:t>；有效推进劳动与实践教育信息管理与课程资源平台建设与应用，提升教育现代化水平。</w:t>
      </w:r>
      <w:bookmarkEnd w:id="8"/>
    </w:p>
    <w:p>
      <w:pPr>
        <w:keepNext w:val="0"/>
        <w:keepLines w:val="0"/>
        <w:pageBreakBefore w:val="0"/>
        <w:widowControl w:val="0"/>
        <w:kinsoku/>
        <w:wordWrap/>
        <w:overflowPunct/>
        <w:topLinePunct w:val="0"/>
        <w:autoSpaceDE/>
        <w:autoSpaceDN/>
        <w:bidi w:val="0"/>
        <w:adjustRightInd/>
        <w:snapToGrid/>
        <w:spacing w:after="157" w:afterLines="50" w:line="576"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 w:hAnsi="仿宋" w:eastAsia="仿宋" w:cs="仿宋"/>
          <w:color w:val="auto"/>
          <w:kern w:val="0"/>
          <w:sz w:val="32"/>
          <w:szCs w:val="32"/>
          <w:lang w:val="en-US" w:eastAsia="zh-CN" w:bidi="ar"/>
        </w:rPr>
        <w:t>4、</w:t>
      </w:r>
      <w:r>
        <w:rPr>
          <w:rFonts w:hint="eastAsia" w:ascii="楷体_GB2312" w:hAnsi="宋体" w:eastAsia="楷体_GB2312" w:cs="楷体_GB2312"/>
          <w:i w:val="0"/>
          <w:iCs w:val="0"/>
          <w:caps w:val="0"/>
          <w:color w:val="222222"/>
          <w:spacing w:val="0"/>
          <w:kern w:val="0"/>
          <w:sz w:val="32"/>
          <w:szCs w:val="32"/>
          <w:lang w:val="en-US" w:eastAsia="zh-CN" w:bidi="ar"/>
        </w:rPr>
        <w:t>推动特色示范创建，提升教育品牌。</w:t>
      </w:r>
      <w:r>
        <w:rPr>
          <w:rFonts w:hint="eastAsia" w:ascii="仿宋_GB2312" w:hAnsi="仿宋_GB2312" w:eastAsia="仿宋_GB2312" w:cs="仿宋_GB2312"/>
          <w:sz w:val="32"/>
          <w:szCs w:val="32"/>
          <w:highlight w:val="none"/>
          <w:lang w:val="en-US" w:eastAsia="zh-CN"/>
        </w:rPr>
        <w:t>统筹推进国家级国防教育基地申报，加强国防军事教育课程开发、基础设施和管理制度建设，提升国防教育质量；推动成立中西部营地联盟，举办营地研讨会，推介广元研学资源，吸引周边地区及其他区域中小学生赴广研学；进一步推进广元营地内涵发展和品牌建设，推进基地二期工程建设，打造西部（广元）劳动和实践教育中心。</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320" w:firstLineChars="100"/>
        <w:textAlignment w:val="auto"/>
        <w:outlineLvl w:val="0"/>
        <w:rPr>
          <w:rFonts w:hint="eastAsia" w:ascii="黑体" w:hAnsi="黑体" w:eastAsia="黑体" w:cs="黑体"/>
          <w:sz w:val="32"/>
          <w:szCs w:val="32"/>
          <w:lang w:val="en-US" w:eastAsia="zh-CN"/>
        </w:rPr>
      </w:pPr>
      <w:r>
        <w:rPr>
          <w:rFonts w:hint="eastAsia" w:ascii="楷体_GB2312" w:hAnsi="宋体" w:eastAsia="楷体_GB2312" w:cs="楷体_GB2312"/>
          <w:i w:val="0"/>
          <w:iCs w:val="0"/>
          <w:caps w:val="0"/>
          <w:color w:val="222222"/>
          <w:spacing w:val="0"/>
          <w:kern w:val="0"/>
          <w:sz w:val="32"/>
          <w:szCs w:val="32"/>
          <w:lang w:val="en-US" w:eastAsia="zh-CN" w:bidi="ar"/>
        </w:rPr>
        <w:t xml:space="preserve"> </w:t>
      </w:r>
      <w:bookmarkStart w:id="9" w:name="_Toc10291"/>
      <w:bookmarkStart w:id="10" w:name="_Toc29102"/>
      <w:r>
        <w:rPr>
          <w:rFonts w:hint="eastAsia" w:ascii="黑体" w:hAnsi="黑体" w:eastAsia="黑体" w:cs="黑体"/>
          <w:sz w:val="32"/>
          <w:szCs w:val="32"/>
          <w:lang w:val="en-US" w:eastAsia="zh-CN"/>
        </w:rPr>
        <w:t>二、部门预算单位构成</w:t>
      </w:r>
      <w:bookmarkEnd w:id="9"/>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w:t>
      </w:r>
      <w:r>
        <w:rPr>
          <w:rFonts w:hint="eastAsia" w:ascii="仿宋_GB2312" w:hAnsi="楷体" w:eastAsia="仿宋_GB2312" w:cs="楷体"/>
          <w:kern w:val="0"/>
          <w:sz w:val="32"/>
          <w:szCs w:val="32"/>
          <w:shd w:val="clear" w:color="auto" w:fill="FFFFFF"/>
          <w:lang w:bidi="ar"/>
        </w:rPr>
        <w:t>广元市教育局</w:t>
      </w:r>
      <w:r>
        <w:rPr>
          <w:rFonts w:hint="eastAsia" w:ascii="仿宋_GB2312" w:hAnsi="仿宋_GB2312" w:eastAsia="仿宋_GB2312" w:cs="仿宋_GB2312"/>
          <w:sz w:val="32"/>
          <w:szCs w:val="32"/>
          <w:lang w:val="en-US" w:eastAsia="zh-CN"/>
        </w:rPr>
        <w:t>的下属二级预算单位，本单位无下属机构，设有内设机构5个。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1" w:name="_Toc25183"/>
      <w:bookmarkStart w:id="12" w:name="_Toc7450"/>
      <w:r>
        <w:rPr>
          <w:rFonts w:hint="eastAsia" w:ascii="黑体" w:hAnsi="黑体" w:eastAsia="黑体" w:cs="黑体"/>
          <w:sz w:val="32"/>
          <w:szCs w:val="32"/>
          <w:lang w:val="en-US" w:eastAsia="zh-CN"/>
        </w:rPr>
        <w:t>三、收支预算情况说明</w:t>
      </w:r>
      <w:bookmarkEnd w:id="11"/>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按照综合预算的原则，本单位所有收入和支出均纳入部门预算管理。收入包括：一般公共预算拨款收入、其他收入；支出包括：教育支出、社会保障和就业支出、卫生健康支出、住房保障支出。本单位2024年收支预算总数1679.37万元，</w:t>
      </w:r>
      <w:r>
        <w:rPr>
          <w:rFonts w:hint="eastAsia" w:ascii="仿宋_GB2312" w:hAnsi="仿宋_GB2312" w:eastAsia="仿宋_GB2312" w:cs="仿宋_GB2312"/>
          <w:color w:val="auto"/>
          <w:sz w:val="32"/>
          <w:szCs w:val="32"/>
          <w:highlight w:val="none"/>
          <w:lang w:val="en-US" w:eastAsia="zh-CN"/>
        </w:rPr>
        <w:t>比2023年收支预算总数减少855.59万元，主要原因是2024年将财政代管资金纳入部门预算。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18083"/>
      <w:bookmarkStart w:id="14" w:name="_Toc22972"/>
      <w:r>
        <w:rPr>
          <w:rFonts w:hint="eastAsia" w:ascii="楷体_GB2312" w:hAnsi="楷体_GB2312" w:eastAsia="楷体_GB2312" w:cs="楷体_GB2312"/>
          <w:sz w:val="32"/>
          <w:szCs w:val="32"/>
          <w:lang w:val="en-US" w:eastAsia="zh-CN"/>
        </w:rPr>
        <w:t>（一）收入预算情况</w:t>
      </w:r>
      <w:bookmarkEnd w:id="13"/>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本单位2024年收入预算1679.37万元，其中：一般公共预算拨款收入811.53万元，占48.32%；其他收入867.84万元，占51.68%。</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8560"/>
      <w:bookmarkStart w:id="16" w:name="_Toc19762"/>
      <w:r>
        <w:rPr>
          <w:rFonts w:hint="eastAsia" w:ascii="楷体_GB2312" w:hAnsi="楷体_GB2312" w:eastAsia="楷体_GB2312" w:cs="楷体_GB2312"/>
          <w:sz w:val="32"/>
          <w:szCs w:val="32"/>
          <w:lang w:val="en-US" w:eastAsia="zh-CN"/>
        </w:rPr>
        <w:t>（二）支出预算情况</w:t>
      </w:r>
      <w:bookmarkEnd w:id="15"/>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本单位2024年支出预算1679.37万元，其中：基本支出307.89万元，占18.33%；项目支出1371.48万元，占81.67%</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7" w:name="_Toc29078"/>
      <w:bookmarkStart w:id="18" w:name="_Toc7269"/>
      <w:r>
        <w:rPr>
          <w:rFonts w:hint="eastAsia" w:ascii="黑体" w:hAnsi="黑体" w:eastAsia="黑体" w:cs="黑体"/>
          <w:sz w:val="32"/>
          <w:szCs w:val="32"/>
          <w:lang w:val="en-US" w:eastAsia="zh-CN"/>
        </w:rPr>
        <w:t>四、财政拨款收支预算情况说明</w:t>
      </w:r>
      <w:bookmarkEnd w:id="17"/>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本单位2024年财政拨款收支预算总数811.53万元，比2023年财政拨款收支预算总数减少12.35万元，主要原因是人员减少。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收入包括：本年一般公共预算拨款收入811.53万元；支出包括：教育支出744.46万元、社会保障和就业支出30.82万元、卫生健康支出10.04万元、住房保障支出26.21万元。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27886"/>
      <w:bookmarkStart w:id="20" w:name="_Toc20315"/>
      <w:r>
        <w:rPr>
          <w:rFonts w:hint="eastAsia" w:ascii="黑体" w:hAnsi="黑体" w:eastAsia="黑体" w:cs="黑体"/>
          <w:sz w:val="32"/>
          <w:szCs w:val="32"/>
          <w:lang w:val="en-US" w:eastAsia="zh-CN"/>
        </w:rPr>
        <w:t>五、一般公共预算当年拨款情况说明</w:t>
      </w:r>
      <w:bookmarkEnd w:id="19"/>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21211"/>
      <w:bookmarkStart w:id="22" w:name="_Toc14653"/>
      <w:r>
        <w:rPr>
          <w:rFonts w:hint="eastAsia" w:ascii="楷体_GB2312" w:hAnsi="楷体_GB2312" w:eastAsia="楷体_GB2312" w:cs="楷体_GB2312"/>
          <w:sz w:val="32"/>
          <w:szCs w:val="32"/>
          <w:lang w:val="en-US" w:eastAsia="zh-CN"/>
        </w:rPr>
        <w:t>（一）一般公共预算当年拨款规模变化情况</w:t>
      </w:r>
      <w:bookmarkEnd w:id="21"/>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本单位2024年一般公共预算当年拨款811.53万元，比2023年预算数减少12.25万元，主要原因是人员减少。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527"/>
      <w:bookmarkStart w:id="24" w:name="_Toc17577"/>
      <w:r>
        <w:rPr>
          <w:rFonts w:hint="eastAsia" w:ascii="楷体_GB2312" w:hAnsi="楷体_GB2312" w:eastAsia="楷体_GB2312" w:cs="楷体_GB2312"/>
          <w:sz w:val="32"/>
          <w:szCs w:val="32"/>
          <w:lang w:val="en-US" w:eastAsia="zh-CN"/>
        </w:rPr>
        <w:t>（二）一般公共预算当年拨款结构情况</w:t>
      </w:r>
      <w:bookmarkEnd w:id="23"/>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教育支出744.46万元，占91.74%；社会保障和就业支出30.82万元，占3.8%；卫生健康支出10.04万元，占1.24%；住房保障支出26.21万元，占3.23%。</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2197"/>
      <w:bookmarkStart w:id="26" w:name="_Toc16948"/>
      <w:r>
        <w:rPr>
          <w:rFonts w:hint="eastAsia" w:ascii="楷体_GB2312" w:hAnsi="楷体_GB2312" w:eastAsia="楷体_GB2312" w:cs="楷体_GB2312"/>
          <w:sz w:val="32"/>
          <w:szCs w:val="32"/>
          <w:lang w:val="en-US" w:eastAsia="zh-CN"/>
        </w:rPr>
        <w:t>（三）一般公共预算当年拨款具体使用情况</w:t>
      </w:r>
      <w:bookmarkEnd w:id="25"/>
      <w:bookmarkEnd w:id="26"/>
    </w:p>
    <w:p>
      <w:pPr>
        <w:adjustRightInd w:val="0"/>
        <w:snapToGrid w:val="0"/>
        <w:spacing w:line="576" w:lineRule="exact"/>
        <w:ind w:firstLine="640" w:firstLineChars="200"/>
        <w:rPr>
          <w:rFonts w:hint="eastAsia" w:ascii="仿宋_GB2312" w:hAnsi="宋体" w:eastAsia="仿宋_GB2312" w:cs="宋体"/>
          <w:bCs/>
          <w:kern w:val="0"/>
          <w:sz w:val="32"/>
          <w:szCs w:val="32"/>
          <w:shd w:val="clear" w:color="auto" w:fill="FFFFFF"/>
          <w:lang w:bidi="ar"/>
        </w:rPr>
      </w:pPr>
      <w:r>
        <w:rPr>
          <w:rFonts w:hint="default" w:ascii="仿宋_GB2312" w:hAnsi="仿宋_GB2312" w:eastAsia="仿宋_GB2312" w:cs="仿宋_GB2312"/>
          <w:sz w:val="32"/>
          <w:szCs w:val="32"/>
          <w:lang w:val="en-US" w:eastAsia="zh-CN"/>
        </w:rPr>
        <w:t>1.</w:t>
      </w:r>
      <w:r>
        <w:rPr>
          <w:rFonts w:hint="eastAsia" w:ascii="仿宋_GB2312" w:hAnsi="宋体" w:eastAsia="仿宋_GB2312" w:cs="宋体"/>
          <w:bCs/>
          <w:kern w:val="0"/>
          <w:sz w:val="32"/>
          <w:szCs w:val="32"/>
          <w:shd w:val="clear" w:color="auto" w:fill="FFFFFF"/>
          <w:lang w:bidi="ar"/>
        </w:rPr>
        <w:t>教育支出（类）教育管理事务（款）其他教育管理事务支出（项）202</w:t>
      </w:r>
      <w:r>
        <w:rPr>
          <w:rFonts w:hint="eastAsia" w:ascii="仿宋_GB2312" w:hAnsi="宋体" w:eastAsia="仿宋_GB2312" w:cs="宋体"/>
          <w:bCs/>
          <w:kern w:val="0"/>
          <w:sz w:val="32"/>
          <w:szCs w:val="32"/>
          <w:shd w:val="clear" w:color="auto" w:fill="FFFFFF"/>
          <w:lang w:val="en-US" w:eastAsia="zh-CN" w:bidi="ar"/>
        </w:rPr>
        <w:t>4</w:t>
      </w:r>
      <w:r>
        <w:rPr>
          <w:rFonts w:hint="eastAsia" w:ascii="仿宋_GB2312" w:hAnsi="宋体" w:eastAsia="仿宋_GB2312" w:cs="宋体"/>
          <w:bCs/>
          <w:kern w:val="0"/>
          <w:sz w:val="32"/>
          <w:szCs w:val="32"/>
          <w:shd w:val="clear" w:color="auto" w:fill="FFFFFF"/>
          <w:lang w:bidi="ar"/>
        </w:rPr>
        <w:t>年预算数为</w:t>
      </w:r>
      <w:r>
        <w:rPr>
          <w:rFonts w:hint="eastAsia" w:ascii="仿宋_GB2312" w:hAnsi="宋体" w:eastAsia="仿宋_GB2312" w:cs="宋体"/>
          <w:kern w:val="0"/>
          <w:sz w:val="32"/>
          <w:szCs w:val="32"/>
          <w:shd w:val="clear" w:color="auto" w:fill="FFFFFF"/>
          <w:lang w:bidi="ar"/>
        </w:rPr>
        <w:t>744.46</w:t>
      </w:r>
      <w:r>
        <w:rPr>
          <w:rFonts w:hint="eastAsia" w:ascii="仿宋_GB2312" w:hAnsi="宋体" w:eastAsia="仿宋_GB2312" w:cs="宋体"/>
          <w:bCs/>
          <w:kern w:val="0"/>
          <w:sz w:val="32"/>
          <w:szCs w:val="32"/>
          <w:shd w:val="clear" w:color="auto" w:fill="FFFFFF"/>
          <w:lang w:bidi="ar"/>
        </w:rPr>
        <w:t>万元，主要用于：单位工资福利、其他工资福利支出、商品服务支出、对个人和家庭其他补助支出等方面的经费支出。</w:t>
      </w:r>
    </w:p>
    <w:p>
      <w:pPr>
        <w:adjustRightInd w:val="0"/>
        <w:snapToGrid w:val="0"/>
        <w:spacing w:line="576" w:lineRule="exact"/>
        <w:ind w:firstLine="640" w:firstLineChars="200"/>
        <w:rPr>
          <w:rFonts w:hint="eastAsia" w:ascii="仿宋_GB2312" w:hAnsi="宋体" w:eastAsia="仿宋_GB2312" w:cs="宋体"/>
          <w:kern w:val="0"/>
          <w:sz w:val="32"/>
          <w:szCs w:val="32"/>
          <w:shd w:val="clear" w:color="auto" w:fill="FFFFFF"/>
          <w:lang w:bidi="ar"/>
        </w:rPr>
      </w:pPr>
      <w:r>
        <w:rPr>
          <w:rFonts w:hint="eastAsia" w:ascii="仿宋_GB2312" w:hAnsi="宋体" w:eastAsia="仿宋_GB2312" w:cs="宋体"/>
          <w:kern w:val="0"/>
          <w:sz w:val="32"/>
          <w:szCs w:val="32"/>
          <w:shd w:val="clear" w:color="auto" w:fill="FFFFFF"/>
          <w:lang w:bidi="ar"/>
        </w:rPr>
        <w:t>2.社会保障和就业（类）行政事业单位养老支出（款）机关事业单位基本养老保险缴费支出（项）202</w:t>
      </w:r>
      <w:r>
        <w:rPr>
          <w:rFonts w:hint="eastAsia" w:ascii="仿宋_GB2312" w:hAnsi="宋体" w:eastAsia="仿宋_GB2312" w:cs="宋体"/>
          <w:kern w:val="0"/>
          <w:sz w:val="32"/>
          <w:szCs w:val="32"/>
          <w:shd w:val="clear" w:color="auto" w:fill="FFFFFF"/>
          <w:lang w:val="en-US" w:eastAsia="zh-CN" w:bidi="ar"/>
        </w:rPr>
        <w:t>4</w:t>
      </w:r>
      <w:r>
        <w:rPr>
          <w:rFonts w:hint="eastAsia" w:ascii="仿宋_GB2312" w:hAnsi="宋体" w:eastAsia="仿宋_GB2312" w:cs="宋体"/>
          <w:kern w:val="0"/>
          <w:sz w:val="32"/>
          <w:szCs w:val="32"/>
          <w:shd w:val="clear" w:color="auto" w:fill="FFFFFF"/>
          <w:lang w:bidi="ar"/>
        </w:rPr>
        <w:t>年预算数为</w:t>
      </w:r>
      <w:r>
        <w:rPr>
          <w:rFonts w:hint="eastAsia" w:ascii="仿宋_GB2312" w:hAnsi="宋体" w:eastAsia="仿宋_GB2312" w:cs="宋体"/>
          <w:kern w:val="0"/>
          <w:sz w:val="32"/>
          <w:szCs w:val="32"/>
          <w:shd w:val="clear" w:color="auto" w:fill="FFFFFF"/>
          <w:lang w:val="en-US" w:eastAsia="zh-CN" w:bidi="ar"/>
        </w:rPr>
        <w:t>30.82</w:t>
      </w:r>
      <w:r>
        <w:rPr>
          <w:rFonts w:hint="eastAsia" w:ascii="仿宋_GB2312" w:hAnsi="宋体" w:eastAsia="仿宋_GB2312" w:cs="宋体"/>
          <w:kern w:val="0"/>
          <w:sz w:val="32"/>
          <w:szCs w:val="32"/>
          <w:shd w:val="clear" w:color="auto" w:fill="FFFFFF"/>
          <w:lang w:bidi="ar"/>
        </w:rPr>
        <w:t>万元，主要用于：机关事业单位养老保险经费支出。</w:t>
      </w:r>
    </w:p>
    <w:p>
      <w:pPr>
        <w:adjustRightInd w:val="0"/>
        <w:snapToGrid w:val="0"/>
        <w:spacing w:line="576" w:lineRule="exact"/>
        <w:ind w:firstLine="640" w:firstLineChars="200"/>
        <w:rPr>
          <w:rFonts w:hint="eastAsia" w:ascii="仿宋_GB2312" w:hAnsi="宋体" w:eastAsia="仿宋_GB2312" w:cs="宋体"/>
          <w:kern w:val="0"/>
          <w:sz w:val="32"/>
          <w:szCs w:val="32"/>
          <w:shd w:val="clear" w:color="auto" w:fill="FFFFFF"/>
          <w:lang w:bidi="ar"/>
        </w:rPr>
      </w:pPr>
      <w:r>
        <w:rPr>
          <w:rFonts w:hint="eastAsia" w:ascii="仿宋_GB2312" w:hAnsi="宋体" w:eastAsia="仿宋_GB2312" w:cs="宋体"/>
          <w:kern w:val="0"/>
          <w:sz w:val="32"/>
          <w:szCs w:val="32"/>
          <w:shd w:val="clear" w:color="auto" w:fill="FFFFFF"/>
          <w:lang w:bidi="ar"/>
        </w:rPr>
        <w:t>4.卫生健康（类）行政事业单位医疗（款）事业单位医疗（项）202</w:t>
      </w:r>
      <w:r>
        <w:rPr>
          <w:rFonts w:hint="eastAsia" w:ascii="仿宋_GB2312" w:hAnsi="宋体" w:eastAsia="仿宋_GB2312" w:cs="宋体"/>
          <w:kern w:val="0"/>
          <w:sz w:val="32"/>
          <w:szCs w:val="32"/>
          <w:shd w:val="clear" w:color="auto" w:fill="FFFFFF"/>
          <w:lang w:val="en-US" w:eastAsia="zh-CN" w:bidi="ar"/>
        </w:rPr>
        <w:t>4</w:t>
      </w:r>
      <w:r>
        <w:rPr>
          <w:rFonts w:hint="eastAsia" w:ascii="仿宋_GB2312" w:hAnsi="宋体" w:eastAsia="仿宋_GB2312" w:cs="宋体"/>
          <w:kern w:val="0"/>
          <w:sz w:val="32"/>
          <w:szCs w:val="32"/>
          <w:shd w:val="clear" w:color="auto" w:fill="FFFFFF"/>
          <w:lang w:bidi="ar"/>
        </w:rPr>
        <w:t>年预算数为</w:t>
      </w:r>
      <w:r>
        <w:rPr>
          <w:rFonts w:hint="eastAsia" w:ascii="仿宋_GB2312" w:hAnsi="宋体" w:eastAsia="仿宋_GB2312" w:cs="宋体"/>
          <w:kern w:val="0"/>
          <w:sz w:val="32"/>
          <w:szCs w:val="32"/>
          <w:shd w:val="clear" w:color="auto" w:fill="FFFFFF"/>
          <w:lang w:val="en-US" w:eastAsia="zh-CN" w:bidi="ar"/>
        </w:rPr>
        <w:t>10.04</w:t>
      </w:r>
      <w:r>
        <w:rPr>
          <w:rFonts w:hint="eastAsia" w:ascii="仿宋_GB2312" w:hAnsi="宋体" w:eastAsia="仿宋_GB2312" w:cs="宋体"/>
          <w:kern w:val="0"/>
          <w:sz w:val="32"/>
          <w:szCs w:val="32"/>
          <w:shd w:val="clear" w:color="auto" w:fill="FFFFFF"/>
          <w:lang w:bidi="ar"/>
        </w:rPr>
        <w:t>万元，主要用于：按规定由单位缴纳的基本医疗保险支出。</w:t>
      </w:r>
    </w:p>
    <w:p>
      <w:pPr>
        <w:adjustRightInd w:val="0"/>
        <w:snapToGrid w:val="0"/>
        <w:spacing w:line="576" w:lineRule="exact"/>
        <w:ind w:firstLine="640" w:firstLineChars="200"/>
        <w:rPr>
          <w:rFonts w:hint="eastAsia" w:ascii="仿宋_GB2312" w:hAnsi="宋体" w:eastAsia="仿宋_GB2312" w:cs="宋体"/>
          <w:kern w:val="0"/>
          <w:sz w:val="32"/>
          <w:szCs w:val="32"/>
          <w:shd w:val="clear" w:color="auto" w:fill="FFFFFF"/>
          <w:lang w:bidi="ar"/>
        </w:rPr>
      </w:pPr>
      <w:r>
        <w:rPr>
          <w:rFonts w:hint="eastAsia" w:ascii="仿宋_GB2312" w:hAnsi="宋体" w:eastAsia="仿宋_GB2312" w:cs="宋体"/>
          <w:kern w:val="0"/>
          <w:sz w:val="32"/>
          <w:szCs w:val="32"/>
          <w:shd w:val="clear" w:color="auto" w:fill="FFFFFF"/>
          <w:lang w:bidi="ar"/>
        </w:rPr>
        <w:t>5.住房保障（类）住房改革支出（款）住房公积金（项）202</w:t>
      </w:r>
      <w:r>
        <w:rPr>
          <w:rFonts w:hint="eastAsia" w:ascii="仿宋_GB2312" w:hAnsi="宋体" w:eastAsia="仿宋_GB2312" w:cs="宋体"/>
          <w:kern w:val="0"/>
          <w:sz w:val="32"/>
          <w:szCs w:val="32"/>
          <w:shd w:val="clear" w:color="auto" w:fill="FFFFFF"/>
          <w:lang w:val="en-US" w:eastAsia="zh-CN" w:bidi="ar"/>
        </w:rPr>
        <w:t>4</w:t>
      </w:r>
      <w:r>
        <w:rPr>
          <w:rFonts w:hint="eastAsia" w:ascii="仿宋_GB2312" w:hAnsi="宋体" w:eastAsia="仿宋_GB2312" w:cs="宋体"/>
          <w:kern w:val="0"/>
          <w:sz w:val="32"/>
          <w:szCs w:val="32"/>
          <w:shd w:val="clear" w:color="auto" w:fill="FFFFFF"/>
          <w:lang w:bidi="ar"/>
        </w:rPr>
        <w:t>年预算数为</w:t>
      </w:r>
      <w:r>
        <w:rPr>
          <w:rFonts w:hint="eastAsia" w:ascii="仿宋_GB2312" w:hAnsi="宋体" w:eastAsia="仿宋_GB2312" w:cs="宋体"/>
          <w:kern w:val="0"/>
          <w:sz w:val="32"/>
          <w:szCs w:val="32"/>
          <w:shd w:val="clear" w:color="auto" w:fill="FFFFFF"/>
          <w:lang w:val="en-US" w:eastAsia="zh-CN" w:bidi="ar"/>
        </w:rPr>
        <w:t>26.21</w:t>
      </w:r>
      <w:r>
        <w:rPr>
          <w:rFonts w:hint="eastAsia" w:ascii="仿宋_GB2312" w:hAnsi="宋体" w:eastAsia="仿宋_GB2312" w:cs="宋体"/>
          <w:kern w:val="0"/>
          <w:sz w:val="32"/>
          <w:szCs w:val="32"/>
          <w:shd w:val="clear" w:color="auto" w:fill="FFFFFF"/>
          <w:lang w:bidi="ar"/>
        </w:rPr>
        <w:t>万元，主要用于：按规定为职工缴纳的住房公积金支出。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7" w:name="_Toc28296"/>
      <w:bookmarkStart w:id="28" w:name="_Toc22435"/>
      <w:r>
        <w:rPr>
          <w:rFonts w:hint="eastAsia" w:ascii="黑体" w:hAnsi="黑体" w:eastAsia="黑体" w:cs="黑体"/>
          <w:sz w:val="32"/>
          <w:szCs w:val="32"/>
          <w:lang w:val="en-US" w:eastAsia="zh-CN"/>
        </w:rPr>
        <w:t>六、一般公共预算基本支出情况说明</w:t>
      </w:r>
      <w:bookmarkEnd w:id="27"/>
      <w:bookmarkEnd w:id="2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本单位2024年一般公共预算基本支出307.89万元，其中：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人员经费279.23万元，主要包括：基本工资、津贴补贴、奖金、绩效工资、机关事业单位基本养老保险缴费、职工基本医疗保险缴费、其他社会保障缴费、住房公积金、生活补助等支出。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公用经费28.66万元，主要包括：办公费、印刷费、水费、电费、邮电费、差旅费、维修（护）费、培训费、公务接待费、工会经费、福利费、其他商品和服务支出等支出。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9" w:name="_Toc6227"/>
      <w:bookmarkStart w:id="30" w:name="_Toc15037"/>
      <w:r>
        <w:rPr>
          <w:rFonts w:hint="eastAsia" w:ascii="黑体" w:hAnsi="黑体" w:eastAsia="黑体" w:cs="黑体"/>
          <w:sz w:val="32"/>
          <w:szCs w:val="32"/>
          <w:lang w:val="en-US" w:eastAsia="zh-CN"/>
        </w:rPr>
        <w:t>七、“三公”经费财政拨款预算安排情况说明</w:t>
      </w:r>
      <w:bookmarkEnd w:id="29"/>
      <w:bookmarkEnd w:id="3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本单位2024年“三公”经费财政拨款预算数0.24万元，其中：公务接待费0.24万元，公务用车购置及运行维护费0万元，因公出国（境）经费0万元。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1" w:name="_Toc17824"/>
      <w:bookmarkStart w:id="32" w:name="_Toc4541"/>
      <w:r>
        <w:rPr>
          <w:rFonts w:hint="eastAsia" w:ascii="楷体_GB2312" w:hAnsi="楷体_GB2312" w:eastAsia="楷体_GB2312" w:cs="楷体_GB2312"/>
          <w:sz w:val="32"/>
          <w:szCs w:val="32"/>
          <w:lang w:val="en-US" w:eastAsia="zh-CN"/>
        </w:rPr>
        <w:t>（一）公务接待费</w:t>
      </w:r>
      <w:bookmarkEnd w:id="31"/>
      <w:bookmarkEnd w:id="3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公务接待费与2023年预算相比持平。2024年无预算安排。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3" w:name="_Toc30659"/>
      <w:bookmarkStart w:id="34" w:name="_Toc22876"/>
      <w:r>
        <w:rPr>
          <w:rFonts w:hint="eastAsia" w:ascii="楷体_GB2312" w:hAnsi="楷体_GB2312" w:eastAsia="楷体_GB2312" w:cs="楷体_GB2312"/>
          <w:sz w:val="32"/>
          <w:szCs w:val="32"/>
          <w:lang w:val="en-US" w:eastAsia="zh-CN"/>
        </w:rPr>
        <w:t>公务用车购置及运行维护费</w:t>
      </w:r>
      <w:bookmarkEnd w:id="33"/>
      <w:bookmarkEnd w:id="34"/>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35" w:name="_Toc14381"/>
      <w:bookmarkStart w:id="36" w:name="_Toc21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35"/>
      <w:bookmarkEnd w:id="3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因公出国（境）经费与2023年预算相比持平。2024年无预算安排。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7" w:name="_Toc26654"/>
      <w:bookmarkStart w:id="38" w:name="_Toc24159"/>
      <w:r>
        <w:rPr>
          <w:rFonts w:hint="eastAsia" w:ascii="黑体" w:hAnsi="黑体" w:eastAsia="黑体" w:cs="黑体"/>
          <w:sz w:val="32"/>
          <w:szCs w:val="32"/>
          <w:lang w:val="en-US" w:eastAsia="zh-CN"/>
        </w:rPr>
        <w:t>八、政府性基金预算支出情况说明</w:t>
      </w:r>
      <w:bookmarkEnd w:id="37"/>
      <w:bookmarkEnd w:id="3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本单位2024年无政府性基金预算拨款安排的支出。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9" w:name="_Toc25549"/>
      <w:bookmarkStart w:id="40" w:name="_Toc7405"/>
      <w:r>
        <w:rPr>
          <w:rFonts w:hint="eastAsia" w:ascii="黑体" w:hAnsi="黑体" w:eastAsia="黑体" w:cs="黑体"/>
          <w:sz w:val="32"/>
          <w:szCs w:val="32"/>
          <w:lang w:val="en-US" w:eastAsia="zh-CN"/>
        </w:rPr>
        <w:t>九、国有资本经营预算支出情况说明</w:t>
      </w:r>
      <w:bookmarkEnd w:id="39"/>
      <w:bookmarkEnd w:id="4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本单位2024年无国有资本经营预算拨款安排的支出。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1" w:name="_Toc22385"/>
      <w:bookmarkStart w:id="42" w:name="_Toc15399"/>
      <w:r>
        <w:rPr>
          <w:rFonts w:hint="eastAsia" w:ascii="黑体" w:hAnsi="黑体" w:eastAsia="黑体" w:cs="黑体"/>
          <w:sz w:val="32"/>
          <w:szCs w:val="32"/>
          <w:lang w:val="en-US" w:eastAsia="zh-CN"/>
        </w:rPr>
        <w:t>十、其他重要事项的情况说明</w:t>
      </w:r>
      <w:bookmarkEnd w:id="41"/>
      <w:bookmarkEnd w:id="4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3" w:name="_Toc4683"/>
      <w:bookmarkStart w:id="44" w:name="_Toc18194"/>
      <w:r>
        <w:rPr>
          <w:rFonts w:hint="eastAsia" w:ascii="楷体_GB2312" w:hAnsi="楷体_GB2312" w:eastAsia="楷体_GB2312" w:cs="楷体_GB2312"/>
          <w:sz w:val="32"/>
          <w:szCs w:val="32"/>
          <w:lang w:val="en-US" w:eastAsia="zh-CN"/>
        </w:rPr>
        <w:t>（一）机关运行经费</w:t>
      </w:r>
      <w:bookmarkEnd w:id="43"/>
      <w:bookmarkEnd w:id="44"/>
    </w:p>
    <w:p>
      <w:pPr>
        <w:keepNext w:val="0"/>
        <w:keepLines w:val="0"/>
        <w:pageBreakBefore w:val="0"/>
        <w:widowControl w:val="0"/>
        <w:shd w:val="clear" w:color="auto" w:fill="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cs="宋体"/>
          <w:kern w:val="0"/>
          <w:sz w:val="32"/>
          <w:szCs w:val="32"/>
          <w:shd w:val="clear" w:color="auto" w:fill="FFFFFF"/>
          <w:lang w:bidi="ar"/>
        </w:rPr>
        <w:t>本单位是市教育局直属事业单位，属二级预算单位</w:t>
      </w:r>
      <w:r>
        <w:rPr>
          <w:rFonts w:hint="eastAsia" w:ascii="仿宋_GB2312" w:hAnsi="仿宋_GB2312" w:eastAsia="仿宋_GB2312" w:cs="仿宋_GB2312"/>
          <w:sz w:val="32"/>
          <w:szCs w:val="32"/>
          <w:lang w:val="en-US" w:eastAsia="zh-CN"/>
        </w:rPr>
        <w:t>，无机关运行经费。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5" w:name="_Toc31678"/>
      <w:bookmarkStart w:id="46" w:name="_Toc18393"/>
      <w:r>
        <w:rPr>
          <w:rFonts w:hint="eastAsia" w:ascii="楷体_GB2312" w:hAnsi="楷体_GB2312" w:eastAsia="楷体_GB2312" w:cs="楷体_GB2312"/>
          <w:sz w:val="32"/>
          <w:szCs w:val="32"/>
          <w:lang w:val="en-US" w:eastAsia="zh-CN"/>
        </w:rPr>
        <w:t>（二）政府采购情况</w:t>
      </w:r>
      <w:bookmarkEnd w:id="45"/>
      <w:bookmarkEnd w:id="4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宋体" w:eastAsia="仿宋_GB2312" w:cs="宋体"/>
          <w:kern w:val="0"/>
          <w:sz w:val="32"/>
          <w:szCs w:val="32"/>
          <w:shd w:val="clear" w:color="auto" w:fill="FFFFFF"/>
          <w:lang w:val="en-US" w:eastAsia="zh-CN" w:bidi="ar"/>
        </w:rPr>
        <w:t>2024年，本单位安排政府采购预算69.6万元，其中：政府采购服务预算69.6万元，</w:t>
      </w:r>
      <w:r>
        <w:rPr>
          <w:rFonts w:hint="eastAsia" w:ascii="仿宋_GB2312" w:hAnsi="宋体" w:eastAsia="仿宋_GB2312" w:cs="宋体"/>
          <w:kern w:val="0"/>
          <w:sz w:val="32"/>
          <w:szCs w:val="32"/>
          <w:shd w:val="clear" w:color="auto" w:fill="FFFFFF"/>
          <w:lang w:bidi="ar"/>
        </w:rPr>
        <w:t>主要用于单位物业管理</w:t>
      </w:r>
      <w:r>
        <w:rPr>
          <w:rFonts w:hint="eastAsia" w:ascii="仿宋_GB2312" w:hAnsi="宋体" w:eastAsia="仿宋_GB2312" w:cs="宋体"/>
          <w:kern w:val="0"/>
          <w:sz w:val="32"/>
          <w:szCs w:val="32"/>
          <w:shd w:val="clear" w:color="auto" w:fill="FFFFFF"/>
          <w:lang w:eastAsia="zh-CN" w:bidi="ar"/>
        </w:rPr>
        <w:t>服务</w:t>
      </w:r>
      <w:r>
        <w:rPr>
          <w:rFonts w:hint="eastAsia" w:ascii="仿宋_GB2312" w:hAnsi="宋体" w:eastAsia="仿宋_GB2312" w:cs="宋体"/>
          <w:kern w:val="0"/>
          <w:sz w:val="32"/>
          <w:szCs w:val="32"/>
          <w:shd w:val="clear" w:color="auto" w:fill="FFFFFF"/>
          <w:lang w:bidi="ar"/>
        </w:rPr>
        <w:t>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7" w:name="_Toc9679"/>
      <w:bookmarkStart w:id="48" w:name="_Toc2210"/>
      <w:r>
        <w:rPr>
          <w:rFonts w:hint="eastAsia" w:ascii="楷体_GB2312" w:hAnsi="楷体_GB2312" w:eastAsia="楷体_GB2312" w:cs="楷体_GB2312"/>
          <w:sz w:val="32"/>
          <w:szCs w:val="32"/>
          <w:lang w:val="en-US" w:eastAsia="zh-CN"/>
        </w:rPr>
        <w:t>（三）国有资产占有使用情况</w:t>
      </w:r>
      <w:bookmarkEnd w:id="47"/>
      <w:bookmarkEnd w:id="4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截至2023年底，本单位共有车辆0辆。单位价值200万元以上大型设备0台（套）。</w:t>
      </w:r>
    </w:p>
    <w:p>
      <w:pPr>
        <w:keepNext w:val="0"/>
        <w:keepLines w:val="0"/>
        <w:pageBreakBefore w:val="0"/>
        <w:widowControl w:val="0"/>
        <w:shd w:val="clear" w:color="auto" w:fill="auto"/>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bookmarkStart w:id="53" w:name="_GoBack"/>
      <w:bookmarkEnd w:id="5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9" w:name="_Toc17886"/>
      <w:bookmarkStart w:id="50" w:name="_Toc5906"/>
      <w:r>
        <w:rPr>
          <w:rFonts w:hint="eastAsia" w:ascii="楷体_GB2312" w:hAnsi="楷体_GB2312" w:eastAsia="楷体_GB2312" w:cs="楷体_GB2312"/>
          <w:sz w:val="32"/>
          <w:szCs w:val="32"/>
          <w:lang w:val="en-US" w:eastAsia="zh-CN"/>
        </w:rPr>
        <w:t>（四）绩效目标设置情况</w:t>
      </w:r>
      <w:bookmarkEnd w:id="49"/>
      <w:bookmarkEnd w:id="5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2024年本单位开展绩效目标管理的项目8个，涉及预算1679.37万元。其中：人员类项目1个，涉及预算279.23万元；运转类项目1个，涉及预算28.66万元；特定目标类项目6个，涉及预算1371.48万元。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1" w:name="_Toc29842"/>
      <w:bookmarkStart w:id="52" w:name="_Toc19671"/>
      <w:r>
        <w:rPr>
          <w:rFonts w:hint="eastAsia" w:ascii="黑体" w:hAnsi="黑体" w:eastAsia="黑体" w:cs="黑体"/>
          <w:sz w:val="32"/>
          <w:szCs w:val="32"/>
          <w:lang w:val="en-US" w:eastAsia="zh-CN"/>
        </w:rPr>
        <w:t>十一、名词解释</w:t>
      </w:r>
      <w:bookmarkEnd w:id="51"/>
      <w:bookmarkEnd w:id="52"/>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宋体" w:eastAsia="仿宋_GB2312" w:cs="宋体"/>
          <w:kern w:val="0"/>
          <w:sz w:val="32"/>
          <w:szCs w:val="32"/>
          <w:shd w:val="clear" w:color="auto" w:fill="FFFFFF"/>
          <w:lang w:val="en-US" w:eastAsia="zh-CN" w:bidi="ar"/>
        </w:rPr>
      </w:pPr>
      <w:r>
        <w:rPr>
          <w:rFonts w:hint="eastAsia" w:ascii="仿宋_GB2312" w:hAnsi="宋体" w:eastAsia="仿宋_GB2312" w:cs="宋体"/>
          <w:kern w:val="0"/>
          <w:sz w:val="32"/>
          <w:szCs w:val="32"/>
          <w:shd w:val="clear" w:color="auto" w:fill="FFFFFF"/>
          <w:lang w:val="en-US" w:eastAsia="zh-CN" w:bidi="ar"/>
        </w:rPr>
        <w:t>财政拨款收入：指市财政当年安排的财政预算收入。按现行管理制度，部门预算中反映的财政拨款包括一般公共预算拨款和政府性基金预算拨款。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宋体" w:eastAsia="仿宋_GB2312" w:cs="宋体"/>
          <w:kern w:val="0"/>
          <w:sz w:val="32"/>
          <w:szCs w:val="32"/>
          <w:shd w:val="clear" w:color="auto" w:fill="FFFFFF"/>
          <w:lang w:val="en-US" w:eastAsia="zh-CN" w:bidi="ar"/>
        </w:rPr>
      </w:pPr>
      <w:r>
        <w:rPr>
          <w:rFonts w:hint="eastAsia" w:ascii="仿宋_GB2312" w:hAnsi="宋体" w:eastAsia="仿宋_GB2312" w:cs="宋体"/>
          <w:kern w:val="0"/>
          <w:sz w:val="32"/>
          <w:szCs w:val="32"/>
          <w:shd w:val="clear" w:color="auto" w:fill="FFFFFF"/>
          <w:lang w:val="en-US" w:eastAsia="zh-CN" w:bidi="ar"/>
        </w:rPr>
        <w:t>其他收入：指除上述“一般公共预算拨款收入” “事业收入”等以外的收入。本单位其他收入为教育部、财政部拨付中央专项彩票公益金支持未成年人校外教育项目资金。</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宋体" w:eastAsia="仿宋_GB2312" w:cs="宋体"/>
          <w:kern w:val="0"/>
          <w:sz w:val="32"/>
          <w:szCs w:val="32"/>
          <w:shd w:val="clear" w:color="auto" w:fill="FFFFFF"/>
          <w:lang w:bidi="ar"/>
        </w:rPr>
      </w:pPr>
      <w:r>
        <w:rPr>
          <w:rFonts w:hint="eastAsia" w:ascii="仿宋_GB2312" w:hAnsi="宋体" w:eastAsia="仿宋_GB2312" w:cs="宋体"/>
          <w:kern w:val="0"/>
          <w:sz w:val="32"/>
          <w:szCs w:val="32"/>
          <w:shd w:val="clear" w:color="auto" w:fill="FFFFFF"/>
          <w:lang w:bidi="ar"/>
        </w:rPr>
        <w:t>教育支出（类）教育管理事务（款）其他教育管理事务支出（项）：指事业单位用于保障机构单位正常运转、开展日常工作等方面的经费支出。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社会保障和就业（类）行政事业单位养老支出（款）机关事业单位基本养老保险缴费支出（项）：指部门实施养老保险制度由单位缴纳的养老保险的支出。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卫生健康（类）行政事业单位医疗（款）事业单位医疗（项）：指事业单位用于单位应缴纳基本医疗保险支出。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住房保障（类）住房改革支出（款）住房公积金（项）：指按照《住房公积金管理条例》的规定，由单位及其在职职工缴存的长期住房储金。</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基本支出：指为保证机构正常运转</w:t>
      </w:r>
      <w:r>
        <w:rPr>
          <w:rFonts w:hint="eastAsia" w:ascii="仿宋_GB2312" w:hAnsi="仿宋_GB2312" w:eastAsia="仿宋_GB2312" w:cs="仿宋_GB2312"/>
          <w:sz w:val="32"/>
          <w:szCs w:val="32"/>
          <w:lang w:val="en-US" w:eastAsia="zh-CN"/>
        </w:rPr>
        <w:t>，完成日常工作任务而发生的人员支出和公用支出。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项目支出：指在基本支出之外为完成特定行政任务和事业发展目标所发生的支出。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三公”经费：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机关运行经费：为保障行</w:t>
      </w:r>
      <w:r>
        <w:rPr>
          <w:rFonts w:hint="eastAsia" w:ascii="仿宋_GB2312" w:hAnsi="仿宋_GB2312" w:eastAsia="仿宋_GB2312" w:cs="仿宋_GB2312"/>
          <w:sz w:val="32"/>
          <w:szCs w:val="32"/>
          <w:lang w:val="en-US" w:eastAsia="zh-CN"/>
        </w:rPr>
        <w:t>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附件：部门预算公开表</w:t>
      </w: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B0A1A3"/>
    <w:multiLevelType w:val="singleLevel"/>
    <w:tmpl w:val="15B0A1A3"/>
    <w:lvl w:ilvl="0" w:tentative="0">
      <w:start w:val="2"/>
      <w:numFmt w:val="chineseCounting"/>
      <w:suff w:val="nothing"/>
      <w:lvlText w:val="（%1）"/>
      <w:lvlJc w:val="left"/>
      <w:rPr>
        <w:rFonts w:hint="eastAsia"/>
      </w:rPr>
    </w:lvl>
  </w:abstractNum>
  <w:abstractNum w:abstractNumId="1">
    <w:nsid w:val="59FE1EB2"/>
    <w:multiLevelType w:val="singleLevel"/>
    <w:tmpl w:val="59FE1EB2"/>
    <w:lvl w:ilvl="0" w:tentative="0">
      <w:start w:val="1"/>
      <w:numFmt w:val="chineseCounting"/>
      <w:suff w:val="nothing"/>
      <w:lvlText w:val="（%1）"/>
      <w:lvlJc w:val="left"/>
      <w:pPr>
        <w:ind w:left="0" w:firstLine="420"/>
      </w:pPr>
      <w:rPr>
        <w:rFonts w:hint="eastAsia"/>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f4a20547-4aca-4b29-a490-ff79dcafaa35"/>
  </w:docVars>
  <w:rsids>
    <w:rsidRoot w:val="00000000"/>
    <w:rsid w:val="012352D1"/>
    <w:rsid w:val="014B66C2"/>
    <w:rsid w:val="0328539C"/>
    <w:rsid w:val="04204081"/>
    <w:rsid w:val="07E757DD"/>
    <w:rsid w:val="10853F48"/>
    <w:rsid w:val="12C30A38"/>
    <w:rsid w:val="13D1738A"/>
    <w:rsid w:val="1457788F"/>
    <w:rsid w:val="17A74A16"/>
    <w:rsid w:val="1A564222"/>
    <w:rsid w:val="1D9F113A"/>
    <w:rsid w:val="1F7BF06F"/>
    <w:rsid w:val="1FEE4B73"/>
    <w:rsid w:val="23CE9849"/>
    <w:rsid w:val="265A102C"/>
    <w:rsid w:val="2A7F1496"/>
    <w:rsid w:val="2BF832AE"/>
    <w:rsid w:val="2C591E3D"/>
    <w:rsid w:val="31472781"/>
    <w:rsid w:val="31957F8C"/>
    <w:rsid w:val="32FA3DAF"/>
    <w:rsid w:val="34DA1EC8"/>
    <w:rsid w:val="372799D5"/>
    <w:rsid w:val="37FC5ED4"/>
    <w:rsid w:val="392456E2"/>
    <w:rsid w:val="39F304DD"/>
    <w:rsid w:val="3FF10EAD"/>
    <w:rsid w:val="407E7DCE"/>
    <w:rsid w:val="41201061"/>
    <w:rsid w:val="444D22DC"/>
    <w:rsid w:val="462C1F72"/>
    <w:rsid w:val="4D857D45"/>
    <w:rsid w:val="526D37FE"/>
    <w:rsid w:val="53607807"/>
    <w:rsid w:val="53933C38"/>
    <w:rsid w:val="54244390"/>
    <w:rsid w:val="54662A63"/>
    <w:rsid w:val="54FB77E7"/>
    <w:rsid w:val="5512068D"/>
    <w:rsid w:val="5520724E"/>
    <w:rsid w:val="552A3C28"/>
    <w:rsid w:val="58064E12"/>
    <w:rsid w:val="5A5D3366"/>
    <w:rsid w:val="5AED1980"/>
    <w:rsid w:val="5B8878FB"/>
    <w:rsid w:val="5BFEE015"/>
    <w:rsid w:val="5C284A34"/>
    <w:rsid w:val="5DC1219E"/>
    <w:rsid w:val="5E826DDB"/>
    <w:rsid w:val="5F13397F"/>
    <w:rsid w:val="6029355C"/>
    <w:rsid w:val="63EDCF55"/>
    <w:rsid w:val="63FBFBCF"/>
    <w:rsid w:val="65870336"/>
    <w:rsid w:val="65EB11B2"/>
    <w:rsid w:val="669360FD"/>
    <w:rsid w:val="673873CA"/>
    <w:rsid w:val="68733660"/>
    <w:rsid w:val="68FF6A83"/>
    <w:rsid w:val="6931512E"/>
    <w:rsid w:val="6AEF6005"/>
    <w:rsid w:val="6D22788F"/>
    <w:rsid w:val="6E3DB48E"/>
    <w:rsid w:val="6E5932D7"/>
    <w:rsid w:val="6FBBC9CF"/>
    <w:rsid w:val="71BE59CD"/>
    <w:rsid w:val="71F64F7F"/>
    <w:rsid w:val="72BDE561"/>
    <w:rsid w:val="730D7029"/>
    <w:rsid w:val="744F272C"/>
    <w:rsid w:val="761F0029"/>
    <w:rsid w:val="78462278"/>
    <w:rsid w:val="798A16BF"/>
    <w:rsid w:val="7997EA6C"/>
    <w:rsid w:val="7AEAE675"/>
    <w:rsid w:val="7BAFCE5D"/>
    <w:rsid w:val="7D46598C"/>
    <w:rsid w:val="7D9F8F0F"/>
    <w:rsid w:val="7DFB240B"/>
    <w:rsid w:val="7DFE05E7"/>
    <w:rsid w:val="7E0935ED"/>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Indent"/>
    <w:basedOn w:val="1"/>
    <w:next w:val="5"/>
    <w:qFormat/>
    <w:uiPriority w:val="0"/>
    <w:pPr>
      <w:spacing w:after="120"/>
      <w:ind w:left="420" w:leftChars="200"/>
    </w:pPr>
  </w:style>
  <w:style w:type="paragraph" w:styleId="5">
    <w:name w:val="Body Text First Indent 2"/>
    <w:basedOn w:val="4"/>
    <w:next w:val="1"/>
    <w:qFormat/>
    <w:uiPriority w:val="0"/>
    <w:pPr>
      <w:spacing w:after="0"/>
      <w:ind w:firstLine="420" w:firstLineChars="200"/>
    </w:pPr>
    <w:rPr>
      <w:sz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iPriority w:val="0"/>
  </w:style>
  <w:style w:type="paragraph" w:styleId="9">
    <w:name w:val="List"/>
    <w:basedOn w:val="2"/>
    <w:qFormat/>
    <w:uiPriority w:val="0"/>
  </w:style>
  <w:style w:type="paragraph" w:styleId="10">
    <w:name w:val="toc 2"/>
    <w:basedOn w:val="1"/>
    <w:next w:val="1"/>
    <w:uiPriority w:val="0"/>
    <w:pPr>
      <w:ind w:left="420" w:leftChars="200"/>
    </w:pPr>
  </w:style>
  <w:style w:type="paragraph" w:styleId="11">
    <w:name w:val="Normal (Web)"/>
    <w:basedOn w:val="1"/>
    <w:qFormat/>
    <w:uiPriority w:val="0"/>
    <w:rPr>
      <w:sz w:val="24"/>
    </w:rPr>
  </w:style>
  <w:style w:type="character" w:customStyle="1" w:styleId="14">
    <w:name w:val="默认段落字体1"/>
    <w:qFormat/>
    <w:uiPriority w:val="0"/>
  </w:style>
  <w:style w:type="paragraph" w:customStyle="1" w:styleId="15">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character" w:customStyle="1" w:styleId="17">
    <w:name w:val="NormalCharacter"/>
    <w:semiHidden/>
    <w:qFormat/>
    <w:uiPriority w:val="0"/>
  </w:style>
  <w:style w:type="paragraph" w:customStyle="1" w:styleId="18">
    <w:name w:val="WPSOffice手动目录 1"/>
    <w:uiPriority w:val="0"/>
    <w:pPr>
      <w:ind w:leftChars="0"/>
    </w:pPr>
    <w:rPr>
      <w:rFonts w:ascii="Times New Roman" w:hAnsi="Times New Roman" w:eastAsia="宋体" w:cs="Times New Roman"/>
      <w:sz w:val="20"/>
      <w:szCs w:val="20"/>
    </w:rPr>
  </w:style>
  <w:style w:type="paragraph" w:customStyle="1" w:styleId="19">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3470</Words>
  <Characters>3776</Characters>
  <TotalTime>0</TotalTime>
  <ScaleCrop>false</ScaleCrop>
  <LinksUpToDate>false</LinksUpToDate>
  <CharactersWithSpaces>3864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dell</cp:lastModifiedBy>
  <dcterms:modified xsi:type="dcterms:W3CDTF">2024-03-03T15:29:45Z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