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广元市精神卫生中心</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pStyle w:val="2"/>
        <w:rPr>
          <w:rFonts w:hint="eastAsia"/>
          <w:lang w:val="en-US" w:eastAsia="zh-CN"/>
        </w:rPr>
      </w:pPr>
    </w:p>
    <w:sdt>
      <w:sdtPr>
        <w:rPr>
          <w:rFonts w:ascii="宋体" w:hAnsi="宋体" w:eastAsia="宋体" w:cs="Times New Roman"/>
          <w:color w:val="auto"/>
          <w:kern w:val="2"/>
          <w:sz w:val="21"/>
          <w:szCs w:val="24"/>
          <w:highlight w:val="none"/>
          <w:lang w:val="en-US" w:eastAsia="zh-CN" w:bidi="ar-SA"/>
        </w:rPr>
        <w:id w:val="147472240"/>
        <w15:color w:val="DBDBDB"/>
        <w:docPartObj>
          <w:docPartGallery w:val="Table of Contents"/>
          <w:docPartUnique/>
        </w:docPartObj>
      </w:sdtPr>
      <w:sdtEndPr>
        <w:rPr>
          <w:rFonts w:hint="eastAsia" w:ascii="黑体" w:hAnsi="黑体" w:eastAsia="黑体" w:cs="黑体"/>
          <w:b/>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sdtEndPr>
      <w:sdtContent>
        <w:p>
          <w:pPr>
            <w:shd w:val="clea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highlight w:val="none"/>
              <w:lang w:val="en-US" w:eastAsia="zh-CN" w:bidi="ar-SA"/>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36"/>
              <w:szCs w:val="36"/>
              <w:highlight w:val="none"/>
              <w:shd w:val="clear" w:color="auto" w:fill="FFFFFF"/>
              <w:lang w:val="en-US" w:eastAsia="zh-CN" w:bidi="ar"/>
              <w14:textFill>
                <w14:solidFill>
                  <w14:schemeClr w14:val="tx1"/>
                </w14:solidFill>
              </w14:textFill>
            </w:rPr>
            <w:t>目录</w:t>
          </w:r>
        </w:p>
        <w:p>
          <w:pPr>
            <w:pStyle w:val="8"/>
            <w:shd w:val="clear"/>
            <w:tabs>
              <w:tab w:val="right" w:leader="dot" w:pos="8845"/>
            </w:tabs>
            <w:rPr>
              <w:sz w:val="32"/>
              <w:szCs w:val="32"/>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instrText xml:space="preserve">TOC \o "1-2" \h \u </w:instrText>
          </w: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separate"/>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_Toc1680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黑体" w:hAnsi="黑体" w:eastAsia="黑体" w:cs="黑体"/>
              <w:sz w:val="32"/>
              <w:szCs w:val="32"/>
              <w:lang w:val="en-US" w:eastAsia="zh-CN"/>
            </w:rPr>
            <w:t>一、基本职能及主要工作</w:t>
          </w:r>
          <w:r>
            <w:rPr>
              <w:sz w:val="32"/>
              <w:szCs w:val="32"/>
            </w:rPr>
            <w:tab/>
          </w:r>
          <w:r>
            <w:rPr>
              <w:sz w:val="32"/>
              <w:szCs w:val="32"/>
            </w:rPr>
            <w:fldChar w:fldCharType="begin"/>
          </w:r>
          <w:r>
            <w:rPr>
              <w:sz w:val="32"/>
              <w:szCs w:val="32"/>
            </w:rPr>
            <w:instrText xml:space="preserve"> PAGEREF _Toc1680 \h </w:instrText>
          </w:r>
          <w:r>
            <w:rPr>
              <w:sz w:val="32"/>
              <w:szCs w:val="32"/>
            </w:rPr>
            <w:fldChar w:fldCharType="separate"/>
          </w:r>
          <w:r>
            <w:rPr>
              <w:sz w:val="32"/>
              <w:szCs w:val="32"/>
            </w:rPr>
            <w:t>1</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0"/>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_Toc22626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广元市精神卫生中心</w:t>
          </w:r>
          <w:r>
            <w:rPr>
              <w:rFonts w:hint="eastAsia" w:ascii="楷体_GB2312" w:hAnsi="楷体_GB2312" w:eastAsia="楷体_GB2312" w:cs="楷体_GB2312"/>
              <w:sz w:val="32"/>
              <w:szCs w:val="32"/>
            </w:rPr>
            <w:t>职能简介</w:t>
          </w:r>
          <w:r>
            <w:rPr>
              <w:sz w:val="32"/>
              <w:szCs w:val="32"/>
            </w:rPr>
            <w:tab/>
          </w:r>
          <w:r>
            <w:rPr>
              <w:sz w:val="32"/>
              <w:szCs w:val="32"/>
            </w:rPr>
            <w:fldChar w:fldCharType="begin"/>
          </w:r>
          <w:r>
            <w:rPr>
              <w:sz w:val="32"/>
              <w:szCs w:val="32"/>
            </w:rPr>
            <w:instrText xml:space="preserve"> PAGEREF _Toc22626 \h </w:instrText>
          </w:r>
          <w:r>
            <w:rPr>
              <w:sz w:val="32"/>
              <w:szCs w:val="32"/>
            </w:rPr>
            <w:fldChar w:fldCharType="separate"/>
          </w:r>
          <w:r>
            <w:rPr>
              <w:sz w:val="32"/>
              <w:szCs w:val="32"/>
            </w:rPr>
            <w:t>1</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0"/>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_Toc1762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楷体_GB2312" w:hAnsi="楷体_GB2312" w:eastAsia="楷体_GB2312" w:cs="楷体_GB2312"/>
              <w:sz w:val="32"/>
              <w:szCs w:val="32"/>
              <w:highlight w:val="none"/>
            </w:rPr>
            <w:t>（二）</w:t>
          </w:r>
          <w:r>
            <w:rPr>
              <w:rFonts w:hint="eastAsia" w:ascii="楷体_GB2312" w:hAnsi="楷体_GB2312" w:eastAsia="楷体_GB2312" w:cs="楷体_GB2312"/>
              <w:sz w:val="32"/>
              <w:szCs w:val="32"/>
              <w:highlight w:val="none"/>
              <w:lang w:val="en-US" w:eastAsia="zh-CN"/>
            </w:rPr>
            <w:t>广元市精神卫生中心</w:t>
          </w:r>
          <w:r>
            <w:rPr>
              <w:rFonts w:hint="eastAsia" w:ascii="楷体_GB2312" w:hAnsi="楷体_GB2312" w:eastAsia="楷体_GB2312" w:cs="楷体_GB2312"/>
              <w:sz w:val="32"/>
              <w:szCs w:val="32"/>
              <w:highlight w:val="none"/>
              <w:lang w:val="en-US"/>
            </w:rPr>
            <w:t>2024</w:t>
          </w:r>
          <w:r>
            <w:rPr>
              <w:rFonts w:hint="eastAsia" w:ascii="楷体_GB2312" w:hAnsi="楷体_GB2312" w:eastAsia="楷体_GB2312" w:cs="楷体_GB2312"/>
              <w:sz w:val="32"/>
              <w:szCs w:val="32"/>
              <w:highlight w:val="none"/>
            </w:rPr>
            <w:t>年重点工作</w:t>
          </w:r>
          <w:r>
            <w:rPr>
              <w:sz w:val="32"/>
              <w:szCs w:val="32"/>
              <w:highlight w:val="none"/>
            </w:rPr>
            <w:tab/>
          </w:r>
          <w:r>
            <w:rPr>
              <w:sz w:val="32"/>
              <w:szCs w:val="32"/>
            </w:rPr>
            <w:fldChar w:fldCharType="begin"/>
          </w:r>
          <w:r>
            <w:rPr>
              <w:sz w:val="32"/>
              <w:szCs w:val="32"/>
            </w:rPr>
            <w:instrText xml:space="preserve"> PAGEREF _Toc1762 \h </w:instrText>
          </w:r>
          <w:r>
            <w:rPr>
              <w:sz w:val="32"/>
              <w:szCs w:val="32"/>
            </w:rPr>
            <w:fldChar w:fldCharType="separate"/>
          </w:r>
          <w:r>
            <w:rPr>
              <w:sz w:val="32"/>
              <w:szCs w:val="32"/>
            </w:rPr>
            <w:t>2</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_Toc25836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黑体" w:hAnsi="黑体" w:eastAsia="黑体" w:cs="黑体"/>
              <w:sz w:val="32"/>
              <w:szCs w:val="32"/>
              <w:lang w:val="en-US" w:eastAsia="zh-CN"/>
            </w:rPr>
            <w:t>二、单位预算构成</w:t>
          </w:r>
          <w:r>
            <w:rPr>
              <w:sz w:val="32"/>
              <w:szCs w:val="32"/>
            </w:rPr>
            <w:tab/>
          </w:r>
          <w:r>
            <w:rPr>
              <w:sz w:val="32"/>
              <w:szCs w:val="32"/>
            </w:rPr>
            <w:fldChar w:fldCharType="begin"/>
          </w:r>
          <w:r>
            <w:rPr>
              <w:sz w:val="32"/>
              <w:szCs w:val="32"/>
            </w:rPr>
            <w:instrText xml:space="preserve"> PAGEREF _Toc25836 \h </w:instrText>
          </w:r>
          <w:r>
            <w:rPr>
              <w:sz w:val="32"/>
              <w:szCs w:val="32"/>
            </w:rPr>
            <w:fldChar w:fldCharType="separate"/>
          </w:r>
          <w:r>
            <w:rPr>
              <w:sz w:val="32"/>
              <w:szCs w:val="32"/>
            </w:rPr>
            <w:t>6</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_Toc19930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黑体" w:hAnsi="黑体" w:eastAsia="黑体" w:cs="黑体"/>
              <w:sz w:val="32"/>
              <w:szCs w:val="32"/>
              <w:lang w:val="en-US" w:eastAsia="zh-CN"/>
            </w:rPr>
            <w:t>三、收支预算情况说明</w:t>
          </w:r>
          <w:r>
            <w:rPr>
              <w:sz w:val="32"/>
              <w:szCs w:val="32"/>
            </w:rPr>
            <w:tab/>
          </w:r>
          <w:r>
            <w:rPr>
              <w:sz w:val="32"/>
              <w:szCs w:val="32"/>
            </w:rPr>
            <w:fldChar w:fldCharType="begin"/>
          </w:r>
          <w:r>
            <w:rPr>
              <w:sz w:val="32"/>
              <w:szCs w:val="32"/>
            </w:rPr>
            <w:instrText xml:space="preserve"> PAGEREF _Toc19930 \h </w:instrText>
          </w:r>
          <w:r>
            <w:rPr>
              <w:sz w:val="32"/>
              <w:szCs w:val="32"/>
            </w:rPr>
            <w:fldChar w:fldCharType="separate"/>
          </w:r>
          <w:r>
            <w:rPr>
              <w:sz w:val="32"/>
              <w:szCs w:val="32"/>
            </w:rPr>
            <w:t>6</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0"/>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_Toc2783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楷体_GB2312" w:hAnsi="楷体_GB2312" w:eastAsia="楷体_GB2312" w:cs="楷体_GB2312"/>
              <w:sz w:val="32"/>
              <w:szCs w:val="32"/>
              <w:lang w:val="en-US" w:eastAsia="zh-CN"/>
            </w:rPr>
            <w:t>（一）收入预算情况</w:t>
          </w:r>
          <w:r>
            <w:rPr>
              <w:sz w:val="32"/>
              <w:szCs w:val="32"/>
            </w:rPr>
            <w:tab/>
          </w:r>
          <w:r>
            <w:rPr>
              <w:sz w:val="32"/>
              <w:szCs w:val="32"/>
            </w:rPr>
            <w:fldChar w:fldCharType="begin"/>
          </w:r>
          <w:r>
            <w:rPr>
              <w:sz w:val="32"/>
              <w:szCs w:val="32"/>
            </w:rPr>
            <w:instrText xml:space="preserve"> PAGEREF _Toc2783 \h </w:instrText>
          </w:r>
          <w:r>
            <w:rPr>
              <w:sz w:val="32"/>
              <w:szCs w:val="32"/>
            </w:rPr>
            <w:fldChar w:fldCharType="separate"/>
          </w:r>
          <w:r>
            <w:rPr>
              <w:sz w:val="32"/>
              <w:szCs w:val="32"/>
            </w:rPr>
            <w:t>7</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0"/>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_Toc10648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楷体_GB2312" w:hAnsi="楷体_GB2312" w:eastAsia="楷体_GB2312" w:cs="楷体_GB2312"/>
              <w:sz w:val="32"/>
              <w:szCs w:val="32"/>
              <w:lang w:val="en-US" w:eastAsia="zh-CN"/>
            </w:rPr>
            <w:t>（二）支出预算情况</w:t>
          </w:r>
          <w:r>
            <w:rPr>
              <w:sz w:val="32"/>
              <w:szCs w:val="32"/>
            </w:rPr>
            <w:tab/>
          </w:r>
          <w:r>
            <w:rPr>
              <w:sz w:val="32"/>
              <w:szCs w:val="32"/>
            </w:rPr>
            <w:fldChar w:fldCharType="begin"/>
          </w:r>
          <w:r>
            <w:rPr>
              <w:sz w:val="32"/>
              <w:szCs w:val="32"/>
            </w:rPr>
            <w:instrText xml:space="preserve"> PAGEREF _Toc10648 \h </w:instrText>
          </w:r>
          <w:r>
            <w:rPr>
              <w:sz w:val="32"/>
              <w:szCs w:val="32"/>
            </w:rPr>
            <w:fldChar w:fldCharType="separate"/>
          </w:r>
          <w:r>
            <w:rPr>
              <w:sz w:val="32"/>
              <w:szCs w:val="32"/>
            </w:rPr>
            <w:t>7</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_Toc21638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黑体" w:hAnsi="黑体" w:eastAsia="黑体" w:cs="黑体"/>
              <w:sz w:val="32"/>
              <w:szCs w:val="32"/>
              <w:lang w:val="en-US" w:eastAsia="zh-CN"/>
            </w:rPr>
            <w:t>四、财政拨款收支预算情况说明</w:t>
          </w:r>
          <w:r>
            <w:rPr>
              <w:sz w:val="32"/>
              <w:szCs w:val="32"/>
            </w:rPr>
            <w:tab/>
          </w:r>
          <w:r>
            <w:rPr>
              <w:sz w:val="32"/>
              <w:szCs w:val="32"/>
            </w:rPr>
            <w:fldChar w:fldCharType="begin"/>
          </w:r>
          <w:r>
            <w:rPr>
              <w:sz w:val="32"/>
              <w:szCs w:val="32"/>
            </w:rPr>
            <w:instrText xml:space="preserve"> PAGEREF _Toc21638 \h </w:instrText>
          </w:r>
          <w:r>
            <w:rPr>
              <w:sz w:val="32"/>
              <w:szCs w:val="32"/>
            </w:rPr>
            <w:fldChar w:fldCharType="separate"/>
          </w:r>
          <w:r>
            <w:rPr>
              <w:sz w:val="32"/>
              <w:szCs w:val="32"/>
            </w:rPr>
            <w:t>7</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_Toc25886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黑体" w:hAnsi="黑体" w:eastAsia="黑体" w:cs="黑体"/>
              <w:sz w:val="32"/>
              <w:szCs w:val="32"/>
              <w:lang w:val="en-US" w:eastAsia="zh-CN"/>
            </w:rPr>
            <w:t>五、一般公共预算当年拨款情况说明</w:t>
          </w:r>
          <w:r>
            <w:rPr>
              <w:sz w:val="32"/>
              <w:szCs w:val="32"/>
            </w:rPr>
            <w:tab/>
          </w:r>
          <w:r>
            <w:rPr>
              <w:sz w:val="32"/>
              <w:szCs w:val="32"/>
            </w:rPr>
            <w:fldChar w:fldCharType="begin"/>
          </w:r>
          <w:r>
            <w:rPr>
              <w:sz w:val="32"/>
              <w:szCs w:val="32"/>
            </w:rPr>
            <w:instrText xml:space="preserve"> PAGEREF _Toc25886 \h </w:instrText>
          </w:r>
          <w:r>
            <w:rPr>
              <w:sz w:val="32"/>
              <w:szCs w:val="32"/>
            </w:rPr>
            <w:fldChar w:fldCharType="separate"/>
          </w:r>
          <w:r>
            <w:rPr>
              <w:sz w:val="32"/>
              <w:szCs w:val="32"/>
            </w:rPr>
            <w:t>7</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0"/>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_Toc19231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楷体_GB2312" w:hAnsi="楷体_GB2312" w:eastAsia="楷体_GB2312" w:cs="楷体_GB2312"/>
              <w:sz w:val="32"/>
              <w:szCs w:val="32"/>
              <w:lang w:val="en-US" w:eastAsia="zh-CN"/>
            </w:rPr>
            <w:t>（一）一般公共预算当年拨款规模变化情况</w:t>
          </w:r>
          <w:r>
            <w:rPr>
              <w:sz w:val="32"/>
              <w:szCs w:val="32"/>
            </w:rPr>
            <w:tab/>
          </w:r>
          <w:r>
            <w:rPr>
              <w:sz w:val="32"/>
              <w:szCs w:val="32"/>
            </w:rPr>
            <w:fldChar w:fldCharType="begin"/>
          </w:r>
          <w:r>
            <w:rPr>
              <w:sz w:val="32"/>
              <w:szCs w:val="32"/>
            </w:rPr>
            <w:instrText xml:space="preserve"> PAGEREF _Toc19231 \h </w:instrText>
          </w:r>
          <w:r>
            <w:rPr>
              <w:sz w:val="32"/>
              <w:szCs w:val="32"/>
            </w:rPr>
            <w:fldChar w:fldCharType="separate"/>
          </w:r>
          <w:r>
            <w:rPr>
              <w:sz w:val="32"/>
              <w:szCs w:val="32"/>
            </w:rPr>
            <w:t>7</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0"/>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_Toc11759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楷体_GB2312" w:hAnsi="楷体_GB2312" w:eastAsia="楷体_GB2312" w:cs="楷体_GB2312"/>
              <w:sz w:val="32"/>
              <w:szCs w:val="32"/>
              <w:lang w:val="en-US" w:eastAsia="zh-CN"/>
            </w:rPr>
            <w:t>（二）一般公共预算当年拨款结构情况</w:t>
          </w:r>
          <w:r>
            <w:rPr>
              <w:sz w:val="32"/>
              <w:szCs w:val="32"/>
            </w:rPr>
            <w:tab/>
          </w:r>
          <w:r>
            <w:rPr>
              <w:sz w:val="32"/>
              <w:szCs w:val="32"/>
            </w:rPr>
            <w:fldChar w:fldCharType="begin"/>
          </w:r>
          <w:r>
            <w:rPr>
              <w:sz w:val="32"/>
              <w:szCs w:val="32"/>
            </w:rPr>
            <w:instrText xml:space="preserve"> PAGEREF _Toc11759 \h </w:instrText>
          </w:r>
          <w:r>
            <w:rPr>
              <w:sz w:val="32"/>
              <w:szCs w:val="32"/>
            </w:rPr>
            <w:fldChar w:fldCharType="separate"/>
          </w:r>
          <w:r>
            <w:rPr>
              <w:sz w:val="32"/>
              <w:szCs w:val="32"/>
            </w:rPr>
            <w:t>8</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0"/>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_Toc29300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楷体_GB2312" w:hAnsi="楷体_GB2312" w:eastAsia="楷体_GB2312" w:cs="楷体_GB2312"/>
              <w:sz w:val="32"/>
              <w:szCs w:val="32"/>
              <w:lang w:val="en-US" w:eastAsia="zh-CN"/>
            </w:rPr>
            <w:t>（三）一般公共预算当年拨款具体使用情况</w:t>
          </w:r>
          <w:r>
            <w:rPr>
              <w:sz w:val="32"/>
              <w:szCs w:val="32"/>
            </w:rPr>
            <w:tab/>
          </w:r>
          <w:r>
            <w:rPr>
              <w:sz w:val="32"/>
              <w:szCs w:val="32"/>
            </w:rPr>
            <w:fldChar w:fldCharType="begin"/>
          </w:r>
          <w:r>
            <w:rPr>
              <w:sz w:val="32"/>
              <w:szCs w:val="32"/>
            </w:rPr>
            <w:instrText xml:space="preserve"> PAGEREF _Toc29300 \h </w:instrText>
          </w:r>
          <w:r>
            <w:rPr>
              <w:sz w:val="32"/>
              <w:szCs w:val="32"/>
            </w:rPr>
            <w:fldChar w:fldCharType="separate"/>
          </w:r>
          <w:r>
            <w:rPr>
              <w:sz w:val="32"/>
              <w:szCs w:val="32"/>
            </w:rPr>
            <w:t>8</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_Toc7097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黑体" w:hAnsi="黑体" w:eastAsia="黑体" w:cs="黑体"/>
              <w:sz w:val="32"/>
              <w:szCs w:val="32"/>
              <w:lang w:val="en-US" w:eastAsia="zh-CN"/>
            </w:rPr>
            <w:t>六、一般公共预算基本支出情况说明</w:t>
          </w:r>
          <w:r>
            <w:rPr>
              <w:sz w:val="32"/>
              <w:szCs w:val="32"/>
            </w:rPr>
            <w:tab/>
          </w:r>
          <w:r>
            <w:rPr>
              <w:sz w:val="32"/>
              <w:szCs w:val="32"/>
            </w:rPr>
            <w:fldChar w:fldCharType="begin"/>
          </w:r>
          <w:r>
            <w:rPr>
              <w:sz w:val="32"/>
              <w:szCs w:val="32"/>
            </w:rPr>
            <w:instrText xml:space="preserve"> PAGEREF _Toc7097 \h </w:instrText>
          </w:r>
          <w:r>
            <w:rPr>
              <w:sz w:val="32"/>
              <w:szCs w:val="32"/>
            </w:rPr>
            <w:fldChar w:fldCharType="separate"/>
          </w:r>
          <w:r>
            <w:rPr>
              <w:sz w:val="32"/>
              <w:szCs w:val="32"/>
            </w:rPr>
            <w:t>9</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_Toc16987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黑体" w:hAnsi="黑体" w:eastAsia="黑体" w:cs="黑体"/>
              <w:sz w:val="32"/>
              <w:szCs w:val="32"/>
              <w:lang w:val="en-US" w:eastAsia="zh-CN"/>
            </w:rPr>
            <w:t>七、“三公”经费财政拨款预算安排情况说明</w:t>
          </w:r>
          <w:r>
            <w:rPr>
              <w:sz w:val="32"/>
              <w:szCs w:val="32"/>
            </w:rPr>
            <w:tab/>
          </w:r>
          <w:r>
            <w:rPr>
              <w:sz w:val="32"/>
              <w:szCs w:val="32"/>
            </w:rPr>
            <w:fldChar w:fldCharType="begin"/>
          </w:r>
          <w:r>
            <w:rPr>
              <w:sz w:val="32"/>
              <w:szCs w:val="32"/>
            </w:rPr>
            <w:instrText xml:space="preserve"> PAGEREF _Toc16987 \h </w:instrText>
          </w:r>
          <w:r>
            <w:rPr>
              <w:sz w:val="32"/>
              <w:szCs w:val="32"/>
            </w:rPr>
            <w:fldChar w:fldCharType="separate"/>
          </w:r>
          <w:r>
            <w:rPr>
              <w:sz w:val="32"/>
              <w:szCs w:val="32"/>
            </w:rPr>
            <w:t>9</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0"/>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_Toc4690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楷体_GB2312" w:hAnsi="楷体_GB2312" w:eastAsia="楷体_GB2312" w:cs="楷体_GB2312"/>
              <w:sz w:val="32"/>
              <w:szCs w:val="32"/>
              <w:lang w:val="en-US" w:eastAsia="zh-CN"/>
            </w:rPr>
            <w:t>（一）公务接待费</w:t>
          </w:r>
          <w:r>
            <w:rPr>
              <w:sz w:val="32"/>
              <w:szCs w:val="32"/>
            </w:rPr>
            <w:tab/>
          </w:r>
          <w:r>
            <w:rPr>
              <w:sz w:val="32"/>
              <w:szCs w:val="32"/>
            </w:rPr>
            <w:fldChar w:fldCharType="begin"/>
          </w:r>
          <w:r>
            <w:rPr>
              <w:sz w:val="32"/>
              <w:szCs w:val="32"/>
            </w:rPr>
            <w:instrText xml:space="preserve"> PAGEREF _Toc4690 \h </w:instrText>
          </w:r>
          <w:r>
            <w:rPr>
              <w:sz w:val="32"/>
              <w:szCs w:val="32"/>
            </w:rPr>
            <w:fldChar w:fldCharType="separate"/>
          </w:r>
          <w:r>
            <w:rPr>
              <w:sz w:val="32"/>
              <w:szCs w:val="32"/>
            </w:rPr>
            <w:t>9</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0"/>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_Toc5448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楷体_GB2312" w:hAnsi="楷体_GB2312" w:eastAsia="楷体_GB2312" w:cs="楷体_GB2312"/>
              <w:sz w:val="32"/>
              <w:szCs w:val="32"/>
              <w:lang w:val="en-US" w:eastAsia="zh-CN"/>
            </w:rPr>
            <w:t>（二） 公务用车购置及运行维护费</w:t>
          </w:r>
          <w:r>
            <w:rPr>
              <w:sz w:val="32"/>
              <w:szCs w:val="32"/>
            </w:rPr>
            <w:tab/>
          </w:r>
          <w:r>
            <w:rPr>
              <w:sz w:val="32"/>
              <w:szCs w:val="32"/>
            </w:rPr>
            <w:fldChar w:fldCharType="begin"/>
          </w:r>
          <w:r>
            <w:rPr>
              <w:sz w:val="32"/>
              <w:szCs w:val="32"/>
            </w:rPr>
            <w:instrText xml:space="preserve"> PAGEREF _Toc5448 \h </w:instrText>
          </w:r>
          <w:r>
            <w:rPr>
              <w:sz w:val="32"/>
              <w:szCs w:val="32"/>
            </w:rPr>
            <w:fldChar w:fldCharType="separate"/>
          </w:r>
          <w:r>
            <w:rPr>
              <w:sz w:val="32"/>
              <w:szCs w:val="32"/>
            </w:rPr>
            <w:t>9</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0"/>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_Toc14472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r>
            <w:rPr>
              <w:sz w:val="32"/>
              <w:szCs w:val="32"/>
            </w:rPr>
            <w:tab/>
          </w:r>
          <w:r>
            <w:rPr>
              <w:sz w:val="32"/>
              <w:szCs w:val="32"/>
            </w:rPr>
            <w:fldChar w:fldCharType="begin"/>
          </w:r>
          <w:r>
            <w:rPr>
              <w:sz w:val="32"/>
              <w:szCs w:val="32"/>
            </w:rPr>
            <w:instrText xml:space="preserve"> PAGEREF _Toc14472 \h </w:instrText>
          </w:r>
          <w:r>
            <w:rPr>
              <w:sz w:val="32"/>
              <w:szCs w:val="32"/>
            </w:rPr>
            <w:fldChar w:fldCharType="separate"/>
          </w:r>
          <w:r>
            <w:rPr>
              <w:sz w:val="32"/>
              <w:szCs w:val="32"/>
            </w:rPr>
            <w:t>10</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_Toc31823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黑体" w:hAnsi="黑体" w:eastAsia="黑体" w:cs="黑体"/>
              <w:sz w:val="32"/>
              <w:szCs w:val="32"/>
              <w:lang w:val="en-US" w:eastAsia="zh-CN"/>
            </w:rPr>
            <w:t>八、政府性基金预算支出情况说明</w:t>
          </w:r>
          <w:r>
            <w:rPr>
              <w:sz w:val="32"/>
              <w:szCs w:val="32"/>
            </w:rPr>
            <w:tab/>
          </w:r>
          <w:r>
            <w:rPr>
              <w:sz w:val="32"/>
              <w:szCs w:val="32"/>
            </w:rPr>
            <w:fldChar w:fldCharType="begin"/>
          </w:r>
          <w:r>
            <w:rPr>
              <w:sz w:val="32"/>
              <w:szCs w:val="32"/>
            </w:rPr>
            <w:instrText xml:space="preserve"> PAGEREF _Toc31823 \h </w:instrText>
          </w:r>
          <w:r>
            <w:rPr>
              <w:sz w:val="32"/>
              <w:szCs w:val="32"/>
            </w:rPr>
            <w:fldChar w:fldCharType="separate"/>
          </w:r>
          <w:r>
            <w:rPr>
              <w:sz w:val="32"/>
              <w:szCs w:val="32"/>
            </w:rPr>
            <w:t>10</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_Toc21146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黑体" w:hAnsi="黑体" w:eastAsia="黑体" w:cs="黑体"/>
              <w:sz w:val="32"/>
              <w:szCs w:val="32"/>
              <w:lang w:val="en-US" w:eastAsia="zh-CN"/>
            </w:rPr>
            <w:t>九、国有资本经营预算支出情况说明</w:t>
          </w:r>
          <w:r>
            <w:rPr>
              <w:sz w:val="32"/>
              <w:szCs w:val="32"/>
            </w:rPr>
            <w:tab/>
          </w:r>
          <w:r>
            <w:rPr>
              <w:sz w:val="32"/>
              <w:szCs w:val="32"/>
            </w:rPr>
            <w:fldChar w:fldCharType="begin"/>
          </w:r>
          <w:r>
            <w:rPr>
              <w:sz w:val="32"/>
              <w:szCs w:val="32"/>
            </w:rPr>
            <w:instrText xml:space="preserve"> PAGEREF _Toc21146 \h </w:instrText>
          </w:r>
          <w:r>
            <w:rPr>
              <w:sz w:val="32"/>
              <w:szCs w:val="32"/>
            </w:rPr>
            <w:fldChar w:fldCharType="separate"/>
          </w:r>
          <w:r>
            <w:rPr>
              <w:sz w:val="32"/>
              <w:szCs w:val="32"/>
            </w:rPr>
            <w:t>10</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_Toc11331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黑体" w:hAnsi="黑体" w:eastAsia="黑体" w:cs="黑体"/>
              <w:sz w:val="32"/>
              <w:szCs w:val="32"/>
              <w:lang w:val="en-US" w:eastAsia="zh-CN"/>
            </w:rPr>
            <w:t>十、其他重要事项的情况说明</w:t>
          </w:r>
          <w:r>
            <w:rPr>
              <w:sz w:val="32"/>
              <w:szCs w:val="32"/>
            </w:rPr>
            <w:tab/>
          </w:r>
          <w:r>
            <w:rPr>
              <w:sz w:val="32"/>
              <w:szCs w:val="32"/>
            </w:rPr>
            <w:fldChar w:fldCharType="begin"/>
          </w:r>
          <w:r>
            <w:rPr>
              <w:sz w:val="32"/>
              <w:szCs w:val="32"/>
            </w:rPr>
            <w:instrText xml:space="preserve"> PAGEREF _Toc11331 \h </w:instrText>
          </w:r>
          <w:r>
            <w:rPr>
              <w:sz w:val="32"/>
              <w:szCs w:val="32"/>
            </w:rPr>
            <w:fldChar w:fldCharType="separate"/>
          </w:r>
          <w:r>
            <w:rPr>
              <w:sz w:val="32"/>
              <w:szCs w:val="32"/>
            </w:rPr>
            <w:t>10</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0"/>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_Toc1367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楷体_GB2312" w:hAnsi="楷体_GB2312" w:eastAsia="楷体_GB2312" w:cs="楷体_GB2312"/>
              <w:sz w:val="32"/>
              <w:szCs w:val="32"/>
              <w:lang w:val="en-US" w:eastAsia="zh-CN"/>
            </w:rPr>
            <w:t>（一）机关运行经费</w:t>
          </w:r>
          <w:r>
            <w:rPr>
              <w:sz w:val="32"/>
              <w:szCs w:val="32"/>
            </w:rPr>
            <w:tab/>
          </w:r>
          <w:r>
            <w:rPr>
              <w:sz w:val="32"/>
              <w:szCs w:val="32"/>
            </w:rPr>
            <w:fldChar w:fldCharType="begin"/>
          </w:r>
          <w:r>
            <w:rPr>
              <w:sz w:val="32"/>
              <w:szCs w:val="32"/>
            </w:rPr>
            <w:instrText xml:space="preserve"> PAGEREF _Toc1367 \h </w:instrText>
          </w:r>
          <w:r>
            <w:rPr>
              <w:sz w:val="32"/>
              <w:szCs w:val="32"/>
            </w:rPr>
            <w:fldChar w:fldCharType="separate"/>
          </w:r>
          <w:r>
            <w:rPr>
              <w:sz w:val="32"/>
              <w:szCs w:val="32"/>
            </w:rPr>
            <w:t>10</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0"/>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_Toc5344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楷体_GB2312" w:hAnsi="楷体_GB2312" w:eastAsia="楷体_GB2312" w:cs="楷体_GB2312"/>
              <w:sz w:val="32"/>
              <w:szCs w:val="32"/>
              <w:lang w:val="en-US" w:eastAsia="zh-CN"/>
            </w:rPr>
            <w:t>（二）政府采购情况</w:t>
          </w:r>
          <w:r>
            <w:rPr>
              <w:sz w:val="32"/>
              <w:szCs w:val="32"/>
            </w:rPr>
            <w:tab/>
          </w:r>
          <w:r>
            <w:rPr>
              <w:sz w:val="32"/>
              <w:szCs w:val="32"/>
            </w:rPr>
            <w:fldChar w:fldCharType="begin"/>
          </w:r>
          <w:r>
            <w:rPr>
              <w:sz w:val="32"/>
              <w:szCs w:val="32"/>
            </w:rPr>
            <w:instrText xml:space="preserve"> PAGEREF _Toc5344 \h </w:instrText>
          </w:r>
          <w:r>
            <w:rPr>
              <w:sz w:val="32"/>
              <w:szCs w:val="32"/>
            </w:rPr>
            <w:fldChar w:fldCharType="separate"/>
          </w:r>
          <w:r>
            <w:rPr>
              <w:sz w:val="32"/>
              <w:szCs w:val="32"/>
            </w:rPr>
            <w:t>10</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0"/>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_Toc28456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楷体_GB2312" w:hAnsi="楷体_GB2312" w:eastAsia="楷体_GB2312" w:cs="楷体_GB2312"/>
              <w:sz w:val="32"/>
              <w:szCs w:val="32"/>
              <w:lang w:val="en-US" w:eastAsia="zh-CN"/>
            </w:rPr>
            <w:t>（三）国有资产占有使用情况</w:t>
          </w:r>
          <w:r>
            <w:rPr>
              <w:sz w:val="32"/>
              <w:szCs w:val="32"/>
            </w:rPr>
            <w:tab/>
          </w:r>
          <w:r>
            <w:rPr>
              <w:sz w:val="32"/>
              <w:szCs w:val="32"/>
            </w:rPr>
            <w:fldChar w:fldCharType="begin"/>
          </w:r>
          <w:r>
            <w:rPr>
              <w:sz w:val="32"/>
              <w:szCs w:val="32"/>
            </w:rPr>
            <w:instrText xml:space="preserve"> PAGEREF _Toc28456 \h </w:instrText>
          </w:r>
          <w:r>
            <w:rPr>
              <w:sz w:val="32"/>
              <w:szCs w:val="32"/>
            </w:rPr>
            <w:fldChar w:fldCharType="separate"/>
          </w:r>
          <w:r>
            <w:rPr>
              <w:sz w:val="32"/>
              <w:szCs w:val="32"/>
            </w:rPr>
            <w:t>10</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0"/>
            <w:shd w:val="clear"/>
            <w:tabs>
              <w:tab w:val="right" w:leader="dot" w:pos="8845"/>
            </w:tabs>
            <w:rPr>
              <w:sz w:val="32"/>
              <w:szCs w:val="32"/>
            </w:rPr>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_Toc31256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楷体_GB2312" w:hAnsi="楷体_GB2312" w:eastAsia="楷体_GB2312" w:cs="楷体_GB2312"/>
              <w:sz w:val="32"/>
              <w:szCs w:val="32"/>
              <w:lang w:val="en-US" w:eastAsia="zh-CN"/>
            </w:rPr>
            <w:t>（四）绩效目标设置情况</w:t>
          </w:r>
          <w:r>
            <w:rPr>
              <w:sz w:val="32"/>
              <w:szCs w:val="32"/>
            </w:rPr>
            <w:tab/>
          </w:r>
          <w:r>
            <w:rPr>
              <w:sz w:val="32"/>
              <w:szCs w:val="32"/>
            </w:rPr>
            <w:fldChar w:fldCharType="begin"/>
          </w:r>
          <w:r>
            <w:rPr>
              <w:sz w:val="32"/>
              <w:szCs w:val="32"/>
            </w:rPr>
            <w:instrText xml:space="preserve"> PAGEREF _Toc31256 \h </w:instrText>
          </w:r>
          <w:r>
            <w:rPr>
              <w:sz w:val="32"/>
              <w:szCs w:val="32"/>
            </w:rPr>
            <w:fldChar w:fldCharType="separate"/>
          </w:r>
          <w:r>
            <w:rPr>
              <w:sz w:val="32"/>
              <w:szCs w:val="32"/>
            </w:rPr>
            <w:t>11</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pP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32"/>
              <w:szCs w:val="32"/>
              <w:highlight w:val="none"/>
              <w:shd w:val="clear" w:color="auto" w:fill="FFFFFF"/>
              <w:lang w:val="en-US" w:eastAsia="zh-CN" w:bidi="ar"/>
            </w:rPr>
            <w:instrText xml:space="preserve"> HYPERLINK \l _Toc11932 </w:instrText>
          </w:r>
          <w:r>
            <w:rPr>
              <w:rFonts w:hint="eastAsia" w:ascii="黑体" w:hAnsi="黑体" w:eastAsia="黑体" w:cs="黑体"/>
              <w:bCs w:val="0"/>
              <w:i w:val="0"/>
              <w:caps w:val="0"/>
              <w:spacing w:val="0"/>
              <w:kern w:val="0"/>
              <w:sz w:val="32"/>
              <w:szCs w:val="32"/>
              <w:highlight w:val="none"/>
              <w:shd w:val="clear" w:color="auto" w:fill="FFFFFF"/>
              <w:lang w:val="en-US" w:eastAsia="zh-CN" w:bidi="ar"/>
            </w:rPr>
            <w:fldChar w:fldCharType="separate"/>
          </w:r>
          <w:r>
            <w:rPr>
              <w:rFonts w:hint="eastAsia" w:ascii="黑体" w:hAnsi="黑体" w:eastAsia="黑体" w:cs="黑体"/>
              <w:sz w:val="32"/>
              <w:szCs w:val="32"/>
              <w:lang w:val="en-US" w:eastAsia="zh-CN"/>
            </w:rPr>
            <w:t>十一、名词解释</w:t>
          </w:r>
          <w:r>
            <w:rPr>
              <w:sz w:val="32"/>
              <w:szCs w:val="32"/>
            </w:rPr>
            <w:tab/>
          </w:r>
          <w:r>
            <w:rPr>
              <w:sz w:val="32"/>
              <w:szCs w:val="32"/>
            </w:rPr>
            <w:fldChar w:fldCharType="begin"/>
          </w:r>
          <w:r>
            <w:rPr>
              <w:sz w:val="32"/>
              <w:szCs w:val="32"/>
            </w:rPr>
            <w:instrText xml:space="preserve"> PAGEREF _Toc11932 \h </w:instrText>
          </w:r>
          <w:r>
            <w:rPr>
              <w:sz w:val="32"/>
              <w:szCs w:val="32"/>
            </w:rPr>
            <w:fldChar w:fldCharType="separate"/>
          </w:r>
          <w:r>
            <w:rPr>
              <w:sz w:val="32"/>
              <w:szCs w:val="32"/>
            </w:rPr>
            <w:t>11</w:t>
          </w:r>
          <w:r>
            <w:rPr>
              <w:sz w:val="32"/>
              <w:szCs w:val="32"/>
            </w:rPr>
            <w:fldChar w:fldCharType="end"/>
          </w:r>
          <w:r>
            <w:rPr>
              <w:rFonts w:hint="eastAsia" w:ascii="黑体" w:hAnsi="黑体" w:eastAsia="黑体" w:cs="黑体"/>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shd w:val="clea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sdtContent>
    </w:sdt>
    <w:p>
      <w:pPr>
        <w:pStyle w:val="3"/>
        <w:shd w:val="clear"/>
        <w:outlineLvl w:val="9"/>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shd w:val="clea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3"/>
        <w:shd w:val="clear"/>
        <w:outlineLvl w:val="9"/>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shd w:val="clea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3"/>
        <w:shd w:val="clear"/>
        <w:outlineLvl w:val="9"/>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shd w:val="clea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0"/>
        <w:rPr>
          <w:rFonts w:hint="eastAsia" w:ascii="黑体" w:hAnsi="黑体" w:eastAsia="黑体" w:cs="黑体"/>
          <w:sz w:val="32"/>
          <w:szCs w:val="32"/>
          <w:lang w:val="en-US" w:eastAsia="zh-CN"/>
        </w:rPr>
        <w:sectPr>
          <w:pgSz w:w="11906" w:h="16838"/>
          <w:pgMar w:top="2098" w:right="1474" w:bottom="1984" w:left="1587" w:header="720" w:footer="1559" w:gutter="0"/>
          <w:pgNumType w:fmt="decimal"/>
          <w:cols w:space="720" w:num="1"/>
          <w:docGrid w:type="lines" w:linePitch="312" w:charSpace="0"/>
        </w:sectPr>
      </w:pPr>
      <w:bookmarkStart w:id="0" w:name="_Toc168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Calibri" w:eastAsia="仿宋_GB2312" w:cs="Times New Roman"/>
          <w:sz w:val="32"/>
          <w:szCs w:val="32"/>
          <w:highlight w:val="none"/>
          <w:lang w:val="zh-CN"/>
        </w:rPr>
      </w:pPr>
      <w:bookmarkStart w:id="1" w:name="_Toc22626"/>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广元市精神卫生中心</w:t>
      </w:r>
      <w:r>
        <w:rPr>
          <w:rFonts w:hint="eastAsia" w:ascii="楷体_GB2312" w:hAnsi="楷体_GB2312" w:eastAsia="楷体_GB2312" w:cs="楷体_GB2312"/>
          <w:sz w:val="32"/>
          <w:szCs w:val="32"/>
        </w:rPr>
        <w:t>职能简介</w:t>
      </w:r>
      <w:bookmarkEnd w:id="1"/>
    </w:p>
    <w:p>
      <w:pPr>
        <w:keepNext w:val="0"/>
        <w:keepLines w:val="0"/>
        <w:pageBreakBefore w:val="0"/>
        <w:widowControl w:val="0"/>
        <w:shd w:val="clear"/>
        <w:suppressAutoHyphens/>
        <w:kinsoku/>
        <w:wordWrap/>
        <w:overflowPunct/>
        <w:topLinePunct w:val="0"/>
        <w:autoSpaceDE/>
        <w:autoSpaceDN/>
        <w:bidi w:val="0"/>
        <w:adjustRightInd/>
        <w:snapToGrid/>
        <w:ind w:firstLine="640" w:firstLineChars="200"/>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1.承担利州区精神卫生防治工作，承担全市范围、川东北区域精神病防治与康复、科研教学指导、规范化管理与培训和双向转诊等任务。</w:t>
      </w:r>
    </w:p>
    <w:p>
      <w:pPr>
        <w:keepNext w:val="0"/>
        <w:keepLines w:val="0"/>
        <w:pageBreakBefore w:val="0"/>
        <w:widowControl w:val="0"/>
        <w:shd w:val="clear"/>
        <w:suppressAutoHyphens/>
        <w:kinsoku/>
        <w:wordWrap/>
        <w:overflowPunct/>
        <w:topLinePunct w:val="0"/>
        <w:autoSpaceDE/>
        <w:autoSpaceDN/>
        <w:bidi w:val="0"/>
        <w:adjustRightInd/>
        <w:snapToGrid/>
        <w:ind w:firstLine="640" w:firstLineChars="200"/>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2.为川陕甘毗邻地区人民群众提供全方位、全生命周期健康服务 ，承担辖区内居民日常医疗、急危重症和疑难病症诊治任务；承担辖区灾害事故的紧急救援、院前急救任务和疾病预防控制、妇幼保健、健康教育促进等基本公共卫生服务。</w:t>
      </w:r>
    </w:p>
    <w:p>
      <w:pPr>
        <w:keepNext w:val="0"/>
        <w:keepLines w:val="0"/>
        <w:pageBreakBefore w:val="0"/>
        <w:widowControl w:val="0"/>
        <w:shd w:val="clear"/>
        <w:suppressAutoHyphens/>
        <w:kinsoku/>
        <w:wordWrap/>
        <w:overflowPunct/>
        <w:topLinePunct w:val="0"/>
        <w:autoSpaceDE/>
        <w:autoSpaceDN/>
        <w:bidi w:val="0"/>
        <w:adjustRightInd/>
        <w:snapToGrid/>
        <w:ind w:firstLine="640" w:firstLineChars="200"/>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3.承担利州区传染病防治工作、市域内传</w:t>
      </w:r>
      <w:r>
        <w:rPr>
          <w:rFonts w:hint="eastAsia" w:ascii="仿宋_GB2312" w:eastAsia="仿宋_GB2312" w:cs="Times New Roman"/>
          <w:sz w:val="32"/>
          <w:szCs w:val="32"/>
          <w:highlight w:val="none"/>
          <w:lang w:val="en-US" w:eastAsia="zh-CN"/>
        </w:rPr>
        <w:t>染</w:t>
      </w:r>
      <w:r>
        <w:rPr>
          <w:rFonts w:hint="eastAsia" w:ascii="仿宋_GB2312" w:hAnsi="Calibri" w:eastAsia="仿宋_GB2312" w:cs="Times New Roman"/>
          <w:sz w:val="32"/>
          <w:szCs w:val="32"/>
          <w:highlight w:val="none"/>
          <w:lang w:val="en-US" w:eastAsia="zh-CN"/>
        </w:rPr>
        <w:t>病重症救治、科研教学指导、规范管理和双向转诊以及新发突发传染病应急处置等任务。</w:t>
      </w:r>
    </w:p>
    <w:p>
      <w:pPr>
        <w:keepNext w:val="0"/>
        <w:keepLines w:val="0"/>
        <w:pageBreakBefore w:val="0"/>
        <w:widowControl w:val="0"/>
        <w:shd w:val="clear"/>
        <w:suppressAutoHyphens/>
        <w:kinsoku/>
        <w:wordWrap/>
        <w:overflowPunct/>
        <w:topLinePunct w:val="0"/>
        <w:autoSpaceDE/>
        <w:autoSpaceDN/>
        <w:bidi w:val="0"/>
        <w:adjustRightInd/>
        <w:snapToGrid/>
        <w:ind w:firstLine="640" w:firstLineChars="200"/>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4.承担利州区医疗救治工作及基层医疗卫生机构业务指导、技术帮带、人才培养、质量控制、医联体建设、分级诊疗和对口支援等任务。</w:t>
      </w:r>
    </w:p>
    <w:p>
      <w:pPr>
        <w:shd w:val="clear"/>
        <w:suppressAutoHyphens/>
        <w:bidi w:val="0"/>
        <w:ind w:firstLine="640" w:firstLineChars="200"/>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5.承担川东北省级区域精神卫生中心相关职能，全市传染病、老年病防治基地及专科业务指导、技术帮带、人才培养、质量控制、医联体建设、分级诊疗和对口支援等任务。</w:t>
      </w:r>
    </w:p>
    <w:p>
      <w:pPr>
        <w:keepNext w:val="0"/>
        <w:keepLines w:val="0"/>
        <w:pageBreakBefore w:val="0"/>
        <w:widowControl w:val="0"/>
        <w:shd w:val="clear"/>
        <w:suppressAutoHyphens/>
        <w:kinsoku/>
        <w:wordWrap/>
        <w:overflowPunct/>
        <w:topLinePunct w:val="0"/>
        <w:autoSpaceDE/>
        <w:autoSpaceDN/>
        <w:bidi w:val="0"/>
        <w:adjustRightInd/>
        <w:snapToGrid/>
        <w:ind w:firstLine="640" w:firstLineChars="200"/>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6.承担高等医学院校的基地班教学、学生临床见实习、医师护师规范培训、专科医师转岗培训以及各类继续医学教育等任务。</w:t>
      </w:r>
    </w:p>
    <w:p>
      <w:pPr>
        <w:keepNext w:val="0"/>
        <w:keepLines w:val="0"/>
        <w:pageBreakBefore w:val="0"/>
        <w:widowControl w:val="0"/>
        <w:shd w:val="clear"/>
        <w:suppressAutoHyphens/>
        <w:kinsoku/>
        <w:wordWrap/>
        <w:overflowPunct/>
        <w:topLinePunct w:val="0"/>
        <w:autoSpaceDE/>
        <w:autoSpaceDN/>
        <w:bidi w:val="0"/>
        <w:adjustRightInd/>
        <w:snapToGrid/>
        <w:ind w:firstLine="640" w:firstLineChars="200"/>
        <w:textAlignment w:val="auto"/>
        <w:rPr>
          <w:rFonts w:hint="default" w:eastAsia="楷体_GB2312"/>
          <w:lang w:val="en-US" w:eastAsia="zh-CN"/>
        </w:rPr>
      </w:pPr>
      <w:r>
        <w:rPr>
          <w:rFonts w:hint="eastAsia" w:ascii="仿宋_GB2312" w:hAnsi="Calibri" w:eastAsia="仿宋_GB2312" w:cs="Times New Roman"/>
          <w:sz w:val="32"/>
          <w:szCs w:val="32"/>
          <w:highlight w:val="none"/>
          <w:lang w:val="en-US" w:eastAsia="zh-CN"/>
        </w:rPr>
        <w:t>7.开展精神病、老年病、传染病等疾病的临床医疗技术应用研究，负责医学司法鉴定、医养结合服务、科研项目争取及学术交流合作与推广等工作。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rPr>
      </w:pPr>
      <w:bookmarkStart w:id="2" w:name="_Toc1762"/>
      <w:r>
        <w:rPr>
          <w:rFonts w:hint="eastAsia" w:ascii="楷体_GB2312" w:hAnsi="楷体_GB2312" w:eastAsia="楷体_GB2312" w:cs="楷体_GB2312"/>
          <w:sz w:val="32"/>
          <w:szCs w:val="32"/>
          <w:highlight w:val="none"/>
        </w:rPr>
        <w:t>（二）</w:t>
      </w:r>
      <w:r>
        <w:rPr>
          <w:rFonts w:hint="eastAsia" w:ascii="楷体_GB2312" w:hAnsi="楷体_GB2312" w:eastAsia="楷体_GB2312" w:cs="楷体_GB2312"/>
          <w:sz w:val="32"/>
          <w:szCs w:val="32"/>
          <w:highlight w:val="none"/>
          <w:lang w:val="en-US" w:eastAsia="zh-CN"/>
        </w:rPr>
        <w:t>广元市精神卫生中心</w:t>
      </w:r>
      <w:r>
        <w:rPr>
          <w:rFonts w:hint="eastAsia" w:ascii="楷体_GB2312" w:hAnsi="楷体_GB2312" w:eastAsia="楷体_GB2312" w:cs="楷体_GB2312"/>
          <w:sz w:val="32"/>
          <w:szCs w:val="32"/>
          <w:highlight w:val="none"/>
          <w:lang w:val="en-US"/>
        </w:rPr>
        <w:t>2024</w:t>
      </w:r>
      <w:r>
        <w:rPr>
          <w:rFonts w:hint="eastAsia" w:ascii="楷体_GB2312" w:hAnsi="楷体_GB2312" w:eastAsia="楷体_GB2312" w:cs="楷体_GB2312"/>
          <w:sz w:val="32"/>
          <w:szCs w:val="32"/>
          <w:highlight w:val="none"/>
        </w:rPr>
        <w:t>年重点工作</w:t>
      </w:r>
      <w:bookmarkEnd w:id="2"/>
    </w:p>
    <w:p>
      <w:pPr>
        <w:keepNext w:val="0"/>
        <w:keepLines w:val="0"/>
        <w:pageBreakBefore w:val="0"/>
        <w:widowControl w:val="0"/>
        <w:shd w:val="clear"/>
        <w:kinsoku/>
        <w:wordWrap/>
        <w:overflowPunct/>
        <w:topLinePunct w:val="0"/>
        <w:autoSpaceDE/>
        <w:autoSpaceDN/>
        <w:bidi w:val="0"/>
        <w:adjustRightInd/>
        <w:snapToGrid/>
        <w:spacing w:before="0" w:after="0" w:line="240" w:lineRule="auto"/>
        <w:ind w:left="0" w:leftChars="0" w:right="0" w:rightChars="0" w:firstLine="640" w:firstLineChars="200"/>
        <w:jc w:val="left"/>
        <w:textAlignment w:val="auto"/>
        <w:outlineLvl w:val="9"/>
        <w:rPr>
          <w:rFonts w:hint="eastAsia" w:ascii="仿宋_GB2312" w:hAnsi="仿宋_GB2312" w:eastAsia="仿宋_GB2312" w:cs="Times New Roman"/>
          <w:color w:val="000000" w:themeColor="text1"/>
          <w:sz w:val="32"/>
          <w:lang w:val="en-US" w:eastAsia="zh-CN"/>
          <w14:textFill>
            <w14:solidFill>
              <w14:schemeClr w14:val="tx1"/>
            </w14:solidFill>
          </w14:textFill>
        </w:rPr>
      </w:pPr>
      <w:r>
        <w:rPr>
          <w:rFonts w:hint="eastAsia" w:ascii="仿宋_GB2312" w:hAnsi="仿宋_GB2312" w:eastAsia="仿宋_GB2312"/>
          <w:b w:val="0"/>
          <w:bCs/>
          <w:i w:val="0"/>
          <w:snapToGrid/>
          <w:color w:val="000000" w:themeColor="text1"/>
          <w:sz w:val="32"/>
          <w:lang w:val="en-US" w:eastAsia="zh-CN"/>
          <w14:textFill>
            <w14:solidFill>
              <w14:schemeClr w14:val="tx1"/>
            </w14:solidFill>
          </w14:textFill>
        </w:rPr>
        <w:t>2024年是实施十四五规划的关键之年，要</w:t>
      </w:r>
      <w:r>
        <w:rPr>
          <w:rFonts w:hint="eastAsia" w:ascii="仿宋_GB2312" w:hAnsi="仿宋_GB2312" w:eastAsia="仿宋_GB2312"/>
          <w:b w:val="0"/>
          <w:bCs w:val="0"/>
          <w:color w:val="000000" w:themeColor="text1"/>
          <w:sz w:val="32"/>
          <w:lang w:val="en-US" w:eastAsia="zh-CN"/>
          <w14:textFill>
            <w14:solidFill>
              <w14:schemeClr w14:val="tx1"/>
            </w14:solidFill>
          </w14:textFill>
        </w:rPr>
        <w:t>以习近平新时代中国特色社会主义思想为指引，以全面提升医疗质量与安全为核心，以健全现代医院管理体系为抓手，以推进高质量发展为主题，</w:t>
      </w:r>
      <w:r>
        <w:rPr>
          <w:rFonts w:hint="eastAsia" w:ascii="仿宋_GB2312" w:hAnsi="仿宋_GB2312" w:eastAsia="仿宋_GB2312"/>
          <w:color w:val="000000" w:themeColor="text1"/>
          <w:sz w:val="32"/>
          <w14:textFill>
            <w14:solidFill>
              <w14:schemeClr w14:val="tx1"/>
            </w14:solidFill>
          </w14:textFill>
        </w:rPr>
        <w:t>紧扣“四轮驱动双一流”战略，</w:t>
      </w:r>
      <w:r>
        <w:rPr>
          <w:rFonts w:hint="eastAsia" w:ascii="仿宋_GB2312" w:hAnsi="仿宋_GB2312" w:eastAsia="仿宋_GB2312"/>
          <w:color w:val="000000" w:themeColor="text1"/>
          <w:sz w:val="32"/>
          <w:lang w:val="en-US" w:eastAsia="zh-CN"/>
          <w14:textFill>
            <w14:solidFill>
              <w14:schemeClr w14:val="tx1"/>
            </w14:solidFill>
          </w14:textFill>
        </w:rPr>
        <w:t>深度</w:t>
      </w:r>
      <w:r>
        <w:rPr>
          <w:rFonts w:hint="eastAsia" w:ascii="仿宋_GB2312" w:hAnsi="仿宋_GB2312" w:eastAsia="仿宋_GB2312"/>
          <w:color w:val="000000" w:themeColor="text1"/>
          <w:sz w:val="32"/>
          <w14:textFill>
            <w14:solidFill>
              <w14:schemeClr w14:val="tx1"/>
            </w14:solidFill>
          </w14:textFill>
        </w:rPr>
        <w:t>推进医、教、研、防</w:t>
      </w:r>
      <w:r>
        <w:rPr>
          <w:rFonts w:hint="eastAsia" w:ascii="仿宋_GB2312" w:hAnsi="仿宋_GB2312" w:eastAsia="仿宋_GB2312"/>
          <w:color w:val="000000" w:themeColor="text1"/>
          <w:sz w:val="32"/>
          <w:lang w:eastAsia="zh-CN"/>
          <w14:textFill>
            <w14:solidFill>
              <w14:schemeClr w14:val="tx1"/>
            </w14:solidFill>
          </w14:textFill>
        </w:rPr>
        <w:t>、</w:t>
      </w:r>
      <w:r>
        <w:rPr>
          <w:rFonts w:hint="eastAsia" w:ascii="仿宋_GB2312" w:hAnsi="仿宋_GB2312" w:eastAsia="仿宋_GB2312"/>
          <w:color w:val="000000" w:themeColor="text1"/>
          <w:sz w:val="32"/>
          <w:lang w:val="en-US" w:eastAsia="zh-CN"/>
          <w14:textFill>
            <w14:solidFill>
              <w14:schemeClr w14:val="tx1"/>
            </w14:solidFill>
          </w14:textFill>
        </w:rPr>
        <w:t>管</w:t>
      </w:r>
      <w:r>
        <w:rPr>
          <w:rFonts w:hint="eastAsia" w:ascii="仿宋_GB2312" w:hAnsi="仿宋_GB2312" w:eastAsia="仿宋_GB2312"/>
          <w:color w:val="000000" w:themeColor="text1"/>
          <w:sz w:val="32"/>
          <w14:textFill>
            <w14:solidFill>
              <w14:schemeClr w14:val="tx1"/>
            </w14:solidFill>
          </w14:textFill>
        </w:rPr>
        <w:t>融合发展</w:t>
      </w:r>
      <w:r>
        <w:rPr>
          <w:rFonts w:hint="eastAsia" w:ascii="仿宋_GB2312" w:hAnsi="仿宋_GB2312" w:eastAsia="仿宋_GB2312"/>
          <w:color w:val="000000" w:themeColor="text1"/>
          <w:sz w:val="32"/>
          <w:lang w:eastAsia="zh-CN"/>
          <w14:textFill>
            <w14:solidFill>
              <w14:schemeClr w14:val="tx1"/>
            </w14:solidFill>
          </w14:textFill>
        </w:rPr>
        <w:t>，</w:t>
      </w:r>
      <w:r>
        <w:rPr>
          <w:rFonts w:hint="eastAsia" w:ascii="仿宋_GB2312" w:hAnsi="仿宋_GB2312" w:eastAsia="仿宋_GB2312" w:cs="Times New Roman"/>
          <w:b w:val="0"/>
          <w:bCs/>
          <w:i w:val="0"/>
          <w:snapToGrid/>
          <w:color w:val="000000" w:themeColor="text1"/>
          <w:sz w:val="32"/>
          <w:lang w:val="en-US" w:eastAsia="zh-CN"/>
          <w14:textFill>
            <w14:solidFill>
              <w14:schemeClr w14:val="tx1"/>
            </w14:solidFill>
          </w14:textFill>
        </w:rPr>
        <w:t>立足新起点奋发新作为，奋进新征程扬帆新未来，</w:t>
      </w:r>
      <w:r>
        <w:rPr>
          <w:rFonts w:hint="eastAsia" w:ascii="仿宋_GB2312" w:hAnsi="仿宋_GB2312" w:eastAsia="仿宋_GB2312" w:cs="Times New Roman"/>
          <w:color w:val="000000" w:themeColor="text1"/>
          <w:sz w:val="32"/>
          <w:lang w:val="en-US" w:eastAsia="zh-CN"/>
          <w14:textFill>
            <w14:solidFill>
              <w14:schemeClr w14:val="tx1"/>
            </w14:solidFill>
          </w14:textFill>
        </w:rPr>
        <w:t>稳中求进、持续高质量发展，努力开创医院发展新篇章。</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right="0" w:rightChars="0" w:firstLine="643" w:firstLineChars="200"/>
        <w:jc w:val="both"/>
        <w:textAlignment w:val="auto"/>
        <w:outlineLvl w:val="9"/>
        <w:rPr>
          <w:rFonts w:hint="eastAsia" w:ascii="仿宋_GB2312" w:eastAsia="仿宋_GB2312"/>
          <w:b w:val="0"/>
          <w:bCs w:val="0"/>
          <w:color w:val="000000" w:themeColor="text1"/>
          <w:sz w:val="32"/>
          <w:szCs w:val="32"/>
          <w:lang w:val="en-US" w:eastAsia="zh-CN"/>
          <w14:textFill>
            <w14:solidFill>
              <w14:schemeClr w14:val="tx1"/>
            </w14:solidFill>
          </w14:textFill>
        </w:rPr>
      </w:pPr>
      <w:r>
        <w:rPr>
          <w:rFonts w:hint="eastAsia" w:ascii="楷体" w:hAnsi="楷体" w:eastAsia="楷体"/>
          <w:b/>
          <w:bCs w:val="0"/>
          <w:i w:val="0"/>
          <w:snapToGrid/>
          <w:color w:val="000000" w:themeColor="text1"/>
          <w:sz w:val="32"/>
          <w:lang w:val="en-US" w:eastAsia="zh-CN"/>
          <w14:textFill>
            <w14:solidFill>
              <w14:schemeClr w14:val="tx1"/>
            </w14:solidFill>
          </w14:textFill>
        </w:rPr>
        <w:t>1.聚焦从严治党构建新布局，推进党建工作有声有色。</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一是</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进一步</w:t>
      </w:r>
      <w:r>
        <w:rPr>
          <w:rFonts w:hint="eastAsia" w:ascii="仿宋_GB2312" w:hAnsi="仿宋" w:eastAsia="仿宋_GB2312"/>
          <w:b w:val="0"/>
          <w:bCs w:val="0"/>
          <w:color w:val="000000" w:themeColor="text1"/>
          <w:sz w:val="32"/>
          <w:szCs w:val="32"/>
          <w:lang w:val="en-US" w:eastAsia="zh-CN"/>
          <w14:textFill>
            <w14:solidFill>
              <w14:schemeClr w14:val="tx1"/>
            </w14:solidFill>
          </w14:textFill>
        </w:rPr>
        <w:t>健全决策机制。</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切实</w:t>
      </w:r>
      <w:r>
        <w:rPr>
          <w:rFonts w:hint="eastAsia" w:ascii="仿宋_GB2312" w:hAnsi="仿宋_GB2312" w:eastAsia="仿宋_GB2312"/>
          <w:b w:val="0"/>
          <w:bCs w:val="0"/>
          <w:i w:val="0"/>
          <w:snapToGrid/>
          <w:color w:val="000000" w:themeColor="text1"/>
          <w:sz w:val="32"/>
          <w14:textFill>
            <w14:solidFill>
              <w14:schemeClr w14:val="tx1"/>
            </w14:solidFill>
          </w14:textFill>
        </w:rPr>
        <w:t>发挥</w:t>
      </w:r>
      <w:r>
        <w:rPr>
          <w:rFonts w:hint="eastAsia" w:ascii="仿宋_GB2312" w:hAnsi="仿宋_GB2312" w:eastAsia="仿宋_GB2312"/>
          <w:b w:val="0"/>
          <w:bCs w:val="0"/>
          <w:i w:val="0"/>
          <w:snapToGrid/>
          <w:color w:val="000000" w:themeColor="text1"/>
          <w:sz w:val="32"/>
          <w:lang w:val="en-US" w:eastAsia="zh-CN"/>
          <w14:textFill>
            <w14:solidFill>
              <w14:schemeClr w14:val="tx1"/>
            </w14:solidFill>
          </w14:textFill>
        </w:rPr>
        <w:t>医院党委</w:t>
      </w:r>
      <w:r>
        <w:rPr>
          <w:rFonts w:hint="eastAsia" w:ascii="仿宋_GB2312" w:hAnsi="仿宋_GB2312" w:eastAsia="仿宋_GB2312"/>
          <w:b w:val="0"/>
          <w:bCs w:val="0"/>
          <w:i w:val="0"/>
          <w:snapToGrid/>
          <w:color w:val="000000" w:themeColor="text1"/>
          <w:sz w:val="32"/>
          <w14:textFill>
            <w14:solidFill>
              <w14:schemeClr w14:val="tx1"/>
            </w14:solidFill>
          </w14:textFill>
        </w:rPr>
        <w:t>把方向、管大局、作决策、促改革、保落实的领导作用</w:t>
      </w:r>
      <w:r>
        <w:rPr>
          <w:rFonts w:hint="eastAsia" w:ascii="仿宋_GB2312" w:hAnsi="仿宋_GB2312" w:eastAsia="仿宋_GB2312"/>
          <w:b w:val="0"/>
          <w:bCs w:val="0"/>
          <w:i w:val="0"/>
          <w:snapToGrid/>
          <w:color w:val="000000" w:themeColor="text1"/>
          <w:sz w:val="32"/>
          <w:lang w:eastAsia="zh-CN"/>
          <w14:textFill>
            <w14:solidFill>
              <w14:schemeClr w14:val="tx1"/>
            </w14:solidFill>
          </w14:textFill>
        </w:rPr>
        <w:t>，</w:t>
      </w:r>
      <w:r>
        <w:rPr>
          <w:rFonts w:hint="eastAsia" w:ascii="仿宋_GB2312" w:hAnsi="仿宋_GB2312" w:eastAsia="仿宋_GB2312"/>
          <w:b w:val="0"/>
          <w:bCs w:val="0"/>
          <w:i w:val="0"/>
          <w:snapToGrid/>
          <w:color w:val="000000" w:themeColor="text1"/>
          <w:sz w:val="32"/>
          <w:lang w:val="en-US" w:eastAsia="zh-CN"/>
          <w14:textFill>
            <w14:solidFill>
              <w14:schemeClr w14:val="tx1"/>
            </w14:solidFill>
          </w14:textFill>
        </w:rPr>
        <w:t>进一步建立健全党委、行政议事决策机制，确保医院正确发展方向。</w:t>
      </w:r>
      <w:r>
        <w:rPr>
          <w:rFonts w:hint="eastAsia" w:ascii="仿宋_GB2312" w:hAnsi="仿宋_GB2312" w:eastAsia="仿宋_GB2312"/>
          <w:b/>
          <w:bCs/>
          <w:i w:val="0"/>
          <w:snapToGrid/>
          <w:color w:val="000000" w:themeColor="text1"/>
          <w:sz w:val="32"/>
          <w:lang w:val="en-US" w:eastAsia="zh-CN"/>
          <w14:textFill>
            <w14:solidFill>
              <w14:schemeClr w14:val="tx1"/>
            </w14:solidFill>
          </w14:textFill>
        </w:rPr>
        <w:t>二是</w:t>
      </w:r>
      <w:r>
        <w:rPr>
          <w:rFonts w:hint="eastAsia" w:ascii="仿宋_GB2312" w:hAnsi="仿宋_GB2312" w:eastAsia="仿宋_GB2312"/>
          <w:b w:val="0"/>
          <w:bCs w:val="0"/>
          <w:i w:val="0"/>
          <w:snapToGrid/>
          <w:color w:val="000000" w:themeColor="text1"/>
          <w:sz w:val="32"/>
          <w:lang w:val="en-US" w:eastAsia="zh-CN"/>
          <w14:textFill>
            <w14:solidFill>
              <w14:schemeClr w14:val="tx1"/>
            </w14:solidFill>
          </w14:textFill>
        </w:rPr>
        <w:t>持续深化党风廉政建设。深入开展医药领域腐败集中整治行动和“以案促改”活动，</w:t>
      </w:r>
      <w:r>
        <w:rPr>
          <w:rFonts w:hint="eastAsia" w:ascii="仿宋_GB2312" w:hAnsi="仿宋_GB2312" w:eastAsia="仿宋_GB2312"/>
          <w:b w:val="0"/>
          <w:bCs w:val="0"/>
          <w:color w:val="000000" w:themeColor="text1"/>
          <w:sz w:val="32"/>
          <w:szCs w:val="32"/>
          <w:lang w:val="en-US" w:eastAsia="zh-CN"/>
          <w14:textFill>
            <w14:solidFill>
              <w14:schemeClr w14:val="tx1"/>
            </w14:solidFill>
          </w14:textFill>
        </w:rPr>
        <w:t>引导全院医护人员</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明大德、守公德、严私德。聚力打造特色鲜明的医院文化建设，</w:t>
      </w:r>
      <w:r>
        <w:rPr>
          <w:rFonts w:hint="eastAsia" w:ascii="仿宋_GB2312" w:hAnsi="仿宋" w:eastAsia="仿宋_GB2312" w:cs="仿宋"/>
          <w:b w:val="0"/>
          <w:bCs w:val="0"/>
          <w:color w:val="000000" w:themeColor="text1"/>
          <w:sz w:val="32"/>
          <w:szCs w:val="32"/>
          <w:lang w:val="en-US" w:eastAsia="zh-CN"/>
          <w14:textFill>
            <w14:solidFill>
              <w14:schemeClr w14:val="tx1"/>
            </w14:solidFill>
          </w14:textFill>
        </w:rPr>
        <w:t>以文化建设凝心聚力、助推发展</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三是</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全面完成党建重点任务。</w:t>
      </w:r>
      <w:r>
        <w:rPr>
          <w:rFonts w:hint="eastAsia" w:ascii="仿宋_GB2312" w:eastAsia="仿宋_GB2312"/>
          <w:b w:val="0"/>
          <w:bCs/>
          <w:color w:val="000000" w:themeColor="text1"/>
          <w:sz w:val="32"/>
          <w:szCs w:val="32"/>
          <w14:textFill>
            <w14:solidFill>
              <w14:schemeClr w14:val="tx1"/>
            </w14:solidFill>
          </w14:textFill>
        </w:rPr>
        <w:t>扎实开展“十佳”党支部创建、规范化标准化党支部建设；坚持“党建+文明”先行，持续深化“匠心、爱心”等特色支部建设；结合“红色星期六”等主题党日活动开展送医送药、文明城市创建、结对共建</w:t>
      </w:r>
      <w:r>
        <w:rPr>
          <w:rFonts w:hint="eastAsia" w:ascii="仿宋_GB2312" w:eastAsia="仿宋_GB2312"/>
          <w:b w:val="0"/>
          <w:bCs/>
          <w:color w:val="000000" w:themeColor="text1"/>
          <w:sz w:val="32"/>
          <w:szCs w:val="32"/>
          <w:lang w:eastAsia="zh-CN"/>
          <w14:textFill>
            <w14:solidFill>
              <w14:schemeClr w14:val="tx1"/>
            </w14:solidFill>
          </w14:textFill>
        </w:rPr>
        <w:t>、</w:t>
      </w:r>
      <w:r>
        <w:rPr>
          <w:rFonts w:hint="eastAsia" w:ascii="仿宋_GB2312" w:eastAsia="仿宋_GB2312"/>
          <w:b w:val="0"/>
          <w:bCs/>
          <w:color w:val="000000" w:themeColor="text1"/>
          <w:sz w:val="32"/>
          <w:szCs w:val="32"/>
          <w:lang w:val="en-US" w:eastAsia="zh-CN"/>
          <w14:textFill>
            <w14:solidFill>
              <w14:schemeClr w14:val="tx1"/>
            </w14:solidFill>
          </w14:textFill>
        </w:rPr>
        <w:t>结对帮扶</w:t>
      </w:r>
      <w:r>
        <w:rPr>
          <w:rFonts w:hint="eastAsia" w:ascii="仿宋_GB2312" w:eastAsia="仿宋_GB2312"/>
          <w:b w:val="0"/>
          <w:bCs/>
          <w:color w:val="000000" w:themeColor="text1"/>
          <w:sz w:val="32"/>
          <w:szCs w:val="32"/>
          <w14:textFill>
            <w14:solidFill>
              <w14:schemeClr w14:val="tx1"/>
            </w14:solidFill>
          </w14:textFill>
        </w:rPr>
        <w:t>等</w:t>
      </w:r>
      <w:r>
        <w:rPr>
          <w:rFonts w:hint="eastAsia" w:ascii="仿宋_GB2312" w:eastAsia="仿宋_GB2312"/>
          <w:b w:val="0"/>
          <w:bCs/>
          <w:color w:val="000000" w:themeColor="text1"/>
          <w:sz w:val="32"/>
          <w:szCs w:val="32"/>
          <w:lang w:eastAsia="zh-CN"/>
          <w14:textFill>
            <w14:solidFill>
              <w14:schemeClr w14:val="tx1"/>
            </w14:solidFill>
          </w14:textFill>
        </w:rPr>
        <w:t>，</w:t>
      </w:r>
      <w:r>
        <w:rPr>
          <w:rFonts w:hint="eastAsia" w:ascii="仿宋_GB2312" w:eastAsia="仿宋_GB2312"/>
          <w:b w:val="0"/>
          <w:bCs/>
          <w:color w:val="000000" w:themeColor="text1"/>
          <w:sz w:val="32"/>
          <w:szCs w:val="32"/>
          <w:lang w:val="en-US" w:eastAsia="zh-CN"/>
          <w14:textFill>
            <w14:solidFill>
              <w14:schemeClr w14:val="tx1"/>
            </w14:solidFill>
          </w14:textFill>
        </w:rPr>
        <w:t>确保各项重点任务落地落实见实效。</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四是</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持续抓好纪律作风建设。</w:t>
      </w:r>
      <w:r>
        <w:rPr>
          <w:rFonts w:hint="eastAsia" w:ascii="仿宋_GB2312" w:hAnsi="仿宋_GB2312" w:eastAsia="仿宋_GB2312" w:cs="仿宋_GB2312"/>
          <w:color w:val="000000" w:themeColor="text1"/>
          <w:sz w:val="34"/>
          <w:szCs w:val="34"/>
          <w:lang w:val="en-US" w:eastAsia="zh-CN"/>
          <w14:textFill>
            <w14:solidFill>
              <w14:schemeClr w14:val="tx1"/>
            </w14:solidFill>
          </w14:textFill>
        </w:rPr>
        <w:t>坚持党建工作和业务发展深度融合发展、高质量发展紧密结合，继续推进医药领域腐败问题集中整治、以案促改工作、</w:t>
      </w:r>
      <w:r>
        <w:rPr>
          <w:rFonts w:hint="eastAsia" w:ascii="仿宋_GB2312" w:eastAsia="仿宋_GB2312"/>
          <w:b w:val="0"/>
          <w:bCs/>
          <w:color w:val="000000" w:themeColor="text1"/>
          <w:sz w:val="32"/>
          <w:szCs w:val="32"/>
          <w:lang w:val="en-US" w:eastAsia="zh-CN"/>
          <w14:textFill>
            <w14:solidFill>
              <w14:schemeClr w14:val="tx1"/>
            </w14:solidFill>
          </w14:textFill>
        </w:rPr>
        <w:t>“蜀道纪律作风行”行动，筑牢防线、坚守底线，打造一支讲政治、顾大局、精业务的干部队伍。</w:t>
      </w:r>
      <w:r>
        <w:rPr>
          <w:rFonts w:hint="eastAsia" w:ascii="仿宋_GB2312" w:hAnsi="仿宋" w:eastAsia="仿宋_GB2312"/>
          <w:b/>
          <w:bCs/>
          <w:color w:val="000000" w:themeColor="text1"/>
          <w:sz w:val="32"/>
          <w:szCs w:val="32"/>
          <w:lang w:val="en-US" w:eastAsia="zh-CN"/>
          <w14:textFill>
            <w14:solidFill>
              <w14:schemeClr w14:val="tx1"/>
            </w14:solidFill>
          </w14:textFill>
        </w:rPr>
        <w:t>五是</w:t>
      </w:r>
      <w:r>
        <w:rPr>
          <w:rFonts w:hint="eastAsia" w:ascii="仿宋_GB2312" w:hAnsi="仿宋" w:eastAsia="仿宋_GB2312"/>
          <w:b w:val="0"/>
          <w:bCs w:val="0"/>
          <w:color w:val="000000" w:themeColor="text1"/>
          <w:sz w:val="32"/>
          <w:szCs w:val="32"/>
          <w:lang w:val="en-US" w:eastAsia="zh-CN"/>
          <w14:textFill>
            <w14:solidFill>
              <w14:schemeClr w14:val="tx1"/>
            </w14:solidFill>
          </w14:textFill>
        </w:rPr>
        <w:t>切实加强思想意识形态工作。继续加强社会主义核心价值观教育，深入推进融合发展，</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引导和教育广大干部职工爱国、爱党、爱院，</w:t>
      </w:r>
      <w:r>
        <w:rPr>
          <w:rFonts w:hint="eastAsia" w:ascii="仿宋_GB2312" w:hAnsi="仿宋" w:eastAsia="仿宋_GB2312"/>
          <w:b w:val="0"/>
          <w:bCs w:val="0"/>
          <w:color w:val="000000" w:themeColor="text1"/>
          <w:sz w:val="32"/>
          <w:szCs w:val="32"/>
          <w:lang w:val="en-US" w:eastAsia="zh-CN"/>
          <w14:textFill>
            <w14:solidFill>
              <w14:schemeClr w14:val="tx1"/>
            </w14:solidFill>
          </w14:textFill>
        </w:rPr>
        <w:t>坚定医院发展自信，进一步凝心聚力，团结奋进。</w:t>
      </w:r>
    </w:p>
    <w:p>
      <w:pPr>
        <w:pStyle w:val="20"/>
        <w:keepNext w:val="0"/>
        <w:keepLines w:val="0"/>
        <w:pageBreakBefore w:val="0"/>
        <w:shd w:val="clear"/>
        <w:kinsoku/>
        <w:wordWrap/>
        <w:overflowPunct/>
        <w:topLinePunct w:val="0"/>
        <w:autoSpaceDE/>
        <w:autoSpaceDN/>
        <w:bidi w:val="0"/>
        <w:adjustRightInd/>
        <w:snapToGrid/>
        <w:spacing w:line="240" w:lineRule="auto"/>
        <w:ind w:firstLine="472" w:firstLineChars="147"/>
        <w:textAlignment w:val="auto"/>
        <w:rPr>
          <w:rFonts w:hint="eastAsia" w:ascii="仿宋_GB2312" w:eastAsia="仿宋_GB2312"/>
          <w:color w:val="000000" w:themeColor="text1"/>
          <w:sz w:val="32"/>
          <w:szCs w:val="32"/>
          <w14:textFill>
            <w14:solidFill>
              <w14:schemeClr w14:val="tx1"/>
            </w14:solidFill>
          </w14:textFill>
        </w:rPr>
      </w:pPr>
      <w:r>
        <w:rPr>
          <w:rFonts w:hint="eastAsia" w:ascii="楷体" w:hAnsi="楷体" w:eastAsia="楷体"/>
          <w:b/>
          <w:bCs w:val="0"/>
          <w:i w:val="0"/>
          <w:snapToGrid/>
          <w:color w:val="000000" w:themeColor="text1"/>
          <w:sz w:val="32"/>
          <w:lang w:val="en-US" w:eastAsia="zh-CN"/>
          <w14:textFill>
            <w14:solidFill>
              <w14:schemeClr w14:val="tx1"/>
            </w14:solidFill>
          </w14:textFill>
        </w:rPr>
        <w:t>2.聚焦深化改革激发新活力，推进综合管理提档升级。</w:t>
      </w:r>
      <w:r>
        <w:rPr>
          <w:rFonts w:hint="eastAsia" w:ascii="仿宋_GB2312" w:hAnsi="仿宋_GB2312" w:eastAsia="仿宋_GB2312"/>
          <w:b/>
          <w:bCs w:val="0"/>
          <w:i w:val="0"/>
          <w:snapToGrid/>
          <w:color w:val="000000" w:themeColor="text1"/>
          <w:sz w:val="32"/>
          <w:lang w:val="en-US" w:eastAsia="zh-CN"/>
          <w14:textFill>
            <w14:solidFill>
              <w14:schemeClr w14:val="tx1"/>
            </w14:solidFill>
          </w14:textFill>
        </w:rPr>
        <w:t>一是</w:t>
      </w:r>
      <w:r>
        <w:rPr>
          <w:rFonts w:hint="eastAsia" w:ascii="仿宋_GB2312" w:hAnsi="仿宋_GB2312" w:eastAsia="仿宋_GB2312"/>
          <w:b w:val="0"/>
          <w:bCs/>
          <w:i w:val="0"/>
          <w:snapToGrid/>
          <w:color w:val="000000" w:themeColor="text1"/>
          <w:sz w:val="32"/>
          <w:lang w:val="en-US" w:eastAsia="zh-CN"/>
          <w14:textFill>
            <w14:solidFill>
              <w14:schemeClr w14:val="tx1"/>
            </w14:solidFill>
          </w14:textFill>
        </w:rPr>
        <w:t>深化改革，激发发展动力。持续完善综合管理项目实施方案，充分发挥绩效杠杆作用，激发广大干部职工干事创业的精气神，真正成为医院综合管理全面提档升级的重要助推器，不断提高全院干部职工幸福指数。</w:t>
      </w:r>
      <w:r>
        <w:rPr>
          <w:rFonts w:hint="eastAsia" w:ascii="仿宋_GB2312" w:hAnsi="仿宋_GB2312" w:eastAsia="仿宋_GB2312"/>
          <w:b/>
          <w:bCs w:val="0"/>
          <w:i w:val="0"/>
          <w:snapToGrid/>
          <w:color w:val="000000" w:themeColor="text1"/>
          <w:sz w:val="32"/>
          <w:lang w:val="en-US" w:eastAsia="zh-CN"/>
          <w14:textFill>
            <w14:solidFill>
              <w14:schemeClr w14:val="tx1"/>
            </w14:solidFill>
          </w14:textFill>
        </w:rPr>
        <w:t>二是</w:t>
      </w:r>
      <w:r>
        <w:rPr>
          <w:rFonts w:hint="eastAsia" w:ascii="仿宋_GB2312" w:hAnsi="仿宋_GB2312" w:eastAsia="仿宋_GB2312"/>
          <w:b w:val="0"/>
          <w:bCs/>
          <w:i w:val="0"/>
          <w:snapToGrid/>
          <w:color w:val="000000" w:themeColor="text1"/>
          <w:sz w:val="32"/>
          <w:lang w:val="en-US" w:eastAsia="zh-CN"/>
          <w14:textFill>
            <w14:solidFill>
              <w14:schemeClr w14:val="tx1"/>
            </w14:solidFill>
          </w14:textFill>
        </w:rPr>
        <w:t>规范管理，理顺运行机制。切实解决“中梗阻”问题，运用效能考核评价体系，打通办事、就医“最后一公里”，不断提升规范化、精细化管理水平。加快推进全成本核算，强化预算管理，用活存量资产。</w:t>
      </w:r>
      <w:r>
        <w:rPr>
          <w:rFonts w:hint="eastAsia" w:ascii="仿宋_GB2312" w:hAnsi="宋体" w:eastAsia="仿宋_GB2312"/>
          <w:color w:val="000000" w:themeColor="text1"/>
          <w:sz w:val="32"/>
          <w:szCs w:val="32"/>
          <w14:textFill>
            <w14:solidFill>
              <w14:schemeClr w14:val="tx1"/>
            </w14:solidFill>
          </w14:textFill>
        </w:rPr>
        <w:t>开源节流，增收节支</w:t>
      </w:r>
      <w:r>
        <w:rPr>
          <w:rFonts w:hint="eastAsia" w:ascii="仿宋_GB2312" w:hAnsi="宋体" w:eastAsia="仿宋_GB2312"/>
          <w:color w:val="000000" w:themeColor="text1"/>
          <w:sz w:val="32"/>
          <w:szCs w:val="32"/>
          <w:lang w:eastAsia="zh-CN"/>
          <w14:textFill>
            <w14:solidFill>
              <w14:schemeClr w14:val="tx1"/>
            </w14:solidFill>
          </w14:textFill>
        </w:rPr>
        <w:t>，</w:t>
      </w:r>
      <w:r>
        <w:rPr>
          <w:rFonts w:hint="eastAsia" w:ascii="仿宋_GB2312" w:hAnsi="宋体" w:eastAsia="仿宋_GB2312"/>
          <w:color w:val="000000" w:themeColor="text1"/>
          <w:sz w:val="32"/>
          <w:szCs w:val="32"/>
          <w14:textFill>
            <w14:solidFill>
              <w14:schemeClr w14:val="tx1"/>
            </w14:solidFill>
          </w14:textFill>
        </w:rPr>
        <w:t>积极推进节约型医院建设</w:t>
      </w:r>
      <w:r>
        <w:rPr>
          <w:rFonts w:hint="eastAsia" w:ascii="仿宋_GB2312" w:hAnsi="仿宋_GB2312" w:eastAsia="仿宋_GB2312"/>
          <w:b w:val="0"/>
          <w:bCs/>
          <w:i w:val="0"/>
          <w:snapToGrid/>
          <w:color w:val="000000" w:themeColor="text1"/>
          <w:sz w:val="32"/>
          <w:lang w:val="en-US" w:eastAsia="zh-CN"/>
          <w14:textFill>
            <w14:solidFill>
              <w14:schemeClr w14:val="tx1"/>
            </w14:solidFill>
          </w14:textFill>
        </w:rPr>
        <w:t>。进一步健全监管机制，强化部门沟通协调合作，形成真抓实干合力。</w:t>
      </w:r>
      <w:r>
        <w:rPr>
          <w:rFonts w:hint="eastAsia" w:ascii="仿宋_GB2312" w:hAnsi="仿宋_GB2312" w:eastAsia="仿宋_GB2312"/>
          <w:b/>
          <w:bCs w:val="0"/>
          <w:i w:val="0"/>
          <w:snapToGrid/>
          <w:color w:val="000000" w:themeColor="text1"/>
          <w:sz w:val="32"/>
          <w:lang w:val="en-US" w:eastAsia="zh-CN"/>
          <w14:textFill>
            <w14:solidFill>
              <w14:schemeClr w14:val="tx1"/>
            </w14:solidFill>
          </w14:textFill>
        </w:rPr>
        <w:t>三是</w:t>
      </w:r>
      <w:r>
        <w:rPr>
          <w:rFonts w:hint="eastAsia" w:ascii="仿宋_GB2312" w:hAnsi="仿宋_GB2312" w:eastAsia="仿宋_GB2312"/>
          <w:b w:val="0"/>
          <w:bCs/>
          <w:i w:val="0"/>
          <w:snapToGrid/>
          <w:color w:val="000000" w:themeColor="text1"/>
          <w:sz w:val="32"/>
          <w:lang w:val="en-US" w:eastAsia="zh-CN"/>
          <w14:textFill>
            <w14:solidFill>
              <w14:schemeClr w14:val="tx1"/>
            </w14:solidFill>
          </w14:textFill>
        </w:rPr>
        <w:t>严格监管，提升运营效益。强化规范病种收治，</w:t>
      </w:r>
      <w:r>
        <w:rPr>
          <w:rFonts w:hint="eastAsia" w:ascii="仿宋_GB2312" w:hAnsi="仿宋_GB2312" w:eastAsia="仿宋_GB2312"/>
          <w:bCs/>
          <w:color w:val="000000" w:themeColor="text1"/>
          <w:sz w:val="32"/>
          <w14:textFill>
            <w14:solidFill>
              <w14:schemeClr w14:val="tx1"/>
            </w14:solidFill>
          </w14:textFill>
        </w:rPr>
        <w:t>减少恶性的、过度的“体内循环”</w:t>
      </w:r>
      <w:r>
        <w:rPr>
          <w:rFonts w:hint="eastAsia" w:ascii="仿宋_GB2312" w:hAnsi="仿宋_GB2312" w:eastAsia="仿宋_GB2312"/>
          <w:bCs/>
          <w:color w:val="000000" w:themeColor="text1"/>
          <w:sz w:val="32"/>
          <w:lang w:eastAsia="zh-CN"/>
          <w14:textFill>
            <w14:solidFill>
              <w14:schemeClr w14:val="tx1"/>
            </w14:solidFill>
          </w14:textFill>
        </w:rPr>
        <w:t>，</w:t>
      </w:r>
      <w:r>
        <w:rPr>
          <w:rFonts w:hint="eastAsia" w:ascii="仿宋_GB2312" w:hAnsi="仿宋_GB2312" w:eastAsia="仿宋_GB2312"/>
          <w:bCs/>
          <w:color w:val="000000" w:themeColor="text1"/>
          <w:sz w:val="32"/>
          <w:lang w:val="en-US" w:eastAsia="zh-CN"/>
          <w14:textFill>
            <w14:solidFill>
              <w14:schemeClr w14:val="tx1"/>
            </w14:solidFill>
          </w14:textFill>
        </w:rPr>
        <w:t>违反规定的成本由诊治科室承担，收入全部划归其他科室。严格控制药占比，从严落实审批制，</w:t>
      </w:r>
      <w:r>
        <w:rPr>
          <w:rFonts w:hint="eastAsia" w:ascii="仿宋_GB2312" w:hAnsi="仿宋_GB2312" w:eastAsia="仿宋_GB2312" w:cs="Times New Roman"/>
          <w:bCs/>
          <w:color w:val="000000" w:themeColor="text1"/>
          <w:sz w:val="32"/>
          <w:lang w:val="en-US" w:eastAsia="zh-CN"/>
          <w14:textFill>
            <w14:solidFill>
              <w14:schemeClr w14:val="tx1"/>
            </w14:solidFill>
          </w14:textFill>
        </w:rPr>
        <w:t>优先采购和首选使用基本药物。</w:t>
      </w:r>
      <w:r>
        <w:rPr>
          <w:rFonts w:hint="eastAsia" w:ascii="仿宋_GB2312" w:hAnsi="仿宋_GB2312" w:eastAsia="仿宋_GB2312"/>
          <w:b/>
          <w:bCs w:val="0"/>
          <w:i w:val="0"/>
          <w:snapToGrid/>
          <w:color w:val="000000" w:themeColor="text1"/>
          <w:sz w:val="32"/>
          <w:lang w:val="en-US" w:eastAsia="zh-CN"/>
          <w14:textFill>
            <w14:solidFill>
              <w14:schemeClr w14:val="tx1"/>
            </w14:solidFill>
          </w14:textFill>
        </w:rPr>
        <w:t>四是</w:t>
      </w:r>
      <w:r>
        <w:rPr>
          <w:rFonts w:hint="eastAsia" w:ascii="仿宋_GB2312" w:hAnsi="仿宋_GB2312" w:eastAsia="仿宋_GB2312"/>
          <w:b w:val="0"/>
          <w:bCs/>
          <w:i w:val="0"/>
          <w:snapToGrid/>
          <w:color w:val="000000" w:themeColor="text1"/>
          <w:sz w:val="32"/>
          <w:lang w:val="en-US" w:eastAsia="zh-CN"/>
          <w14:textFill>
            <w14:solidFill>
              <w14:schemeClr w14:val="tx1"/>
            </w14:solidFill>
          </w14:textFill>
        </w:rPr>
        <w:t>依法治院，</w:t>
      </w:r>
      <w:r>
        <w:rPr>
          <w:rFonts w:hint="eastAsia" w:ascii="仿宋_GB2312" w:hAnsi="仿宋_GB2312" w:eastAsia="仿宋_GB2312" w:cs="Times New Roman"/>
          <w:bCs/>
          <w:color w:val="000000" w:themeColor="text1"/>
          <w:sz w:val="32"/>
          <w:lang w:val="en-US" w:eastAsia="zh-CN"/>
          <w14:textFill>
            <w14:solidFill>
              <w14:schemeClr w14:val="tx1"/>
            </w14:solidFill>
          </w14:textFill>
        </w:rPr>
        <w:t>提升现代化水平。积极构建依法</w:t>
      </w:r>
      <w:r>
        <w:rPr>
          <w:rFonts w:hint="eastAsia" w:ascii="仿宋_GB2312" w:eastAsia="仿宋_GB2312"/>
          <w:color w:val="000000" w:themeColor="text1"/>
          <w:sz w:val="32"/>
          <w:szCs w:val="32"/>
          <w14:textFill>
            <w14:solidFill>
              <w14:schemeClr w14:val="tx1"/>
            </w14:solidFill>
          </w14:textFill>
        </w:rPr>
        <w:t>治院体系，形成</w:t>
      </w:r>
      <w:r>
        <w:rPr>
          <w:rFonts w:hint="eastAsia" w:ascii="仿宋_GB2312" w:hAnsi="微软雅黑" w:eastAsia="仿宋_GB2312"/>
          <w:color w:val="000000" w:themeColor="text1"/>
          <w:sz w:val="32"/>
          <w:szCs w:val="32"/>
          <w14:textFill>
            <w14:solidFill>
              <w14:schemeClr w14:val="tx1"/>
            </w14:solidFill>
          </w14:textFill>
        </w:rPr>
        <w:t>办事依法、遇事找法、解决问题用法、化解矛盾靠法的良好氛围，</w:t>
      </w:r>
      <w:r>
        <w:rPr>
          <w:rFonts w:hint="eastAsia" w:ascii="仿宋_GB2312" w:eastAsia="仿宋_GB2312"/>
          <w:color w:val="000000" w:themeColor="text1"/>
          <w:sz w:val="32"/>
          <w:szCs w:val="32"/>
          <w14:textFill>
            <w14:solidFill>
              <w14:schemeClr w14:val="tx1"/>
            </w14:solidFill>
          </w14:textFill>
        </w:rPr>
        <w:t>为医院健康发展提供强力支撑。切实增强制度的落实力，决不能让</w:t>
      </w:r>
      <w:r>
        <w:rPr>
          <w:rFonts w:hint="eastAsia" w:ascii="仿宋_GB2312" w:eastAsia="仿宋_GB2312"/>
          <w:color w:val="000000" w:themeColor="text1"/>
          <w:sz w:val="32"/>
          <w:szCs w:val="32"/>
          <w:lang w:eastAsia="zh-CN"/>
          <w14:textFill>
            <w14:solidFill>
              <w14:schemeClr w14:val="tx1"/>
            </w14:solidFill>
          </w14:textFill>
        </w:rPr>
        <w:t>规章制度</w:t>
      </w:r>
      <w:r>
        <w:rPr>
          <w:rFonts w:hint="eastAsia" w:ascii="仿宋_GB2312" w:eastAsia="仿宋_GB2312"/>
          <w:color w:val="000000" w:themeColor="text1"/>
          <w:sz w:val="32"/>
          <w:szCs w:val="32"/>
          <w14:textFill>
            <w14:solidFill>
              <w14:schemeClr w14:val="tx1"/>
            </w14:solidFill>
          </w14:textFill>
        </w:rPr>
        <w:t>束之高阁，成为一纸空文，确保</w:t>
      </w:r>
      <w:r>
        <w:rPr>
          <w:rStyle w:val="14"/>
          <w:rFonts w:hint="eastAsia" w:ascii="仿宋_GB2312" w:hAnsi="Arial" w:eastAsia="仿宋_GB2312" w:cs="Arial"/>
          <w:i w:val="0"/>
          <w:iCs w:val="0"/>
          <w:color w:val="000000" w:themeColor="text1"/>
          <w:sz w:val="32"/>
          <w:szCs w:val="32"/>
          <w:shd w:val="clear" w:color="auto" w:fill="FFFFFF"/>
          <w14:textFill>
            <w14:solidFill>
              <w14:schemeClr w14:val="tx1"/>
            </w14:solidFill>
          </w14:textFill>
        </w:rPr>
        <w:t>有令必行</w:t>
      </w:r>
      <w:r>
        <w:rPr>
          <w:rStyle w:val="14"/>
          <w:rFonts w:hint="eastAsia" w:ascii="仿宋_GB2312" w:hAnsi="Arial" w:eastAsia="仿宋_GB2312" w:cs="Arial"/>
          <w:i w:val="0"/>
          <w:iCs w:val="0"/>
          <w:color w:val="000000" w:themeColor="text1"/>
          <w:sz w:val="32"/>
          <w:szCs w:val="32"/>
          <w:shd w:val="clear" w:color="auto" w:fill="FFFFFF"/>
          <w:lang w:eastAsia="zh-CN"/>
          <w14:textFill>
            <w14:solidFill>
              <w14:schemeClr w14:val="tx1"/>
            </w14:solidFill>
          </w14:textFill>
        </w:rPr>
        <w:t>，</w:t>
      </w:r>
      <w:r>
        <w:rPr>
          <w:rStyle w:val="14"/>
          <w:rFonts w:hint="eastAsia" w:ascii="仿宋_GB2312" w:hAnsi="Arial" w:eastAsia="仿宋_GB2312" w:cs="Arial"/>
          <w:i w:val="0"/>
          <w:iCs w:val="0"/>
          <w:color w:val="000000" w:themeColor="text1"/>
          <w:sz w:val="32"/>
          <w:szCs w:val="32"/>
          <w:shd w:val="clear" w:color="auto" w:fill="FFFFFF"/>
          <w14:textFill>
            <w14:solidFill>
              <w14:schemeClr w14:val="tx1"/>
            </w14:solidFill>
          </w14:textFill>
        </w:rPr>
        <w:t>有禁必止</w:t>
      </w:r>
      <w:r>
        <w:rPr>
          <w:rFonts w:hint="eastAsia" w:ascii="仿宋_GB2312" w:eastAsia="仿宋_GB2312"/>
          <w:color w:val="000000" w:themeColor="text1"/>
          <w:sz w:val="32"/>
          <w:szCs w:val="32"/>
          <w14:textFill>
            <w14:solidFill>
              <w14:schemeClr w14:val="tx1"/>
            </w14:solidFill>
          </w14:textFill>
        </w:rPr>
        <w:t>。</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rightChars="0" w:firstLine="643" w:firstLineChars="200"/>
        <w:jc w:val="both"/>
        <w:textAlignment w:val="auto"/>
        <w:rPr>
          <w:rFonts w:hint="eastAsia" w:ascii="仿宋_GB2312" w:hAnsi="仿宋_GB2312" w:eastAsia="仿宋_GB2312"/>
          <w:b w:val="0"/>
          <w:bCs/>
          <w:i w:val="0"/>
          <w:snapToGrid/>
          <w:color w:val="000000" w:themeColor="text1"/>
          <w:sz w:val="32"/>
          <w:lang w:val="en-US" w:eastAsia="zh-CN"/>
          <w14:textFill>
            <w14:solidFill>
              <w14:schemeClr w14:val="tx1"/>
            </w14:solidFill>
          </w14:textFill>
        </w:rPr>
      </w:pPr>
      <w:r>
        <w:rPr>
          <w:rFonts w:hint="eastAsia" w:ascii="楷体" w:hAnsi="楷体" w:eastAsia="楷体"/>
          <w:b/>
          <w:bCs w:val="0"/>
          <w:i w:val="0"/>
          <w:snapToGrid/>
          <w:color w:val="000000" w:themeColor="text1"/>
          <w:sz w:val="32"/>
          <w:lang w:val="en-US" w:eastAsia="zh-CN"/>
          <w14:textFill>
            <w14:solidFill>
              <w14:schemeClr w14:val="tx1"/>
            </w14:solidFill>
          </w14:textFill>
        </w:rPr>
        <w:t>3.聚焦质量安全筑牢新防线，推进业务总量做大做精。</w:t>
      </w:r>
      <w:r>
        <w:rPr>
          <w:rFonts w:hint="eastAsia" w:ascii="仿宋_GB2312" w:hAnsi="仿宋_GB2312" w:eastAsia="仿宋_GB2312"/>
          <w:b/>
          <w:bCs w:val="0"/>
          <w:i w:val="0"/>
          <w:snapToGrid/>
          <w:color w:val="000000" w:themeColor="text1"/>
          <w:sz w:val="32"/>
          <w:lang w:val="en-US" w:eastAsia="zh-CN"/>
          <w14:textFill>
            <w14:solidFill>
              <w14:schemeClr w14:val="tx1"/>
            </w14:solidFill>
          </w14:textFill>
        </w:rPr>
        <w:t>一是</w:t>
      </w:r>
      <w:r>
        <w:rPr>
          <w:rFonts w:hint="eastAsia" w:ascii="仿宋_GB2312" w:hAnsi="仿宋_GB2312" w:eastAsia="仿宋_GB2312"/>
          <w:b w:val="0"/>
          <w:bCs/>
          <w:i w:val="0"/>
          <w:snapToGrid/>
          <w:color w:val="000000" w:themeColor="text1"/>
          <w:sz w:val="32"/>
          <w:lang w:val="en-US" w:eastAsia="zh-CN"/>
          <w14:textFill>
            <w14:solidFill>
              <w14:schemeClr w14:val="tx1"/>
            </w14:solidFill>
          </w14:textFill>
        </w:rPr>
        <w:t>切实加强质控管理。发挥公立医院绩效考核“指挥棒”作用，引导全院医护人员树立质量就是生命线、质量就是最大效益的思想，从医疗、护理、检查、检验、院管等各个方面、各个环节入手，加大“医疗三监管”力度，真正把高质量、精质量做上去。</w:t>
      </w:r>
      <w:r>
        <w:rPr>
          <w:rFonts w:hint="eastAsia" w:ascii="仿宋_GB2312" w:hAnsi="仿宋_GB2312" w:eastAsia="仿宋_GB2312"/>
          <w:b/>
          <w:bCs w:val="0"/>
          <w:i w:val="0"/>
          <w:snapToGrid/>
          <w:color w:val="000000" w:themeColor="text1"/>
          <w:sz w:val="32"/>
          <w:lang w:val="en-US" w:eastAsia="zh-CN"/>
          <w14:textFill>
            <w14:solidFill>
              <w14:schemeClr w14:val="tx1"/>
            </w14:solidFill>
          </w14:textFill>
        </w:rPr>
        <w:t>二是</w:t>
      </w:r>
      <w:r>
        <w:rPr>
          <w:rFonts w:hint="eastAsia" w:ascii="仿宋_GB2312" w:hAnsi="仿宋_GB2312" w:eastAsia="仿宋_GB2312"/>
          <w:b w:val="0"/>
          <w:bCs/>
          <w:i w:val="0"/>
          <w:snapToGrid/>
          <w:color w:val="000000" w:themeColor="text1"/>
          <w:sz w:val="32"/>
          <w:lang w:val="en-US" w:eastAsia="zh-CN"/>
          <w14:textFill>
            <w14:solidFill>
              <w14:schemeClr w14:val="tx1"/>
            </w14:solidFill>
          </w14:textFill>
        </w:rPr>
        <w:t>加强推进技术进步。</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坚持高起点、高标准、高水平、高效益的原则，强化重点专科建设。</w:t>
      </w:r>
      <w:r>
        <w:rPr>
          <w:rFonts w:hint="eastAsia" w:ascii="仿宋_GB2312" w:hAnsi="仿宋_GB2312" w:eastAsia="仿宋_GB2312"/>
          <w:b w:val="0"/>
          <w:bCs/>
          <w:i w:val="0"/>
          <w:snapToGrid/>
          <w:color w:val="000000" w:themeColor="text1"/>
          <w:sz w:val="32"/>
          <w:lang w:val="en-US" w:eastAsia="zh-CN"/>
          <w14:textFill>
            <w14:solidFill>
              <w14:schemeClr w14:val="tx1"/>
            </w14:solidFill>
          </w14:textFill>
        </w:rPr>
        <w:t>积极引进新技术、开展新项目，强化技术攻坚，真正发挥</w:t>
      </w:r>
      <w:r>
        <w:rPr>
          <w:rFonts w:hint="default" w:ascii="仿宋_GB2312" w:hAnsi="仿宋_GB2312" w:eastAsia="仿宋_GB2312"/>
          <w:b w:val="0"/>
          <w:bCs/>
          <w:i w:val="0"/>
          <w:snapToGrid/>
          <w:color w:val="000000" w:themeColor="text1"/>
          <w:sz w:val="32"/>
          <w:lang w:val="en-US" w:eastAsia="zh-CN"/>
          <w14:textFill>
            <w14:solidFill>
              <w14:schemeClr w14:val="tx1"/>
            </w14:solidFill>
          </w14:textFill>
        </w:rPr>
        <w:t>精雕细琢</w:t>
      </w:r>
      <w:r>
        <w:rPr>
          <w:rFonts w:hint="eastAsia" w:ascii="仿宋_GB2312" w:hAnsi="仿宋_GB2312" w:eastAsia="仿宋_GB2312"/>
          <w:b w:val="0"/>
          <w:bCs/>
          <w:i w:val="0"/>
          <w:snapToGrid/>
          <w:color w:val="000000" w:themeColor="text1"/>
          <w:sz w:val="32"/>
          <w:lang w:val="en-US" w:eastAsia="zh-CN"/>
          <w14:textFill>
            <w14:solidFill>
              <w14:schemeClr w14:val="tx1"/>
            </w14:solidFill>
          </w14:textFill>
        </w:rPr>
        <w:t>、精益求精、质量为上的“</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工匠精神</w:t>
      </w:r>
      <w:r>
        <w:rPr>
          <w:rFonts w:hint="eastAsia" w:ascii="仿宋_GB2312" w:hAnsi="仿宋_GB2312" w:eastAsia="仿宋_GB2312"/>
          <w:b w:val="0"/>
          <w:bCs/>
          <w:i w:val="0"/>
          <w:snapToGrid/>
          <w:color w:val="000000" w:themeColor="text1"/>
          <w:sz w:val="32"/>
          <w:lang w:val="en-US" w:eastAsia="zh-CN"/>
          <w14:textFill>
            <w14:solidFill>
              <w14:schemeClr w14:val="tx1"/>
            </w14:solidFill>
          </w14:textFill>
        </w:rPr>
        <w:t>”，增强精品意识、质量意识，不断提高诊疗技术和水平。</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力争创建1个省级临床医学专科，2个市级重点医学专科，</w:t>
      </w:r>
      <w:r>
        <w:rPr>
          <w:rFonts w:hint="eastAsia" w:ascii="仿宋_GB2312" w:hAnsi="仿宋_GB2312" w:eastAsia="仿宋_GB2312"/>
          <w:b/>
          <w:bCs w:val="0"/>
          <w:i w:val="0"/>
          <w:snapToGrid/>
          <w:color w:val="000000" w:themeColor="text1"/>
          <w:sz w:val="32"/>
          <w:lang w:val="en-US" w:eastAsia="zh-CN"/>
          <w14:textFill>
            <w14:solidFill>
              <w14:schemeClr w14:val="tx1"/>
            </w14:solidFill>
          </w14:textFill>
        </w:rPr>
        <w:t>三是</w:t>
      </w:r>
      <w:r>
        <w:rPr>
          <w:rFonts w:hint="eastAsia" w:ascii="仿宋_GB2312" w:hAnsi="仿宋_GB2312" w:eastAsia="仿宋_GB2312"/>
          <w:b w:val="0"/>
          <w:bCs/>
          <w:i w:val="0"/>
          <w:snapToGrid/>
          <w:color w:val="000000" w:themeColor="text1"/>
          <w:sz w:val="32"/>
          <w:lang w:val="en-US" w:eastAsia="zh-CN"/>
          <w14:textFill>
            <w14:solidFill>
              <w14:schemeClr w14:val="tx1"/>
            </w14:solidFill>
          </w14:textFill>
        </w:rPr>
        <w:t>加强</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临床教学工作。抓好青年医师的“传、帮、带、教”以及规培生、实习生、进修生的带教工作，深化</w:t>
      </w:r>
      <w:r>
        <w:rPr>
          <w:rFonts w:hint="eastAsia" w:ascii="仿宋_GB2312" w:hAnsi="仿宋_GB2312" w:eastAsia="仿宋_GB2312" w:cs="仿宋_GB2312"/>
          <w:color w:val="000000" w:themeColor="text1"/>
          <w:sz w:val="32"/>
          <w:szCs w:val="32"/>
          <w14:textFill>
            <w14:solidFill>
              <w14:schemeClr w14:val="tx1"/>
            </w14:solidFill>
          </w14:textFill>
        </w:rPr>
        <w:t>医、教、研协调发展</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充分发挥教学医院作用，营造浓厚的学术氛围。</w:t>
      </w: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四是</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切实履行公卫职能。</w:t>
      </w:r>
      <w:r>
        <w:rPr>
          <w:rFonts w:hint="eastAsia" w:ascii="仿宋_GB2312" w:eastAsia="仿宋_GB2312"/>
          <w:color w:val="000000" w:themeColor="text1"/>
          <w:sz w:val="32"/>
          <w:szCs w:val="32"/>
          <w14:textFill>
            <w14:solidFill>
              <w14:schemeClr w14:val="tx1"/>
            </w14:solidFill>
          </w14:textFill>
        </w:rPr>
        <w:t>坚持守土有责、守土尽责，按照平战一体化发展战略，全力做好传染病防控和救治工作。</w:t>
      </w:r>
      <w:r>
        <w:rPr>
          <w:rFonts w:hint="eastAsia" w:ascii="仿宋_GB2312" w:hAnsi="仿宋_GB2312" w:eastAsia="仿宋_GB2312"/>
          <w:b/>
          <w:bCs w:val="0"/>
          <w:i w:val="0"/>
          <w:snapToGrid/>
          <w:color w:val="000000" w:themeColor="text1"/>
          <w:sz w:val="32"/>
          <w:lang w:val="en-US" w:eastAsia="zh-CN"/>
          <w14:textFill>
            <w14:solidFill>
              <w14:schemeClr w14:val="tx1"/>
            </w14:solidFill>
          </w14:textFill>
        </w:rPr>
        <w:t>五是</w:t>
      </w:r>
      <w:r>
        <w:rPr>
          <w:rFonts w:hint="eastAsia" w:ascii="仿宋_GB2312" w:hAnsi="仿宋_GB2312" w:eastAsia="仿宋_GB2312"/>
          <w:b w:val="0"/>
          <w:bCs/>
          <w:i w:val="0"/>
          <w:snapToGrid/>
          <w:color w:val="000000" w:themeColor="text1"/>
          <w:sz w:val="32"/>
          <w:lang w:val="en-US" w:eastAsia="zh-CN"/>
          <w14:textFill>
            <w14:solidFill>
              <w14:schemeClr w14:val="tx1"/>
            </w14:solidFill>
          </w14:textFill>
        </w:rPr>
        <w:t>切实加强医疗安全。</w:t>
      </w:r>
      <w:r>
        <w:rPr>
          <w:rFonts w:hint="eastAsia" w:ascii="仿宋_GB2312" w:hAnsi="宋体" w:eastAsia="仿宋_GB2312"/>
          <w:color w:val="000000" w:themeColor="text1"/>
          <w:sz w:val="32"/>
          <w:szCs w:val="32"/>
          <w14:textFill>
            <w14:solidFill>
              <w14:schemeClr w14:val="tx1"/>
            </w14:solidFill>
          </w14:textFill>
        </w:rPr>
        <w:t>推进平安医院建设，不断完善应急预案，强化人防、物防、技防联合防范</w:t>
      </w:r>
      <w:r>
        <w:rPr>
          <w:rFonts w:hint="eastAsia" w:ascii="仿宋_GB2312" w:hAnsi="宋体" w:eastAsia="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进一步加强医疗安全管理，全面落实医疗质量核心制度，充分运用和发挥好医疗质量安全管理工具作用，严防医疗安全事故发生，确保患者就医安全。</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rightChars="0" w:firstLine="643" w:firstLineChars="200"/>
        <w:jc w:val="both"/>
        <w:textAlignment w:val="auto"/>
        <w:rPr>
          <w:rFonts w:hint="eastAsia" w:ascii="仿宋_GB2312" w:hAnsi="仿宋_GB2312" w:eastAsia="仿宋_GB2312"/>
          <w:b w:val="0"/>
          <w:bCs/>
          <w:i w:val="0"/>
          <w:snapToGrid/>
          <w:color w:val="000000" w:themeColor="text1"/>
          <w:sz w:val="32"/>
          <w:lang w:val="en-US" w:eastAsia="zh-CN"/>
          <w14:textFill>
            <w14:solidFill>
              <w14:schemeClr w14:val="tx1"/>
            </w14:solidFill>
          </w14:textFill>
        </w:rPr>
      </w:pPr>
      <w:r>
        <w:rPr>
          <w:rFonts w:hint="eastAsia" w:ascii="楷体" w:hAnsi="楷体" w:eastAsia="楷体"/>
          <w:b/>
          <w:bCs w:val="0"/>
          <w:i w:val="0"/>
          <w:snapToGrid/>
          <w:color w:val="000000" w:themeColor="text1"/>
          <w:sz w:val="32"/>
          <w:lang w:val="en-US" w:eastAsia="zh-CN"/>
          <w14:textFill>
            <w14:solidFill>
              <w14:schemeClr w14:val="tx1"/>
            </w14:solidFill>
          </w14:textFill>
        </w:rPr>
        <w:t>4.聚焦内涵建设塑造新优势，推进服务质量持续提升。</w:t>
      </w:r>
      <w:r>
        <w:rPr>
          <w:rFonts w:hint="eastAsia" w:ascii="仿宋_GB2312" w:hAnsi="仿宋_GB2312" w:eastAsia="仿宋_GB2312"/>
          <w:b/>
          <w:bCs w:val="0"/>
          <w:i w:val="0"/>
          <w:snapToGrid/>
          <w:color w:val="000000" w:themeColor="text1"/>
          <w:sz w:val="32"/>
          <w:lang w:val="en-US" w:eastAsia="zh-CN"/>
          <w14:textFill>
            <w14:solidFill>
              <w14:schemeClr w14:val="tx1"/>
            </w14:solidFill>
          </w14:textFill>
        </w:rPr>
        <w:t>一是</w:t>
      </w:r>
      <w:r>
        <w:rPr>
          <w:rFonts w:hint="eastAsia" w:ascii="仿宋_GB2312" w:hAnsi="仿宋_GB2312" w:eastAsia="仿宋_GB2312"/>
          <w:b w:val="0"/>
          <w:bCs/>
          <w:color w:val="000000" w:themeColor="text1"/>
          <w:sz w:val="32"/>
          <w:szCs w:val="32"/>
          <w:shd w:val="clear" w:color="auto" w:fill="FFFFFF"/>
          <w:lang w:val="en-US" w:eastAsia="zh-CN"/>
          <w14:textFill>
            <w14:solidFill>
              <w14:schemeClr w14:val="tx1"/>
            </w14:solidFill>
          </w14:textFill>
        </w:rPr>
        <w:t>深入推进专项活动。以“就医环境大整治、患者体验大提升”专项活动为契机，全面推进医疗服务改善、升级，打造平安医院、园林式医院，持续提升医院影响力、美誉度，不断提升患者就医体验。</w:t>
      </w:r>
      <w:r>
        <w:rPr>
          <w:rFonts w:hint="eastAsia" w:ascii="仿宋_GB2312" w:hAnsi="仿宋_GB2312" w:eastAsia="仿宋_GB2312"/>
          <w:b/>
          <w:bCs w:val="0"/>
          <w:color w:val="000000" w:themeColor="text1"/>
          <w:sz w:val="32"/>
          <w:szCs w:val="32"/>
          <w:shd w:val="clear" w:color="auto" w:fill="FFFFFF"/>
          <w:lang w:val="en-US" w:eastAsia="zh-CN"/>
          <w14:textFill>
            <w14:solidFill>
              <w14:schemeClr w14:val="tx1"/>
            </w14:solidFill>
          </w14:textFill>
        </w:rPr>
        <w:t>二是</w:t>
      </w:r>
      <w:r>
        <w:rPr>
          <w:rFonts w:hint="eastAsia" w:ascii="仿宋_GB2312" w:hAnsi="仿宋_GB2312" w:eastAsia="仿宋_GB2312"/>
          <w:b w:val="0"/>
          <w:bCs/>
          <w:color w:val="000000" w:themeColor="text1"/>
          <w:sz w:val="32"/>
          <w:szCs w:val="32"/>
          <w14:textFill>
            <w14:solidFill>
              <w14:schemeClr w14:val="tx1"/>
            </w14:solidFill>
          </w14:textFill>
        </w:rPr>
        <w:t>不断增强服务意识</w:t>
      </w:r>
      <w:r>
        <w:rPr>
          <w:rFonts w:hint="eastAsia" w:ascii="仿宋_GB2312" w:hAnsi="仿宋_GB2312" w:eastAsia="仿宋_GB2312"/>
          <w:b w:val="0"/>
          <w:bCs/>
          <w:color w:val="000000" w:themeColor="text1"/>
          <w:sz w:val="32"/>
          <w:szCs w:val="32"/>
          <w:lang w:eastAsia="zh-CN"/>
          <w14:textFill>
            <w14:solidFill>
              <w14:schemeClr w14:val="tx1"/>
            </w14:solidFill>
          </w14:textFill>
        </w:rPr>
        <w:t>。</w:t>
      </w:r>
      <w:r>
        <w:rPr>
          <w:rFonts w:hint="eastAsia" w:ascii="仿宋_GB2312" w:hAnsi="仿宋_GB2312" w:eastAsia="仿宋_GB2312"/>
          <w:b w:val="0"/>
          <w:bCs/>
          <w:color w:val="000000" w:themeColor="text1"/>
          <w:sz w:val="32"/>
          <w:szCs w:val="32"/>
          <w:shd w:val="clear" w:color="auto" w:fill="FFFFFF"/>
          <w14:textFill>
            <w14:solidFill>
              <w14:schemeClr w14:val="tx1"/>
            </w14:solidFill>
          </w14:textFill>
        </w:rPr>
        <w:t>通过多种方式不断加强医院</w:t>
      </w:r>
      <w:r>
        <w:rPr>
          <w:rFonts w:hint="eastAsia" w:ascii="仿宋_GB2312" w:hAnsi="仿宋_GB2312" w:eastAsia="仿宋_GB2312"/>
          <w:b w:val="0"/>
          <w:bCs/>
          <w:color w:val="000000" w:themeColor="text1"/>
          <w:sz w:val="32"/>
          <w:szCs w:val="32"/>
          <w:shd w:val="clear" w:color="auto" w:fill="FFFFFF"/>
          <w:lang w:val="en-US" w:eastAsia="zh-CN"/>
          <w14:textFill>
            <w14:solidFill>
              <w14:schemeClr w14:val="tx1"/>
            </w14:solidFill>
          </w14:textFill>
        </w:rPr>
        <w:t>各个层面</w:t>
      </w:r>
      <w:r>
        <w:rPr>
          <w:rFonts w:hint="eastAsia" w:ascii="仿宋_GB2312" w:hAnsi="仿宋_GB2312" w:eastAsia="仿宋_GB2312"/>
          <w:b w:val="0"/>
          <w:bCs/>
          <w:color w:val="000000" w:themeColor="text1"/>
          <w:sz w:val="32"/>
          <w:szCs w:val="32"/>
          <w:shd w:val="clear" w:color="auto" w:fill="FFFFFF"/>
          <w14:textFill>
            <w14:solidFill>
              <w14:schemeClr w14:val="tx1"/>
            </w14:solidFill>
          </w14:textFill>
        </w:rPr>
        <w:t>人员医疗质量、医疗安全</w:t>
      </w:r>
      <w:r>
        <w:rPr>
          <w:rFonts w:hint="eastAsia" w:ascii="仿宋_GB2312" w:hAnsi="仿宋_GB2312" w:eastAsia="仿宋_GB2312"/>
          <w:b w:val="0"/>
          <w:bCs/>
          <w:color w:val="000000" w:themeColor="text1"/>
          <w:sz w:val="32"/>
          <w:szCs w:val="32"/>
          <w:shd w:val="clear" w:color="auto" w:fill="FFFFFF"/>
          <w:lang w:val="en-US" w:eastAsia="zh-CN"/>
          <w14:textFill>
            <w14:solidFill>
              <w14:schemeClr w14:val="tx1"/>
            </w14:solidFill>
          </w14:textFill>
        </w:rPr>
        <w:t>以及</w:t>
      </w:r>
      <w:r>
        <w:rPr>
          <w:rFonts w:hint="eastAsia" w:ascii="仿宋_GB2312" w:hAnsi="仿宋_GB2312" w:eastAsia="仿宋_GB2312"/>
          <w:b w:val="0"/>
          <w:bCs/>
          <w:color w:val="000000" w:themeColor="text1"/>
          <w:sz w:val="32"/>
          <w:szCs w:val="32"/>
          <w:shd w:val="clear" w:color="auto" w:fill="FFFFFF"/>
          <w14:textFill>
            <w14:solidFill>
              <w14:schemeClr w14:val="tx1"/>
            </w14:solidFill>
          </w14:textFill>
        </w:rPr>
        <w:t>相关法律法规等方面的教育，使全院人员充分认识到医疗质量是医院生存之本、发展之本，是医疗</w:t>
      </w:r>
      <w:r>
        <w:rPr>
          <w:rFonts w:hint="eastAsia" w:ascii="仿宋_GB2312" w:hAnsi="仿宋_GB2312" w:eastAsia="仿宋_GB2312"/>
          <w:b w:val="0"/>
          <w:bCs/>
          <w:color w:val="000000" w:themeColor="text1"/>
          <w:sz w:val="32"/>
          <w:szCs w:val="32"/>
          <w:shd w:val="clear" w:color="auto" w:fill="FFFFFF"/>
          <w:lang w:val="en-US" w:eastAsia="zh-CN"/>
          <w14:textFill>
            <w14:solidFill>
              <w14:schemeClr w14:val="tx1"/>
            </w14:solidFill>
          </w14:textFill>
        </w:rPr>
        <w:t>服务拓展延伸</w:t>
      </w:r>
      <w:r>
        <w:rPr>
          <w:rFonts w:hint="eastAsia" w:ascii="仿宋_GB2312" w:hAnsi="仿宋_GB2312" w:eastAsia="仿宋_GB2312"/>
          <w:b w:val="0"/>
          <w:bCs/>
          <w:color w:val="000000" w:themeColor="text1"/>
          <w:sz w:val="32"/>
          <w:szCs w:val="32"/>
          <w:shd w:val="clear" w:color="auto" w:fill="FFFFFF"/>
          <w14:textFill>
            <w14:solidFill>
              <w14:schemeClr w14:val="tx1"/>
            </w14:solidFill>
          </w14:textFill>
        </w:rPr>
        <w:t>的源泉，把搞好服务作为自觉的行动，</w:t>
      </w:r>
      <w:r>
        <w:rPr>
          <w:rFonts w:hint="eastAsia" w:ascii="仿宋_GB2312" w:hAnsi="仿宋_GB2312" w:eastAsia="仿宋_GB2312"/>
          <w:b w:val="0"/>
          <w:bCs/>
          <w:color w:val="000000" w:themeColor="text1"/>
          <w:sz w:val="32"/>
          <w:szCs w:val="32"/>
          <w:shd w:val="clear" w:color="auto" w:fill="FFFFFF"/>
          <w:lang w:eastAsia="zh-CN"/>
          <w14:textFill>
            <w14:solidFill>
              <w14:schemeClr w14:val="tx1"/>
            </w14:solidFill>
          </w14:textFill>
        </w:rPr>
        <w:t>融入</w:t>
      </w:r>
      <w:r>
        <w:rPr>
          <w:rFonts w:hint="eastAsia" w:ascii="仿宋_GB2312" w:hAnsi="仿宋_GB2312" w:eastAsia="仿宋_GB2312"/>
          <w:b w:val="0"/>
          <w:bCs/>
          <w:color w:val="000000" w:themeColor="text1"/>
          <w:sz w:val="32"/>
          <w:szCs w:val="32"/>
          <w:shd w:val="clear" w:color="auto" w:fill="FFFFFF"/>
          <w14:textFill>
            <w14:solidFill>
              <w14:schemeClr w14:val="tx1"/>
            </w14:solidFill>
          </w14:textFill>
        </w:rPr>
        <w:t>自己的一言一行中</w:t>
      </w:r>
      <w:r>
        <w:rPr>
          <w:rFonts w:hint="eastAsia" w:ascii="仿宋_GB2312" w:hAnsi="仿宋_GB2312" w:eastAsia="仿宋_GB2312"/>
          <w:b w:val="0"/>
          <w:bCs/>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b w:val="0"/>
          <w:bCs/>
          <w:color w:val="000000" w:themeColor="text1"/>
          <w:sz w:val="32"/>
          <w:szCs w:val="32"/>
          <w:shd w:val="clear" w:color="auto" w:fill="FFFFFF"/>
          <w:lang w:val="en-US" w:eastAsia="zh-CN"/>
          <w14:textFill>
            <w14:solidFill>
              <w14:schemeClr w14:val="tx1"/>
            </w14:solidFill>
          </w14:textFill>
        </w:rPr>
        <w:t>切实提升服务品质</w:t>
      </w:r>
      <w:r>
        <w:rPr>
          <w:rFonts w:hint="eastAsia" w:ascii="仿宋_GB2312" w:hAnsi="仿宋_GB2312" w:eastAsia="仿宋_GB2312"/>
          <w:b w:val="0"/>
          <w:bCs/>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b/>
          <w:bCs w:val="0"/>
          <w:color w:val="000000" w:themeColor="text1"/>
          <w:sz w:val="32"/>
          <w:szCs w:val="32"/>
          <w:shd w:val="clear" w:color="auto" w:fill="FFFFFF"/>
          <w:lang w:val="en-US" w:eastAsia="zh-CN"/>
          <w14:textFill>
            <w14:solidFill>
              <w14:schemeClr w14:val="tx1"/>
            </w14:solidFill>
          </w14:textFill>
        </w:rPr>
        <w:t>三是</w:t>
      </w:r>
      <w:r>
        <w:rPr>
          <w:rFonts w:hint="eastAsia" w:ascii="仿宋_GB2312" w:hAnsi="仿宋_GB2312" w:eastAsia="仿宋_GB2312"/>
          <w:b w:val="0"/>
          <w:bCs/>
          <w:color w:val="000000" w:themeColor="text1"/>
          <w:sz w:val="32"/>
          <w:szCs w:val="32"/>
          <w:shd w:val="clear" w:color="auto" w:fill="FFFFFF"/>
          <w:lang w:val="en-US" w:eastAsia="zh-CN"/>
          <w14:textFill>
            <w14:solidFill>
              <w14:schemeClr w14:val="tx1"/>
            </w14:solidFill>
          </w14:textFill>
        </w:rPr>
        <w:t>持续</w:t>
      </w:r>
      <w:r>
        <w:rPr>
          <w:rFonts w:hint="eastAsia" w:ascii="仿宋_GB2312" w:hAnsi="仿宋_GB2312" w:eastAsia="仿宋_GB2312"/>
          <w:b w:val="0"/>
          <w:bCs/>
          <w:color w:val="000000" w:themeColor="text1"/>
          <w:sz w:val="32"/>
          <w:szCs w:val="32"/>
          <w14:textFill>
            <w14:solidFill>
              <w14:schemeClr w14:val="tx1"/>
            </w14:solidFill>
          </w14:textFill>
        </w:rPr>
        <w:t>优化服务流程</w:t>
      </w:r>
      <w:r>
        <w:rPr>
          <w:rFonts w:hint="eastAsia" w:ascii="仿宋_GB2312" w:hAnsi="仿宋_GB2312" w:eastAsia="仿宋_GB2312"/>
          <w:b w:val="0"/>
          <w:bCs/>
          <w:color w:val="000000" w:themeColor="text1"/>
          <w:sz w:val="32"/>
          <w:szCs w:val="32"/>
          <w:lang w:eastAsia="zh-CN"/>
          <w14:textFill>
            <w14:solidFill>
              <w14:schemeClr w14:val="tx1"/>
            </w14:solidFill>
          </w14:textFill>
        </w:rPr>
        <w:t>。</w:t>
      </w:r>
      <w:r>
        <w:rPr>
          <w:rFonts w:hint="eastAsia" w:ascii="仿宋_GB2312" w:hAnsi="仿宋_GB2312" w:eastAsia="仿宋_GB2312"/>
          <w:b w:val="0"/>
          <w:bCs/>
          <w:color w:val="000000" w:themeColor="text1"/>
          <w:sz w:val="32"/>
          <w:szCs w:val="32"/>
          <w14:textFill>
            <w14:solidFill>
              <w14:schemeClr w14:val="tx1"/>
            </w14:solidFill>
          </w14:textFill>
        </w:rPr>
        <w:t>始终做到换位思考，把病人放在第一位，</w:t>
      </w:r>
      <w:r>
        <w:rPr>
          <w:rFonts w:hint="eastAsia" w:ascii="仿宋_GB2312" w:hAnsi="仿宋_GB2312" w:eastAsia="仿宋_GB2312"/>
          <w:b w:val="0"/>
          <w:bCs/>
          <w:color w:val="000000" w:themeColor="text1"/>
          <w:sz w:val="32"/>
          <w:szCs w:val="32"/>
          <w:lang w:val="en-US" w:eastAsia="zh-CN"/>
          <w14:textFill>
            <w14:solidFill>
              <w14:schemeClr w14:val="tx1"/>
            </w14:solidFill>
          </w14:textFill>
        </w:rPr>
        <w:t>定期分析患者投诉，</w:t>
      </w:r>
      <w:r>
        <w:rPr>
          <w:rFonts w:hint="eastAsia" w:ascii="仿宋_GB2312" w:hAnsi="仿宋_GB2312" w:eastAsia="仿宋_GB2312"/>
          <w:b w:val="0"/>
          <w:bCs/>
          <w:color w:val="000000" w:themeColor="text1"/>
          <w:sz w:val="32"/>
          <w:szCs w:val="32"/>
          <w14:textFill>
            <w14:solidFill>
              <w14:schemeClr w14:val="tx1"/>
            </w14:solidFill>
          </w14:textFill>
        </w:rPr>
        <w:t>认真深入仔细地查找医院各个服务环节存在的问题和差距，</w:t>
      </w:r>
      <w:r>
        <w:rPr>
          <w:rFonts w:hint="eastAsia" w:ascii="仿宋_GB2312" w:hAnsi="仿宋_GB2312" w:eastAsia="仿宋_GB2312"/>
          <w:b w:val="0"/>
          <w:bCs/>
          <w:color w:val="000000" w:themeColor="text1"/>
          <w:sz w:val="32"/>
          <w:szCs w:val="32"/>
          <w:lang w:val="en-US" w:eastAsia="zh-CN"/>
          <w14:textFill>
            <w14:solidFill>
              <w14:schemeClr w14:val="tx1"/>
            </w14:solidFill>
          </w14:textFill>
        </w:rPr>
        <w:t>开展“痛点”整治，从病人不满意的地方入手，大力</w:t>
      </w:r>
      <w:r>
        <w:rPr>
          <w:rFonts w:hint="eastAsia" w:ascii="仿宋_GB2312" w:hAnsi="仿宋_GB2312" w:eastAsia="仿宋_GB2312"/>
          <w:b w:val="0"/>
          <w:bCs/>
          <w:color w:val="000000" w:themeColor="text1"/>
          <w:sz w:val="32"/>
          <w:szCs w:val="32"/>
          <w14:textFill>
            <w14:solidFill>
              <w14:schemeClr w14:val="tx1"/>
            </w14:solidFill>
          </w14:textFill>
        </w:rPr>
        <w:t>改造和优化服务流程</w:t>
      </w:r>
      <w:r>
        <w:rPr>
          <w:rFonts w:hint="eastAsia" w:ascii="仿宋_GB2312" w:hAnsi="仿宋_GB2312" w:eastAsia="仿宋_GB2312"/>
          <w:b w:val="0"/>
          <w:bCs/>
          <w:color w:val="000000" w:themeColor="text1"/>
          <w:sz w:val="32"/>
          <w:szCs w:val="32"/>
          <w:lang w:eastAsia="zh-CN"/>
          <w14:textFill>
            <w14:solidFill>
              <w14:schemeClr w14:val="tx1"/>
            </w14:solidFill>
          </w14:textFill>
        </w:rPr>
        <w:t>，</w:t>
      </w:r>
      <w:r>
        <w:rPr>
          <w:rFonts w:hint="eastAsia" w:ascii="仿宋_GB2312" w:hAnsi="仿宋_GB2312" w:eastAsia="仿宋_GB2312"/>
          <w:b w:val="0"/>
          <w:bCs/>
          <w:color w:val="000000" w:themeColor="text1"/>
          <w:sz w:val="32"/>
          <w:szCs w:val="32"/>
          <w:lang w:val="en-US" w:eastAsia="zh-CN"/>
          <w14:textFill>
            <w14:solidFill>
              <w14:schemeClr w14:val="tx1"/>
            </w14:solidFill>
          </w14:textFill>
        </w:rPr>
        <w:t>让病人就医便捷顺畅，舒适度、满意度不断提升。</w:t>
      </w:r>
      <w:r>
        <w:rPr>
          <w:rFonts w:hint="eastAsia" w:ascii="仿宋_GB2312" w:hAnsi="仿宋_GB2312" w:eastAsia="仿宋_GB2312"/>
          <w:b/>
          <w:bCs w:val="0"/>
          <w:color w:val="000000" w:themeColor="text1"/>
          <w:sz w:val="32"/>
          <w:szCs w:val="32"/>
          <w:lang w:val="en-US" w:eastAsia="zh-CN"/>
          <w14:textFill>
            <w14:solidFill>
              <w14:schemeClr w14:val="tx1"/>
            </w14:solidFill>
          </w14:textFill>
        </w:rPr>
        <w:t>四是</w:t>
      </w:r>
      <w:r>
        <w:rPr>
          <w:rFonts w:hint="eastAsia" w:ascii="仿宋_GB2312" w:hAnsi="仿宋_GB2312" w:eastAsia="仿宋_GB2312"/>
          <w:b w:val="0"/>
          <w:bCs/>
          <w:color w:val="000000" w:themeColor="text1"/>
          <w:sz w:val="32"/>
          <w:szCs w:val="32"/>
          <w:lang w:val="en-US" w:eastAsia="zh-CN"/>
          <w14:textFill>
            <w14:solidFill>
              <w14:schemeClr w14:val="tx1"/>
            </w14:solidFill>
          </w14:textFill>
        </w:rPr>
        <w:t>加快推进项目建设。积极筹措、保证项目资金到位，康养综合楼项目竣工进入装修阶段，力争尽早投入使用。传染病住院病区改造项目进入实施阶段。</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rightChars="0" w:firstLine="643" w:firstLineChars="200"/>
        <w:jc w:val="both"/>
        <w:textAlignment w:val="auto"/>
        <w:rPr>
          <w:rFonts w:hint="default" w:ascii="仿宋_GB2312" w:hAnsi="仿宋_GB2312" w:eastAsia="仿宋_GB2312"/>
          <w:b w:val="0"/>
          <w:bCs w:val="0"/>
          <w:i w:val="0"/>
          <w:snapToGrid/>
          <w:color w:val="000000" w:themeColor="text1"/>
          <w:sz w:val="32"/>
          <w:lang w:val="en-US" w:eastAsia="zh-CN"/>
          <w14:textFill>
            <w14:solidFill>
              <w14:schemeClr w14:val="tx1"/>
            </w14:solidFill>
          </w14:textFill>
        </w:rPr>
      </w:pPr>
      <w:r>
        <w:rPr>
          <w:rFonts w:hint="eastAsia" w:ascii="楷体" w:hAnsi="楷体" w:eastAsia="楷体"/>
          <w:b/>
          <w:bCs w:val="0"/>
          <w:i w:val="0"/>
          <w:snapToGrid/>
          <w:color w:val="000000" w:themeColor="text1"/>
          <w:sz w:val="32"/>
          <w:lang w:val="en-US" w:eastAsia="zh-CN"/>
          <w14:textFill>
            <w14:solidFill>
              <w14:schemeClr w14:val="tx1"/>
            </w14:solidFill>
          </w14:textFill>
        </w:rPr>
        <w:t>5.聚焦主业主责开拓新局面，推进医疗服务拓展深化。</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一是</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强化营销宣传。树立全员营销大格局，每一名干部职工都是宣传员、宣讲员，时刻从日常、小事、身边做起，自觉树立强烈的优质服务意识和大市场意识。</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二是</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强化</w:t>
      </w:r>
      <w:r>
        <w:rPr>
          <w:rFonts w:hint="eastAsia" w:ascii="仿宋_GB2312" w:hAnsi="宋体" w:eastAsia="仿宋_GB2312"/>
          <w:b w:val="0"/>
          <w:bCs w:val="0"/>
          <w:color w:val="000000" w:themeColor="text1"/>
          <w:sz w:val="32"/>
          <w:szCs w:val="32"/>
          <w:lang w:val="en-US" w:eastAsia="zh-CN"/>
          <w14:textFill>
            <w14:solidFill>
              <w14:schemeClr w14:val="tx1"/>
            </w14:solidFill>
          </w14:textFill>
        </w:rPr>
        <w:t>惠民行动。聚焦群众所需所求，拿出切实可行的措施，落实惠民政策，走深走实居民健康管理工作、“百医进百企”等活动，在创新服务举措上下功夫、做文章，力争服务延伸拓展宽度、深度取得新突破。</w:t>
      </w:r>
      <w:r>
        <w:rPr>
          <w:rFonts w:hint="eastAsia" w:ascii="仿宋_GB2312" w:hAnsi="宋体" w:eastAsia="仿宋_GB2312"/>
          <w:b/>
          <w:bCs/>
          <w:color w:val="000000" w:themeColor="text1"/>
          <w:sz w:val="32"/>
          <w:szCs w:val="32"/>
          <w:lang w:val="en-US" w:eastAsia="zh-CN"/>
          <w14:textFill>
            <w14:solidFill>
              <w14:schemeClr w14:val="tx1"/>
            </w14:solidFill>
          </w14:textFill>
        </w:rPr>
        <w:t>三是</w:t>
      </w:r>
      <w:r>
        <w:rPr>
          <w:rFonts w:hint="eastAsia" w:ascii="仿宋_GB2312" w:hAnsi="宋体" w:eastAsia="仿宋_GB2312"/>
          <w:b w:val="0"/>
          <w:bCs w:val="0"/>
          <w:color w:val="000000" w:themeColor="text1"/>
          <w:sz w:val="32"/>
          <w:szCs w:val="32"/>
          <w:lang w:val="en-US" w:eastAsia="zh-CN"/>
          <w14:textFill>
            <w14:solidFill>
              <w14:schemeClr w14:val="tx1"/>
            </w14:solidFill>
          </w14:textFill>
        </w:rPr>
        <w:t>强化公卫职能。坚持医防融合，加强</w:t>
      </w:r>
      <w:r>
        <w:rPr>
          <w:rFonts w:hint="eastAsia" w:ascii="仿宋_GB2312" w:eastAsia="仿宋_GB2312"/>
          <w:color w:val="000000" w:themeColor="text1"/>
          <w:sz w:val="32"/>
          <w:szCs w:val="32"/>
          <w14:textFill>
            <w14:solidFill>
              <w14:schemeClr w14:val="tx1"/>
            </w14:solidFill>
          </w14:textFill>
        </w:rPr>
        <w:t>突发公共卫生事件监测和预警</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扎实做好全市</w:t>
      </w:r>
      <w:r>
        <w:rPr>
          <w:rFonts w:hint="eastAsia" w:ascii="仿宋_GB2312" w:eastAsia="仿宋_GB2312"/>
          <w:color w:val="000000" w:themeColor="text1"/>
          <w:sz w:val="32"/>
          <w:szCs w:val="32"/>
          <w:lang w:bidi="ar"/>
          <w14:textFill>
            <w14:solidFill>
              <w14:schemeClr w14:val="tx1"/>
            </w14:solidFill>
          </w14:textFill>
        </w:rPr>
        <w:t>重精管理治疗督导、质控</w:t>
      </w:r>
      <w:r>
        <w:rPr>
          <w:rFonts w:hint="eastAsia" w:ascii="仿宋_GB2312" w:eastAsia="仿宋_GB2312"/>
          <w:color w:val="000000" w:themeColor="text1"/>
          <w:sz w:val="32"/>
          <w:szCs w:val="32"/>
          <w:lang w:val="en-US" w:eastAsia="zh-CN"/>
          <w14:textFill>
            <w14:solidFill>
              <w14:schemeClr w14:val="tx1"/>
            </w14:solidFill>
          </w14:textFill>
        </w:rPr>
        <w:t>和传染病管理、救治工作。</w:t>
      </w:r>
      <w:r>
        <w:rPr>
          <w:rFonts w:hint="eastAsia" w:ascii="仿宋_GB2312" w:hAnsi="宋体" w:eastAsia="仿宋_GB2312"/>
          <w:b/>
          <w:bCs/>
          <w:color w:val="000000" w:themeColor="text1"/>
          <w:sz w:val="32"/>
          <w:szCs w:val="32"/>
          <w:lang w:val="en-US" w:eastAsia="zh-CN"/>
          <w14:textFill>
            <w14:solidFill>
              <w14:schemeClr w14:val="tx1"/>
            </w14:solidFill>
          </w14:textFill>
        </w:rPr>
        <w:t>四是</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强化医联体建设。持续深化医联体内涵、机制建设，创新举措，强化医联体协同能力，发挥互联网运用作用和质控中心牵头引领作用，真正做到优势互补、资源共享、发展共赢。</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outlineLvl w:val="0"/>
        <w:rPr>
          <w:rFonts w:hint="eastAsia" w:ascii="黑体" w:hAnsi="黑体" w:eastAsia="黑体" w:cs="黑体"/>
          <w:sz w:val="32"/>
          <w:szCs w:val="32"/>
          <w:lang w:val="en-US" w:eastAsia="zh-CN"/>
        </w:rPr>
      </w:pPr>
      <w:bookmarkStart w:id="3" w:name="_Toc25836"/>
      <w:r>
        <w:rPr>
          <w:rFonts w:hint="eastAsia" w:ascii="黑体" w:hAnsi="黑体" w:eastAsia="黑体" w:cs="黑体"/>
          <w:sz w:val="32"/>
          <w:szCs w:val="32"/>
          <w:lang w:val="en-US" w:eastAsia="zh-CN"/>
        </w:rPr>
        <w:t>二、单位预算构成</w:t>
      </w:r>
      <w:bookmarkEnd w:id="3"/>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lang w:val="en-US" w:eastAsia="zh-CN"/>
        </w:rPr>
        <w:t>我单位为广元市卫生健康委下属二级预算单位，本单位无下属机构，</w:t>
      </w:r>
      <w:r>
        <w:rPr>
          <w:rFonts w:hint="eastAsia" w:ascii="仿宋_GB2312" w:hAnsi="仿宋_GB2312" w:eastAsia="仿宋_GB2312" w:cs="仿宋_GB2312"/>
          <w:sz w:val="32"/>
          <w:szCs w:val="32"/>
          <w:highlight w:val="none"/>
          <w:lang w:val="en-US" w:eastAsia="zh-CN"/>
        </w:rPr>
        <w:t>内设职能科室和业务科室共计92个。</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outlineLvl w:val="0"/>
        <w:rPr>
          <w:rFonts w:hint="eastAsia" w:ascii="黑体" w:hAnsi="黑体" w:eastAsia="黑体" w:cs="黑体"/>
          <w:sz w:val="32"/>
          <w:szCs w:val="32"/>
        </w:rPr>
      </w:pPr>
      <w:bookmarkStart w:id="4" w:name="_Toc19930"/>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按照综合预算的原则，广元市精神卫生中心所有收入和支出均纳入部门预算管理。收入包括：一般公共预算拨款收入、事业收入、其他收入；支出包括：社会保障和就业支出、卫生健康支出、住房保障支出</w:t>
      </w:r>
      <w:r>
        <w:rPr>
          <w:rFonts w:hint="eastAsia" w:ascii="仿宋_GB2312" w:hAnsi="仿宋_GB2312" w:eastAsia="仿宋_GB2312" w:cs="仿宋_GB2312"/>
          <w:sz w:val="32"/>
          <w:szCs w:val="32"/>
          <w:highlight w:val="none"/>
          <w:lang w:val="en-US" w:eastAsia="zh-CN"/>
        </w:rPr>
        <w:t>。广元市精神卫生中心2024年收支预算总数70341.4万元，比2023年收支预算总数增加2322.2万元，主要原因是设备购置预算增加。</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2783"/>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广元市精神卫生中心2024年收入预算70341.4万元，其中：一般公共预算拨款收入3667.77万元，占5.21%；事业收入63236.5万元，占89.90%；其他收入3437.13万元，占4.89%。</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10648"/>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广元市精神卫生中心2024年支出预算70341.4万元，其中：基本支出29502.33万元，占41.94%；项目支出40839.07万元，占58.06%</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outlineLvl w:val="0"/>
        <w:rPr>
          <w:rFonts w:hint="eastAsia" w:ascii="黑体" w:hAnsi="黑体" w:eastAsia="黑体" w:cs="黑体"/>
          <w:sz w:val="32"/>
          <w:szCs w:val="32"/>
        </w:rPr>
      </w:pPr>
      <w:bookmarkStart w:id="7" w:name="_Toc21638"/>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广元市精神卫生中心2024年财政拨款收支预算总数3667.77万元，比2023年财政拨款收支预算总数增加104.13万元</w:t>
      </w:r>
      <w:r>
        <w:rPr>
          <w:rFonts w:hint="eastAsia" w:ascii="仿宋_GB2312" w:hAnsi="仿宋_GB2312" w:eastAsia="仿宋_GB2312" w:cs="仿宋_GB2312"/>
          <w:sz w:val="32"/>
          <w:szCs w:val="32"/>
          <w:highlight w:val="none"/>
          <w:lang w:val="en-US" w:eastAsia="zh-CN"/>
        </w:rPr>
        <w:t>，主要原因是人员经费预算增加。</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收入包括：本年一般公共预算拨款收入3667.77万元；支出包括：社会保障和就业支出205.55万元、卫生健康支出3306.03万元、住房保障支出156.19万元。</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outlineLvl w:val="0"/>
        <w:rPr>
          <w:rFonts w:hint="eastAsia" w:ascii="黑体" w:hAnsi="黑体" w:eastAsia="黑体" w:cs="黑体"/>
          <w:sz w:val="32"/>
          <w:szCs w:val="32"/>
          <w:lang w:val="en-US" w:eastAsia="zh-CN"/>
        </w:rPr>
      </w:pPr>
      <w:bookmarkStart w:id="8" w:name="_Toc25886"/>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19231"/>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广元市精神卫生中心2024年一般公共预算当年拨款3667.77万元，比2023年预算数增加104.13万元，</w:t>
      </w:r>
      <w:r>
        <w:rPr>
          <w:rFonts w:hint="eastAsia" w:ascii="仿宋_GB2312" w:hAnsi="仿宋_GB2312" w:eastAsia="仿宋_GB2312" w:cs="仿宋_GB2312"/>
          <w:sz w:val="32"/>
          <w:szCs w:val="32"/>
          <w:highlight w:val="none"/>
          <w:lang w:val="en-US" w:eastAsia="zh-CN"/>
        </w:rPr>
        <w:t>主要原因是人员经费预算增加。</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1759"/>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社会保障和就业支出205.55万元，占5.6%；卫生健康支出3306.03万元，占90.14%；住房保障支出156.19万元，占4.26%。</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9300"/>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1.社会保障和就业（类）行政事业单位养老支出（款）机关事业单位基本养老保险缴费支出（项）2024年预算数为205.55万元，主要用于：实施养老保险制度由单位缴纳的基本养老保险支出。</w:t>
      </w:r>
    </w:p>
    <w:p>
      <w:pPr>
        <w:keepNext w:val="0"/>
        <w:keepLines w:val="0"/>
        <w:pageBreakBefore w:val="0"/>
        <w:shd w:val="clear"/>
        <w:suppressAutoHyphens/>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eastAsia="仿宋_GB2312" w:cs="Times New Roman"/>
          <w:sz w:val="32"/>
          <w:szCs w:val="32"/>
          <w:highlight w:val="none"/>
          <w:lang w:val="en-US" w:eastAsia="zh-CN"/>
        </w:rPr>
        <w:t>2.</w:t>
      </w:r>
      <w:r>
        <w:rPr>
          <w:rFonts w:hint="eastAsia" w:ascii="仿宋_GB2312" w:hAnsi="Calibri" w:eastAsia="仿宋_GB2312" w:cs="Times New Roman"/>
          <w:sz w:val="32"/>
          <w:szCs w:val="32"/>
          <w:highlight w:val="none"/>
          <w:lang w:val="en-US" w:eastAsia="zh-CN"/>
        </w:rPr>
        <w:t>卫生健康（类）</w:t>
      </w:r>
      <w:r>
        <w:rPr>
          <w:rFonts w:hint="eastAsia" w:ascii="仿宋_GB2312" w:eastAsia="仿宋_GB2312" w:cs="Times New Roman"/>
          <w:sz w:val="32"/>
          <w:szCs w:val="32"/>
          <w:highlight w:val="none"/>
          <w:lang w:val="en-US" w:eastAsia="zh-CN"/>
        </w:rPr>
        <w:t>公立医院（款）</w:t>
      </w:r>
      <w:r>
        <w:rPr>
          <w:rFonts w:hint="eastAsia" w:ascii="仿宋_GB2312" w:hAnsi="Calibri" w:eastAsia="仿宋_GB2312" w:cs="Times New Roman"/>
          <w:sz w:val="32"/>
          <w:szCs w:val="32"/>
          <w:highlight w:val="none"/>
          <w:lang w:val="en-US" w:eastAsia="zh-CN"/>
        </w:rPr>
        <w:t>精神病医院</w:t>
      </w:r>
      <w:r>
        <w:rPr>
          <w:rFonts w:hint="eastAsia" w:ascii="仿宋_GB2312" w:eastAsia="仿宋_GB2312" w:cs="Times New Roman"/>
          <w:sz w:val="32"/>
          <w:szCs w:val="32"/>
          <w:highlight w:val="none"/>
          <w:lang w:val="en-US" w:eastAsia="zh-CN"/>
        </w:rPr>
        <w:t>（项）</w:t>
      </w:r>
      <w:r>
        <w:rPr>
          <w:rFonts w:hint="eastAsia" w:ascii="仿宋_GB2312" w:hAnsi="Calibri" w:eastAsia="仿宋_GB2312" w:cs="Times New Roman"/>
          <w:sz w:val="32"/>
          <w:szCs w:val="32"/>
          <w:highlight w:val="none"/>
          <w:lang w:val="en-US" w:eastAsia="zh-CN"/>
        </w:rPr>
        <w:t>202</w:t>
      </w:r>
      <w:r>
        <w:rPr>
          <w:rFonts w:hint="eastAsia" w:ascii="仿宋_GB2312" w:eastAsia="仿宋_GB2312" w:cs="Times New Roman"/>
          <w:sz w:val="32"/>
          <w:szCs w:val="32"/>
          <w:highlight w:val="none"/>
          <w:lang w:val="en-US" w:eastAsia="zh-CN"/>
        </w:rPr>
        <w:t>4</w:t>
      </w:r>
      <w:r>
        <w:rPr>
          <w:rFonts w:hint="eastAsia" w:ascii="仿宋_GB2312" w:hAnsi="Calibri" w:eastAsia="仿宋_GB2312" w:cs="Times New Roman"/>
          <w:sz w:val="32"/>
          <w:szCs w:val="32"/>
          <w:highlight w:val="none"/>
          <w:lang w:val="en-US" w:eastAsia="zh-CN"/>
        </w:rPr>
        <w:t>年预算数为3209.68万元，主要用于</w:t>
      </w:r>
      <w:r>
        <w:rPr>
          <w:rFonts w:hint="eastAsia" w:ascii="仿宋_GB2312" w:eastAsia="仿宋_GB2312" w:cs="Times New Roman"/>
          <w:sz w:val="32"/>
          <w:szCs w:val="32"/>
          <w:highlight w:val="none"/>
          <w:lang w:val="en-US" w:eastAsia="zh-CN"/>
        </w:rPr>
        <w:t>：</w:t>
      </w:r>
      <w:r>
        <w:rPr>
          <w:rFonts w:hint="default" w:ascii="仿宋_GB2312" w:hAnsi="Calibri" w:eastAsia="仿宋_GB2312" w:cs="Times New Roman"/>
          <w:sz w:val="32"/>
          <w:szCs w:val="32"/>
          <w:highlight w:val="none"/>
          <w:lang w:val="en-US" w:eastAsia="zh-CN"/>
        </w:rPr>
        <w:t>专门收治精神病人医院的支出。</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3.卫生健康（类）行政事业单位医疗（款）事业单位医疗（项）2024年预算数为96.35万元，主要用于：事业单位按规定由单位缴纳的基本医疗保险支出。</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4.住房保障（类）住房改革支出（款）住房公积金（项）2024年预算数为156.19万元，主要用于：单位按规定为职工缴纳的住房公积金支出。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outlineLvl w:val="0"/>
        <w:rPr>
          <w:rFonts w:hint="eastAsia" w:ascii="黑体" w:hAnsi="黑体" w:eastAsia="黑体" w:cs="黑体"/>
          <w:sz w:val="32"/>
          <w:szCs w:val="32"/>
        </w:rPr>
      </w:pPr>
      <w:bookmarkStart w:id="12" w:name="_Toc7097"/>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广元市精神卫生中心2024年一般公共预算基本支出3662.31万元，其中：</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人员经费3565.39万元，主要包括：基本工资、津贴补贴、奖金、绩效工资、机关事业单位基本养老保险缴费、职工基本医疗保险缴费、其他社会保障缴费、住房公积金、 其他工资福利支出、生活补助等支出。</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公用经费96.92万元，主要包括：工会经费、福利费、党建经费、退休人员活动经费等支出。</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outlineLvl w:val="0"/>
        <w:rPr>
          <w:rFonts w:hint="eastAsia" w:ascii="黑体" w:hAnsi="黑体" w:eastAsia="黑体" w:cs="黑体"/>
          <w:sz w:val="32"/>
          <w:szCs w:val="32"/>
        </w:rPr>
      </w:pPr>
      <w:bookmarkStart w:id="13" w:name="_Toc16987"/>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广元市精神卫生中心2024年“三公”经费财政拨款预算数0万元，其中：公务接待费0万元，公务用车购置及运行维护费0万元，因公出国（境）经费0万元。</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4690"/>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公务接待费与2023年预算相比持平，未安排预算资金。</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240" w:lineRule="auto"/>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5448"/>
      <w:r>
        <w:rPr>
          <w:rFonts w:hint="eastAsia" w:ascii="楷体_GB2312" w:hAnsi="楷体_GB2312" w:eastAsia="楷体_GB2312" w:cs="楷体_GB2312"/>
          <w:sz w:val="32"/>
          <w:szCs w:val="32"/>
          <w:lang w:val="en-US" w:eastAsia="zh-CN"/>
        </w:rPr>
        <w:t>公务用车购置及运行维护费</w:t>
      </w:r>
      <w:bookmarkEnd w:id="15"/>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公务用车购置及运行维护费与2023年预算相比持平，未安排预算资金。</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单位现有公务用车1辆，其中：轿车1辆。业务用车19辆，其中救护车16辆，其他3辆。其经费来源为事业收入。</w:t>
      </w:r>
      <w:bookmarkStart w:id="25" w:name="_GoBack"/>
      <w:bookmarkEnd w:id="25"/>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shd w:val="clear"/>
        <w:kinsoku/>
        <w:wordWrap/>
        <w:overflowPunct/>
        <w:topLinePunct w:val="0"/>
        <w:autoSpaceDE/>
        <w:autoSpaceDN/>
        <w:bidi w:val="0"/>
        <w:adjustRightInd/>
        <w:snapToGrid/>
        <w:spacing w:line="240" w:lineRule="auto"/>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6" w:name="_Toc14472"/>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因公出国（境）经费与2023年预算相比持平，未安排预算资金。</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outlineLvl w:val="0"/>
        <w:rPr>
          <w:rFonts w:hint="eastAsia" w:ascii="黑体" w:hAnsi="黑体" w:eastAsia="黑体" w:cs="黑体"/>
          <w:sz w:val="32"/>
          <w:szCs w:val="32"/>
          <w:lang w:val="en-US" w:eastAsia="zh-CN"/>
        </w:rPr>
      </w:pPr>
      <w:bookmarkStart w:id="17" w:name="_Toc31823"/>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广元市精神卫生中心2024年无政府性基金预算拨款安排的支出。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21146"/>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广元市精神卫生中心2024年无国有资本经营预算拨款安排的支出。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11331"/>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1367"/>
      <w:r>
        <w:rPr>
          <w:rFonts w:hint="eastAsia" w:ascii="楷体_GB2312" w:hAnsi="楷体_GB2312" w:eastAsia="楷体_GB2312" w:cs="楷体_GB2312"/>
          <w:sz w:val="32"/>
          <w:szCs w:val="32"/>
          <w:lang w:val="en-US" w:eastAsia="zh-CN"/>
        </w:rPr>
        <w:t>（一）机关运行经费</w:t>
      </w:r>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Calibri" w:eastAsia="仿宋_GB2312" w:cs="Times New Roman"/>
          <w:sz w:val="32"/>
          <w:szCs w:val="32"/>
          <w:highlight w:val="none"/>
          <w:lang w:val="en-US" w:eastAsia="zh-CN"/>
        </w:rPr>
        <w:t>广元市精神卫生中心</w:t>
      </w:r>
      <w:r>
        <w:rPr>
          <w:rFonts w:hint="eastAsia" w:ascii="仿宋_GB2312" w:eastAsia="仿宋_GB2312" w:cs="Times New Roman"/>
          <w:sz w:val="32"/>
          <w:szCs w:val="32"/>
          <w:highlight w:val="none"/>
          <w:lang w:val="en-US" w:eastAsia="zh-CN"/>
        </w:rPr>
        <w:t>为事业单位，按规定未使用机关运行的相关科目。</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5344"/>
      <w:r>
        <w:rPr>
          <w:rFonts w:hint="eastAsia" w:ascii="楷体_GB2312" w:hAnsi="楷体_GB2312" w:eastAsia="楷体_GB2312" w:cs="楷体_GB2312"/>
          <w:sz w:val="32"/>
          <w:szCs w:val="32"/>
          <w:lang w:val="en-US" w:eastAsia="zh-CN"/>
        </w:rPr>
        <w:t>（二）政府采购情况</w:t>
      </w:r>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2024年，</w:t>
      </w:r>
      <w:r>
        <w:rPr>
          <w:rFonts w:hint="eastAsia" w:ascii="仿宋_GB2312" w:hAnsi="Calibri" w:eastAsia="仿宋_GB2312" w:cs="Times New Roman"/>
          <w:sz w:val="32"/>
          <w:szCs w:val="32"/>
          <w:highlight w:val="none"/>
          <w:lang w:val="en-US" w:eastAsia="zh-CN"/>
        </w:rPr>
        <w:t>广元市精神卫生中心</w:t>
      </w:r>
      <w:r>
        <w:rPr>
          <w:rFonts w:hint="eastAsia" w:ascii="仿宋_GB2312" w:hAnsi="仿宋_GB2312" w:eastAsia="仿宋_GB2312" w:cs="仿宋_GB2312"/>
          <w:sz w:val="32"/>
          <w:szCs w:val="32"/>
          <w:lang w:val="en-US" w:eastAsia="zh-CN"/>
        </w:rPr>
        <w:t>安排政府采购预算4643.66万元，</w:t>
      </w:r>
      <w:r>
        <w:rPr>
          <w:rFonts w:hint="eastAsia" w:ascii="仿宋_GB2312" w:hAnsi="仿宋_GB2312" w:eastAsia="仿宋_GB2312" w:cs="仿宋_GB2312"/>
          <w:sz w:val="32"/>
          <w:szCs w:val="32"/>
          <w:highlight w:val="none"/>
          <w:lang w:val="en-US" w:eastAsia="zh-CN"/>
        </w:rPr>
        <w:t>其中：政府采购货物预算4149.06万元、政府采购服务预算494.6万元。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28456"/>
      <w:r>
        <w:rPr>
          <w:rFonts w:hint="eastAsia" w:ascii="楷体_GB2312" w:hAnsi="楷体_GB2312" w:eastAsia="楷体_GB2312" w:cs="楷体_GB2312"/>
          <w:sz w:val="32"/>
          <w:szCs w:val="32"/>
          <w:lang w:val="en-US" w:eastAsia="zh-CN"/>
        </w:rPr>
        <w:t>（三）国有资产占有使用情况</w:t>
      </w:r>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截至2023年底，</w:t>
      </w:r>
      <w:r>
        <w:rPr>
          <w:rFonts w:hint="eastAsia" w:ascii="仿宋_GB2312" w:hAnsi="Calibri" w:eastAsia="仿宋_GB2312" w:cs="Times New Roman"/>
          <w:sz w:val="32"/>
          <w:szCs w:val="32"/>
          <w:highlight w:val="none"/>
          <w:lang w:val="en-US" w:eastAsia="zh-CN"/>
        </w:rPr>
        <w:t>广元市精神卫生中心</w:t>
      </w:r>
      <w:r>
        <w:rPr>
          <w:rFonts w:hint="eastAsia" w:ascii="仿宋_GB2312" w:hAnsi="仿宋_GB2312" w:eastAsia="仿宋_GB2312" w:cs="仿宋_GB2312"/>
          <w:sz w:val="32"/>
          <w:szCs w:val="32"/>
          <w:highlight w:val="none"/>
          <w:lang w:val="en-US" w:eastAsia="zh-CN"/>
        </w:rPr>
        <w:t>共有车辆20辆，其中，</w:t>
      </w:r>
      <w:r>
        <w:rPr>
          <w:rFonts w:hint="eastAsia" w:ascii="仿宋_GB2312" w:hAnsi="Calibri" w:eastAsia="仿宋_GB2312" w:cs="Times New Roman"/>
          <w:sz w:val="32"/>
          <w:szCs w:val="32"/>
          <w:highlight w:val="none"/>
          <w:lang w:val="en-US" w:eastAsia="zh-CN"/>
        </w:rPr>
        <w:t>救护车1</w:t>
      </w:r>
      <w:r>
        <w:rPr>
          <w:rFonts w:hint="eastAsia" w:ascii="仿宋_GB2312" w:eastAsia="仿宋_GB2312" w:cs="Times New Roman"/>
          <w:sz w:val="32"/>
          <w:szCs w:val="32"/>
          <w:highlight w:val="none"/>
          <w:lang w:val="en-US" w:eastAsia="zh-CN"/>
        </w:rPr>
        <w:t>6</w:t>
      </w:r>
      <w:r>
        <w:rPr>
          <w:rFonts w:hint="eastAsia" w:ascii="仿宋_GB2312" w:hAnsi="Calibri" w:eastAsia="仿宋_GB2312" w:cs="Times New Roman"/>
          <w:sz w:val="32"/>
          <w:szCs w:val="32"/>
          <w:highlight w:val="none"/>
          <w:lang w:val="en-US" w:eastAsia="zh-CN"/>
        </w:rPr>
        <w:t>辆、公务用车1辆、其他用车3辆。</w:t>
      </w:r>
      <w:r>
        <w:rPr>
          <w:rFonts w:hint="eastAsia" w:ascii="仿宋_GB2312" w:hAnsi="仿宋_GB2312" w:eastAsia="仿宋_GB2312" w:cs="仿宋_GB2312"/>
          <w:sz w:val="32"/>
          <w:szCs w:val="32"/>
          <w:highlight w:val="none"/>
          <w:lang w:val="en-US" w:eastAsia="zh-CN"/>
        </w:rPr>
        <w:t>单位价值200万元以上大型设备31台（套）。</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2024年部门预算安排车辆购置经费0万元。安排大型设备购置经费1490万元。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3" w:name="_Toc31256"/>
      <w:r>
        <w:rPr>
          <w:rFonts w:hint="eastAsia" w:ascii="楷体_GB2312" w:hAnsi="楷体_GB2312" w:eastAsia="楷体_GB2312" w:cs="楷体_GB2312"/>
          <w:sz w:val="32"/>
          <w:szCs w:val="32"/>
          <w:lang w:val="en-US" w:eastAsia="zh-CN"/>
        </w:rPr>
        <w:t>（四）绩效目标设置情况</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2024年广元市精神卫生中心开展绩效目标管理的项目16个，涉及预算70341.4万元。其中：人员类项目6个，涉及预算 29405.41万元；运转类项目2个，涉及预算96.92万元；特定目标类项目8个，涉及预算40839.07万元。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4" w:name="_Toc11932"/>
      <w:r>
        <w:rPr>
          <w:rFonts w:hint="eastAsia" w:ascii="黑体" w:hAnsi="黑体" w:eastAsia="黑体" w:cs="黑体"/>
          <w:sz w:val="32"/>
          <w:szCs w:val="32"/>
          <w:lang w:val="en-US" w:eastAsia="zh-CN"/>
        </w:rPr>
        <w:t>十一、名词解释</w:t>
      </w:r>
      <w:bookmarkEnd w:id="2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指市财政当年安排的财政预算收入。按现行管理制度，部门预算中反映的财政拨款包括一般公共预算拨款和政府性基金预算拨款。</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指事业单位开展专业业务活动及辅助活动所取得的收入。主要为医院收取的医疗收入。</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 “事业收入”等以外的收入。如非同级财政拨款收入、</w:t>
      </w:r>
      <w:r>
        <w:rPr>
          <w:rFonts w:hint="eastAsia" w:ascii="仿宋_GB2312" w:hAnsi="Calibri" w:eastAsia="仿宋_GB2312" w:cs="Times New Roman"/>
          <w:sz w:val="32"/>
          <w:szCs w:val="32"/>
          <w:highlight w:val="none"/>
          <w:lang w:val="en-US" w:eastAsia="zh-CN"/>
        </w:rPr>
        <w:t>地方专项债券资金</w:t>
      </w:r>
      <w:r>
        <w:rPr>
          <w:rFonts w:hint="eastAsia" w:ascii="仿宋_GB2312" w:eastAsia="仿宋_GB2312" w:cs="Times New Roman"/>
          <w:sz w:val="32"/>
          <w:szCs w:val="32"/>
          <w:highlight w:val="none"/>
          <w:lang w:val="en-US" w:eastAsia="zh-CN"/>
        </w:rPr>
        <w:t>等</w:t>
      </w:r>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（五）卫生健康（类）公立医院（款）精神病医院（项）：指</w:t>
      </w:r>
      <w:r>
        <w:rPr>
          <w:rFonts w:hint="eastAsia" w:ascii="仿宋_GB2312" w:hAnsi="仿宋_GB2312" w:eastAsia="仿宋_GB2312" w:cs="仿宋_GB2312"/>
          <w:sz w:val="32"/>
          <w:szCs w:val="32"/>
          <w:lang w:val="en-US" w:eastAsia="zh-CN"/>
        </w:rPr>
        <w:t>专门收治精神病人医院的支出。</w:t>
      </w:r>
      <w:r>
        <w:rPr>
          <w:rFonts w:hint="eastAsia" w:ascii="楷体_GB2312" w:hAnsi="楷体_GB2312" w:eastAsia="楷体_GB2312" w:cs="楷体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（六）卫生健康（类）行政事业单位医疗（款）事业单位医疗（项）：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（九）项目支出：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（十）“三公”经费：</w:t>
      </w:r>
      <w:r>
        <w:rPr>
          <w:rFonts w:hint="eastAsia" w:ascii="仿宋_GB2312" w:hAnsi="仿宋_GB2312" w:eastAsia="仿宋_GB2312" w:cs="仿宋_GB2312"/>
          <w:sz w:val="32"/>
          <w:szCs w:val="32"/>
          <w:lang w:val="en-US" w:eastAsia="zh-CN"/>
        </w:rPr>
        <w:t>纳入市级财政预算管理的“三公”经费，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附件：单位预算公开表</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9EBD083-1EDA-41D0-B2C7-129DA2F820CA}"/>
  </w:font>
  <w:font w:name="黑体">
    <w:panose1 w:val="02010609060101010101"/>
    <w:charset w:val="86"/>
    <w:family w:val="auto"/>
    <w:pitch w:val="default"/>
    <w:sig w:usb0="800002BF" w:usb1="38CF7CFA" w:usb2="00000016" w:usb3="00000000" w:csb0="00040001" w:csb1="00000000"/>
    <w:embedRegular r:id="rId2" w:fontKey="{F35D97EE-57D5-440E-9683-2FAE75BDC64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4F481349-F226-48AE-9718-2E391ED72A2E}"/>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embedRegular r:id="rId4" w:fontKey="{C946EAFD-4920-4404-BE27-6247C3DFCB16}"/>
  </w:font>
  <w:font w:name="楷体_GB2312">
    <w:panose1 w:val="02010609030101010101"/>
    <w:charset w:val="86"/>
    <w:family w:val="auto"/>
    <w:pitch w:val="default"/>
    <w:sig w:usb0="00000001" w:usb1="080E0000" w:usb2="00000000" w:usb3="00000000" w:csb0="00040000" w:csb1="00000000"/>
    <w:embedRegular r:id="rId5" w:fontKey="{03857E0D-C5C4-4467-AB92-41CCFFFF7802}"/>
  </w:font>
  <w:font w:name="仿宋_GB2312">
    <w:panose1 w:val="02010609030101010101"/>
    <w:charset w:val="86"/>
    <w:family w:val="modern"/>
    <w:pitch w:val="default"/>
    <w:sig w:usb0="00000001" w:usb1="080E0000" w:usb2="00000000" w:usb3="00000000" w:csb0="00040000" w:csb1="00000000"/>
    <w:embedRegular r:id="rId6" w:fontKey="{834F6CFC-1EA6-4831-B1FE-DD4FA90B98D6}"/>
  </w:font>
  <w:font w:name="楷体">
    <w:panose1 w:val="02010609060101010101"/>
    <w:charset w:val="86"/>
    <w:family w:val="auto"/>
    <w:pitch w:val="default"/>
    <w:sig w:usb0="800002BF" w:usb1="38CF7CFA" w:usb2="00000016" w:usb3="00000000" w:csb0="00040001" w:csb1="00000000"/>
    <w:embedRegular r:id="rId7" w:fontKey="{F4B7E125-78EB-44E7-88E5-A1CA55C66996}"/>
  </w:font>
  <w:font w:name="仿宋">
    <w:panose1 w:val="02010609060101010101"/>
    <w:charset w:val="86"/>
    <w:family w:val="auto"/>
    <w:pitch w:val="default"/>
    <w:sig w:usb0="800002BF" w:usb1="38CF7CFA" w:usb2="00000016" w:usb3="00000000" w:csb0="00040001" w:csb1="00000000"/>
    <w:embedRegular r:id="rId8" w:fontKey="{5E43E010-2FDA-4E51-8748-9BE03571365D}"/>
  </w:font>
  <w:font w:name="微软雅黑">
    <w:panose1 w:val="020B0503020204020204"/>
    <w:charset w:val="86"/>
    <w:family w:val="swiss"/>
    <w:pitch w:val="default"/>
    <w:sig w:usb0="80000287" w:usb1="2ACF3C50" w:usb2="00000016" w:usb3="00000000" w:csb0="0004001F" w:csb1="00000000"/>
    <w:embedRegular r:id="rId9" w:fontKey="{4474FDFF-FFE2-4E4E-88DF-897213374B57}"/>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e34fb055-4aaf-4449-9e50-6f26007a2600"/>
  </w:docVars>
  <w:rsids>
    <w:rsidRoot w:val="00000000"/>
    <w:rsid w:val="00746CEE"/>
    <w:rsid w:val="012352D1"/>
    <w:rsid w:val="0213018D"/>
    <w:rsid w:val="022A0D1C"/>
    <w:rsid w:val="025575E2"/>
    <w:rsid w:val="02805EA8"/>
    <w:rsid w:val="04487620"/>
    <w:rsid w:val="050C42D8"/>
    <w:rsid w:val="052C3508"/>
    <w:rsid w:val="054F779C"/>
    <w:rsid w:val="065467ED"/>
    <w:rsid w:val="06A506FE"/>
    <w:rsid w:val="06CC51B2"/>
    <w:rsid w:val="07140E2A"/>
    <w:rsid w:val="075F2E50"/>
    <w:rsid w:val="07897B9C"/>
    <w:rsid w:val="07B90CB8"/>
    <w:rsid w:val="07D337E6"/>
    <w:rsid w:val="07EA340B"/>
    <w:rsid w:val="08583A3F"/>
    <w:rsid w:val="08793F74"/>
    <w:rsid w:val="0910796B"/>
    <w:rsid w:val="09246AFF"/>
    <w:rsid w:val="09300A59"/>
    <w:rsid w:val="095274DB"/>
    <w:rsid w:val="0A47626B"/>
    <w:rsid w:val="0B13766E"/>
    <w:rsid w:val="0B3A1579"/>
    <w:rsid w:val="0B5F3925"/>
    <w:rsid w:val="0C396F1E"/>
    <w:rsid w:val="0DA1776A"/>
    <w:rsid w:val="0E4B415C"/>
    <w:rsid w:val="0F092026"/>
    <w:rsid w:val="0FAB3A53"/>
    <w:rsid w:val="0FB56C25"/>
    <w:rsid w:val="0FCB3577"/>
    <w:rsid w:val="0FDC5544"/>
    <w:rsid w:val="0FE75425"/>
    <w:rsid w:val="0FF420EE"/>
    <w:rsid w:val="0FF44CAF"/>
    <w:rsid w:val="0FF4552E"/>
    <w:rsid w:val="10426A38"/>
    <w:rsid w:val="10545A22"/>
    <w:rsid w:val="10687F26"/>
    <w:rsid w:val="107E3199"/>
    <w:rsid w:val="11440BE5"/>
    <w:rsid w:val="12850115"/>
    <w:rsid w:val="12964266"/>
    <w:rsid w:val="14E36AD2"/>
    <w:rsid w:val="156A222E"/>
    <w:rsid w:val="15D05B4B"/>
    <w:rsid w:val="167F55F9"/>
    <w:rsid w:val="16DB1CE4"/>
    <w:rsid w:val="18190C00"/>
    <w:rsid w:val="19477F78"/>
    <w:rsid w:val="195E21AF"/>
    <w:rsid w:val="19C72B95"/>
    <w:rsid w:val="19E32408"/>
    <w:rsid w:val="19E47E89"/>
    <w:rsid w:val="1A0D57CA"/>
    <w:rsid w:val="1A443726"/>
    <w:rsid w:val="1B314CD9"/>
    <w:rsid w:val="1B45624D"/>
    <w:rsid w:val="1BAD3A3E"/>
    <w:rsid w:val="1C695629"/>
    <w:rsid w:val="1C931680"/>
    <w:rsid w:val="1C947772"/>
    <w:rsid w:val="1CC26FBD"/>
    <w:rsid w:val="1D461794"/>
    <w:rsid w:val="1D484C98"/>
    <w:rsid w:val="1DD91670"/>
    <w:rsid w:val="1E211A65"/>
    <w:rsid w:val="1E2F1A25"/>
    <w:rsid w:val="1F0C367F"/>
    <w:rsid w:val="1F7BF06F"/>
    <w:rsid w:val="1FEE4B73"/>
    <w:rsid w:val="202D14F1"/>
    <w:rsid w:val="20754138"/>
    <w:rsid w:val="20AB1F8C"/>
    <w:rsid w:val="20B9796F"/>
    <w:rsid w:val="219A7B5A"/>
    <w:rsid w:val="21B856E5"/>
    <w:rsid w:val="21E9196A"/>
    <w:rsid w:val="22E90157"/>
    <w:rsid w:val="233649D3"/>
    <w:rsid w:val="23387ED6"/>
    <w:rsid w:val="23CE9849"/>
    <w:rsid w:val="23D97A5F"/>
    <w:rsid w:val="23FD6F44"/>
    <w:rsid w:val="251903EC"/>
    <w:rsid w:val="261E4416"/>
    <w:rsid w:val="269243D5"/>
    <w:rsid w:val="279A4C07"/>
    <w:rsid w:val="28A42EBB"/>
    <w:rsid w:val="28C27EED"/>
    <w:rsid w:val="2A234631"/>
    <w:rsid w:val="2B234160"/>
    <w:rsid w:val="2C276767"/>
    <w:rsid w:val="2D832E63"/>
    <w:rsid w:val="2E2831C7"/>
    <w:rsid w:val="2E6C29B7"/>
    <w:rsid w:val="2E7D7D36"/>
    <w:rsid w:val="2EEB458A"/>
    <w:rsid w:val="2F09694B"/>
    <w:rsid w:val="2F68177C"/>
    <w:rsid w:val="301950F9"/>
    <w:rsid w:val="30A35E59"/>
    <w:rsid w:val="30A45AD9"/>
    <w:rsid w:val="319C6071"/>
    <w:rsid w:val="32021299"/>
    <w:rsid w:val="324B1A3D"/>
    <w:rsid w:val="32ED55A2"/>
    <w:rsid w:val="341E1B63"/>
    <w:rsid w:val="35201905"/>
    <w:rsid w:val="36751AE8"/>
    <w:rsid w:val="36C33915"/>
    <w:rsid w:val="370D3F88"/>
    <w:rsid w:val="372260C3"/>
    <w:rsid w:val="378748BE"/>
    <w:rsid w:val="37A137D4"/>
    <w:rsid w:val="389E359A"/>
    <w:rsid w:val="38AE268C"/>
    <w:rsid w:val="39627BB1"/>
    <w:rsid w:val="39F304DD"/>
    <w:rsid w:val="3A076141"/>
    <w:rsid w:val="3A0A2948"/>
    <w:rsid w:val="3A3F1B1E"/>
    <w:rsid w:val="3A740CF3"/>
    <w:rsid w:val="3AD66CFF"/>
    <w:rsid w:val="3B266598"/>
    <w:rsid w:val="3C12110A"/>
    <w:rsid w:val="3CB442A6"/>
    <w:rsid w:val="3D860681"/>
    <w:rsid w:val="3FAD5A88"/>
    <w:rsid w:val="400E63BC"/>
    <w:rsid w:val="40456F00"/>
    <w:rsid w:val="41301F9C"/>
    <w:rsid w:val="4191768D"/>
    <w:rsid w:val="41947899"/>
    <w:rsid w:val="42375131"/>
    <w:rsid w:val="427E6EA5"/>
    <w:rsid w:val="43BD0082"/>
    <w:rsid w:val="43F32E89"/>
    <w:rsid w:val="440F27B9"/>
    <w:rsid w:val="44827521"/>
    <w:rsid w:val="44C9546A"/>
    <w:rsid w:val="453C1F26"/>
    <w:rsid w:val="467E0DF8"/>
    <w:rsid w:val="46BB7E19"/>
    <w:rsid w:val="46C774AF"/>
    <w:rsid w:val="47A16E12"/>
    <w:rsid w:val="47FF070F"/>
    <w:rsid w:val="489C032E"/>
    <w:rsid w:val="48BF3D66"/>
    <w:rsid w:val="48D20808"/>
    <w:rsid w:val="48EB00AD"/>
    <w:rsid w:val="4C794EA9"/>
    <w:rsid w:val="4C8D79DA"/>
    <w:rsid w:val="4CB9236D"/>
    <w:rsid w:val="4D832581"/>
    <w:rsid w:val="4DA954F8"/>
    <w:rsid w:val="4EFA4F73"/>
    <w:rsid w:val="4F293C72"/>
    <w:rsid w:val="4F9F2130"/>
    <w:rsid w:val="50EF43D0"/>
    <w:rsid w:val="511B709E"/>
    <w:rsid w:val="51217BA2"/>
    <w:rsid w:val="518D60D8"/>
    <w:rsid w:val="52566240"/>
    <w:rsid w:val="528817F3"/>
    <w:rsid w:val="54244390"/>
    <w:rsid w:val="543350B2"/>
    <w:rsid w:val="544B5DC1"/>
    <w:rsid w:val="54662A63"/>
    <w:rsid w:val="54664607"/>
    <w:rsid w:val="54687B0A"/>
    <w:rsid w:val="551B53B0"/>
    <w:rsid w:val="55384960"/>
    <w:rsid w:val="5550726F"/>
    <w:rsid w:val="55B16F5E"/>
    <w:rsid w:val="55E67F7B"/>
    <w:rsid w:val="55FC469E"/>
    <w:rsid w:val="56281C28"/>
    <w:rsid w:val="5758495A"/>
    <w:rsid w:val="58064E12"/>
    <w:rsid w:val="58553578"/>
    <w:rsid w:val="586E66A0"/>
    <w:rsid w:val="590C52A5"/>
    <w:rsid w:val="5AC36895"/>
    <w:rsid w:val="5B561967"/>
    <w:rsid w:val="5BFEE015"/>
    <w:rsid w:val="5C757D1E"/>
    <w:rsid w:val="5CC66320"/>
    <w:rsid w:val="5EA10183"/>
    <w:rsid w:val="60017D91"/>
    <w:rsid w:val="60033159"/>
    <w:rsid w:val="61620C52"/>
    <w:rsid w:val="629423E8"/>
    <w:rsid w:val="62A40365"/>
    <w:rsid w:val="62D3449F"/>
    <w:rsid w:val="634677EB"/>
    <w:rsid w:val="63EDCF55"/>
    <w:rsid w:val="63FBFBCF"/>
    <w:rsid w:val="655434A9"/>
    <w:rsid w:val="656C48C9"/>
    <w:rsid w:val="6679092A"/>
    <w:rsid w:val="669360FD"/>
    <w:rsid w:val="679C300B"/>
    <w:rsid w:val="67F56318"/>
    <w:rsid w:val="68FF6A83"/>
    <w:rsid w:val="695051C2"/>
    <w:rsid w:val="696E0D08"/>
    <w:rsid w:val="69D33B54"/>
    <w:rsid w:val="6A196F58"/>
    <w:rsid w:val="6A7959E7"/>
    <w:rsid w:val="6AF942D9"/>
    <w:rsid w:val="6BA73AAA"/>
    <w:rsid w:val="6C145B1E"/>
    <w:rsid w:val="6C260443"/>
    <w:rsid w:val="6C483634"/>
    <w:rsid w:val="6CCE130E"/>
    <w:rsid w:val="6DA35E6F"/>
    <w:rsid w:val="6DF43895"/>
    <w:rsid w:val="6E8476E8"/>
    <w:rsid w:val="6E9A2017"/>
    <w:rsid w:val="6EA36ACE"/>
    <w:rsid w:val="6FBBC9CF"/>
    <w:rsid w:val="718203C8"/>
    <w:rsid w:val="72070621"/>
    <w:rsid w:val="7224255D"/>
    <w:rsid w:val="722B3086"/>
    <w:rsid w:val="72B10ABA"/>
    <w:rsid w:val="72BDE561"/>
    <w:rsid w:val="731474DA"/>
    <w:rsid w:val="73166260"/>
    <w:rsid w:val="744978D7"/>
    <w:rsid w:val="74917CCB"/>
    <w:rsid w:val="74A878F0"/>
    <w:rsid w:val="75823F55"/>
    <w:rsid w:val="761A356D"/>
    <w:rsid w:val="76E20E5A"/>
    <w:rsid w:val="778857AA"/>
    <w:rsid w:val="77A30552"/>
    <w:rsid w:val="77E45A7F"/>
    <w:rsid w:val="78462278"/>
    <w:rsid w:val="79707849"/>
    <w:rsid w:val="7997EA6C"/>
    <w:rsid w:val="79F21A30"/>
    <w:rsid w:val="7A9A48F5"/>
    <w:rsid w:val="7AEAE675"/>
    <w:rsid w:val="7AF40C35"/>
    <w:rsid w:val="7B1F1B0E"/>
    <w:rsid w:val="7BAFCE5D"/>
    <w:rsid w:val="7CDD0D3C"/>
    <w:rsid w:val="7D1641C7"/>
    <w:rsid w:val="7D46598C"/>
    <w:rsid w:val="7DFB240B"/>
    <w:rsid w:val="7E0935ED"/>
    <w:rsid w:val="7E8A62A7"/>
    <w:rsid w:val="7F2B642B"/>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99"/>
    <w:pPr>
      <w:spacing w:beforeAutospacing="1" w:afterAutospacing="1"/>
      <w:jc w:val="left"/>
      <w:outlineLvl w:val="1"/>
    </w:pPr>
    <w:rPr>
      <w:rFonts w:ascii="宋体" w:hAnsi="宋体"/>
      <w:b/>
      <w:kern w:val="0"/>
      <w:sz w:val="36"/>
      <w:szCs w:val="36"/>
    </w:rPr>
  </w:style>
  <w:style w:type="paragraph" w:styleId="3">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caption"/>
    <w:basedOn w:val="1"/>
    <w:next w:val="1"/>
    <w:qFormat/>
    <w:uiPriority w:val="0"/>
    <w:pPr>
      <w:widowControl w:val="0"/>
      <w:suppressLineNumbers/>
      <w:suppressAutoHyphens/>
      <w:spacing w:before="120" w:after="120"/>
    </w:pPr>
    <w:rPr>
      <w:i/>
      <w:iCs/>
      <w:sz w:val="24"/>
      <w:szCs w:val="24"/>
    </w:rPr>
  </w:style>
  <w:style w:type="paragraph" w:styleId="5">
    <w:name w:val="Body Text"/>
    <w:basedOn w:val="1"/>
    <w:qFormat/>
    <w:uiPriority w:val="0"/>
    <w:pPr>
      <w:spacing w:before="0" w:after="140" w:line="276" w:lineRule="auto"/>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List"/>
    <w:basedOn w:val="5"/>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rPr>
      <w:sz w:val="24"/>
    </w:rPr>
  </w:style>
  <w:style w:type="character" w:styleId="14">
    <w:name w:val="Emphasis"/>
    <w:basedOn w:val="13"/>
    <w:qFormat/>
    <w:uiPriority w:val="0"/>
    <w:rPr>
      <w:rFonts w:cs="Times New Roman"/>
      <w:i/>
      <w:iCs/>
    </w:rPr>
  </w:style>
  <w:style w:type="character" w:customStyle="1" w:styleId="15">
    <w:name w:val="默认段落字体1"/>
    <w:qFormat/>
    <w:uiPriority w:val="0"/>
  </w:style>
  <w:style w:type="paragraph" w:customStyle="1" w:styleId="16">
    <w:name w:val="Heading"/>
    <w:basedOn w:val="1"/>
    <w:next w:val="5"/>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7">
    <w:name w:val="Index"/>
    <w:basedOn w:val="1"/>
    <w:qFormat/>
    <w:uiPriority w:val="0"/>
    <w:pPr>
      <w:widowControl w:val="0"/>
      <w:suppressLineNumbers/>
      <w:suppressAutoHyphens/>
    </w:p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 w:type="paragraph" w:customStyle="1" w:styleId="20">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5721</Words>
  <Characters>6069</Characters>
  <TotalTime>12</TotalTime>
  <ScaleCrop>false</ScaleCrop>
  <LinksUpToDate>false</LinksUpToDate>
  <CharactersWithSpaces>6161</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dell</cp:lastModifiedBy>
  <dcterms:modified xsi:type="dcterms:W3CDTF">2024-03-03T16:47:28Z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96081F72B7444D3C8C1C7DDAED24732C_13</vt:lpwstr>
  </property>
</Properties>
</file>