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rPr>
          <w:rFonts w:hint="default"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广元市教</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育技术与电化教育中心</w:t>
      </w:r>
    </w:p>
    <w:p>
      <w:pPr>
        <w:widowControl/>
        <w:shd w:val="clear" w:color="auto"/>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2024年部门预算编制说</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bidi="ar"/>
          <w14:textFill>
            <w14:solidFill>
              <w14:schemeClr w14:val="tx1"/>
            </w14:solidFill>
          </w14:textFill>
        </w:rPr>
        <w:t>明</w:t>
      </w:r>
    </w:p>
    <w:p>
      <w:pPr>
        <w:widowControl/>
        <w:shd w:val="clear" w:color="auto"/>
        <w:spacing w:line="580" w:lineRule="atLeast"/>
        <w:jc w:val="both"/>
        <w:rPr>
          <w:rFonts w:hint="eastAsia" w:ascii="方正小标宋简体" w:hAnsi="方正小标宋简体" w:eastAsia="方正小标宋简体" w:cs="方正小标宋简体"/>
          <w:color w:val="000000" w:themeColor="text1"/>
          <w:kern w:val="0"/>
          <w:sz w:val="10"/>
          <w:szCs w:val="10"/>
          <w:shd w:val="clear" w:color="auto" w:fill="FFFFFF"/>
          <w:lang w:bidi="ar"/>
          <w14:textFill>
            <w14:solidFill>
              <w14:schemeClr w14:val="tx1"/>
            </w14:solidFill>
          </w14:textFill>
        </w:rPr>
      </w:pPr>
    </w:p>
    <w:sdt>
      <w:sdtPr>
        <w:rPr>
          <w:rFonts w:ascii="宋体" w:hAnsi="宋体" w:eastAsia="宋体" w:cs="Times New Roman"/>
          <w:kern w:val="2"/>
          <w:sz w:val="28"/>
          <w:szCs w:val="24"/>
          <w:lang w:val="en-US" w:eastAsia="zh-CN" w:bidi="ar-SA"/>
        </w:rPr>
        <w:id w:val="147455131"/>
        <w15:color w:val="DBDBDB"/>
        <w:docPartObj>
          <w:docPartGallery w:val="Table of Contents"/>
          <w:docPartUnique/>
        </w:docPartObj>
      </w:sdtPr>
      <w:sdtEndPr>
        <w:rPr>
          <w:rFonts w:ascii="宋体" w:hAnsi="宋体" w:eastAsia="宋体" w:cs="宋体"/>
          <w:b/>
          <w:color w:val="000000" w:themeColor="text1"/>
          <w:kern w:val="0"/>
          <w:sz w:val="24"/>
          <w:szCs w:val="28"/>
          <w:shd w:val="clear" w:color="auto" w:fill="FFFFFF"/>
          <w:lang w:val="en-US" w:eastAsia="zh-CN" w:bidi="ar"/>
          <w14:textFill>
            <w14:solidFill>
              <w14:schemeClr w14:val="tx1"/>
            </w14:solidFill>
          </w14:textFill>
        </w:rPr>
      </w:sdtEndPr>
      <w:sdtContent>
        <w:p>
          <w:pPr>
            <w:keepNext w:val="0"/>
            <w:keepLines w:val="0"/>
            <w:pageBreakBefore w:val="0"/>
            <w:shd w:val="clear"/>
            <w:kinsoku/>
            <w:wordWrap/>
            <w:overflowPunct/>
            <w:topLinePunct w:val="0"/>
            <w:autoSpaceDE/>
            <w:autoSpaceDN/>
            <w:bidi w:val="0"/>
            <w:adjustRightInd/>
            <w:snapToGrid/>
            <w:spacing w:before="0" w:beforeLines="0" w:after="0" w:afterLines="0" w:line="460" w:lineRule="exact"/>
            <w:ind w:left="0" w:leftChars="0" w:right="0" w:rightChars="0" w:firstLine="0" w:firstLineChars="0"/>
            <w:jc w:val="center"/>
            <w:textAlignment w:val="auto"/>
            <w:rPr>
              <w:sz w:val="24"/>
              <w:szCs w:val="24"/>
            </w:rPr>
          </w:pPr>
          <w:r>
            <w:rPr>
              <w:rFonts w:ascii="宋体" w:hAnsi="宋体" w:eastAsia="宋体"/>
              <w:sz w:val="24"/>
              <w:szCs w:val="24"/>
            </w:rPr>
            <w:t>目</w:t>
          </w:r>
          <w:r>
            <w:rPr>
              <w:rFonts w:hint="eastAsia" w:ascii="宋体" w:hAnsi="宋体"/>
              <w:sz w:val="24"/>
              <w:szCs w:val="24"/>
              <w:lang w:val="en-US" w:eastAsia="zh-CN"/>
            </w:rPr>
            <w:t xml:space="preserve">   </w:t>
          </w:r>
          <w:r>
            <w:rPr>
              <w:rFonts w:ascii="宋体" w:hAnsi="宋体" w:eastAsia="宋体"/>
              <w:sz w:val="24"/>
              <w:szCs w:val="24"/>
            </w:rPr>
            <w:t>录</w:t>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color w:val="000000" w:themeColor="text1"/>
              <w:kern w:val="0"/>
              <w:sz w:val="24"/>
              <w:szCs w:val="24"/>
              <w:shd w:val="clear" w:color="auto" w:fill="FFFFFF"/>
              <w:lang w:bidi="ar"/>
              <w14:textFill>
                <w14:solidFill>
                  <w14:schemeClr w14:val="tx1"/>
                </w14:solidFill>
              </w14:textFill>
            </w:rPr>
            <w:instrText xml:space="preserve">TOC \o "1-2" \h \u </w:instrText>
          </w:r>
          <w:r>
            <w:rPr>
              <w:rFonts w:ascii="宋体" w:hAnsi="宋体" w:cs="宋体"/>
              <w:color w:val="000000" w:themeColor="text1"/>
              <w:kern w:val="0"/>
              <w:sz w:val="24"/>
              <w:szCs w:val="24"/>
              <w:shd w:val="clear" w:color="auto" w:fill="FFFFFF"/>
              <w:lang w:bidi="ar"/>
              <w14:textFill>
                <w14:solidFill>
                  <w14:schemeClr w14:val="tx1"/>
                </w14:solidFill>
              </w14:textFill>
            </w:rPr>
            <w:fldChar w:fldCharType="separate"/>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_Toc10815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一、基本职能及主要工作</w:t>
          </w:r>
          <w:r>
            <w:rPr>
              <w:b/>
              <w:sz w:val="24"/>
              <w:szCs w:val="24"/>
            </w:rPr>
            <w:tab/>
          </w:r>
          <w:r>
            <w:rPr>
              <w:b/>
              <w:sz w:val="24"/>
              <w:szCs w:val="24"/>
            </w:rPr>
            <w:fldChar w:fldCharType="begin"/>
          </w:r>
          <w:r>
            <w:rPr>
              <w:b/>
              <w:sz w:val="24"/>
              <w:szCs w:val="24"/>
            </w:rPr>
            <w:instrText xml:space="preserve"> PAGEREF _Toc10815 \h </w:instrText>
          </w:r>
          <w:r>
            <w:rPr>
              <w:b/>
              <w:sz w:val="24"/>
              <w:szCs w:val="24"/>
            </w:rPr>
            <w:fldChar w:fldCharType="separate"/>
          </w:r>
          <w:r>
            <w:rPr>
              <w:b/>
              <w:sz w:val="24"/>
              <w:szCs w:val="24"/>
            </w:rPr>
            <w:t>3</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bookmarkStart w:id="26" w:name="_GoBack"/>
          <w:bookmarkEnd w:id="26"/>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_Toc31236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二、部门预算单位构成</w:t>
          </w:r>
          <w:r>
            <w:rPr>
              <w:b/>
              <w:sz w:val="24"/>
              <w:szCs w:val="24"/>
            </w:rPr>
            <w:tab/>
          </w:r>
          <w:r>
            <w:rPr>
              <w:b/>
              <w:sz w:val="24"/>
              <w:szCs w:val="24"/>
            </w:rPr>
            <w:fldChar w:fldCharType="begin"/>
          </w:r>
          <w:r>
            <w:rPr>
              <w:b/>
              <w:sz w:val="24"/>
              <w:szCs w:val="24"/>
            </w:rPr>
            <w:instrText xml:space="preserve"> PAGEREF _Toc31236 \h </w:instrText>
          </w:r>
          <w:r>
            <w:rPr>
              <w:b/>
              <w:sz w:val="24"/>
              <w:szCs w:val="24"/>
            </w:rPr>
            <w:fldChar w:fldCharType="separate"/>
          </w:r>
          <w:r>
            <w:rPr>
              <w:b/>
              <w:sz w:val="24"/>
              <w:szCs w:val="24"/>
            </w:rPr>
            <w:t>4</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_Toc9456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三、收支预算情况说明</w:t>
          </w:r>
          <w:r>
            <w:rPr>
              <w:b/>
              <w:sz w:val="24"/>
              <w:szCs w:val="24"/>
            </w:rPr>
            <w:tab/>
          </w:r>
          <w:r>
            <w:rPr>
              <w:b/>
              <w:sz w:val="24"/>
              <w:szCs w:val="24"/>
            </w:rPr>
            <w:fldChar w:fldCharType="begin"/>
          </w:r>
          <w:r>
            <w:rPr>
              <w:b/>
              <w:sz w:val="24"/>
              <w:szCs w:val="24"/>
            </w:rPr>
            <w:instrText xml:space="preserve"> PAGEREF _Toc9456 \h </w:instrText>
          </w:r>
          <w:r>
            <w:rPr>
              <w:b/>
              <w:sz w:val="24"/>
              <w:szCs w:val="24"/>
            </w:rPr>
            <w:fldChar w:fldCharType="separate"/>
          </w:r>
          <w:r>
            <w:rPr>
              <w:b/>
              <w:sz w:val="24"/>
              <w:szCs w:val="24"/>
            </w:rPr>
            <w:t>4</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_Toc26997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（一）收入预算情况</w:t>
          </w:r>
          <w:r>
            <w:rPr>
              <w:sz w:val="24"/>
              <w:szCs w:val="24"/>
            </w:rPr>
            <w:tab/>
          </w:r>
          <w:r>
            <w:rPr>
              <w:sz w:val="24"/>
              <w:szCs w:val="24"/>
            </w:rPr>
            <w:fldChar w:fldCharType="begin"/>
          </w:r>
          <w:r>
            <w:rPr>
              <w:sz w:val="24"/>
              <w:szCs w:val="24"/>
            </w:rPr>
            <w:instrText xml:space="preserve"> PAGEREF _Toc26997 \h </w:instrText>
          </w:r>
          <w:r>
            <w:rPr>
              <w:sz w:val="24"/>
              <w:szCs w:val="24"/>
            </w:rPr>
            <w:fldChar w:fldCharType="separate"/>
          </w:r>
          <w:r>
            <w:rPr>
              <w:sz w:val="24"/>
              <w:szCs w:val="24"/>
            </w:rPr>
            <w:t>5</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_Toc11641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（二）支出预算情况</w:t>
          </w:r>
          <w:r>
            <w:rPr>
              <w:sz w:val="24"/>
              <w:szCs w:val="24"/>
            </w:rPr>
            <w:tab/>
          </w:r>
          <w:r>
            <w:rPr>
              <w:sz w:val="24"/>
              <w:szCs w:val="24"/>
            </w:rPr>
            <w:fldChar w:fldCharType="begin"/>
          </w:r>
          <w:r>
            <w:rPr>
              <w:sz w:val="24"/>
              <w:szCs w:val="24"/>
            </w:rPr>
            <w:instrText xml:space="preserve"> PAGEREF _Toc11641 \h </w:instrText>
          </w:r>
          <w:r>
            <w:rPr>
              <w:sz w:val="24"/>
              <w:szCs w:val="24"/>
            </w:rPr>
            <w:fldChar w:fldCharType="separate"/>
          </w:r>
          <w:r>
            <w:rPr>
              <w:sz w:val="24"/>
              <w:szCs w:val="24"/>
            </w:rPr>
            <w:t>5</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_Toc18532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四、财政拨款收支预算情况说明</w:t>
          </w:r>
          <w:r>
            <w:rPr>
              <w:b/>
              <w:sz w:val="24"/>
              <w:szCs w:val="24"/>
            </w:rPr>
            <w:tab/>
          </w:r>
          <w:r>
            <w:rPr>
              <w:b/>
              <w:sz w:val="24"/>
              <w:szCs w:val="24"/>
            </w:rPr>
            <w:fldChar w:fldCharType="begin"/>
          </w:r>
          <w:r>
            <w:rPr>
              <w:b/>
              <w:sz w:val="24"/>
              <w:szCs w:val="24"/>
            </w:rPr>
            <w:instrText xml:space="preserve"> PAGEREF _Toc18532 \h </w:instrText>
          </w:r>
          <w:r>
            <w:rPr>
              <w:b/>
              <w:sz w:val="24"/>
              <w:szCs w:val="24"/>
            </w:rPr>
            <w:fldChar w:fldCharType="separate"/>
          </w:r>
          <w:r>
            <w:rPr>
              <w:b/>
              <w:sz w:val="24"/>
              <w:szCs w:val="24"/>
            </w:rPr>
            <w:t>5</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_Toc12208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五、一般公共预算当年拨款情况说明</w:t>
          </w:r>
          <w:r>
            <w:rPr>
              <w:b/>
              <w:sz w:val="24"/>
              <w:szCs w:val="24"/>
            </w:rPr>
            <w:tab/>
          </w:r>
          <w:r>
            <w:rPr>
              <w:b/>
              <w:sz w:val="24"/>
              <w:szCs w:val="24"/>
            </w:rPr>
            <w:fldChar w:fldCharType="begin"/>
          </w:r>
          <w:r>
            <w:rPr>
              <w:b/>
              <w:sz w:val="24"/>
              <w:szCs w:val="24"/>
            </w:rPr>
            <w:instrText xml:space="preserve"> PAGEREF _Toc12208 \h </w:instrText>
          </w:r>
          <w:r>
            <w:rPr>
              <w:b/>
              <w:sz w:val="24"/>
              <w:szCs w:val="24"/>
            </w:rPr>
            <w:fldChar w:fldCharType="separate"/>
          </w:r>
          <w:r>
            <w:rPr>
              <w:b/>
              <w:sz w:val="24"/>
              <w:szCs w:val="24"/>
            </w:rPr>
            <w:t>5</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_Toc19157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（一）一般公共预算当年拨款规模变化情况</w:t>
          </w:r>
          <w:r>
            <w:rPr>
              <w:sz w:val="24"/>
              <w:szCs w:val="24"/>
            </w:rPr>
            <w:tab/>
          </w:r>
          <w:r>
            <w:rPr>
              <w:sz w:val="24"/>
              <w:szCs w:val="24"/>
            </w:rPr>
            <w:fldChar w:fldCharType="begin"/>
          </w:r>
          <w:r>
            <w:rPr>
              <w:sz w:val="24"/>
              <w:szCs w:val="24"/>
            </w:rPr>
            <w:instrText xml:space="preserve"> PAGEREF _Toc19157 \h </w:instrText>
          </w:r>
          <w:r>
            <w:rPr>
              <w:sz w:val="24"/>
              <w:szCs w:val="24"/>
            </w:rPr>
            <w:fldChar w:fldCharType="separate"/>
          </w:r>
          <w:r>
            <w:rPr>
              <w:sz w:val="24"/>
              <w:szCs w:val="24"/>
            </w:rPr>
            <w:t>6</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_Toc23224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（二）一般公共预算当年拨款结构情况</w:t>
          </w:r>
          <w:r>
            <w:rPr>
              <w:sz w:val="24"/>
              <w:szCs w:val="24"/>
            </w:rPr>
            <w:tab/>
          </w:r>
          <w:r>
            <w:rPr>
              <w:sz w:val="24"/>
              <w:szCs w:val="24"/>
            </w:rPr>
            <w:fldChar w:fldCharType="begin"/>
          </w:r>
          <w:r>
            <w:rPr>
              <w:sz w:val="24"/>
              <w:szCs w:val="24"/>
            </w:rPr>
            <w:instrText xml:space="preserve"> PAGEREF _Toc23224 \h </w:instrText>
          </w:r>
          <w:r>
            <w:rPr>
              <w:sz w:val="24"/>
              <w:szCs w:val="24"/>
            </w:rPr>
            <w:fldChar w:fldCharType="separate"/>
          </w:r>
          <w:r>
            <w:rPr>
              <w:sz w:val="24"/>
              <w:szCs w:val="24"/>
            </w:rPr>
            <w:t>6</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_Toc18891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（三）一般公共预算当年拨款具体使用情况</w:t>
          </w:r>
          <w:r>
            <w:rPr>
              <w:sz w:val="24"/>
              <w:szCs w:val="24"/>
            </w:rPr>
            <w:tab/>
          </w:r>
          <w:r>
            <w:rPr>
              <w:sz w:val="24"/>
              <w:szCs w:val="24"/>
            </w:rPr>
            <w:fldChar w:fldCharType="begin"/>
          </w:r>
          <w:r>
            <w:rPr>
              <w:sz w:val="24"/>
              <w:szCs w:val="24"/>
            </w:rPr>
            <w:instrText xml:space="preserve"> PAGEREF _Toc18891 \h </w:instrText>
          </w:r>
          <w:r>
            <w:rPr>
              <w:sz w:val="24"/>
              <w:szCs w:val="24"/>
            </w:rPr>
            <w:fldChar w:fldCharType="separate"/>
          </w:r>
          <w:r>
            <w:rPr>
              <w:sz w:val="24"/>
              <w:szCs w:val="24"/>
            </w:rPr>
            <w:t>6</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_Toc6221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六、一般公共预算基本支出情况说明</w:t>
          </w:r>
          <w:r>
            <w:rPr>
              <w:b/>
              <w:sz w:val="24"/>
              <w:szCs w:val="24"/>
            </w:rPr>
            <w:tab/>
          </w:r>
          <w:r>
            <w:rPr>
              <w:b/>
              <w:sz w:val="24"/>
              <w:szCs w:val="24"/>
            </w:rPr>
            <w:fldChar w:fldCharType="begin"/>
          </w:r>
          <w:r>
            <w:rPr>
              <w:b/>
              <w:sz w:val="24"/>
              <w:szCs w:val="24"/>
            </w:rPr>
            <w:instrText xml:space="preserve"> PAGEREF _Toc6221 \h </w:instrText>
          </w:r>
          <w:r>
            <w:rPr>
              <w:b/>
              <w:sz w:val="24"/>
              <w:szCs w:val="24"/>
            </w:rPr>
            <w:fldChar w:fldCharType="separate"/>
          </w:r>
          <w:r>
            <w:rPr>
              <w:b/>
              <w:sz w:val="24"/>
              <w:szCs w:val="24"/>
            </w:rPr>
            <w:t>7</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_Toc12750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七、“三公”经费财政拨款预算安排情况说明</w:t>
          </w:r>
          <w:r>
            <w:rPr>
              <w:b/>
              <w:sz w:val="24"/>
              <w:szCs w:val="24"/>
            </w:rPr>
            <w:tab/>
          </w:r>
          <w:r>
            <w:rPr>
              <w:b/>
              <w:sz w:val="24"/>
              <w:szCs w:val="24"/>
            </w:rPr>
            <w:fldChar w:fldCharType="begin"/>
          </w:r>
          <w:r>
            <w:rPr>
              <w:b/>
              <w:sz w:val="24"/>
              <w:szCs w:val="24"/>
            </w:rPr>
            <w:instrText xml:space="preserve"> PAGEREF _Toc12750 \h </w:instrText>
          </w:r>
          <w:r>
            <w:rPr>
              <w:b/>
              <w:sz w:val="24"/>
              <w:szCs w:val="24"/>
            </w:rPr>
            <w:fldChar w:fldCharType="separate"/>
          </w:r>
          <w:r>
            <w:rPr>
              <w:b/>
              <w:sz w:val="24"/>
              <w:szCs w:val="24"/>
            </w:rPr>
            <w:t>7</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_Toc3493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（一）公务接待费</w:t>
          </w:r>
          <w:r>
            <w:rPr>
              <w:sz w:val="24"/>
              <w:szCs w:val="24"/>
            </w:rPr>
            <w:tab/>
          </w:r>
          <w:r>
            <w:rPr>
              <w:sz w:val="24"/>
              <w:szCs w:val="24"/>
            </w:rPr>
            <w:fldChar w:fldCharType="begin"/>
          </w:r>
          <w:r>
            <w:rPr>
              <w:sz w:val="24"/>
              <w:szCs w:val="24"/>
            </w:rPr>
            <w:instrText xml:space="preserve"> PAGEREF _Toc3493 \h </w:instrText>
          </w:r>
          <w:r>
            <w:rPr>
              <w:sz w:val="24"/>
              <w:szCs w:val="24"/>
            </w:rPr>
            <w:fldChar w:fldCharType="separate"/>
          </w:r>
          <w:r>
            <w:rPr>
              <w:sz w:val="24"/>
              <w:szCs w:val="24"/>
            </w:rPr>
            <w:t>7</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_Toc6847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（二） 公务用车购置及运行维护费</w:t>
          </w:r>
          <w:r>
            <w:rPr>
              <w:sz w:val="24"/>
              <w:szCs w:val="24"/>
            </w:rPr>
            <w:tab/>
          </w:r>
          <w:r>
            <w:rPr>
              <w:sz w:val="24"/>
              <w:szCs w:val="24"/>
            </w:rPr>
            <w:fldChar w:fldCharType="begin"/>
          </w:r>
          <w:r>
            <w:rPr>
              <w:sz w:val="24"/>
              <w:szCs w:val="24"/>
            </w:rPr>
            <w:instrText xml:space="preserve"> PAGEREF _Toc6847 \h </w:instrText>
          </w:r>
          <w:r>
            <w:rPr>
              <w:sz w:val="24"/>
              <w:szCs w:val="24"/>
            </w:rPr>
            <w:fldChar w:fldCharType="separate"/>
          </w:r>
          <w:r>
            <w:rPr>
              <w:sz w:val="24"/>
              <w:szCs w:val="24"/>
            </w:rPr>
            <w:t>7</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_Toc1153 </w:instrText>
          </w:r>
          <w:r>
            <w:rPr>
              <w:rFonts w:ascii="宋体" w:hAnsi="宋体" w:cs="宋体"/>
              <w:kern w:val="0"/>
              <w:sz w:val="24"/>
              <w:szCs w:val="24"/>
              <w:shd w:val="clear" w:color="auto" w:fill="FFFFFF"/>
              <w:lang w:bidi="ar"/>
            </w:rPr>
            <w:fldChar w:fldCharType="separate"/>
          </w:r>
          <w:r>
            <w:rPr>
              <w:rFonts w:hint="eastAsia" w:ascii="仿宋_GB2312" w:hAnsi="仿宋_GB2312" w:eastAsia="仿宋_GB2312" w:cs="仿宋_GB2312"/>
              <w:sz w:val="24"/>
              <w:szCs w:val="24"/>
            </w:rPr>
            <w:t>（</w:t>
          </w:r>
          <w:r>
            <w:rPr>
              <w:rFonts w:hint="eastAsia" w:ascii="楷体_GB2312" w:hAnsi="楷体_GB2312" w:eastAsia="楷体_GB2312" w:cs="楷体_GB2312"/>
              <w:sz w:val="24"/>
              <w:szCs w:val="24"/>
            </w:rPr>
            <w:t>三）因公出国（境）经费</w:t>
          </w:r>
          <w:r>
            <w:rPr>
              <w:sz w:val="24"/>
              <w:szCs w:val="24"/>
            </w:rPr>
            <w:tab/>
          </w:r>
          <w:r>
            <w:rPr>
              <w:sz w:val="24"/>
              <w:szCs w:val="24"/>
            </w:rPr>
            <w:fldChar w:fldCharType="begin"/>
          </w:r>
          <w:r>
            <w:rPr>
              <w:sz w:val="24"/>
              <w:szCs w:val="24"/>
            </w:rPr>
            <w:instrText xml:space="preserve"> PAGEREF _Toc1153 \h </w:instrText>
          </w:r>
          <w:r>
            <w:rPr>
              <w:sz w:val="24"/>
              <w:szCs w:val="24"/>
            </w:rPr>
            <w:fldChar w:fldCharType="separate"/>
          </w:r>
          <w:r>
            <w:rPr>
              <w:sz w:val="24"/>
              <w:szCs w:val="24"/>
            </w:rPr>
            <w:t>8</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_Toc31547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八、政府性基金预算支出情况说明</w:t>
          </w:r>
          <w:r>
            <w:rPr>
              <w:b/>
              <w:sz w:val="24"/>
              <w:szCs w:val="24"/>
            </w:rPr>
            <w:tab/>
          </w:r>
          <w:r>
            <w:rPr>
              <w:b/>
              <w:sz w:val="24"/>
              <w:szCs w:val="24"/>
            </w:rPr>
            <w:fldChar w:fldCharType="begin"/>
          </w:r>
          <w:r>
            <w:rPr>
              <w:b/>
              <w:sz w:val="24"/>
              <w:szCs w:val="24"/>
            </w:rPr>
            <w:instrText xml:space="preserve"> PAGEREF _Toc31547 \h </w:instrText>
          </w:r>
          <w:r>
            <w:rPr>
              <w:b/>
              <w:sz w:val="24"/>
              <w:szCs w:val="24"/>
            </w:rPr>
            <w:fldChar w:fldCharType="separate"/>
          </w:r>
          <w:r>
            <w:rPr>
              <w:b/>
              <w:sz w:val="24"/>
              <w:szCs w:val="24"/>
            </w:rPr>
            <w:t>8</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_Toc1405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九、国有资本经营预算支出情况说明</w:t>
          </w:r>
          <w:r>
            <w:rPr>
              <w:b/>
              <w:sz w:val="24"/>
              <w:szCs w:val="24"/>
            </w:rPr>
            <w:tab/>
          </w:r>
          <w:r>
            <w:rPr>
              <w:b/>
              <w:sz w:val="24"/>
              <w:szCs w:val="24"/>
            </w:rPr>
            <w:fldChar w:fldCharType="begin"/>
          </w:r>
          <w:r>
            <w:rPr>
              <w:b/>
              <w:sz w:val="24"/>
              <w:szCs w:val="24"/>
            </w:rPr>
            <w:instrText xml:space="preserve"> PAGEREF _Toc1405 \h </w:instrText>
          </w:r>
          <w:r>
            <w:rPr>
              <w:b/>
              <w:sz w:val="24"/>
              <w:szCs w:val="24"/>
            </w:rPr>
            <w:fldChar w:fldCharType="separate"/>
          </w:r>
          <w:r>
            <w:rPr>
              <w:b/>
              <w:sz w:val="24"/>
              <w:szCs w:val="24"/>
            </w:rPr>
            <w:t>8</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_Toc15382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十、其他重要事项的情况说明</w:t>
          </w:r>
          <w:r>
            <w:rPr>
              <w:b/>
              <w:sz w:val="24"/>
              <w:szCs w:val="24"/>
            </w:rPr>
            <w:tab/>
          </w:r>
          <w:r>
            <w:rPr>
              <w:b/>
              <w:sz w:val="24"/>
              <w:szCs w:val="24"/>
            </w:rPr>
            <w:fldChar w:fldCharType="begin"/>
          </w:r>
          <w:r>
            <w:rPr>
              <w:b/>
              <w:sz w:val="24"/>
              <w:szCs w:val="24"/>
            </w:rPr>
            <w:instrText xml:space="preserve"> PAGEREF _Toc15382 \h </w:instrText>
          </w:r>
          <w:r>
            <w:rPr>
              <w:b/>
              <w:sz w:val="24"/>
              <w:szCs w:val="24"/>
            </w:rPr>
            <w:fldChar w:fldCharType="separate"/>
          </w:r>
          <w:r>
            <w:rPr>
              <w:b/>
              <w:sz w:val="24"/>
              <w:szCs w:val="24"/>
            </w:rPr>
            <w:t>8</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_Toc30239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（一）机关运行经费</w:t>
          </w:r>
          <w:r>
            <w:rPr>
              <w:sz w:val="24"/>
              <w:szCs w:val="24"/>
            </w:rPr>
            <w:tab/>
          </w:r>
          <w:r>
            <w:rPr>
              <w:sz w:val="24"/>
              <w:szCs w:val="24"/>
            </w:rPr>
            <w:fldChar w:fldCharType="begin"/>
          </w:r>
          <w:r>
            <w:rPr>
              <w:sz w:val="24"/>
              <w:szCs w:val="24"/>
            </w:rPr>
            <w:instrText xml:space="preserve"> PAGEREF _Toc30239 \h </w:instrText>
          </w:r>
          <w:r>
            <w:rPr>
              <w:sz w:val="24"/>
              <w:szCs w:val="24"/>
            </w:rPr>
            <w:fldChar w:fldCharType="separate"/>
          </w:r>
          <w:r>
            <w:rPr>
              <w:sz w:val="24"/>
              <w:szCs w:val="24"/>
            </w:rPr>
            <w:t>8</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_Toc21688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（二）政府采购情况</w:t>
          </w:r>
          <w:r>
            <w:rPr>
              <w:sz w:val="24"/>
              <w:szCs w:val="24"/>
            </w:rPr>
            <w:tab/>
          </w:r>
          <w:r>
            <w:rPr>
              <w:sz w:val="24"/>
              <w:szCs w:val="24"/>
            </w:rPr>
            <w:fldChar w:fldCharType="begin"/>
          </w:r>
          <w:r>
            <w:rPr>
              <w:sz w:val="24"/>
              <w:szCs w:val="24"/>
            </w:rPr>
            <w:instrText xml:space="preserve"> PAGEREF _Toc21688 \h </w:instrText>
          </w:r>
          <w:r>
            <w:rPr>
              <w:sz w:val="24"/>
              <w:szCs w:val="24"/>
            </w:rPr>
            <w:fldChar w:fldCharType="separate"/>
          </w:r>
          <w:r>
            <w:rPr>
              <w:sz w:val="24"/>
              <w:szCs w:val="24"/>
            </w:rPr>
            <w:t>8</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_Toc24638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（三）国有资产占有使用情况</w:t>
          </w:r>
          <w:r>
            <w:rPr>
              <w:sz w:val="24"/>
              <w:szCs w:val="24"/>
            </w:rPr>
            <w:tab/>
          </w:r>
          <w:r>
            <w:rPr>
              <w:sz w:val="24"/>
              <w:szCs w:val="24"/>
            </w:rPr>
            <w:fldChar w:fldCharType="begin"/>
          </w:r>
          <w:r>
            <w:rPr>
              <w:sz w:val="24"/>
              <w:szCs w:val="24"/>
            </w:rPr>
            <w:instrText xml:space="preserve"> PAGEREF _Toc24638 \h </w:instrText>
          </w:r>
          <w:r>
            <w:rPr>
              <w:sz w:val="24"/>
              <w:szCs w:val="24"/>
            </w:rPr>
            <w:fldChar w:fldCharType="separate"/>
          </w:r>
          <w:r>
            <w:rPr>
              <w:sz w:val="24"/>
              <w:szCs w:val="24"/>
            </w:rPr>
            <w:t>8</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sz w:val="24"/>
              <w:szCs w:val="24"/>
            </w:rPr>
          </w:pPr>
          <w:r>
            <w:rPr>
              <w:rFonts w:ascii="宋体" w:hAnsi="宋体" w:cs="宋体"/>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kern w:val="0"/>
              <w:sz w:val="24"/>
              <w:szCs w:val="24"/>
              <w:shd w:val="clear" w:color="auto" w:fill="FFFFFF"/>
              <w:lang w:bidi="ar"/>
            </w:rPr>
            <w:instrText xml:space="preserve"> HYPERLINK \l _Toc8038 </w:instrText>
          </w:r>
          <w:r>
            <w:rPr>
              <w:rFonts w:ascii="宋体" w:hAnsi="宋体" w:cs="宋体"/>
              <w:kern w:val="0"/>
              <w:sz w:val="24"/>
              <w:szCs w:val="24"/>
              <w:shd w:val="clear" w:color="auto" w:fill="FFFFFF"/>
              <w:lang w:bidi="ar"/>
            </w:rPr>
            <w:fldChar w:fldCharType="separate"/>
          </w:r>
          <w:r>
            <w:rPr>
              <w:rFonts w:hint="eastAsia" w:ascii="楷体_GB2312" w:hAnsi="楷体_GB2312" w:eastAsia="楷体_GB2312" w:cs="楷体_GB2312"/>
              <w:sz w:val="24"/>
              <w:szCs w:val="24"/>
            </w:rPr>
            <w:t>（四）绩效目标设置情况</w:t>
          </w:r>
          <w:r>
            <w:rPr>
              <w:sz w:val="24"/>
              <w:szCs w:val="24"/>
            </w:rPr>
            <w:tab/>
          </w:r>
          <w:r>
            <w:rPr>
              <w:sz w:val="24"/>
              <w:szCs w:val="24"/>
            </w:rPr>
            <w:fldChar w:fldCharType="begin"/>
          </w:r>
          <w:r>
            <w:rPr>
              <w:sz w:val="24"/>
              <w:szCs w:val="24"/>
            </w:rPr>
            <w:instrText xml:space="preserve"> PAGEREF _Toc8038 \h </w:instrText>
          </w:r>
          <w:r>
            <w:rPr>
              <w:sz w:val="24"/>
              <w:szCs w:val="24"/>
            </w:rPr>
            <w:fldChar w:fldCharType="separate"/>
          </w:r>
          <w:r>
            <w:rPr>
              <w:sz w:val="24"/>
              <w:szCs w:val="24"/>
            </w:rPr>
            <w:t>9</w:t>
          </w:r>
          <w:r>
            <w:rPr>
              <w:sz w:val="24"/>
              <w:szCs w:val="24"/>
            </w:rPr>
            <w:fldChar w:fldCharType="end"/>
          </w:r>
          <w:r>
            <w:rPr>
              <w:rFonts w:ascii="宋体" w:hAnsi="宋体" w:cs="宋体"/>
              <w:color w:val="000000" w:themeColor="text1"/>
              <w:kern w:val="0"/>
              <w:sz w:val="24"/>
              <w:szCs w:val="24"/>
              <w:shd w:val="clear" w:color="auto" w:fill="FFFFFF"/>
              <w:lang w:bidi="ar"/>
              <w14:textFill>
                <w14:solidFill>
                  <w14:schemeClr w14:val="tx1"/>
                </w14:solidFill>
              </w14:textFill>
            </w:rPr>
            <w:fldChar w:fldCharType="end"/>
          </w:r>
        </w:p>
        <w:p>
          <w:pPr>
            <w:pStyle w:val="15"/>
            <w:keepNext w:val="0"/>
            <w:keepLines w:val="0"/>
            <w:pageBreakBefore w:val="0"/>
            <w:shd w:val="clear"/>
            <w:tabs>
              <w:tab w:val="right" w:leader="dot" w:pos="8845"/>
            </w:tabs>
            <w:kinsoku/>
            <w:wordWrap/>
            <w:overflowPunct/>
            <w:topLinePunct w:val="0"/>
            <w:autoSpaceDE/>
            <w:autoSpaceDN/>
            <w:bidi w:val="0"/>
            <w:adjustRightInd/>
            <w:snapToGrid/>
            <w:spacing w:line="460" w:lineRule="exact"/>
            <w:textAlignment w:val="auto"/>
            <w:rPr>
              <w:b/>
              <w:sz w:val="24"/>
              <w:szCs w:val="24"/>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begin"/>
          </w:r>
          <w:r>
            <w:rPr>
              <w:rFonts w:ascii="宋体" w:hAnsi="宋体" w:cs="宋体"/>
              <w:b/>
              <w:kern w:val="0"/>
              <w:sz w:val="24"/>
              <w:szCs w:val="24"/>
              <w:shd w:val="clear" w:color="auto" w:fill="FFFFFF"/>
              <w:lang w:bidi="ar"/>
            </w:rPr>
            <w:instrText xml:space="preserve"> HYPERLINK \l _Toc30129 </w:instrText>
          </w:r>
          <w:r>
            <w:rPr>
              <w:rFonts w:ascii="宋体" w:hAnsi="宋体" w:cs="宋体"/>
              <w:b/>
              <w:kern w:val="0"/>
              <w:sz w:val="24"/>
              <w:szCs w:val="24"/>
              <w:shd w:val="clear" w:color="auto" w:fill="FFFFFF"/>
              <w:lang w:bidi="ar"/>
            </w:rPr>
            <w:fldChar w:fldCharType="separate"/>
          </w:r>
          <w:r>
            <w:rPr>
              <w:rFonts w:hint="eastAsia" w:ascii="黑体" w:hAnsi="黑体" w:eastAsia="黑体" w:cs="黑体"/>
              <w:b/>
              <w:sz w:val="24"/>
              <w:szCs w:val="24"/>
            </w:rPr>
            <w:t>十一、名词解释</w:t>
          </w:r>
          <w:r>
            <w:rPr>
              <w:b/>
              <w:sz w:val="24"/>
              <w:szCs w:val="24"/>
            </w:rPr>
            <w:tab/>
          </w:r>
          <w:r>
            <w:rPr>
              <w:b/>
              <w:sz w:val="24"/>
              <w:szCs w:val="24"/>
            </w:rPr>
            <w:fldChar w:fldCharType="begin"/>
          </w:r>
          <w:r>
            <w:rPr>
              <w:b/>
              <w:sz w:val="24"/>
              <w:szCs w:val="24"/>
            </w:rPr>
            <w:instrText xml:space="preserve"> PAGEREF _Toc30129 \h </w:instrText>
          </w:r>
          <w:r>
            <w:rPr>
              <w:b/>
              <w:sz w:val="24"/>
              <w:szCs w:val="24"/>
            </w:rPr>
            <w:fldChar w:fldCharType="separate"/>
          </w:r>
          <w:r>
            <w:rPr>
              <w:b/>
              <w:sz w:val="24"/>
              <w:szCs w:val="24"/>
            </w:rPr>
            <w:t>9</w:t>
          </w:r>
          <w:r>
            <w:rPr>
              <w:b/>
              <w:sz w:val="24"/>
              <w:szCs w:val="24"/>
            </w:rPr>
            <w:fldChar w:fldCharType="end"/>
          </w: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p>
          <w:pPr>
            <w:pStyle w:val="7"/>
            <w:keepNext w:val="0"/>
            <w:keepLines w:val="0"/>
            <w:pageBreakBefore w:val="0"/>
            <w:widowControl/>
            <w:shd w:val="clear" w:color="auto"/>
            <w:kinsoku/>
            <w:wordWrap/>
            <w:overflowPunct/>
            <w:topLinePunct w:val="0"/>
            <w:autoSpaceDE/>
            <w:autoSpaceDN/>
            <w:bidi w:val="0"/>
            <w:adjustRightInd/>
            <w:snapToGrid/>
            <w:spacing w:before="130" w:line="460" w:lineRule="exact"/>
            <w:ind w:firstLine="482" w:firstLineChars="200"/>
            <w:textAlignment w:val="auto"/>
            <w:rPr>
              <w:rFonts w:ascii="宋体" w:hAnsi="宋体" w:cs="宋体"/>
              <w:color w:val="000000" w:themeColor="text1"/>
              <w:kern w:val="0"/>
              <w:sz w:val="28"/>
              <w:szCs w:val="28"/>
              <w:shd w:val="clear" w:color="auto" w:fill="FFFFFF"/>
              <w:lang w:bidi="ar"/>
              <w14:textFill>
                <w14:solidFill>
                  <w14:schemeClr w14:val="tx1"/>
                </w14:solidFill>
              </w14:textFill>
            </w:rPr>
          </w:pPr>
          <w:r>
            <w:rPr>
              <w:rFonts w:ascii="宋体" w:hAnsi="宋体" w:cs="宋体"/>
              <w:b/>
              <w:color w:val="000000" w:themeColor="text1"/>
              <w:kern w:val="0"/>
              <w:sz w:val="24"/>
              <w:szCs w:val="24"/>
              <w:shd w:val="clear" w:color="auto" w:fill="FFFFFF"/>
              <w:lang w:bidi="ar"/>
              <w14:textFill>
                <w14:solidFill>
                  <w14:schemeClr w14:val="tx1"/>
                </w14:solidFill>
              </w14:textFill>
            </w:rPr>
            <w:fldChar w:fldCharType="end"/>
          </w:r>
        </w:p>
      </w:sdtContent>
    </w:sdt>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0" w:name="_Toc10815"/>
      <w:r>
        <w:rPr>
          <w:rFonts w:hint="eastAsia" w:ascii="黑体" w:hAnsi="黑体" w:eastAsia="黑体" w:cs="黑体"/>
          <w:sz w:val="32"/>
          <w:szCs w:val="32"/>
        </w:rPr>
        <w:t>一、基本职能及主要工作</w:t>
      </w:r>
      <w:bookmarkEnd w:id="0"/>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楷体_GB2312" w:hAnsi="楷体_GB2312" w:eastAsia="楷体_GB2312" w:cs="楷体_GB2312"/>
          <w:sz w:val="32"/>
          <w:szCs w:val="32"/>
        </w:rPr>
      </w:pPr>
      <w:bookmarkStart w:id="1" w:name="_Toc2124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广元市教</w:t>
      </w:r>
      <w:r>
        <w:rPr>
          <w:rFonts w:hint="eastAsia" w:ascii="楷体_GB2312" w:hAnsi="楷体_GB2312" w:eastAsia="楷体_GB2312" w:cs="楷体_GB2312"/>
          <w:sz w:val="32"/>
          <w:szCs w:val="32"/>
          <w:lang w:val="en-US" w:eastAsia="zh-CN"/>
        </w:rPr>
        <w:t>育技术与电化教育中心</w:t>
      </w:r>
      <w:r>
        <w:rPr>
          <w:rFonts w:hint="eastAsia" w:ascii="楷体_GB2312" w:hAnsi="楷体_GB2312" w:eastAsia="楷体_GB2312" w:cs="楷体_GB2312"/>
          <w:sz w:val="32"/>
          <w:szCs w:val="32"/>
        </w:rPr>
        <w:t>职能简介</w:t>
      </w:r>
      <w:bookmarkEnd w:id="1"/>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本单位工作职能：负责全市教育技术装备及教育信息化规划、建设、管理、指导和应用工作；负责全市电化教育、智慧教育、实验教学、劳动实践教育、创客教育、网络教育的课题研究、应用研究、业务培训及成果经验推广；负责全市中小学教育资源建设与应用指导；负责开展教师信息技术应用能力提升培训、现代教育技术装备应用培训等。</w:t>
      </w:r>
    </w:p>
    <w:p>
      <w:pPr>
        <w:keepNext w:val="0"/>
        <w:keepLines w:val="0"/>
        <w:pageBreakBefore w:val="0"/>
        <w:numPr>
          <w:ilvl w:val="0"/>
          <w:numId w:val="1"/>
        </w:numPr>
        <w:shd w:val="clear"/>
        <w:kinsoku/>
        <w:wordWrap/>
        <w:overflowPunct/>
        <w:topLinePunct w:val="0"/>
        <w:autoSpaceDE/>
        <w:autoSpaceDN/>
        <w:bidi w:val="0"/>
        <w:adjustRightInd/>
        <w:spacing w:line="560" w:lineRule="exact"/>
        <w:ind w:firstLine="640" w:firstLineChars="200"/>
        <w:textAlignment w:val="auto"/>
        <w:outlineLvl w:val="9"/>
        <w:rPr>
          <w:rFonts w:hint="eastAsia" w:ascii="楷体_GB2312" w:hAnsi="楷体_GB2312" w:eastAsia="楷体_GB2312" w:cs="楷体_GB2312"/>
          <w:sz w:val="32"/>
          <w:szCs w:val="32"/>
        </w:rPr>
      </w:pPr>
      <w:bookmarkStart w:id="2" w:name="_Toc960"/>
      <w:r>
        <w:rPr>
          <w:rFonts w:hint="eastAsia" w:ascii="楷体_GB2312" w:hAnsi="楷体_GB2312" w:eastAsia="楷体_GB2312" w:cs="楷体_GB2312"/>
          <w:sz w:val="32"/>
          <w:szCs w:val="32"/>
          <w:lang w:eastAsia="zh-CN"/>
        </w:rPr>
        <w:t>广元市教</w:t>
      </w:r>
      <w:r>
        <w:rPr>
          <w:rFonts w:hint="eastAsia" w:ascii="楷体_GB2312" w:hAnsi="楷体_GB2312" w:eastAsia="楷体_GB2312" w:cs="楷体_GB2312"/>
          <w:sz w:val="32"/>
          <w:szCs w:val="32"/>
          <w:lang w:val="en-US" w:eastAsia="zh-CN"/>
        </w:rPr>
        <w:t>育技术与电化教育中心</w:t>
      </w:r>
      <w:r>
        <w:rPr>
          <w:rFonts w:hint="eastAsia" w:ascii="楷体_GB2312" w:hAnsi="楷体_GB2312" w:eastAsia="楷体_GB2312" w:cs="楷体_GB2312"/>
          <w:sz w:val="32"/>
          <w:szCs w:val="32"/>
        </w:rPr>
        <w:t>2024年重点工作</w:t>
      </w:r>
      <w:bookmarkEnd w:id="2"/>
    </w:p>
    <w:p>
      <w:pPr>
        <w:pStyle w:val="13"/>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sz w:val="32"/>
          <w:szCs w:val="32"/>
        </w:rPr>
      </w:pPr>
      <w:bookmarkStart w:id="3" w:name="_Toc20196"/>
      <w:r>
        <w:rPr>
          <w:rFonts w:hint="eastAsia" w:ascii="仿宋_GB2312" w:hAnsi="仿宋_GB2312" w:eastAsia="仿宋_GB2312"/>
          <w:sz w:val="32"/>
          <w:szCs w:val="32"/>
        </w:rPr>
        <w:t>2024年，我中心立足“强支撑、优服务、促应用、抓示范”，重点推进以下工作：</w:t>
      </w:r>
      <w:bookmarkEnd w:id="3"/>
    </w:p>
    <w:p>
      <w:pPr>
        <w:pStyle w:val="14"/>
        <w:keepNext w:val="0"/>
        <w:keepLines w:val="0"/>
        <w:pageBreakBefore w:val="0"/>
        <w:shd w:val="clear"/>
        <w:kinsoku/>
        <w:wordWrap/>
        <w:overflowPunct/>
        <w:topLinePunct w:val="0"/>
        <w:autoSpaceDE/>
        <w:autoSpaceDN/>
        <w:bidi w:val="0"/>
        <w:adjustRightInd/>
        <w:snapToGrid w:val="0"/>
        <w:spacing w:line="560" w:lineRule="exact"/>
        <w:ind w:firstLine="643" w:firstLineChars="200"/>
        <w:textAlignment w:val="auto"/>
        <w:outlineLvl w:val="9"/>
        <w:rPr>
          <w:rFonts w:hint="eastAsia" w:ascii="楷体_GB2312" w:hAnsi="楷体_GB2312" w:eastAsia="楷体_GB2312" w:cs="楷体_GB2312"/>
          <w:sz w:val="32"/>
          <w:szCs w:val="32"/>
        </w:rPr>
      </w:pPr>
      <w:r>
        <w:rPr>
          <w:rFonts w:hint="eastAsia" w:ascii="Times New Roman" w:hAnsi="Times New Roman" w:eastAsia="仿宋_GB2312"/>
          <w:b/>
          <w:bCs/>
          <w:sz w:val="32"/>
        </w:rPr>
        <w:t>一是</w:t>
      </w:r>
      <w:r>
        <w:rPr>
          <w:rFonts w:hint="eastAsia" w:ascii="Times New Roman" w:hAnsi="Times New Roman" w:eastAsia="仿宋_GB2312"/>
          <w:sz w:val="32"/>
        </w:rPr>
        <w:t>深入实施国家教育数字化战略行动。</w:t>
      </w:r>
      <w:r>
        <w:rPr>
          <w:rFonts w:hint="eastAsia" w:ascii="仿宋_GB2312" w:hAnsi="仿宋_GB2312" w:eastAsia="仿宋_GB2312"/>
          <w:sz w:val="32"/>
          <w:szCs w:val="32"/>
        </w:rPr>
        <w:t>围绕本地优质特色数字学习资源开发与应用、师生数字素养提升等方面积极谋划，</w:t>
      </w:r>
      <w:r>
        <w:rPr>
          <w:rFonts w:hint="eastAsia" w:ascii="Times New Roman" w:hAnsi="Times New Roman" w:eastAsia="仿宋_GB2312"/>
          <w:sz w:val="32"/>
        </w:rPr>
        <w:t>推进“三个课堂”全面应用，系统汇聚优质数字资源。</w:t>
      </w:r>
      <w:r>
        <w:rPr>
          <w:rFonts w:hint="eastAsia" w:ascii="Times New Roman" w:hAnsi="Times New Roman" w:eastAsia="仿宋_GB2312"/>
          <w:b/>
          <w:bCs/>
          <w:sz w:val="32"/>
        </w:rPr>
        <w:t>二是</w:t>
      </w:r>
      <w:r>
        <w:rPr>
          <w:rFonts w:hint="eastAsia" w:ascii="Times New Roman" w:hAnsi="Times New Roman" w:eastAsia="仿宋_GB2312"/>
          <w:sz w:val="32"/>
        </w:rPr>
        <w:t>积极推进教育新型基础设施建设。</w:t>
      </w:r>
      <w:r>
        <w:rPr>
          <w:rFonts w:hint="eastAsia" w:ascii="仿宋_GB2312" w:hAnsi="仿宋_GB2312" w:eastAsia="仿宋_GB2312"/>
          <w:sz w:val="32"/>
          <w:szCs w:val="32"/>
        </w:rPr>
        <w:t>加强示范性数字校园建设</w:t>
      </w:r>
      <w:r>
        <w:rPr>
          <w:rFonts w:hint="eastAsia" w:ascii="仿宋_GB2312" w:hAnsi="仿宋_GB2312" w:eastAsia="仿宋_GB2312"/>
          <w:sz w:val="32"/>
        </w:rPr>
        <w:t>，探索智能教室，教情</w:t>
      </w:r>
      <w:r>
        <w:rPr>
          <w:rFonts w:hint="eastAsia" w:ascii="仿宋_GB2312" w:hAnsi="仿宋_GB2312" w:eastAsia="仿宋_GB2312"/>
          <w:sz w:val="32"/>
          <w:szCs w:val="32"/>
        </w:rPr>
        <w:t>学情智能诊断等</w:t>
      </w:r>
      <w:r>
        <w:rPr>
          <w:rFonts w:hint="eastAsia" w:ascii="Times New Roman" w:hAnsi="Times New Roman" w:eastAsia="仿宋_GB2312"/>
          <w:sz w:val="32"/>
        </w:rPr>
        <w:t>数字教育场景应用。加强创新课堂建设，</w:t>
      </w:r>
      <w:r>
        <w:rPr>
          <w:rFonts w:hint="eastAsia" w:ascii="仿宋_GB2312" w:hAnsi="仿宋" w:eastAsia="仿宋_GB2312"/>
          <w:sz w:val="32"/>
          <w:szCs w:val="32"/>
        </w:rPr>
        <w:t>积极开展创客教育活动，重点推进编程、机器人创客教育，</w:t>
      </w:r>
      <w:r>
        <w:rPr>
          <w:rFonts w:hint="eastAsia" w:ascii="仿宋_GB2312" w:hAnsi="仿宋" w:eastAsia="仿宋_GB2312"/>
          <w:bCs/>
          <w:sz w:val="32"/>
          <w:szCs w:val="32"/>
        </w:rPr>
        <w:t>推进全市创新型人才培养，组织开展第四届“广元</w:t>
      </w:r>
      <w:r>
        <w:rPr>
          <w:rFonts w:hint="eastAsia" w:ascii="汉仪大黑简" w:hAnsi="汉仪大黑简" w:eastAsia="汉仪大黑简"/>
          <w:bCs/>
          <w:sz w:val="32"/>
          <w:szCs w:val="32"/>
        </w:rPr>
        <w:t>·</w:t>
      </w:r>
      <w:r>
        <w:rPr>
          <w:rFonts w:hint="eastAsia" w:ascii="仿宋_GB2312" w:hAnsi="仿宋" w:eastAsia="仿宋_GB2312"/>
          <w:sz w:val="32"/>
          <w:szCs w:val="32"/>
        </w:rPr>
        <w:t>传爱</w:t>
      </w:r>
      <w:r>
        <w:rPr>
          <w:rFonts w:hint="eastAsia" w:ascii="仿宋_GB2312" w:hAnsi="仿宋" w:eastAsia="仿宋_GB2312"/>
          <w:bCs/>
          <w:sz w:val="32"/>
          <w:szCs w:val="32"/>
        </w:rPr>
        <w:t>”机器人竞赛活动。</w:t>
      </w:r>
      <w:r>
        <w:rPr>
          <w:rFonts w:hint="eastAsia" w:ascii="仿宋_GB2312" w:hAnsi="仿宋" w:eastAsia="仿宋_GB2312"/>
          <w:b/>
          <w:sz w:val="32"/>
          <w:szCs w:val="32"/>
        </w:rPr>
        <w:t>三是</w:t>
      </w:r>
      <w:r>
        <w:rPr>
          <w:rFonts w:hint="eastAsia" w:ascii="仿宋_GB2312" w:hAnsi="仿宋" w:eastAsia="仿宋_GB2312"/>
          <w:bCs/>
          <w:sz w:val="32"/>
          <w:szCs w:val="32"/>
        </w:rPr>
        <w:t>加强信息技术与教育教学融合创新应用及推广。推进</w:t>
      </w:r>
      <w:r>
        <w:rPr>
          <w:rFonts w:hint="eastAsia" w:ascii="仿宋_GB2312" w:hAnsi="仿宋_GB2312" w:eastAsia="仿宋_GB2312"/>
          <w:sz w:val="32"/>
          <w:szCs w:val="32"/>
        </w:rPr>
        <w:t>各级智慧教育平台深度应用</w:t>
      </w:r>
      <w:r>
        <w:rPr>
          <w:rFonts w:hint="eastAsia" w:ascii="仿宋_GB2312" w:hAnsi="仿宋_GB2312" w:eastAsia="仿宋_GB2312"/>
          <w:sz w:val="32"/>
        </w:rPr>
        <w:t>及应用案例提炼</w:t>
      </w:r>
      <w:r>
        <w:rPr>
          <w:rFonts w:hint="eastAsia" w:ascii="仿宋_GB2312" w:hAnsi="仿宋_GB2312" w:eastAsia="仿宋_GB2312"/>
          <w:sz w:val="32"/>
          <w:szCs w:val="32"/>
        </w:rPr>
        <w:t>，加强中小学智慧教育平台应用省级第五组专家团队指导力度。</w:t>
      </w:r>
      <w:r>
        <w:rPr>
          <w:rFonts w:hint="eastAsia" w:ascii="仿宋_GB2312" w:hAnsi="仿宋_GB2312" w:eastAsia="仿宋_GB2312"/>
          <w:kern w:val="0"/>
          <w:sz w:val="32"/>
          <w:szCs w:val="32"/>
          <w:lang w:bidi="ar"/>
        </w:rPr>
        <w:t>抓实师生应用活动，</w:t>
      </w:r>
      <w:r>
        <w:rPr>
          <w:rFonts w:hint="eastAsia" w:ascii="仿宋_GB2312" w:hAnsi="仿宋" w:eastAsia="仿宋_GB2312"/>
          <w:kern w:val="0"/>
          <w:sz w:val="32"/>
          <w:szCs w:val="32"/>
          <w:lang w:bidi="ar"/>
        </w:rPr>
        <w:t>组织学校参与国家、省级赛事活动，</w:t>
      </w:r>
      <w:r>
        <w:rPr>
          <w:rFonts w:hint="eastAsia" w:ascii="仿宋_GB2312" w:hAnsi="仿宋" w:eastAsia="仿宋_GB2312"/>
          <w:sz w:val="32"/>
          <w:szCs w:val="32"/>
        </w:rPr>
        <w:t>精心谋划“互联网+教育”教学大比武系列活动，做好活动培训、指导和技术支持服务工作，</w:t>
      </w:r>
      <w:r>
        <w:rPr>
          <w:rFonts w:hint="eastAsia" w:ascii="仿宋_GB2312" w:hAnsi="仿宋_GB2312" w:eastAsia="仿宋_GB2312"/>
          <w:kern w:val="0"/>
          <w:sz w:val="32"/>
          <w:szCs w:val="32"/>
        </w:rPr>
        <w:t>持续提升教师信息化应用能力与素养</w:t>
      </w:r>
      <w:r>
        <w:rPr>
          <w:rFonts w:hint="eastAsia" w:ascii="仿宋_GB2312" w:hAnsi="仿宋" w:eastAsia="仿宋_GB2312"/>
          <w:kern w:val="0"/>
          <w:sz w:val="32"/>
          <w:szCs w:val="32"/>
          <w:lang w:bidi="ar"/>
        </w:rPr>
        <w:t>。</w:t>
      </w:r>
      <w:r>
        <w:rPr>
          <w:rFonts w:hint="eastAsia" w:ascii="仿宋_GB2312" w:hAnsi="仿宋" w:eastAsia="仿宋_GB2312"/>
          <w:bCs/>
          <w:sz w:val="32"/>
          <w:szCs w:val="32"/>
        </w:rPr>
        <w:t>积极探索实验教学、</w:t>
      </w:r>
      <w:r>
        <w:rPr>
          <w:rFonts w:hint="eastAsia" w:ascii="仿宋_GB2312" w:hAnsi="仿宋" w:eastAsia="仿宋_GB2312"/>
          <w:bCs/>
          <w:sz w:val="32"/>
          <w:szCs w:val="32"/>
          <w:shd w:val="clear" w:color="auto" w:fill="FFFFFF"/>
        </w:rPr>
        <w:t>信息技术与教育教学融合创新等</w:t>
      </w:r>
      <w:r>
        <w:rPr>
          <w:rFonts w:hint="eastAsia" w:ascii="仿宋_GB2312" w:hAnsi="仿宋" w:eastAsia="仿宋_GB2312"/>
          <w:bCs/>
          <w:sz w:val="32"/>
          <w:szCs w:val="32"/>
        </w:rPr>
        <w:t>课题研究，做好课题指导、成果应用推广工作</w:t>
      </w:r>
      <w:r>
        <w:rPr>
          <w:rFonts w:hint="eastAsia" w:ascii="仿宋_GB2312" w:hAnsi="仿宋" w:eastAsia="仿宋_GB2312"/>
          <w:bCs/>
          <w:sz w:val="32"/>
          <w:szCs w:val="32"/>
          <w:shd w:val="clear" w:color="auto" w:fill="FFFFFF"/>
        </w:rPr>
        <w:t>。</w:t>
      </w:r>
      <w:r>
        <w:rPr>
          <w:rFonts w:hint="eastAsia" w:ascii="仿宋_GB2312" w:hAnsi="仿宋" w:eastAsia="仿宋_GB2312"/>
          <w:b/>
          <w:sz w:val="32"/>
          <w:szCs w:val="32"/>
          <w:shd w:val="clear" w:color="auto" w:fill="FFFFFF"/>
        </w:rPr>
        <w:t>四是</w:t>
      </w:r>
      <w:r>
        <w:rPr>
          <w:rFonts w:hint="eastAsia" w:ascii="仿宋_GB2312" w:hAnsi="仿宋" w:eastAsia="仿宋_GB2312"/>
          <w:bCs/>
          <w:sz w:val="32"/>
          <w:szCs w:val="32"/>
          <w:shd w:val="clear" w:color="auto" w:fill="FFFFFF"/>
        </w:rPr>
        <w:t>加强实验教学工作。</w:t>
      </w:r>
      <w:r>
        <w:rPr>
          <w:rFonts w:hint="eastAsia" w:ascii="仿宋_GB2312" w:hAnsi="仿宋" w:eastAsia="仿宋_GB2312"/>
          <w:sz w:val="32"/>
        </w:rPr>
        <w:t>出台加强实验教学管理实施意见，</w:t>
      </w:r>
      <w:r>
        <w:rPr>
          <w:rFonts w:hint="eastAsia" w:ascii="仿宋_GB2312" w:hAnsi="仿宋" w:eastAsia="仿宋_GB2312"/>
          <w:bCs/>
          <w:sz w:val="32"/>
          <w:szCs w:val="32"/>
        </w:rPr>
        <w:t>完成实验教学管理系统招标采购工作。组织开展全市实验教学管理与教学能力提升培训。抓实初（高）中理科实验操作考试</w:t>
      </w:r>
      <w:r>
        <w:rPr>
          <w:rFonts w:hint="eastAsia" w:ascii="仿宋_GB2312" w:hAnsi="仿宋" w:eastAsia="仿宋_GB2312"/>
          <w:bCs/>
          <w:sz w:val="32"/>
          <w:szCs w:val="32"/>
          <w:lang w:eastAsia="zh-CN"/>
        </w:rPr>
        <w:t>（考</w:t>
      </w:r>
      <w:r>
        <w:rPr>
          <w:rFonts w:hint="eastAsia" w:ascii="仿宋_GB2312" w:hAnsi="仿宋" w:eastAsia="仿宋_GB2312"/>
          <w:bCs/>
          <w:sz w:val="32"/>
          <w:szCs w:val="32"/>
        </w:rPr>
        <w:t>查）、高中信息技术学业水平考试、高中通用技术实践操作考查工作。</w:t>
      </w:r>
      <w:r>
        <w:rPr>
          <w:rFonts w:hint="eastAsia" w:ascii="仿宋_GB2312" w:hAnsi="仿宋" w:eastAsia="仿宋_GB2312"/>
          <w:b/>
          <w:sz w:val="32"/>
          <w:szCs w:val="32"/>
        </w:rPr>
        <w:t>五是</w:t>
      </w:r>
      <w:r>
        <w:rPr>
          <w:rFonts w:hint="eastAsia" w:ascii="仿宋_GB2312" w:hAnsi="仿宋" w:eastAsia="仿宋_GB2312"/>
          <w:bCs/>
          <w:sz w:val="32"/>
          <w:szCs w:val="32"/>
        </w:rPr>
        <w:t>切实加强装备安全与网络安全。</w:t>
      </w:r>
      <w:r>
        <w:rPr>
          <w:rFonts w:hint="eastAsia" w:ascii="仿宋_GB2312" w:hAnsi="仿宋_GB2312" w:eastAsia="仿宋_GB2312"/>
          <w:kern w:val="0"/>
          <w:sz w:val="32"/>
          <w:szCs w:val="32"/>
          <w:lang w:bidi="ar"/>
        </w:rPr>
        <w:t>强化教学设施设备安全管理工作，做好学校实验教学的安全教育与管理，开展学校实验装备、教学装备、体育设施、辅助生活设施安全专项检查，开展幼儿园户外体育用具安全检查。推进危化物品管理信息化工作。规范实验室易制毒、</w:t>
      </w:r>
      <w:r>
        <w:rPr>
          <w:rFonts w:hint="eastAsia" w:ascii="仿宋_GB2312" w:hAnsi="仿宋_GB2312" w:eastAsia="仿宋_GB2312"/>
          <w:kern w:val="0"/>
          <w:sz w:val="32"/>
          <w:szCs w:val="32"/>
          <w:lang w:eastAsia="zh-CN" w:bidi="ar"/>
        </w:rPr>
        <w:t>易致爆等</w:t>
      </w:r>
      <w:r>
        <w:rPr>
          <w:rFonts w:hint="eastAsia" w:ascii="仿宋_GB2312" w:hAnsi="仿宋_GB2312" w:eastAsia="仿宋_GB2312"/>
          <w:kern w:val="0"/>
          <w:sz w:val="32"/>
          <w:szCs w:val="32"/>
          <w:lang w:bidi="ar"/>
        </w:rPr>
        <w:t>危险化学品在采购、运输、储存、保管、使用、回收的管理行为。</w:t>
      </w:r>
      <w:r>
        <w:rPr>
          <w:rFonts w:hint="eastAsia" w:ascii="仿宋_GB2312" w:hAnsi="仿宋_GB2312" w:eastAsia="仿宋_GB2312"/>
          <w:sz w:val="32"/>
          <w:szCs w:val="32"/>
        </w:rPr>
        <w:t>强化网络安全保障与软件正版化工作。开展网络安全工作重点抽查，督促问题整改；</w:t>
      </w:r>
      <w:r>
        <w:rPr>
          <w:rFonts w:hint="eastAsia" w:ascii="仿宋_GB2312" w:hAnsi="仿宋_GB2312" w:eastAsia="仿宋_GB2312"/>
          <w:sz w:val="32"/>
          <w:szCs w:val="32"/>
          <w:lang w:val="en"/>
        </w:rPr>
        <w:t>做好</w:t>
      </w:r>
      <w:r>
        <w:rPr>
          <w:rFonts w:hint="eastAsia" w:ascii="仿宋_GB2312" w:hAnsi="仿宋_GB2312" w:eastAsia="仿宋_GB2312"/>
          <w:sz w:val="32"/>
          <w:szCs w:val="32"/>
        </w:rPr>
        <w:t>网络安全宣传教育，组织开展好“网络安全宣传周”</w:t>
      </w:r>
      <w:r>
        <w:rPr>
          <w:rFonts w:hint="eastAsia" w:ascii="仿宋_GB2312" w:hAnsi="仿宋_GB2312" w:eastAsia="仿宋_GB2312"/>
          <w:sz w:val="32"/>
          <w:szCs w:val="32"/>
          <w:lang w:val="en"/>
        </w:rPr>
        <w:t>等</w:t>
      </w:r>
      <w:r>
        <w:rPr>
          <w:rFonts w:hint="eastAsia" w:ascii="仿宋_GB2312" w:hAnsi="仿宋_GB2312" w:eastAsia="仿宋_GB2312"/>
          <w:sz w:val="32"/>
          <w:szCs w:val="32"/>
        </w:rPr>
        <w:t>活动，加强</w:t>
      </w:r>
      <w:r>
        <w:rPr>
          <w:rFonts w:hint="eastAsia" w:ascii="仿宋_GB2312" w:hAnsi="仿宋_GB2312" w:eastAsia="仿宋_GB2312"/>
          <w:sz w:val="32"/>
          <w:szCs w:val="32"/>
          <w:lang w:val="en"/>
        </w:rPr>
        <w:t>师生网络安全教育，强化网络安全队伍建设。</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4" w:name="_Toc31236"/>
      <w:r>
        <w:rPr>
          <w:rFonts w:hint="eastAsia" w:ascii="黑体" w:hAnsi="黑体" w:eastAsia="黑体" w:cs="黑体"/>
          <w:sz w:val="32"/>
          <w:szCs w:val="32"/>
        </w:rPr>
        <w:t>二、预算单位构成</w:t>
      </w:r>
      <w:bookmarkEnd w:id="4"/>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广元市教育技术与电化教育中心属二级预算事业单位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无下属机构</w:t>
      </w:r>
      <w:r>
        <w:rPr>
          <w:rFonts w:hint="eastAsia" w:ascii="仿宋_GB2312" w:hAnsi="仿宋_GB2312" w:eastAsia="仿宋_GB2312" w:cs="仿宋_GB2312"/>
          <w:sz w:val="32"/>
          <w:szCs w:val="32"/>
        </w:rPr>
        <w:t>。</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5" w:name="_Toc9456"/>
      <w:r>
        <w:rPr>
          <w:rFonts w:hint="eastAsia" w:ascii="黑体" w:hAnsi="黑体" w:eastAsia="黑体" w:cs="黑体"/>
          <w:sz w:val="32"/>
          <w:szCs w:val="32"/>
        </w:rPr>
        <w:t>三、收支预算情况说明</w:t>
      </w:r>
      <w:bookmarkEnd w:id="5"/>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按照综合预算的原则，</w:t>
      </w:r>
      <w:r>
        <w:rPr>
          <w:rFonts w:hint="eastAsia" w:ascii="仿宋_GB2312" w:hAnsi="仿宋_GB2312" w:eastAsia="仿宋_GB2312" w:cs="仿宋_GB2312"/>
          <w:sz w:val="32"/>
          <w:szCs w:val="32"/>
          <w:lang w:eastAsia="zh-CN"/>
        </w:rPr>
        <w:t>广元市教</w:t>
      </w:r>
      <w:r>
        <w:rPr>
          <w:rFonts w:hint="eastAsia" w:ascii="仿宋_GB2312" w:hAnsi="仿宋_GB2312" w:eastAsia="仿宋_GB2312" w:cs="仿宋_GB2312"/>
          <w:sz w:val="32"/>
          <w:szCs w:val="32"/>
          <w:lang w:val="en-US" w:eastAsia="zh-CN"/>
        </w:rPr>
        <w:t>育技术与电化教育中心</w:t>
      </w:r>
      <w:r>
        <w:rPr>
          <w:rFonts w:hint="eastAsia" w:ascii="仿宋_GB2312" w:hAnsi="仿宋_GB2312" w:eastAsia="仿宋_GB2312" w:cs="仿宋_GB2312"/>
          <w:sz w:val="32"/>
          <w:szCs w:val="32"/>
        </w:rPr>
        <w:t>所有收入和支出均纳入部门预算管理。收入包括：一般公共预算拨款收入、事业收入；支出包括：教育支出、社会保障和就业支出、卫生健康支出、住房保障支出。</w:t>
      </w:r>
      <w:r>
        <w:rPr>
          <w:rFonts w:hint="eastAsia" w:ascii="仿宋_GB2312" w:hAnsi="仿宋_GB2312" w:eastAsia="仿宋_GB2312" w:cs="仿宋_GB2312"/>
          <w:sz w:val="32"/>
          <w:szCs w:val="32"/>
          <w:lang w:eastAsia="zh-CN"/>
        </w:rPr>
        <w:t>广元市教育技术与电化教育中</w:t>
      </w:r>
      <w:r>
        <w:rPr>
          <w:rFonts w:hint="eastAsia" w:ascii="仿宋_GB2312" w:hAnsi="仿宋_GB2312" w:eastAsia="仿宋_GB2312" w:cs="仿宋_GB2312"/>
          <w:sz w:val="32"/>
          <w:szCs w:val="32"/>
          <w:lang w:val="en-US" w:eastAsia="zh-CN"/>
        </w:rPr>
        <w:t>心</w:t>
      </w:r>
      <w:r>
        <w:rPr>
          <w:rFonts w:hint="eastAsia" w:ascii="仿宋_GB2312" w:hAnsi="仿宋_GB2312" w:eastAsia="仿宋_GB2312" w:cs="仿宋_GB2312"/>
          <w:sz w:val="32"/>
          <w:szCs w:val="32"/>
        </w:rPr>
        <w:t>2024年收支预算总数</w:t>
      </w:r>
      <w:r>
        <w:rPr>
          <w:rFonts w:hint="eastAsia" w:ascii="仿宋_GB2312" w:hAnsi="仿宋_GB2312" w:eastAsia="仿宋_GB2312" w:cs="仿宋_GB2312"/>
          <w:sz w:val="32"/>
          <w:szCs w:val="32"/>
          <w:lang w:val="en-US" w:eastAsia="zh-CN"/>
        </w:rPr>
        <w:t>351.78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比2023年收支预算总数增加</w:t>
      </w:r>
      <w:r>
        <w:rPr>
          <w:rFonts w:hint="eastAsia" w:ascii="仿宋_GB2312" w:hAnsi="仿宋_GB2312" w:eastAsia="仿宋_GB2312" w:cs="仿宋_GB2312"/>
          <w:sz w:val="32"/>
          <w:szCs w:val="32"/>
          <w:lang w:val="en-US" w:eastAsia="zh-CN"/>
        </w:rPr>
        <w:t>17.7</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eastAsia="zh-CN"/>
        </w:rPr>
        <w:t>年度考核奖纳入预算</w:t>
      </w:r>
      <w:r>
        <w:rPr>
          <w:rFonts w:hint="eastAsia" w:ascii="仿宋_GB2312" w:hAnsi="仿宋_GB2312" w:eastAsia="仿宋_GB2312" w:cs="仿宋_GB2312"/>
          <w:sz w:val="32"/>
          <w:szCs w:val="32"/>
          <w:lang w:val="en-US" w:eastAsia="zh-CN"/>
        </w:rPr>
        <w:t>和工资福利支出（薪级工资正常晋级）增加，项目支出增加（教育收费收入增加）。</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6" w:name="_Toc26997"/>
      <w:r>
        <w:rPr>
          <w:rFonts w:hint="eastAsia" w:ascii="楷体_GB2312" w:hAnsi="楷体_GB2312" w:eastAsia="楷体_GB2312" w:cs="楷体_GB2312"/>
          <w:sz w:val="32"/>
          <w:szCs w:val="32"/>
        </w:rPr>
        <w:t>（一）收入预算情况</w:t>
      </w:r>
      <w:bookmarkEnd w:id="6"/>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b/>
          <w:bCs/>
          <w:sz w:val="32"/>
          <w:szCs w:val="32"/>
        </w:rPr>
      </w:pPr>
      <w:r>
        <w:rPr>
          <w:rFonts w:hint="eastAsia" w:ascii="仿宋_GB2312" w:hAnsi="仿宋_GB2312" w:eastAsia="仿宋_GB2312" w:cs="仿宋_GB2312"/>
          <w:sz w:val="32"/>
          <w:szCs w:val="32"/>
          <w:lang w:eastAsia="zh-CN"/>
        </w:rPr>
        <w:t>广元市教</w:t>
      </w:r>
      <w:r>
        <w:rPr>
          <w:rFonts w:hint="eastAsia" w:ascii="仿宋_GB2312" w:hAnsi="仿宋_GB2312" w:eastAsia="仿宋_GB2312" w:cs="仿宋_GB2312"/>
          <w:sz w:val="32"/>
          <w:szCs w:val="32"/>
          <w:lang w:val="en-US" w:eastAsia="zh-CN"/>
        </w:rPr>
        <w:t>育技术与电化教育中心</w:t>
      </w:r>
      <w:r>
        <w:rPr>
          <w:rFonts w:hint="eastAsia" w:ascii="仿宋_GB2312" w:hAnsi="仿宋_GB2312" w:eastAsia="仿宋_GB2312" w:cs="仿宋_GB2312"/>
          <w:sz w:val="32"/>
          <w:szCs w:val="32"/>
        </w:rPr>
        <w:t>2024年收入预算</w:t>
      </w:r>
      <w:r>
        <w:rPr>
          <w:rFonts w:hint="eastAsia" w:ascii="仿宋_GB2312" w:hAnsi="仿宋_GB2312" w:eastAsia="仿宋_GB2312" w:cs="仿宋_GB2312"/>
          <w:sz w:val="32"/>
          <w:szCs w:val="32"/>
          <w:lang w:val="en-US" w:eastAsia="zh-CN"/>
        </w:rPr>
        <w:t>351.78</w:t>
      </w:r>
      <w:r>
        <w:rPr>
          <w:rFonts w:hint="eastAsia" w:ascii="仿宋_GB2312" w:hAnsi="仿宋_GB2312" w:eastAsia="仿宋_GB2312" w:cs="仿宋_GB2312"/>
          <w:sz w:val="32"/>
          <w:szCs w:val="32"/>
        </w:rPr>
        <w:t>万元，其中：一般公共预算拨款收入</w:t>
      </w:r>
      <w:r>
        <w:rPr>
          <w:rFonts w:hint="eastAsia" w:ascii="仿宋_GB2312" w:hAnsi="仿宋_GB2312" w:eastAsia="仿宋_GB2312" w:cs="仿宋_GB2312"/>
          <w:sz w:val="32"/>
          <w:szCs w:val="32"/>
          <w:lang w:val="en-US" w:eastAsia="zh-CN"/>
        </w:rPr>
        <w:t>343.78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7" w:name="_Toc11641"/>
      <w:r>
        <w:rPr>
          <w:rFonts w:hint="eastAsia" w:ascii="楷体_GB2312" w:hAnsi="楷体_GB2312" w:eastAsia="楷体_GB2312" w:cs="楷体_GB2312"/>
          <w:sz w:val="32"/>
          <w:szCs w:val="32"/>
        </w:rPr>
        <w:t>（二）支出预算情况</w:t>
      </w:r>
      <w:bookmarkEnd w:id="7"/>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b/>
          <w:bCs/>
          <w:sz w:val="32"/>
          <w:szCs w:val="32"/>
        </w:rPr>
      </w:pPr>
      <w:r>
        <w:rPr>
          <w:rFonts w:hint="eastAsia" w:ascii="仿宋_GB2312" w:hAnsi="仿宋_GB2312" w:eastAsia="仿宋_GB2312" w:cs="仿宋_GB2312"/>
          <w:sz w:val="32"/>
          <w:szCs w:val="32"/>
          <w:lang w:eastAsia="zh-CN"/>
        </w:rPr>
        <w:t>广元市教育技术与电化教</w:t>
      </w:r>
      <w:r>
        <w:rPr>
          <w:rFonts w:hint="eastAsia" w:ascii="仿宋_GB2312" w:hAnsi="仿宋_GB2312" w:eastAsia="仿宋_GB2312" w:cs="仿宋_GB2312"/>
          <w:sz w:val="32"/>
          <w:szCs w:val="32"/>
          <w:lang w:val="en-US" w:eastAsia="zh-CN"/>
        </w:rPr>
        <w:t>育中心</w:t>
      </w:r>
      <w:r>
        <w:rPr>
          <w:rFonts w:hint="eastAsia" w:ascii="仿宋_GB2312" w:hAnsi="仿宋_GB2312" w:eastAsia="仿宋_GB2312" w:cs="仿宋_GB2312"/>
          <w:sz w:val="32"/>
          <w:szCs w:val="32"/>
        </w:rPr>
        <w:t>2024年支出预算</w:t>
      </w:r>
      <w:r>
        <w:rPr>
          <w:rFonts w:hint="eastAsia" w:ascii="仿宋_GB2312" w:hAnsi="仿宋_GB2312" w:eastAsia="仿宋_GB2312" w:cs="仿宋_GB2312"/>
          <w:sz w:val="32"/>
          <w:szCs w:val="32"/>
          <w:lang w:val="en-US" w:eastAsia="zh-CN"/>
        </w:rPr>
        <w:t>351.78</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316.78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8" w:name="_Toc18532"/>
      <w:r>
        <w:rPr>
          <w:rFonts w:hint="eastAsia" w:ascii="黑体" w:hAnsi="黑体" w:eastAsia="黑体" w:cs="黑体"/>
          <w:sz w:val="32"/>
          <w:szCs w:val="32"/>
        </w:rPr>
        <w:t>四、财政拨款收支预算情况说明</w:t>
      </w:r>
      <w:bookmarkEnd w:id="8"/>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b/>
          <w:bCs/>
          <w:sz w:val="32"/>
          <w:szCs w:val="32"/>
        </w:rPr>
      </w:pPr>
      <w:r>
        <w:rPr>
          <w:rFonts w:hint="eastAsia" w:ascii="仿宋_GB2312" w:hAnsi="仿宋_GB2312" w:eastAsia="仿宋_GB2312" w:cs="仿宋_GB2312"/>
          <w:sz w:val="32"/>
          <w:szCs w:val="32"/>
          <w:lang w:eastAsia="zh-CN"/>
        </w:rPr>
        <w:t>广元市教</w:t>
      </w:r>
      <w:r>
        <w:rPr>
          <w:rFonts w:hint="eastAsia" w:ascii="仿宋_GB2312" w:hAnsi="仿宋_GB2312" w:eastAsia="仿宋_GB2312" w:cs="仿宋_GB2312"/>
          <w:sz w:val="32"/>
          <w:szCs w:val="32"/>
          <w:lang w:val="en-US" w:eastAsia="zh-CN"/>
        </w:rPr>
        <w:t>育技术与电化教育中心</w:t>
      </w:r>
      <w:r>
        <w:rPr>
          <w:rFonts w:hint="eastAsia" w:ascii="仿宋_GB2312" w:hAnsi="仿宋_GB2312" w:eastAsia="仿宋_GB2312" w:cs="仿宋_GB2312"/>
          <w:sz w:val="32"/>
          <w:szCs w:val="32"/>
        </w:rPr>
        <w:t>2024年财政拨款收支预算总数</w:t>
      </w:r>
      <w:r>
        <w:rPr>
          <w:rFonts w:hint="eastAsia" w:ascii="仿宋_GB2312" w:hAnsi="仿宋_GB2312" w:eastAsia="仿宋_GB2312" w:cs="仿宋_GB2312"/>
          <w:sz w:val="32"/>
          <w:szCs w:val="32"/>
          <w:lang w:val="en-US" w:eastAsia="zh-CN"/>
        </w:rPr>
        <w:t>343.78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比2023年财政拨款收支预算总数增加</w:t>
      </w:r>
      <w:r>
        <w:rPr>
          <w:rFonts w:hint="eastAsia"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rPr>
        <w:t>万元，主要</w:t>
      </w:r>
      <w:r>
        <w:rPr>
          <w:rFonts w:hint="eastAsia" w:ascii="仿宋_GB2312" w:hAnsi="仿宋_GB2312" w:eastAsia="仿宋_GB2312" w:cs="仿宋_GB2312"/>
          <w:sz w:val="32"/>
          <w:szCs w:val="32"/>
          <w:lang w:eastAsia="zh-CN"/>
        </w:rPr>
        <w:t>原因是年度考核奖纳入预算</w:t>
      </w:r>
      <w:r>
        <w:rPr>
          <w:rFonts w:hint="eastAsia" w:ascii="仿宋_GB2312" w:hAnsi="仿宋_GB2312" w:eastAsia="仿宋_GB2312" w:cs="仿宋_GB2312"/>
          <w:sz w:val="32"/>
          <w:szCs w:val="32"/>
          <w:lang w:val="en-US" w:eastAsia="zh-CN"/>
        </w:rPr>
        <w:t>和工资福利支出（薪级工资正常晋级）增加。</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w:t>
      </w:r>
      <w:r>
        <w:rPr>
          <w:rFonts w:hint="eastAsia" w:ascii="仿宋_GB2312" w:hAnsi="仿宋_GB2312" w:eastAsia="仿宋_GB2312" w:cs="仿宋_GB2312"/>
          <w:sz w:val="32"/>
          <w:szCs w:val="32"/>
          <w:lang w:val="en-US" w:eastAsia="zh-CN"/>
        </w:rPr>
        <w:t>343.78</w:t>
      </w:r>
      <w:r>
        <w:rPr>
          <w:rFonts w:hint="eastAsia" w:ascii="仿宋_GB2312" w:hAnsi="仿宋_GB2312" w:eastAsia="仿宋_GB2312" w:cs="仿宋_GB2312"/>
          <w:sz w:val="32"/>
          <w:szCs w:val="32"/>
        </w:rPr>
        <w:t>万元、支出包括：教育支出</w:t>
      </w:r>
      <w:r>
        <w:rPr>
          <w:rFonts w:hint="eastAsia" w:ascii="仿宋_GB2312" w:hAnsi="仿宋_GB2312" w:eastAsia="仿宋_GB2312" w:cs="仿宋_GB2312"/>
          <w:sz w:val="32"/>
          <w:szCs w:val="32"/>
          <w:lang w:val="en-US" w:eastAsia="zh-CN"/>
        </w:rPr>
        <w:t>276.82</w:t>
      </w:r>
      <w:r>
        <w:rPr>
          <w:rFonts w:hint="eastAsia" w:ascii="仿宋_GB2312" w:hAnsi="仿宋_GB2312" w:eastAsia="仿宋_GB2312" w:cs="仿宋_GB2312"/>
          <w:sz w:val="32"/>
          <w:szCs w:val="32"/>
        </w:rPr>
        <w:t>万元、社会保障和就业支出</w:t>
      </w:r>
      <w:r>
        <w:rPr>
          <w:rFonts w:hint="eastAsia" w:ascii="仿宋_GB2312" w:hAnsi="仿宋_GB2312" w:eastAsia="仿宋_GB2312" w:cs="仿宋_GB2312"/>
          <w:sz w:val="32"/>
          <w:szCs w:val="32"/>
          <w:lang w:val="en-US" w:eastAsia="zh-CN"/>
        </w:rPr>
        <w:t>31.32</w:t>
      </w:r>
      <w:r>
        <w:rPr>
          <w:rFonts w:hint="eastAsia" w:ascii="仿宋_GB2312" w:hAnsi="仿宋_GB2312" w:eastAsia="仿宋_GB2312" w:cs="仿宋_GB2312"/>
          <w:sz w:val="32"/>
          <w:szCs w:val="32"/>
        </w:rPr>
        <w:t>万元、卫生健康支出</w:t>
      </w:r>
      <w:r>
        <w:rPr>
          <w:rFonts w:hint="eastAsia" w:ascii="仿宋_GB2312" w:hAnsi="仿宋_GB2312" w:eastAsia="仿宋_GB2312" w:cs="仿宋_GB2312"/>
          <w:sz w:val="32"/>
          <w:szCs w:val="32"/>
          <w:lang w:val="en-US" w:eastAsia="zh-CN"/>
        </w:rPr>
        <w:t>10.29</w:t>
      </w:r>
      <w:r>
        <w:rPr>
          <w:rFonts w:hint="eastAsia" w:ascii="仿宋_GB2312" w:hAnsi="仿宋_GB2312" w:eastAsia="仿宋_GB2312" w:cs="仿宋_GB2312"/>
          <w:sz w:val="32"/>
          <w:szCs w:val="32"/>
        </w:rPr>
        <w:t>万元、住房保障支出</w:t>
      </w:r>
      <w:r>
        <w:rPr>
          <w:rFonts w:hint="eastAsia" w:ascii="仿宋_GB2312" w:hAnsi="仿宋_GB2312" w:eastAsia="仿宋_GB2312" w:cs="仿宋_GB2312"/>
          <w:sz w:val="32"/>
          <w:szCs w:val="32"/>
          <w:lang w:val="en-US" w:eastAsia="zh-CN"/>
        </w:rPr>
        <w:t>25.35</w:t>
      </w:r>
      <w:r>
        <w:rPr>
          <w:rFonts w:hint="eastAsia" w:ascii="仿宋_GB2312" w:hAnsi="仿宋_GB2312" w:eastAsia="仿宋_GB2312" w:cs="仿宋_GB2312"/>
          <w:sz w:val="32"/>
          <w:szCs w:val="32"/>
        </w:rPr>
        <w:t>万元。</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9" w:name="_Toc12208"/>
      <w:r>
        <w:rPr>
          <w:rFonts w:hint="eastAsia" w:ascii="黑体" w:hAnsi="黑体" w:eastAsia="黑体" w:cs="黑体"/>
          <w:sz w:val="32"/>
          <w:szCs w:val="32"/>
        </w:rPr>
        <w:t>五、一般公共预算当年拨款情况说明</w:t>
      </w:r>
      <w:bookmarkEnd w:id="9"/>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10" w:name="_Toc19157"/>
      <w:r>
        <w:rPr>
          <w:rFonts w:hint="eastAsia" w:ascii="楷体_GB2312" w:hAnsi="楷体_GB2312" w:eastAsia="楷体_GB2312" w:cs="楷体_GB2312"/>
          <w:sz w:val="32"/>
          <w:szCs w:val="32"/>
        </w:rPr>
        <w:t>（一）一般公共预算当年拨款规模变化情况</w:t>
      </w:r>
      <w:bookmarkEnd w:id="10"/>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b/>
          <w:bCs/>
          <w:sz w:val="32"/>
          <w:szCs w:val="32"/>
        </w:rPr>
      </w:pPr>
      <w:r>
        <w:rPr>
          <w:rFonts w:hint="eastAsia" w:ascii="仿宋_GB2312" w:hAnsi="仿宋_GB2312" w:eastAsia="仿宋_GB2312" w:cs="仿宋_GB2312"/>
          <w:sz w:val="32"/>
          <w:szCs w:val="32"/>
          <w:lang w:eastAsia="zh-CN"/>
        </w:rPr>
        <w:t>广元市教育技术与电化教育中心</w:t>
      </w:r>
      <w:r>
        <w:rPr>
          <w:rFonts w:hint="eastAsia" w:ascii="仿宋_GB2312" w:hAnsi="仿宋_GB2312" w:eastAsia="仿宋_GB2312" w:cs="仿宋_GB2312"/>
          <w:sz w:val="32"/>
          <w:szCs w:val="32"/>
        </w:rPr>
        <w:t>2024年一般公共预算当年拨款</w:t>
      </w:r>
      <w:r>
        <w:rPr>
          <w:rFonts w:hint="eastAsia" w:ascii="仿宋_GB2312" w:hAnsi="仿宋_GB2312" w:eastAsia="仿宋_GB2312" w:cs="仿宋_GB2312"/>
          <w:sz w:val="32"/>
          <w:szCs w:val="32"/>
          <w:lang w:val="en-US" w:eastAsia="zh-CN"/>
        </w:rPr>
        <w:t>343.78</w:t>
      </w:r>
      <w:r>
        <w:rPr>
          <w:rFonts w:hint="eastAsia" w:ascii="仿宋_GB2312" w:hAnsi="仿宋_GB2312" w:eastAsia="仿宋_GB2312" w:cs="仿宋_GB2312"/>
          <w:sz w:val="32"/>
          <w:szCs w:val="32"/>
        </w:rPr>
        <w:t>万元，比2023年预算数增加</w:t>
      </w:r>
      <w:r>
        <w:rPr>
          <w:rFonts w:hint="eastAsia"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rPr>
        <w:t>万元，主要</w:t>
      </w:r>
      <w:r>
        <w:rPr>
          <w:rFonts w:hint="eastAsia" w:ascii="仿宋_GB2312" w:hAnsi="仿宋_GB2312" w:eastAsia="仿宋_GB2312" w:cs="仿宋_GB2312"/>
          <w:sz w:val="32"/>
          <w:szCs w:val="32"/>
          <w:lang w:eastAsia="zh-CN"/>
        </w:rPr>
        <w:t>原因是年度考核奖纳入预算</w:t>
      </w:r>
      <w:r>
        <w:rPr>
          <w:rFonts w:hint="eastAsia" w:ascii="仿宋_GB2312" w:hAnsi="仿宋_GB2312" w:eastAsia="仿宋_GB2312" w:cs="仿宋_GB2312"/>
          <w:sz w:val="32"/>
          <w:szCs w:val="32"/>
          <w:lang w:val="en-US" w:eastAsia="zh-CN"/>
        </w:rPr>
        <w:t>和工资福利支出（薪级工资正常晋级）增加。</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11" w:name="_Toc23224"/>
      <w:r>
        <w:rPr>
          <w:rFonts w:hint="eastAsia" w:ascii="楷体_GB2312" w:hAnsi="楷体_GB2312" w:eastAsia="楷体_GB2312" w:cs="楷体_GB2312"/>
          <w:sz w:val="32"/>
          <w:szCs w:val="32"/>
        </w:rPr>
        <w:t>（二）一般公共预算当年拨款结构情况</w:t>
      </w:r>
      <w:bookmarkEnd w:id="11"/>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276.82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80.5</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val="en-US" w:eastAsia="zh-CN"/>
        </w:rPr>
        <w:t>31.32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10.29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%；住房保障支出</w:t>
      </w:r>
      <w:r>
        <w:rPr>
          <w:rFonts w:hint="eastAsia" w:ascii="仿宋_GB2312" w:hAnsi="仿宋_GB2312" w:eastAsia="仿宋_GB2312" w:cs="仿宋_GB2312"/>
          <w:sz w:val="32"/>
          <w:szCs w:val="32"/>
          <w:lang w:val="en-US" w:eastAsia="zh-CN"/>
        </w:rPr>
        <w:t>25.35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12" w:name="_Toc18891"/>
      <w:r>
        <w:rPr>
          <w:rFonts w:hint="eastAsia" w:ascii="楷体_GB2312" w:hAnsi="楷体_GB2312" w:eastAsia="楷体_GB2312" w:cs="楷体_GB2312"/>
          <w:sz w:val="32"/>
          <w:szCs w:val="32"/>
        </w:rPr>
        <w:t>（三）一般公共预算当年拨款具体使用情况</w:t>
      </w:r>
      <w:bookmarkEnd w:id="12"/>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教</w:t>
      </w:r>
      <w:r>
        <w:rPr>
          <w:rFonts w:hint="eastAsia" w:ascii="仿宋_GB2312" w:hAnsi="仿宋_GB2312" w:eastAsia="仿宋_GB2312" w:cs="仿宋_GB2312"/>
          <w:sz w:val="32"/>
          <w:szCs w:val="32"/>
          <w:lang w:val="en-US" w:eastAsia="zh-CN"/>
        </w:rPr>
        <w:t>育支出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教育管理事务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其他教</w:t>
      </w:r>
      <w:r>
        <w:rPr>
          <w:rFonts w:hint="eastAsia" w:ascii="仿宋_GB2312" w:hAnsi="仿宋_GB2312" w:eastAsia="仿宋_GB2312" w:cs="仿宋_GB2312"/>
          <w:sz w:val="32"/>
          <w:szCs w:val="32"/>
          <w:lang w:val="en-US" w:eastAsia="zh-CN"/>
        </w:rPr>
        <w:t>育管理事务支出</w:t>
      </w:r>
      <w:r>
        <w:rPr>
          <w:rFonts w:hint="eastAsia" w:ascii="仿宋_GB2312" w:hAnsi="仿宋_GB2312" w:eastAsia="仿宋_GB2312" w:cs="仿宋_GB2312"/>
          <w:sz w:val="32"/>
          <w:szCs w:val="32"/>
        </w:rPr>
        <w:t>（项）2024年预算数为</w:t>
      </w:r>
      <w:r>
        <w:rPr>
          <w:rFonts w:hint="eastAsia" w:ascii="仿宋_GB2312" w:hAnsi="仿宋_GB2312" w:eastAsia="仿宋_GB2312" w:cs="仿宋_GB2312"/>
          <w:sz w:val="32"/>
          <w:szCs w:val="32"/>
          <w:lang w:val="en-US" w:eastAsia="zh-CN"/>
        </w:rPr>
        <w:t>276.82</w:t>
      </w:r>
      <w:r>
        <w:rPr>
          <w:rFonts w:hint="eastAsia" w:ascii="仿宋_GB2312" w:hAnsi="仿宋_GB2312" w:eastAsia="仿宋_GB2312" w:cs="仿宋_GB2312"/>
          <w:sz w:val="32"/>
          <w:szCs w:val="32"/>
        </w:rPr>
        <w:t>万元，主要用于：</w:t>
      </w:r>
      <w:r>
        <w:rPr>
          <w:rFonts w:hint="eastAsia" w:ascii="宋体" w:hAnsi="宋体" w:cs="仿宋_GB2312"/>
          <w:kern w:val="0"/>
          <w:sz w:val="28"/>
          <w:szCs w:val="28"/>
          <w:lang w:eastAsia="zh-Hans"/>
        </w:rPr>
        <w:t>单位工资奖金津补贴、其他工资福利支出、商品和服务支出、对个人和家庭补助。</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.社会保障和就业（类）</w:t>
      </w:r>
      <w:r>
        <w:rPr>
          <w:rFonts w:hint="eastAsia" w:ascii="仿宋_GB2312" w:hAnsi="仿宋_GB2312" w:eastAsia="仿宋_GB2312" w:cs="仿宋_GB2312"/>
          <w:sz w:val="32"/>
          <w:szCs w:val="32"/>
          <w:lang w:eastAsia="zh-CN"/>
        </w:rPr>
        <w:t>其他社会保障和就业</w:t>
      </w:r>
      <w:r>
        <w:rPr>
          <w:rFonts w:hint="eastAsia" w:ascii="仿宋_GB2312" w:hAnsi="仿宋_GB2312" w:eastAsia="仿宋_GB2312" w:cs="仿宋_GB2312"/>
          <w:sz w:val="32"/>
          <w:szCs w:val="32"/>
        </w:rPr>
        <w:t>支出（款）</w:t>
      </w:r>
      <w:r>
        <w:rPr>
          <w:rFonts w:hint="eastAsia" w:ascii="仿宋_GB2312" w:hAnsi="仿宋_GB2312" w:eastAsia="仿宋_GB2312" w:cs="仿宋_GB2312"/>
          <w:sz w:val="32"/>
          <w:szCs w:val="32"/>
          <w:lang w:eastAsia="zh-CN"/>
        </w:rPr>
        <w:t>其他社会保障和就业支出</w:t>
      </w:r>
      <w:r>
        <w:rPr>
          <w:rFonts w:hint="eastAsia" w:ascii="仿宋_GB2312" w:hAnsi="仿宋_GB2312" w:eastAsia="仿宋_GB2312" w:cs="仿宋_GB2312"/>
          <w:sz w:val="32"/>
          <w:szCs w:val="32"/>
        </w:rPr>
        <w:t>（项）2024年预算数为</w:t>
      </w:r>
      <w:r>
        <w:rPr>
          <w:rFonts w:hint="eastAsia" w:ascii="仿宋_GB2312" w:hAnsi="仿宋_GB2312" w:eastAsia="仿宋_GB2312" w:cs="仿宋_GB2312"/>
          <w:sz w:val="32"/>
          <w:szCs w:val="32"/>
          <w:lang w:val="en-US" w:eastAsia="zh-CN"/>
        </w:rPr>
        <w:t>1.04</w:t>
      </w:r>
      <w:r>
        <w:rPr>
          <w:rFonts w:hint="eastAsia" w:ascii="仿宋_GB2312" w:hAnsi="仿宋_GB2312" w:eastAsia="仿宋_GB2312" w:cs="仿宋_GB2312"/>
          <w:sz w:val="32"/>
          <w:szCs w:val="32"/>
        </w:rPr>
        <w:t>万元，主要用于：部门下属事业单位离退休人员经费支出。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.社会保障和就业（类）行政事业单位养老支出（款）机关事业单位基本养老保险缴费支出（项）2024年预算数为</w:t>
      </w:r>
      <w:r>
        <w:rPr>
          <w:rFonts w:hint="eastAsia" w:ascii="仿宋_GB2312" w:hAnsi="仿宋_GB2312" w:eastAsia="仿宋_GB2312" w:cs="仿宋_GB2312"/>
          <w:sz w:val="32"/>
          <w:szCs w:val="32"/>
          <w:lang w:val="en-US" w:eastAsia="zh-CN"/>
        </w:rPr>
        <w:t>30.27</w:t>
      </w:r>
      <w:r>
        <w:rPr>
          <w:rFonts w:hint="eastAsia" w:ascii="仿宋_GB2312" w:hAnsi="仿宋_GB2312" w:eastAsia="仿宋_GB2312" w:cs="仿宋_GB2312"/>
          <w:sz w:val="32"/>
          <w:szCs w:val="32"/>
        </w:rPr>
        <w:t>万元，主要用于：实施养老保险制度由单位缴纳的基本养老保险支出。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.卫生健康（类）行政事业单位医疗（款）事业单位医疗（项）2024年预算数为</w:t>
      </w:r>
      <w:r>
        <w:rPr>
          <w:rFonts w:hint="eastAsia" w:ascii="仿宋_GB2312" w:hAnsi="仿宋_GB2312" w:eastAsia="仿宋_GB2312" w:cs="仿宋_GB2312"/>
          <w:sz w:val="32"/>
          <w:szCs w:val="32"/>
          <w:lang w:val="en-US" w:eastAsia="zh-CN"/>
        </w:rPr>
        <w:t>10.29</w:t>
      </w:r>
      <w:r>
        <w:rPr>
          <w:rFonts w:hint="eastAsia" w:ascii="仿宋_GB2312" w:hAnsi="仿宋_GB2312" w:eastAsia="仿宋_GB2312" w:cs="仿宋_GB2312"/>
          <w:sz w:val="32"/>
          <w:szCs w:val="32"/>
        </w:rPr>
        <w:t>万元，主要用于：事业单位按规定由单位缴纳的基本医疗保险支出。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.住房保障（类）住房改革支出（款）住房公积金（项）2024年预算数为</w:t>
      </w:r>
      <w:r>
        <w:rPr>
          <w:rFonts w:hint="eastAsia" w:ascii="仿宋_GB2312" w:hAnsi="仿宋_GB2312" w:eastAsia="仿宋_GB2312" w:cs="仿宋_GB2312"/>
          <w:sz w:val="32"/>
          <w:szCs w:val="32"/>
          <w:lang w:val="en-US" w:eastAsia="zh-CN"/>
        </w:rPr>
        <w:t>25.35</w:t>
      </w:r>
      <w:r>
        <w:rPr>
          <w:rFonts w:hint="eastAsia" w:ascii="仿宋_GB2312" w:hAnsi="仿宋_GB2312" w:eastAsia="仿宋_GB2312" w:cs="仿宋_GB2312"/>
          <w:sz w:val="32"/>
          <w:szCs w:val="32"/>
        </w:rPr>
        <w:t>万元，主要用于：部门按规定为职工缴纳的住房公积金支出。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13" w:name="_Toc6221"/>
      <w:r>
        <w:rPr>
          <w:rFonts w:hint="eastAsia" w:ascii="黑体" w:hAnsi="黑体" w:eastAsia="黑体" w:cs="黑体"/>
          <w:sz w:val="32"/>
          <w:szCs w:val="32"/>
        </w:rPr>
        <w:t>六、一般公共预算基本支出情况说明</w:t>
      </w:r>
      <w:bookmarkEnd w:id="13"/>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广元市教</w:t>
      </w:r>
      <w:r>
        <w:rPr>
          <w:rFonts w:hint="eastAsia" w:ascii="仿宋_GB2312" w:hAnsi="仿宋_GB2312" w:eastAsia="仿宋_GB2312" w:cs="仿宋_GB2312"/>
          <w:sz w:val="32"/>
          <w:szCs w:val="32"/>
          <w:lang w:val="en-US" w:eastAsia="zh-CN"/>
        </w:rPr>
        <w:t>育技术与电化教育中心</w:t>
      </w:r>
      <w:r>
        <w:rPr>
          <w:rFonts w:hint="eastAsia" w:ascii="仿宋_GB2312" w:hAnsi="仿宋_GB2312" w:eastAsia="仿宋_GB2312" w:cs="仿宋_GB2312"/>
          <w:sz w:val="32"/>
          <w:szCs w:val="32"/>
        </w:rPr>
        <w:t>2024年一般公共预算基本支出</w:t>
      </w:r>
      <w:r>
        <w:rPr>
          <w:rFonts w:hint="eastAsia" w:ascii="仿宋_GB2312" w:hAnsi="仿宋_GB2312" w:eastAsia="仿宋_GB2312" w:cs="仿宋_GB2312"/>
          <w:sz w:val="32"/>
          <w:szCs w:val="32"/>
          <w:lang w:val="en-US" w:eastAsia="zh-CN"/>
        </w:rPr>
        <w:t>316.78</w:t>
      </w:r>
      <w:r>
        <w:rPr>
          <w:rFonts w:hint="eastAsia" w:ascii="仿宋_GB2312" w:hAnsi="仿宋_GB2312" w:eastAsia="仿宋_GB2312" w:cs="仿宋_GB2312"/>
          <w:sz w:val="32"/>
          <w:szCs w:val="32"/>
        </w:rPr>
        <w:t>万元，其中：</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sz w:val="32"/>
          <w:szCs w:val="32"/>
          <w:lang w:val="en-US" w:eastAsia="zh-CN"/>
        </w:rPr>
        <w:t>290.14</w:t>
      </w:r>
      <w:r>
        <w:rPr>
          <w:rFonts w:hint="eastAsia" w:ascii="仿宋_GB2312" w:hAnsi="仿宋_GB2312" w:eastAsia="仿宋_GB2312" w:cs="仿宋_GB2312"/>
          <w:sz w:val="32"/>
          <w:szCs w:val="32"/>
        </w:rPr>
        <w:t>万元，主要包括：基本工资、津贴补贴、奖金、绩效工资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机关事业单位基本养老保险缴费、职工基本医疗保险缴费、其他社会保障缴费、住房公积金、生活补助等支出。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26.63</w:t>
      </w:r>
      <w:r>
        <w:rPr>
          <w:rFonts w:hint="eastAsia" w:ascii="仿宋_GB2312" w:hAnsi="仿宋_GB2312" w:eastAsia="仿宋_GB2312" w:cs="仿宋_GB2312"/>
          <w:sz w:val="32"/>
          <w:szCs w:val="32"/>
        </w:rPr>
        <w:t>万元，主要包括：办公费、印刷费、水费、邮电费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差旅费、培训费、公务接待费、劳务费、工会经费、福利费、其他交通费用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14" w:name="_Toc12750"/>
      <w:r>
        <w:rPr>
          <w:rFonts w:hint="eastAsia" w:ascii="黑体" w:hAnsi="黑体" w:eastAsia="黑体" w:cs="黑体"/>
          <w:sz w:val="32"/>
          <w:szCs w:val="32"/>
        </w:rPr>
        <w:t>七、“三公”经费财政拨款预算安排情况说明</w:t>
      </w:r>
      <w:bookmarkEnd w:id="14"/>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广元市教</w:t>
      </w:r>
      <w:r>
        <w:rPr>
          <w:rFonts w:hint="eastAsia" w:ascii="仿宋_GB2312" w:hAnsi="仿宋_GB2312" w:eastAsia="仿宋_GB2312" w:cs="仿宋_GB2312"/>
          <w:sz w:val="32"/>
          <w:szCs w:val="32"/>
          <w:lang w:val="en-US" w:eastAsia="zh-CN"/>
        </w:rPr>
        <w:t>育技术与电化教育中心</w:t>
      </w:r>
      <w:r>
        <w:rPr>
          <w:rFonts w:hint="eastAsia" w:ascii="仿宋_GB2312" w:hAnsi="仿宋_GB2312" w:eastAsia="仿宋_GB2312" w:cs="仿宋_GB2312"/>
          <w:sz w:val="32"/>
          <w:szCs w:val="32"/>
        </w:rPr>
        <w:t>2024年“三公”经费财政拨款预算数</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万元，其中：公务接待费</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万元，公务用车购置及运行维护费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万元，因公出国（境）经费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15" w:name="_Toc3493"/>
      <w:r>
        <w:rPr>
          <w:rFonts w:hint="eastAsia" w:ascii="楷体_GB2312" w:hAnsi="楷体_GB2312" w:eastAsia="楷体_GB2312" w:cs="楷体_GB2312"/>
          <w:sz w:val="32"/>
          <w:szCs w:val="32"/>
        </w:rPr>
        <w:t>（一）公务接待费</w:t>
      </w:r>
      <w:bookmarkEnd w:id="15"/>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公务接待费与2023年预算相比持平，</w:t>
      </w:r>
      <w:r>
        <w:rPr>
          <w:rFonts w:hint="eastAsia" w:ascii="仿宋_GB2312" w:hAnsi="仿宋_GB2312" w:eastAsia="仿宋_GB2312" w:cs="仿宋_GB2312"/>
          <w:sz w:val="32"/>
          <w:szCs w:val="32"/>
          <w:lang w:eastAsia="zh-CN"/>
        </w:rPr>
        <w:t>预算金额均为</w:t>
      </w:r>
      <w:r>
        <w:rPr>
          <w:rFonts w:hint="eastAsia" w:ascii="仿宋_GB2312" w:hAnsi="仿宋_GB2312" w:eastAsia="仿宋_GB2312" w:cs="仿宋_GB2312"/>
          <w:sz w:val="32"/>
          <w:szCs w:val="32"/>
          <w:lang w:val="en-US" w:eastAsia="zh-CN"/>
        </w:rPr>
        <w:t>0.1万元。</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2024年公务接待费0.1万元，计划用于执行接待考察调研、检查指导等公务活动开支的交通费、住宿费、用餐费等。</w:t>
      </w:r>
    </w:p>
    <w:p>
      <w:pPr>
        <w:keepNext w:val="0"/>
        <w:keepLines w:val="0"/>
        <w:pageBreakBefore w:val="0"/>
        <w:numPr>
          <w:ilvl w:val="0"/>
          <w:numId w:val="2"/>
        </w:numPr>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16" w:name="_Toc6847"/>
      <w:r>
        <w:rPr>
          <w:rFonts w:hint="eastAsia" w:ascii="楷体_GB2312" w:hAnsi="楷体_GB2312" w:eastAsia="楷体_GB2312" w:cs="楷体_GB2312"/>
          <w:sz w:val="32"/>
          <w:szCs w:val="32"/>
        </w:rPr>
        <w:t>公务用车购置及运行维护费</w:t>
      </w:r>
      <w:bookmarkEnd w:id="16"/>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rPr>
        <w:t>公务用车购置及运行维护费与2023年预算持平</w:t>
      </w:r>
      <w:r>
        <w:rPr>
          <w:rFonts w:hint="eastAsia" w:ascii="仿宋_GB2312" w:hAnsi="仿宋_GB2312" w:eastAsia="仿宋_GB2312" w:cs="仿宋_GB2312"/>
          <w:sz w:val="32"/>
          <w:szCs w:val="32"/>
          <w:lang w:eastAsia="zh-CN"/>
        </w:rPr>
        <w:t>。</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b/>
          <w:bCs/>
          <w:sz w:val="32"/>
          <w:szCs w:val="32"/>
        </w:rPr>
      </w:pPr>
      <w:r>
        <w:rPr>
          <w:rFonts w:hint="eastAsia" w:ascii="仿宋_GB2312" w:hAnsi="仿宋_GB2312" w:eastAsia="仿宋_GB2312" w:cs="仿宋_GB2312"/>
          <w:sz w:val="32"/>
          <w:szCs w:val="32"/>
        </w:rPr>
        <w:t>单位现有公务用车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bookmarkStart w:id="17" w:name="_Toc1153"/>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7"/>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b/>
          <w:bCs/>
          <w:sz w:val="32"/>
          <w:szCs w:val="32"/>
        </w:rPr>
      </w:pPr>
      <w:r>
        <w:rPr>
          <w:rFonts w:hint="eastAsia" w:ascii="仿宋_GB2312" w:hAnsi="仿宋_GB2312" w:eastAsia="仿宋_GB2312" w:cs="仿宋_GB2312"/>
          <w:sz w:val="32"/>
          <w:szCs w:val="32"/>
        </w:rPr>
        <w:t>因公出国（境）经费与2023年预算相持平，未安排预算资金。</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18" w:name="_Toc31547"/>
      <w:r>
        <w:rPr>
          <w:rFonts w:hint="eastAsia" w:ascii="黑体" w:hAnsi="黑体" w:eastAsia="黑体" w:cs="黑体"/>
          <w:sz w:val="32"/>
          <w:szCs w:val="32"/>
        </w:rPr>
        <w:t>八、政府性基金预算支出情况说明</w:t>
      </w:r>
      <w:bookmarkEnd w:id="18"/>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单位2024年无政府性基金预算拨款安排的支出。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19" w:name="_Toc1405"/>
      <w:r>
        <w:rPr>
          <w:rFonts w:hint="eastAsia" w:ascii="黑体" w:hAnsi="黑体" w:eastAsia="黑体" w:cs="黑体"/>
          <w:sz w:val="32"/>
          <w:szCs w:val="32"/>
        </w:rPr>
        <w:t>九、国有资本经营预算支出情况说明</w:t>
      </w:r>
      <w:bookmarkEnd w:id="19"/>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单位2024年无国有资本经营预算拨款安排的支出。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20" w:name="_Toc15382"/>
      <w:r>
        <w:rPr>
          <w:rFonts w:hint="eastAsia" w:ascii="黑体" w:hAnsi="黑体" w:eastAsia="黑体" w:cs="黑体"/>
          <w:sz w:val="32"/>
          <w:szCs w:val="32"/>
        </w:rPr>
        <w:t>十、其他重要事项的情况说明</w:t>
      </w:r>
      <w:bookmarkEnd w:id="20"/>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21" w:name="_Toc30239"/>
      <w:r>
        <w:rPr>
          <w:rFonts w:hint="eastAsia" w:ascii="楷体_GB2312" w:hAnsi="楷体_GB2312" w:eastAsia="楷体_GB2312" w:cs="楷体_GB2312"/>
          <w:sz w:val="32"/>
          <w:szCs w:val="32"/>
        </w:rPr>
        <w:t>（一）机关运行经费</w:t>
      </w:r>
      <w:bookmarkEnd w:id="21"/>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广元市教育技术与电化教育中心为事业单位，按规定未使用机关运行的相关科目</w:t>
      </w:r>
      <w:r>
        <w:rPr>
          <w:rFonts w:hint="eastAsia" w:ascii="仿宋_GB2312" w:hAnsi="仿宋_GB2312" w:eastAsia="仿宋_GB2312" w:cs="仿宋_GB2312"/>
          <w:sz w:val="32"/>
          <w:szCs w:val="32"/>
        </w:rPr>
        <w:t>。</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22" w:name="_Toc21688"/>
      <w:r>
        <w:rPr>
          <w:rFonts w:hint="eastAsia" w:ascii="楷体_GB2312" w:hAnsi="楷体_GB2312" w:eastAsia="楷体_GB2312" w:cs="楷体_GB2312"/>
          <w:sz w:val="32"/>
          <w:szCs w:val="32"/>
        </w:rPr>
        <w:t>（二）政府采购情况</w:t>
      </w:r>
      <w:bookmarkEnd w:id="22"/>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单位安排政府采购预算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bookmarkStart w:id="23" w:name="_Toc24638"/>
      <w:r>
        <w:rPr>
          <w:rFonts w:hint="eastAsia" w:ascii="仿宋_GB2312" w:hAnsi="仿宋_GB2312" w:eastAsia="仿宋_GB2312" w:cs="仿宋_GB2312"/>
          <w:sz w:val="32"/>
          <w:szCs w:val="32"/>
          <w:lang w:eastAsia="zh-CN"/>
        </w:rPr>
        <w:t>。</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bookmarkEnd w:id="23"/>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w:t>
      </w:r>
      <w:r>
        <w:rPr>
          <w:rFonts w:hint="eastAsia" w:ascii="仿宋_GB2312" w:hAnsi="仿宋_GB2312" w:eastAsia="仿宋_GB2312" w:cs="仿宋_GB2312"/>
          <w:sz w:val="32"/>
          <w:szCs w:val="32"/>
          <w:lang w:eastAsia="zh-CN"/>
        </w:rPr>
        <w:t>广元市教</w:t>
      </w:r>
      <w:r>
        <w:rPr>
          <w:rFonts w:hint="eastAsia" w:ascii="仿宋_GB2312" w:hAnsi="仿宋_GB2312" w:eastAsia="仿宋_GB2312" w:cs="仿宋_GB2312"/>
          <w:sz w:val="32"/>
          <w:szCs w:val="32"/>
          <w:lang w:val="en-US" w:eastAsia="zh-CN"/>
        </w:rPr>
        <w:t>育技术与电化教育中心</w:t>
      </w:r>
      <w:r>
        <w:rPr>
          <w:rFonts w:hint="eastAsia" w:ascii="仿宋_GB2312" w:hAnsi="仿宋_GB2312" w:eastAsia="仿宋_GB2312" w:cs="仿宋_GB2312"/>
          <w:sz w:val="32"/>
          <w:szCs w:val="32"/>
        </w:rPr>
        <w:t>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辆。单位价值200万元以上大型设备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楷体_GB2312" w:hAnsi="楷体_GB2312" w:eastAsia="楷体_GB2312" w:cs="楷体_GB2312"/>
          <w:sz w:val="32"/>
          <w:szCs w:val="32"/>
        </w:rPr>
      </w:pPr>
      <w:bookmarkStart w:id="24" w:name="_Toc8038"/>
      <w:r>
        <w:rPr>
          <w:rFonts w:hint="eastAsia" w:ascii="楷体_GB2312" w:hAnsi="楷体_GB2312" w:eastAsia="楷体_GB2312" w:cs="楷体_GB2312"/>
          <w:sz w:val="32"/>
          <w:szCs w:val="32"/>
        </w:rPr>
        <w:t>（四）绩效目标设置情况</w:t>
      </w:r>
      <w:bookmarkEnd w:id="24"/>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eastAsia="zh-CN"/>
        </w:rPr>
        <w:t>广元市教</w:t>
      </w:r>
      <w:r>
        <w:rPr>
          <w:rFonts w:hint="eastAsia" w:ascii="仿宋_GB2312" w:hAnsi="仿宋_GB2312" w:eastAsia="仿宋_GB2312" w:cs="仿宋_GB2312"/>
          <w:sz w:val="32"/>
          <w:szCs w:val="32"/>
          <w:lang w:val="en-US" w:eastAsia="zh-CN"/>
        </w:rPr>
        <w:t>育技术与电化教育中心</w:t>
      </w:r>
      <w:r>
        <w:rPr>
          <w:rFonts w:hint="eastAsia" w:ascii="仿宋_GB2312" w:hAnsi="仿宋_GB2312" w:eastAsia="仿宋_GB2312" w:cs="仿宋_GB2312"/>
          <w:sz w:val="32"/>
          <w:szCs w:val="32"/>
        </w:rPr>
        <w:t>开展绩效目标管理的项目</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351.78</w:t>
      </w:r>
      <w:r>
        <w:rPr>
          <w:rFonts w:hint="eastAsia" w:ascii="仿宋_GB2312" w:hAnsi="仿宋_GB2312" w:eastAsia="仿宋_GB2312" w:cs="仿宋_GB2312"/>
          <w:sz w:val="32"/>
          <w:szCs w:val="32"/>
        </w:rPr>
        <w:t>万元。其中：人员类项目</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290.14</w:t>
      </w:r>
      <w:r>
        <w:rPr>
          <w:rFonts w:hint="eastAsia" w:ascii="仿宋_GB2312" w:hAnsi="仿宋_GB2312" w:eastAsia="仿宋_GB2312" w:cs="仿宋_GB2312"/>
          <w:sz w:val="32"/>
          <w:szCs w:val="32"/>
        </w:rPr>
        <w:t>万元；运转类项目</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26.64</w:t>
      </w:r>
      <w:r>
        <w:rPr>
          <w:rFonts w:hint="eastAsia" w:ascii="仿宋_GB2312" w:hAnsi="仿宋_GB2312" w:eastAsia="仿宋_GB2312" w:cs="仿宋_GB2312"/>
          <w:sz w:val="32"/>
          <w:szCs w:val="32"/>
        </w:rPr>
        <w:t>万元；特定目标类项目</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万元。</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ascii="黑体" w:hAnsi="黑体" w:eastAsia="黑体" w:cs="黑体"/>
          <w:sz w:val="32"/>
          <w:szCs w:val="32"/>
        </w:rPr>
      </w:pPr>
      <w:bookmarkStart w:id="25" w:name="_Toc30129"/>
      <w:r>
        <w:rPr>
          <w:rFonts w:hint="eastAsia" w:ascii="黑体" w:hAnsi="黑体" w:eastAsia="黑体" w:cs="黑体"/>
          <w:sz w:val="32"/>
          <w:szCs w:val="32"/>
        </w:rPr>
        <w:t>十一、名词解释</w:t>
      </w:r>
      <w:bookmarkEnd w:id="25"/>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指市财政当年安排的财政预算收入。按现行管理制度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部门预算中反映的财政拨款包括一般公共预算拨款和政府性基金预算拨款。</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（二）事业收入：指事业单位开展专业业务活动及辅助活动所取得的收入。主要为学校根据国家有关部门批准的项目和标准收取的学费、住宿费等（或医院收取的医疗收入）。</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教</w:t>
      </w:r>
      <w:r>
        <w:rPr>
          <w:rFonts w:hint="eastAsia" w:ascii="仿宋_GB2312" w:hAnsi="仿宋_GB2312" w:eastAsia="仿宋_GB2312" w:cs="仿宋_GB2312"/>
          <w:sz w:val="32"/>
          <w:szCs w:val="32"/>
          <w:lang w:val="en-US" w:eastAsia="zh-CN"/>
        </w:rPr>
        <w:t>育支出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教育管理事务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其他教</w:t>
      </w:r>
      <w:r>
        <w:rPr>
          <w:rFonts w:hint="eastAsia" w:ascii="仿宋_GB2312" w:hAnsi="仿宋_GB2312" w:eastAsia="仿宋_GB2312" w:cs="仿宋_GB2312"/>
          <w:sz w:val="32"/>
          <w:szCs w:val="32"/>
          <w:lang w:val="en-US" w:eastAsia="zh-CN"/>
        </w:rPr>
        <w:t>育管理事务支出</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单位用于保障机构正常运行、开展日常工作的基本支出。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）社会保障和就业（类）</w:t>
      </w:r>
      <w:r>
        <w:rPr>
          <w:rFonts w:hint="eastAsia" w:ascii="仿宋_GB2312" w:hAnsi="仿宋_GB2312" w:eastAsia="仿宋_GB2312" w:cs="仿宋_GB2312"/>
          <w:sz w:val="32"/>
          <w:szCs w:val="32"/>
          <w:lang w:eastAsia="zh-CN"/>
        </w:rPr>
        <w:t>其他社会保障和就业</w:t>
      </w:r>
      <w:r>
        <w:rPr>
          <w:rFonts w:hint="eastAsia" w:ascii="仿宋_GB2312" w:hAnsi="仿宋_GB2312" w:eastAsia="仿宋_GB2312" w:cs="仿宋_GB2312"/>
          <w:sz w:val="32"/>
          <w:szCs w:val="32"/>
        </w:rPr>
        <w:t>支出（款）</w:t>
      </w:r>
      <w:r>
        <w:rPr>
          <w:rFonts w:hint="eastAsia" w:ascii="仿宋_GB2312" w:hAnsi="仿宋_GB2312" w:eastAsia="仿宋_GB2312" w:cs="仿宋_GB2312"/>
          <w:sz w:val="32"/>
          <w:szCs w:val="32"/>
          <w:lang w:eastAsia="zh-CN"/>
        </w:rPr>
        <w:t>其他社会保障和就业支出</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其他社会保障和就业方面的支出</w:t>
      </w:r>
      <w:r>
        <w:rPr>
          <w:rFonts w:hint="eastAsia" w:ascii="仿宋_GB2312" w:hAnsi="仿宋_GB2312" w:eastAsia="仿宋_GB2312" w:cs="仿宋_GB2312"/>
          <w:sz w:val="32"/>
          <w:szCs w:val="32"/>
        </w:rPr>
        <w:t>。</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社会保障和就业（类）行政事业单位养老支出（款）机关事业单位基本养老保险缴费支出（项）：</w:t>
      </w:r>
      <w:r>
        <w:rPr>
          <w:rFonts w:hint="eastAsia" w:ascii="仿宋_GB2312" w:hAnsi="仿宋_GB2312" w:eastAsia="仿宋_GB2312" w:cs="仿宋_GB2312"/>
          <w:sz w:val="32"/>
          <w:szCs w:val="32"/>
          <w:lang w:eastAsia="zh-CN"/>
        </w:rPr>
        <w:t>指</w:t>
      </w:r>
      <w:r>
        <w:rPr>
          <w:rFonts w:hint="eastAsia" w:ascii="仿宋_GB2312" w:hAnsi="仿宋_GB2312" w:eastAsia="仿宋_GB2312" w:cs="仿宋_GB2312"/>
          <w:sz w:val="32"/>
          <w:szCs w:val="32"/>
        </w:rPr>
        <w:t>实施养老保险制度由</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单位缴纳的基本养老保险支出。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卫生健康（类）行政事业单位医疗（款）事业单位医疗（项）</w:t>
      </w:r>
      <w:r>
        <w:rPr>
          <w:rFonts w:hint="eastAsia" w:ascii="仿宋_GB2312" w:hAnsi="仿宋_GB2312" w:eastAsia="仿宋_GB2312" w:cs="仿宋_GB2312"/>
          <w:sz w:val="32"/>
          <w:szCs w:val="32"/>
          <w:lang w:eastAsia="zh-CN"/>
        </w:rPr>
        <w:t>指</w:t>
      </w:r>
      <w:r>
        <w:rPr>
          <w:rFonts w:hint="eastAsia" w:ascii="仿宋_GB2312" w:hAnsi="仿宋_GB2312" w:eastAsia="仿宋_GB2312" w:cs="仿宋_GB2312"/>
          <w:sz w:val="32"/>
          <w:szCs w:val="32"/>
        </w:rPr>
        <w:t>：事业单位按规定由单位缴纳的基本医疗保险支出。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住房保障（类）住房改革支出（款）住房公积金（项）</w:t>
      </w:r>
      <w:r>
        <w:rPr>
          <w:rFonts w:hint="eastAsia" w:ascii="仿宋_GB2312" w:hAnsi="仿宋_GB2312" w:eastAsia="仿宋_GB2312" w:cs="仿宋_GB2312"/>
          <w:sz w:val="32"/>
          <w:szCs w:val="32"/>
          <w:lang w:eastAsia="zh-CN"/>
        </w:rPr>
        <w:t>指</w:t>
      </w:r>
      <w:r>
        <w:rPr>
          <w:rFonts w:hint="eastAsia" w:ascii="仿宋_GB2312" w:hAnsi="仿宋_GB2312" w:eastAsia="仿宋_GB2312" w:cs="仿宋_GB2312"/>
          <w:sz w:val="32"/>
          <w:szCs w:val="32"/>
        </w:rPr>
        <w:t>：部门按规定为职工缴纳的住房公积金支出。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（八）基本支出：指为保证机构正常运转，完成日常工作任务而发生的人员支出和公用支出。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（九）项目支出：指在基本支出之外为完成特定行政任务和事业发展目标所发生的支出。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sz w:val="32"/>
          <w:szCs w:val="32"/>
        </w:rPr>
      </w:pPr>
    </w:p>
    <w:p>
      <w:pPr>
        <w:shd w:val="clea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预算公开表</w:t>
      </w:r>
    </w:p>
    <w:p>
      <w:pPr>
        <w:shd w:val="clear"/>
        <w:spacing w:line="576" w:lineRule="exact"/>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 xml:space="preserve">          部门项目支出绩效表</w:t>
      </w:r>
    </w:p>
    <w:p>
      <w:pPr>
        <w:shd w:val="clear"/>
        <w:spacing w:line="576" w:lineRule="exact"/>
        <w:ind w:firstLine="643" w:firstLineChars="200"/>
        <w:rPr>
          <w:rFonts w:ascii="仿宋_GB2312" w:hAnsi="仿宋_GB2312" w:eastAsia="仿宋_GB2312" w:cs="仿宋_GB2312"/>
          <w:b/>
          <w:bCs/>
          <w:sz w:val="32"/>
          <w:szCs w:val="32"/>
        </w:rPr>
      </w:pP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DD1C40-44EF-404F-87D9-FD3A708E60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embedRegular r:id="rId2" w:fontKey="{C5734018-2BCF-46C9-9F24-814A062A0566}"/>
  </w:font>
  <w:font w:name="楷体_GB2312">
    <w:panose1 w:val="02010609030101010101"/>
    <w:charset w:val="86"/>
    <w:family w:val="auto"/>
    <w:pitch w:val="default"/>
    <w:sig w:usb0="00000001" w:usb1="080E0000" w:usb2="00000000" w:usb3="00000000" w:csb0="00040000" w:csb1="00000000"/>
    <w:embedRegular r:id="rId3" w:fontKey="{3BF8989E-430A-4557-BEFF-41509E189BAC}"/>
  </w:font>
  <w:font w:name="仿宋_GB2312">
    <w:panose1 w:val="02010609030101010101"/>
    <w:charset w:val="86"/>
    <w:family w:val="modern"/>
    <w:pitch w:val="default"/>
    <w:sig w:usb0="00000001" w:usb1="080E0000" w:usb2="00000000" w:usb3="00000000" w:csb0="00040000" w:csb1="00000000"/>
    <w:embedRegular r:id="rId4" w:fontKey="{76895344-6BFE-46E5-8D28-3F4C4CBF439E}"/>
  </w:font>
  <w:font w:name="仿宋">
    <w:panose1 w:val="02010609060101010101"/>
    <w:charset w:val="86"/>
    <w:family w:val="modern"/>
    <w:pitch w:val="default"/>
    <w:sig w:usb0="800002BF" w:usb1="38CF7CFA" w:usb2="00000016" w:usb3="00000000" w:csb0="00040001" w:csb1="00000000"/>
    <w:embedRegular r:id="rId5" w:fontKey="{A58574B8-5CBF-4C4A-8D40-F8399BCACD1D}"/>
  </w:font>
  <w:font w:name="汉仪大黑简">
    <w:altName w:val="Times New Roman"/>
    <w:panose1 w:val="00000000000000000000"/>
    <w:charset w:val="00"/>
    <w:family w:val="auto"/>
    <w:pitch w:val="default"/>
    <w:sig w:usb0="00000000" w:usb1="00000000" w:usb2="00000000" w:usb3="00000000" w:csb0="00000000" w:csb1="00000000"/>
    <w:embedRegular r:id="rId6" w:fontKey="{42FA5B82-1292-4EBF-8D05-0433353B98B8}"/>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abstractNum w:abstractNumId="1">
    <w:nsid w:val="6618DC0C"/>
    <w:multiLevelType w:val="singleLevel"/>
    <w:tmpl w:val="6618DC0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bbda8e9d-731b-4191-a264-e9516edcf066"/>
  </w:docVars>
  <w:rsids>
    <w:rsidRoot w:val="00A40F78"/>
    <w:rsid w:val="002E214D"/>
    <w:rsid w:val="00A40F78"/>
    <w:rsid w:val="012352D1"/>
    <w:rsid w:val="039D7B38"/>
    <w:rsid w:val="0506170D"/>
    <w:rsid w:val="069F7723"/>
    <w:rsid w:val="07937AA3"/>
    <w:rsid w:val="07EB7905"/>
    <w:rsid w:val="07F8785C"/>
    <w:rsid w:val="095E1B17"/>
    <w:rsid w:val="0A1E3055"/>
    <w:rsid w:val="0A656ED5"/>
    <w:rsid w:val="0A726EFC"/>
    <w:rsid w:val="0BB7550F"/>
    <w:rsid w:val="0D80227E"/>
    <w:rsid w:val="0F712470"/>
    <w:rsid w:val="11B600F3"/>
    <w:rsid w:val="11DD37F5"/>
    <w:rsid w:val="12617F82"/>
    <w:rsid w:val="12CF313E"/>
    <w:rsid w:val="1424395D"/>
    <w:rsid w:val="14B437BF"/>
    <w:rsid w:val="14DF23F7"/>
    <w:rsid w:val="153876C0"/>
    <w:rsid w:val="15C01D86"/>
    <w:rsid w:val="17562080"/>
    <w:rsid w:val="19BB266E"/>
    <w:rsid w:val="1BDD2D6F"/>
    <w:rsid w:val="1D9F113A"/>
    <w:rsid w:val="1E5D1F46"/>
    <w:rsid w:val="1EA00084"/>
    <w:rsid w:val="1EDD3086"/>
    <w:rsid w:val="1EE91A2B"/>
    <w:rsid w:val="1F7BF06F"/>
    <w:rsid w:val="1FEE4B73"/>
    <w:rsid w:val="20AC0F62"/>
    <w:rsid w:val="20EE50D7"/>
    <w:rsid w:val="21F229A5"/>
    <w:rsid w:val="22284619"/>
    <w:rsid w:val="236B2A0F"/>
    <w:rsid w:val="237A5348"/>
    <w:rsid w:val="23CE9849"/>
    <w:rsid w:val="271D21E4"/>
    <w:rsid w:val="281F201A"/>
    <w:rsid w:val="287265EE"/>
    <w:rsid w:val="289538E0"/>
    <w:rsid w:val="28B210E0"/>
    <w:rsid w:val="28E05C4D"/>
    <w:rsid w:val="291122AA"/>
    <w:rsid w:val="29910CF5"/>
    <w:rsid w:val="2A540EE2"/>
    <w:rsid w:val="2B1A5101"/>
    <w:rsid w:val="2B520958"/>
    <w:rsid w:val="2B764647"/>
    <w:rsid w:val="2E291E44"/>
    <w:rsid w:val="2F467516"/>
    <w:rsid w:val="2FD35A48"/>
    <w:rsid w:val="30281C88"/>
    <w:rsid w:val="30E6069D"/>
    <w:rsid w:val="3260318F"/>
    <w:rsid w:val="33D95773"/>
    <w:rsid w:val="35BA7826"/>
    <w:rsid w:val="35EF5721"/>
    <w:rsid w:val="3727713D"/>
    <w:rsid w:val="372799D5"/>
    <w:rsid w:val="376D35E3"/>
    <w:rsid w:val="37F77C74"/>
    <w:rsid w:val="38C509BB"/>
    <w:rsid w:val="39F304DD"/>
    <w:rsid w:val="39F4641E"/>
    <w:rsid w:val="3B716BD9"/>
    <w:rsid w:val="3F4C14EF"/>
    <w:rsid w:val="40112738"/>
    <w:rsid w:val="428B1C5A"/>
    <w:rsid w:val="42C27D1A"/>
    <w:rsid w:val="42E12896"/>
    <w:rsid w:val="44550E45"/>
    <w:rsid w:val="45575091"/>
    <w:rsid w:val="461C0398"/>
    <w:rsid w:val="4654512D"/>
    <w:rsid w:val="466B0DF4"/>
    <w:rsid w:val="46E172CD"/>
    <w:rsid w:val="477A0BC3"/>
    <w:rsid w:val="47B64B33"/>
    <w:rsid w:val="47E10C42"/>
    <w:rsid w:val="492E435B"/>
    <w:rsid w:val="49A10689"/>
    <w:rsid w:val="4A471230"/>
    <w:rsid w:val="4B133808"/>
    <w:rsid w:val="4B2257F9"/>
    <w:rsid w:val="4B920BD1"/>
    <w:rsid w:val="4EE554BC"/>
    <w:rsid w:val="4F96757F"/>
    <w:rsid w:val="50324731"/>
    <w:rsid w:val="532F6D06"/>
    <w:rsid w:val="534327B1"/>
    <w:rsid w:val="537F7C8D"/>
    <w:rsid w:val="54244390"/>
    <w:rsid w:val="54662A63"/>
    <w:rsid w:val="55627866"/>
    <w:rsid w:val="570D735E"/>
    <w:rsid w:val="572428B3"/>
    <w:rsid w:val="58064E12"/>
    <w:rsid w:val="587868EA"/>
    <w:rsid w:val="59442A10"/>
    <w:rsid w:val="59D16D68"/>
    <w:rsid w:val="5A6A4AC7"/>
    <w:rsid w:val="5BA109BC"/>
    <w:rsid w:val="5BD6244F"/>
    <w:rsid w:val="5BFEE015"/>
    <w:rsid w:val="5C272C70"/>
    <w:rsid w:val="5C2C297C"/>
    <w:rsid w:val="5D5977A1"/>
    <w:rsid w:val="5DBB0226"/>
    <w:rsid w:val="5E23390B"/>
    <w:rsid w:val="5EE412EC"/>
    <w:rsid w:val="5FED2422"/>
    <w:rsid w:val="60CC028A"/>
    <w:rsid w:val="63EDCF55"/>
    <w:rsid w:val="63FBFBCF"/>
    <w:rsid w:val="64850E7B"/>
    <w:rsid w:val="6522491C"/>
    <w:rsid w:val="65516120"/>
    <w:rsid w:val="66291CDA"/>
    <w:rsid w:val="669360FD"/>
    <w:rsid w:val="675B2367"/>
    <w:rsid w:val="6780592A"/>
    <w:rsid w:val="67EE0AE5"/>
    <w:rsid w:val="688B2AD3"/>
    <w:rsid w:val="688E2782"/>
    <w:rsid w:val="68FF6A83"/>
    <w:rsid w:val="6A8A71EB"/>
    <w:rsid w:val="6AEF6005"/>
    <w:rsid w:val="6D934609"/>
    <w:rsid w:val="6E1868BC"/>
    <w:rsid w:val="6E3DB48E"/>
    <w:rsid w:val="6FBBC9CF"/>
    <w:rsid w:val="712C35EC"/>
    <w:rsid w:val="71315F57"/>
    <w:rsid w:val="71992A40"/>
    <w:rsid w:val="71C9436E"/>
    <w:rsid w:val="72BDE561"/>
    <w:rsid w:val="72BE534B"/>
    <w:rsid w:val="773724A9"/>
    <w:rsid w:val="78462278"/>
    <w:rsid w:val="7997EA6C"/>
    <w:rsid w:val="7AD93877"/>
    <w:rsid w:val="7AEAE675"/>
    <w:rsid w:val="7B8E4662"/>
    <w:rsid w:val="7BAFCE5D"/>
    <w:rsid w:val="7C8D4919"/>
    <w:rsid w:val="7D46598C"/>
    <w:rsid w:val="7D9F8F0F"/>
    <w:rsid w:val="7DFB240B"/>
    <w:rsid w:val="7DFE05E7"/>
    <w:rsid w:val="7E0935ED"/>
    <w:rsid w:val="7E0E3838"/>
    <w:rsid w:val="7E2D0162"/>
    <w:rsid w:val="7FCF2AF7"/>
    <w:rsid w:val="7FEB2083"/>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customStyle="1" w:styleId="13">
    <w:name w:val="正文缩进1"/>
    <w:basedOn w:val="1"/>
    <w:qFormat/>
    <w:uiPriority w:val="0"/>
    <w:pPr>
      <w:ind w:firstLine="420" w:firstLineChars="200"/>
    </w:pPr>
    <w:rPr>
      <w:rFonts w:ascii="Times New Roman" w:hAnsi="Times New Roman"/>
    </w:rPr>
  </w:style>
  <w:style w:type="paragraph" w:customStyle="1" w:styleId="14">
    <w:name w:val="称呼1"/>
    <w:basedOn w:val="1"/>
    <w:qFormat/>
    <w:uiPriority w:val="0"/>
  </w:style>
  <w:style w:type="paragraph" w:customStyle="1" w:styleId="15">
    <w:name w:val="WPSOffice手动目录 1"/>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4278</Words>
  <Characters>4543</Characters>
  <Lines>42</Lines>
  <Paragraphs>11</Paragraphs>
  <TotalTime>11</TotalTime>
  <ScaleCrop>false</ScaleCrop>
  <LinksUpToDate>false</LinksUpToDate>
  <CharactersWithSpaces>4626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2024-02-28T02:17:00Z</dcterms:created>
  <dc:creator>admin</dc:creator>
  <cp:lastModifiedBy>dell</cp:lastModifiedBy>
  <dcterms:modified xsi:type="dcterms:W3CDTF">2024-03-03T15:15:19Z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