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中国民主建国会广元市委员会</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shd w:val="clea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2"/>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2"/>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2"/>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2"/>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2"/>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2"/>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pStyle w:val="2"/>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rPr>
          <w:rFonts w:hint="eastAsia"/>
          <w:lang w:val="en-US" w:eastAsia="zh-CN"/>
        </w:rPr>
      </w:pPr>
    </w:p>
    <w:sdt>
      <w:sdtPr>
        <w:rPr>
          <w:rFonts w:ascii="宋体" w:hAnsi="宋体" w:eastAsia="宋体" w:cs="Times New Roman"/>
          <w:color w:val="auto"/>
          <w:kern w:val="2"/>
          <w:sz w:val="21"/>
          <w:szCs w:val="24"/>
          <w:lang w:val="en-US" w:eastAsia="zh-CN" w:bidi="ar-SA"/>
        </w:rPr>
        <w:id w:val="230254111"/>
        <w15:color w:val="DBDBDB"/>
        <w:docPartObj>
          <w:docPartGallery w:val="Table of Contents"/>
          <w:docPartUnique/>
        </w:docPartObj>
      </w:sdtPr>
      <w:sdtEndPr>
        <w:rPr>
          <w:rFonts w:ascii="宋体" w:hAnsi="宋体" w:eastAsia="宋体" w:cs="Times New Roman"/>
          <w:color w:val="auto"/>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bookmarkStart w:id="29" w:name="_GoBack"/>
          <w:r>
            <w:rPr>
              <w:rFonts w:ascii="宋体" w:hAnsi="宋体" w:eastAsia="宋体"/>
              <w:sz w:val="21"/>
            </w:rPr>
            <w:t>目录</w:t>
          </w:r>
        </w:p>
        <w:p>
          <w:pPr>
            <w:pStyle w:val="8"/>
            <w:tabs>
              <w:tab w:val="right" w:leader="dot" w:pos="8845"/>
            </w:tabs>
            <w:spacing w:line="300" w:lineRule="auto"/>
          </w:pPr>
          <w:r>
            <w:fldChar w:fldCharType="begin"/>
          </w:r>
          <w:r>
            <w:instrText xml:space="preserve">TOC \o "1-9" \h \u </w:instrText>
          </w:r>
          <w:r>
            <w:fldChar w:fldCharType="separate"/>
          </w:r>
        </w:p>
        <w:p>
          <w:pPr>
            <w:pStyle w:val="8"/>
            <w:tabs>
              <w:tab w:val="right" w:leader="dot" w:pos="8845"/>
            </w:tabs>
            <w:spacing w:line="300" w:lineRule="auto"/>
          </w:pPr>
          <w:r>
            <w:fldChar w:fldCharType="begin"/>
          </w:r>
          <w:r>
            <w:instrText xml:space="preserve"> HYPERLINK \l _Toc251879850 </w:instrText>
          </w:r>
          <w:r>
            <w:fldChar w:fldCharType="separate"/>
          </w:r>
          <w:r>
            <w:rPr>
              <w:rFonts w:hint="eastAsia" w:ascii="黑体" w:hAnsi="黑体" w:eastAsia="黑体" w:cs="黑体"/>
              <w:szCs w:val="32"/>
              <w:highlight w:val="none"/>
              <w:lang w:val="en-US" w:eastAsia="zh-CN"/>
            </w:rPr>
            <w:t>一、基本职能及主要工作</w:t>
          </w:r>
          <w:r>
            <w:tab/>
          </w:r>
          <w:r>
            <w:fldChar w:fldCharType="begin"/>
          </w:r>
          <w:r>
            <w:instrText xml:space="preserve"> PAGEREF _Toc251879850 \h </w:instrText>
          </w:r>
          <w:r>
            <w:fldChar w:fldCharType="separate"/>
          </w:r>
          <w:r>
            <w:t>3</w:t>
          </w:r>
          <w:r>
            <w:fldChar w:fldCharType="end"/>
          </w:r>
          <w:r>
            <w:fldChar w:fldCharType="end"/>
          </w:r>
        </w:p>
        <w:p>
          <w:pPr>
            <w:pStyle w:val="10"/>
            <w:tabs>
              <w:tab w:val="right" w:leader="dot" w:pos="8845"/>
            </w:tabs>
            <w:spacing w:line="300" w:lineRule="auto"/>
          </w:pPr>
          <w:r>
            <w:fldChar w:fldCharType="begin"/>
          </w:r>
          <w:r>
            <w:instrText xml:space="preserve"> HYPERLINK \l _Toc2056833083 </w:instrText>
          </w:r>
          <w:r>
            <w:fldChar w:fldCharType="separate"/>
          </w:r>
          <w:r>
            <w:rPr>
              <w:rFonts w:hint="eastAsia" w:ascii="仿宋" w:hAnsi="仿宋" w:eastAsia="仿宋" w:cs="仿宋"/>
              <w:i w:val="0"/>
              <w:iCs w:val="0"/>
              <w:caps w:val="0"/>
              <w:spacing w:val="0"/>
              <w:szCs w:val="32"/>
              <w:highlight w:val="none"/>
            </w:rPr>
            <w:t>（一）民建广元市委职能简介。</w:t>
          </w:r>
          <w:r>
            <w:tab/>
          </w:r>
          <w:r>
            <w:fldChar w:fldCharType="begin"/>
          </w:r>
          <w:r>
            <w:instrText xml:space="preserve"> PAGEREF _Toc2056833083 \h </w:instrText>
          </w:r>
          <w:r>
            <w:fldChar w:fldCharType="separate"/>
          </w:r>
          <w:r>
            <w:t>3</w:t>
          </w:r>
          <w:r>
            <w:fldChar w:fldCharType="end"/>
          </w:r>
          <w:r>
            <w:fldChar w:fldCharType="end"/>
          </w:r>
        </w:p>
        <w:p>
          <w:pPr>
            <w:pStyle w:val="10"/>
            <w:tabs>
              <w:tab w:val="right" w:leader="dot" w:pos="8845"/>
            </w:tabs>
            <w:spacing w:line="300" w:lineRule="auto"/>
          </w:pPr>
          <w:r>
            <w:fldChar w:fldCharType="begin"/>
          </w:r>
          <w:r>
            <w:instrText xml:space="preserve"> HYPERLINK \l _Toc1249712476 </w:instrText>
          </w:r>
          <w:r>
            <w:fldChar w:fldCharType="separate"/>
          </w:r>
          <w:r>
            <w:rPr>
              <w:rFonts w:hint="eastAsia" w:ascii="仿宋" w:hAnsi="仿宋" w:eastAsia="仿宋" w:cs="仿宋"/>
              <w:i w:val="0"/>
              <w:iCs w:val="0"/>
              <w:caps w:val="0"/>
              <w:spacing w:val="0"/>
              <w:szCs w:val="32"/>
              <w:highlight w:val="none"/>
              <w:lang w:eastAsia="zh-CN"/>
            </w:rPr>
            <w:t>（二）</w:t>
          </w:r>
          <w:r>
            <w:rPr>
              <w:rFonts w:hint="eastAsia" w:ascii="仿宋" w:hAnsi="仿宋" w:eastAsia="仿宋" w:cs="仿宋"/>
              <w:i w:val="0"/>
              <w:iCs w:val="0"/>
              <w:caps w:val="0"/>
              <w:spacing w:val="0"/>
              <w:szCs w:val="32"/>
              <w:highlight w:val="none"/>
            </w:rPr>
            <w:t>民建广元市委202</w:t>
          </w:r>
          <w:r>
            <w:rPr>
              <w:rFonts w:hint="eastAsia" w:ascii="仿宋" w:hAnsi="仿宋" w:eastAsia="仿宋" w:cs="仿宋"/>
              <w:i w:val="0"/>
              <w:iCs w:val="0"/>
              <w:caps w:val="0"/>
              <w:spacing w:val="0"/>
              <w:szCs w:val="32"/>
              <w:highlight w:val="none"/>
              <w:lang w:val="en-US" w:eastAsia="zh-CN"/>
            </w:rPr>
            <w:t>4</w:t>
          </w:r>
          <w:r>
            <w:rPr>
              <w:rFonts w:hint="eastAsia" w:ascii="仿宋" w:hAnsi="仿宋" w:eastAsia="仿宋" w:cs="仿宋"/>
              <w:i w:val="0"/>
              <w:iCs w:val="0"/>
              <w:caps w:val="0"/>
              <w:spacing w:val="0"/>
              <w:szCs w:val="32"/>
              <w:highlight w:val="none"/>
            </w:rPr>
            <w:t>年重点工作</w:t>
          </w:r>
          <w:r>
            <w:tab/>
          </w:r>
          <w:r>
            <w:fldChar w:fldCharType="begin"/>
          </w:r>
          <w:r>
            <w:instrText xml:space="preserve"> PAGEREF _Toc1249712476 \h </w:instrText>
          </w:r>
          <w:r>
            <w:fldChar w:fldCharType="separate"/>
          </w:r>
          <w:r>
            <w:t>3</w:t>
          </w:r>
          <w:r>
            <w:fldChar w:fldCharType="end"/>
          </w:r>
          <w:r>
            <w:fldChar w:fldCharType="end"/>
          </w:r>
        </w:p>
        <w:p>
          <w:pPr>
            <w:pStyle w:val="8"/>
            <w:tabs>
              <w:tab w:val="right" w:leader="dot" w:pos="8845"/>
            </w:tabs>
            <w:spacing w:line="300" w:lineRule="auto"/>
          </w:pPr>
          <w:r>
            <w:fldChar w:fldCharType="begin"/>
          </w:r>
          <w:r>
            <w:instrText xml:space="preserve"> HYPERLINK \l _Toc1335334651 </w:instrText>
          </w:r>
          <w:r>
            <w:fldChar w:fldCharType="separate"/>
          </w:r>
          <w:r>
            <w:rPr>
              <w:rFonts w:hint="eastAsia" w:ascii="黑体" w:hAnsi="黑体" w:eastAsia="黑体" w:cs="黑体"/>
              <w:szCs w:val="32"/>
              <w:highlight w:val="none"/>
              <w:lang w:val="en-US" w:eastAsia="zh-CN"/>
            </w:rPr>
            <w:t>二、部门预算单位构成</w:t>
          </w:r>
          <w:r>
            <w:tab/>
          </w:r>
          <w:r>
            <w:fldChar w:fldCharType="begin"/>
          </w:r>
          <w:r>
            <w:instrText xml:space="preserve"> PAGEREF _Toc1335334651 \h </w:instrText>
          </w:r>
          <w:r>
            <w:fldChar w:fldCharType="separate"/>
          </w:r>
          <w:r>
            <w:t>5</w:t>
          </w:r>
          <w:r>
            <w:fldChar w:fldCharType="end"/>
          </w:r>
          <w:r>
            <w:fldChar w:fldCharType="end"/>
          </w:r>
        </w:p>
        <w:p>
          <w:pPr>
            <w:pStyle w:val="8"/>
            <w:tabs>
              <w:tab w:val="right" w:leader="dot" w:pos="8845"/>
            </w:tabs>
            <w:spacing w:line="300" w:lineRule="auto"/>
          </w:pPr>
          <w:r>
            <w:fldChar w:fldCharType="begin"/>
          </w:r>
          <w:r>
            <w:instrText xml:space="preserve"> HYPERLINK \l _Toc983109245 </w:instrText>
          </w:r>
          <w:r>
            <w:fldChar w:fldCharType="separate"/>
          </w:r>
          <w:r>
            <w:rPr>
              <w:rFonts w:hint="eastAsia" w:ascii="黑体" w:hAnsi="黑体" w:eastAsia="黑体" w:cs="黑体"/>
              <w:szCs w:val="32"/>
              <w:highlight w:val="none"/>
              <w:lang w:val="en-US" w:eastAsia="zh-CN"/>
            </w:rPr>
            <w:t>三、收支预算情况说明</w:t>
          </w:r>
          <w:r>
            <w:tab/>
          </w:r>
          <w:r>
            <w:fldChar w:fldCharType="begin"/>
          </w:r>
          <w:r>
            <w:instrText xml:space="preserve"> PAGEREF _Toc983109245 \h </w:instrText>
          </w:r>
          <w:r>
            <w:fldChar w:fldCharType="separate"/>
          </w:r>
          <w:r>
            <w:t>5</w:t>
          </w:r>
          <w:r>
            <w:fldChar w:fldCharType="end"/>
          </w:r>
          <w:r>
            <w:fldChar w:fldCharType="end"/>
          </w:r>
        </w:p>
        <w:p>
          <w:pPr>
            <w:pStyle w:val="10"/>
            <w:tabs>
              <w:tab w:val="right" w:leader="dot" w:pos="8845"/>
            </w:tabs>
            <w:spacing w:line="300" w:lineRule="auto"/>
          </w:pPr>
          <w:r>
            <w:fldChar w:fldCharType="begin"/>
          </w:r>
          <w:r>
            <w:instrText xml:space="preserve"> HYPERLINK \l _Toc1123175157 </w:instrText>
          </w:r>
          <w:r>
            <w:fldChar w:fldCharType="separate"/>
          </w:r>
          <w:r>
            <w:rPr>
              <w:rFonts w:hint="eastAsia" w:ascii="仿宋" w:hAnsi="仿宋" w:eastAsia="仿宋" w:cs="仿宋"/>
              <w:i w:val="0"/>
              <w:iCs w:val="0"/>
              <w:caps w:val="0"/>
              <w:spacing w:val="0"/>
              <w:szCs w:val="32"/>
              <w:highlight w:val="none"/>
              <w:lang w:val="en-US" w:eastAsia="zh-CN"/>
            </w:rPr>
            <w:t>（一）收入预算情况</w:t>
          </w:r>
          <w:r>
            <w:tab/>
          </w:r>
          <w:r>
            <w:fldChar w:fldCharType="begin"/>
          </w:r>
          <w:r>
            <w:instrText xml:space="preserve"> PAGEREF _Toc1123175157 \h </w:instrText>
          </w:r>
          <w:r>
            <w:fldChar w:fldCharType="separate"/>
          </w:r>
          <w:r>
            <w:t>5</w:t>
          </w:r>
          <w:r>
            <w:fldChar w:fldCharType="end"/>
          </w:r>
          <w:r>
            <w:fldChar w:fldCharType="end"/>
          </w:r>
        </w:p>
        <w:p>
          <w:pPr>
            <w:pStyle w:val="10"/>
            <w:tabs>
              <w:tab w:val="right" w:leader="dot" w:pos="8845"/>
            </w:tabs>
            <w:spacing w:line="300" w:lineRule="auto"/>
          </w:pPr>
          <w:r>
            <w:fldChar w:fldCharType="begin"/>
          </w:r>
          <w:r>
            <w:instrText xml:space="preserve"> HYPERLINK \l _Toc181400745 </w:instrText>
          </w:r>
          <w:r>
            <w:fldChar w:fldCharType="separate"/>
          </w:r>
          <w:r>
            <w:rPr>
              <w:rFonts w:hint="eastAsia" w:ascii="仿宋" w:hAnsi="仿宋" w:eastAsia="仿宋" w:cs="仿宋"/>
              <w:i w:val="0"/>
              <w:iCs w:val="0"/>
              <w:caps w:val="0"/>
              <w:spacing w:val="0"/>
              <w:szCs w:val="32"/>
              <w:highlight w:val="none"/>
              <w:lang w:val="en-US" w:eastAsia="zh-CN"/>
            </w:rPr>
            <w:t>（二）支出预算情况</w:t>
          </w:r>
          <w:r>
            <w:tab/>
          </w:r>
          <w:r>
            <w:fldChar w:fldCharType="begin"/>
          </w:r>
          <w:r>
            <w:instrText xml:space="preserve"> PAGEREF _Toc181400745 \h </w:instrText>
          </w:r>
          <w:r>
            <w:fldChar w:fldCharType="separate"/>
          </w:r>
          <w:r>
            <w:t>6</w:t>
          </w:r>
          <w:r>
            <w:fldChar w:fldCharType="end"/>
          </w:r>
          <w:r>
            <w:fldChar w:fldCharType="end"/>
          </w:r>
        </w:p>
        <w:p>
          <w:pPr>
            <w:pStyle w:val="8"/>
            <w:tabs>
              <w:tab w:val="right" w:leader="dot" w:pos="8845"/>
            </w:tabs>
            <w:spacing w:line="300" w:lineRule="auto"/>
          </w:pPr>
          <w:r>
            <w:fldChar w:fldCharType="begin"/>
          </w:r>
          <w:r>
            <w:instrText xml:space="preserve"> HYPERLINK \l _Toc1139834454 </w:instrText>
          </w:r>
          <w:r>
            <w:fldChar w:fldCharType="separate"/>
          </w:r>
          <w:r>
            <w:rPr>
              <w:rFonts w:hint="eastAsia" w:ascii="黑体" w:hAnsi="黑体" w:eastAsia="黑体" w:cs="黑体"/>
              <w:szCs w:val="32"/>
              <w:highlight w:val="none"/>
              <w:lang w:val="en-US" w:eastAsia="zh-CN"/>
            </w:rPr>
            <w:t>四、财政拨款收支预算情况说明</w:t>
          </w:r>
          <w:r>
            <w:tab/>
          </w:r>
          <w:r>
            <w:fldChar w:fldCharType="begin"/>
          </w:r>
          <w:r>
            <w:instrText xml:space="preserve"> PAGEREF _Toc1139834454 \h </w:instrText>
          </w:r>
          <w:r>
            <w:fldChar w:fldCharType="separate"/>
          </w:r>
          <w:r>
            <w:t>6</w:t>
          </w:r>
          <w:r>
            <w:fldChar w:fldCharType="end"/>
          </w:r>
          <w:r>
            <w:fldChar w:fldCharType="end"/>
          </w:r>
        </w:p>
        <w:p>
          <w:pPr>
            <w:pStyle w:val="8"/>
            <w:tabs>
              <w:tab w:val="right" w:leader="dot" w:pos="8845"/>
            </w:tabs>
            <w:spacing w:line="300" w:lineRule="auto"/>
          </w:pPr>
          <w:r>
            <w:fldChar w:fldCharType="begin"/>
          </w:r>
          <w:r>
            <w:instrText xml:space="preserve"> HYPERLINK \l _Toc1292362784 </w:instrText>
          </w:r>
          <w:r>
            <w:fldChar w:fldCharType="separate"/>
          </w:r>
          <w:r>
            <w:rPr>
              <w:rFonts w:hint="eastAsia" w:ascii="黑体" w:hAnsi="黑体" w:eastAsia="黑体" w:cs="黑体"/>
              <w:szCs w:val="32"/>
              <w:highlight w:val="none"/>
              <w:lang w:val="en-US" w:eastAsia="zh-CN"/>
            </w:rPr>
            <w:t>五、一般公共预算当年拨款情况说明</w:t>
          </w:r>
          <w:r>
            <w:tab/>
          </w:r>
          <w:r>
            <w:fldChar w:fldCharType="begin"/>
          </w:r>
          <w:r>
            <w:instrText xml:space="preserve"> PAGEREF _Toc1292362784 \h </w:instrText>
          </w:r>
          <w:r>
            <w:fldChar w:fldCharType="separate"/>
          </w:r>
          <w:r>
            <w:t>6</w:t>
          </w:r>
          <w:r>
            <w:fldChar w:fldCharType="end"/>
          </w:r>
          <w:r>
            <w:fldChar w:fldCharType="end"/>
          </w:r>
        </w:p>
        <w:p>
          <w:pPr>
            <w:pStyle w:val="10"/>
            <w:tabs>
              <w:tab w:val="right" w:leader="dot" w:pos="8845"/>
            </w:tabs>
            <w:spacing w:line="300" w:lineRule="auto"/>
          </w:pPr>
          <w:r>
            <w:fldChar w:fldCharType="begin"/>
          </w:r>
          <w:r>
            <w:instrText xml:space="preserve"> HYPERLINK \l _Toc1506619242 </w:instrText>
          </w:r>
          <w:r>
            <w:fldChar w:fldCharType="separate"/>
          </w:r>
          <w:r>
            <w:rPr>
              <w:rFonts w:hint="eastAsia" w:ascii="仿宋" w:hAnsi="仿宋" w:eastAsia="仿宋" w:cs="仿宋"/>
              <w:i w:val="0"/>
              <w:iCs w:val="0"/>
              <w:caps w:val="0"/>
              <w:spacing w:val="0"/>
              <w:szCs w:val="32"/>
              <w:highlight w:val="none"/>
              <w:lang w:val="en-US" w:eastAsia="zh-CN"/>
            </w:rPr>
            <w:t>（一）一般公共预算当年拨款规模变化情况</w:t>
          </w:r>
          <w:r>
            <w:tab/>
          </w:r>
          <w:r>
            <w:fldChar w:fldCharType="begin"/>
          </w:r>
          <w:r>
            <w:instrText xml:space="preserve"> PAGEREF _Toc1506619242 \h </w:instrText>
          </w:r>
          <w:r>
            <w:fldChar w:fldCharType="separate"/>
          </w:r>
          <w:r>
            <w:t>6</w:t>
          </w:r>
          <w:r>
            <w:fldChar w:fldCharType="end"/>
          </w:r>
          <w:r>
            <w:fldChar w:fldCharType="end"/>
          </w:r>
        </w:p>
        <w:p>
          <w:pPr>
            <w:pStyle w:val="10"/>
            <w:tabs>
              <w:tab w:val="right" w:leader="dot" w:pos="8845"/>
            </w:tabs>
            <w:spacing w:line="300" w:lineRule="auto"/>
          </w:pPr>
          <w:r>
            <w:fldChar w:fldCharType="begin"/>
          </w:r>
          <w:r>
            <w:instrText xml:space="preserve"> HYPERLINK \l _Toc1850981759 </w:instrText>
          </w:r>
          <w:r>
            <w:fldChar w:fldCharType="separate"/>
          </w:r>
          <w:r>
            <w:rPr>
              <w:rFonts w:hint="eastAsia" w:ascii="仿宋" w:hAnsi="仿宋" w:eastAsia="仿宋" w:cs="仿宋"/>
              <w:i w:val="0"/>
              <w:iCs w:val="0"/>
              <w:caps w:val="0"/>
              <w:spacing w:val="0"/>
              <w:szCs w:val="32"/>
              <w:highlight w:val="none"/>
              <w:lang w:val="en-US" w:eastAsia="zh-CN"/>
            </w:rPr>
            <w:t>（二）一般公共预算当年拨款结构情况</w:t>
          </w:r>
          <w:r>
            <w:tab/>
          </w:r>
          <w:r>
            <w:fldChar w:fldCharType="begin"/>
          </w:r>
          <w:r>
            <w:instrText xml:space="preserve"> PAGEREF _Toc1850981759 \h </w:instrText>
          </w:r>
          <w:r>
            <w:fldChar w:fldCharType="separate"/>
          </w:r>
          <w:r>
            <w:t>6</w:t>
          </w:r>
          <w:r>
            <w:fldChar w:fldCharType="end"/>
          </w:r>
          <w:r>
            <w:fldChar w:fldCharType="end"/>
          </w:r>
        </w:p>
        <w:p>
          <w:pPr>
            <w:pStyle w:val="10"/>
            <w:tabs>
              <w:tab w:val="right" w:leader="dot" w:pos="8845"/>
            </w:tabs>
            <w:spacing w:line="300" w:lineRule="auto"/>
          </w:pPr>
          <w:r>
            <w:fldChar w:fldCharType="begin"/>
          </w:r>
          <w:r>
            <w:instrText xml:space="preserve"> HYPERLINK \l _Toc1887655009 </w:instrText>
          </w:r>
          <w:r>
            <w:fldChar w:fldCharType="separate"/>
          </w:r>
          <w:r>
            <w:rPr>
              <w:rFonts w:hint="eastAsia" w:ascii="仿宋" w:hAnsi="仿宋" w:eastAsia="仿宋" w:cs="仿宋"/>
              <w:i w:val="0"/>
              <w:iCs w:val="0"/>
              <w:caps w:val="0"/>
              <w:spacing w:val="0"/>
              <w:szCs w:val="32"/>
              <w:highlight w:val="none"/>
              <w:lang w:val="en-US" w:eastAsia="zh-CN"/>
            </w:rPr>
            <w:t>（三）一般公共预算当年拨款具体使用情况</w:t>
          </w:r>
          <w:r>
            <w:tab/>
          </w:r>
          <w:r>
            <w:fldChar w:fldCharType="begin"/>
          </w:r>
          <w:r>
            <w:instrText xml:space="preserve"> PAGEREF _Toc1887655009 \h </w:instrText>
          </w:r>
          <w:r>
            <w:fldChar w:fldCharType="separate"/>
          </w:r>
          <w:r>
            <w:t>6</w:t>
          </w:r>
          <w:r>
            <w:fldChar w:fldCharType="end"/>
          </w:r>
          <w:r>
            <w:fldChar w:fldCharType="end"/>
          </w:r>
        </w:p>
        <w:p>
          <w:pPr>
            <w:pStyle w:val="8"/>
            <w:tabs>
              <w:tab w:val="right" w:leader="dot" w:pos="8845"/>
            </w:tabs>
            <w:spacing w:line="300" w:lineRule="auto"/>
          </w:pPr>
          <w:r>
            <w:fldChar w:fldCharType="begin"/>
          </w:r>
          <w:r>
            <w:instrText xml:space="preserve"> HYPERLINK \l _Toc983035598 </w:instrText>
          </w:r>
          <w:r>
            <w:fldChar w:fldCharType="separate"/>
          </w:r>
          <w:r>
            <w:rPr>
              <w:rFonts w:hint="eastAsia" w:ascii="黑体" w:hAnsi="黑体" w:eastAsia="黑体" w:cs="黑体"/>
              <w:szCs w:val="32"/>
              <w:highlight w:val="none"/>
              <w:lang w:val="en-US" w:eastAsia="zh-CN"/>
            </w:rPr>
            <w:t>六、一般公共预算基本支出情况说明</w:t>
          </w:r>
          <w:r>
            <w:tab/>
          </w:r>
          <w:r>
            <w:fldChar w:fldCharType="begin"/>
          </w:r>
          <w:r>
            <w:instrText xml:space="preserve"> PAGEREF _Toc983035598 \h </w:instrText>
          </w:r>
          <w:r>
            <w:fldChar w:fldCharType="separate"/>
          </w:r>
          <w:r>
            <w:t>7</w:t>
          </w:r>
          <w:r>
            <w:fldChar w:fldCharType="end"/>
          </w:r>
          <w:r>
            <w:fldChar w:fldCharType="end"/>
          </w:r>
        </w:p>
        <w:p>
          <w:pPr>
            <w:pStyle w:val="8"/>
            <w:tabs>
              <w:tab w:val="right" w:leader="dot" w:pos="8845"/>
            </w:tabs>
            <w:spacing w:line="300" w:lineRule="auto"/>
          </w:pPr>
          <w:r>
            <w:fldChar w:fldCharType="begin"/>
          </w:r>
          <w:r>
            <w:instrText xml:space="preserve"> HYPERLINK \l _Toc606365385 </w:instrText>
          </w:r>
          <w:r>
            <w:fldChar w:fldCharType="separate"/>
          </w:r>
          <w:r>
            <w:rPr>
              <w:rFonts w:hint="eastAsia" w:ascii="黑体" w:hAnsi="黑体" w:eastAsia="黑体" w:cs="黑体"/>
              <w:szCs w:val="32"/>
              <w:highlight w:val="none"/>
              <w:lang w:val="en-US" w:eastAsia="zh-CN"/>
            </w:rPr>
            <w:t>七、“三公”经费财政拨款预算安排情况说明</w:t>
          </w:r>
          <w:r>
            <w:tab/>
          </w:r>
          <w:r>
            <w:fldChar w:fldCharType="begin"/>
          </w:r>
          <w:r>
            <w:instrText xml:space="preserve"> PAGEREF _Toc606365385 \h </w:instrText>
          </w:r>
          <w:r>
            <w:fldChar w:fldCharType="separate"/>
          </w:r>
          <w:r>
            <w:t>8</w:t>
          </w:r>
          <w:r>
            <w:fldChar w:fldCharType="end"/>
          </w:r>
          <w:r>
            <w:fldChar w:fldCharType="end"/>
          </w:r>
        </w:p>
        <w:p>
          <w:pPr>
            <w:pStyle w:val="10"/>
            <w:tabs>
              <w:tab w:val="right" w:leader="dot" w:pos="8845"/>
            </w:tabs>
            <w:spacing w:line="300" w:lineRule="auto"/>
          </w:pPr>
          <w:r>
            <w:fldChar w:fldCharType="begin"/>
          </w:r>
          <w:r>
            <w:instrText xml:space="preserve"> HYPERLINK \l _Toc1891536498 </w:instrText>
          </w:r>
          <w:r>
            <w:fldChar w:fldCharType="separate"/>
          </w:r>
          <w:r>
            <w:rPr>
              <w:rFonts w:hint="eastAsia" w:ascii="仿宋" w:hAnsi="仿宋" w:eastAsia="仿宋" w:cs="仿宋"/>
              <w:i w:val="0"/>
              <w:iCs w:val="0"/>
              <w:caps w:val="0"/>
              <w:spacing w:val="0"/>
              <w:szCs w:val="32"/>
              <w:highlight w:val="none"/>
              <w:lang w:val="en-US" w:eastAsia="zh-CN"/>
            </w:rPr>
            <w:t>（一）公务接待费</w:t>
          </w:r>
          <w:r>
            <w:tab/>
          </w:r>
          <w:r>
            <w:fldChar w:fldCharType="begin"/>
          </w:r>
          <w:r>
            <w:instrText xml:space="preserve"> PAGEREF _Toc1891536498 \h </w:instrText>
          </w:r>
          <w:r>
            <w:fldChar w:fldCharType="separate"/>
          </w:r>
          <w:r>
            <w:t>8</w:t>
          </w:r>
          <w:r>
            <w:fldChar w:fldCharType="end"/>
          </w:r>
          <w:r>
            <w:fldChar w:fldCharType="end"/>
          </w:r>
        </w:p>
        <w:p>
          <w:pPr>
            <w:pStyle w:val="10"/>
            <w:tabs>
              <w:tab w:val="right" w:leader="dot" w:pos="8845"/>
            </w:tabs>
            <w:spacing w:line="300" w:lineRule="auto"/>
          </w:pPr>
          <w:r>
            <w:fldChar w:fldCharType="begin"/>
          </w:r>
          <w:r>
            <w:instrText xml:space="preserve"> HYPERLINK \l _Toc921583343 </w:instrText>
          </w:r>
          <w:r>
            <w:fldChar w:fldCharType="separate"/>
          </w:r>
          <w:r>
            <w:rPr>
              <w:rFonts w:hint="eastAsia" w:ascii="仿宋" w:hAnsi="仿宋" w:eastAsia="仿宋" w:cs="仿宋"/>
              <w:i w:val="0"/>
              <w:iCs w:val="0"/>
              <w:caps w:val="0"/>
              <w:spacing w:val="0"/>
              <w:szCs w:val="32"/>
              <w:highlight w:val="none"/>
              <w:lang w:val="en-US" w:eastAsia="zh-CN"/>
            </w:rPr>
            <w:t>（二）公务用车购置及运行维护费</w:t>
          </w:r>
          <w:r>
            <w:tab/>
          </w:r>
          <w:r>
            <w:fldChar w:fldCharType="begin"/>
          </w:r>
          <w:r>
            <w:instrText xml:space="preserve"> PAGEREF _Toc921583343 \h </w:instrText>
          </w:r>
          <w:r>
            <w:fldChar w:fldCharType="separate"/>
          </w:r>
          <w:r>
            <w:t>8</w:t>
          </w:r>
          <w:r>
            <w:fldChar w:fldCharType="end"/>
          </w:r>
          <w:r>
            <w:fldChar w:fldCharType="end"/>
          </w:r>
        </w:p>
        <w:p>
          <w:pPr>
            <w:pStyle w:val="10"/>
            <w:tabs>
              <w:tab w:val="right" w:leader="dot" w:pos="8845"/>
            </w:tabs>
            <w:spacing w:line="300" w:lineRule="auto"/>
          </w:pPr>
          <w:r>
            <w:fldChar w:fldCharType="begin"/>
          </w:r>
          <w:r>
            <w:instrText xml:space="preserve"> HYPERLINK \l _Toc1770509817 </w:instrText>
          </w:r>
          <w:r>
            <w:fldChar w:fldCharType="separate"/>
          </w:r>
          <w:r>
            <w:rPr>
              <w:rFonts w:hint="eastAsia" w:ascii="仿宋" w:hAnsi="仿宋" w:eastAsia="仿宋" w:cs="仿宋"/>
              <w:i w:val="0"/>
              <w:iCs w:val="0"/>
              <w:caps w:val="0"/>
              <w:spacing w:val="0"/>
              <w:szCs w:val="32"/>
              <w:highlight w:val="none"/>
              <w:lang w:val="en-US" w:eastAsia="zh-CN"/>
            </w:rPr>
            <w:t>（三）因公出国（境）经费</w:t>
          </w:r>
          <w:r>
            <w:tab/>
          </w:r>
          <w:r>
            <w:fldChar w:fldCharType="begin"/>
          </w:r>
          <w:r>
            <w:instrText xml:space="preserve"> PAGEREF _Toc1770509817 \h </w:instrText>
          </w:r>
          <w:r>
            <w:fldChar w:fldCharType="separate"/>
          </w:r>
          <w:r>
            <w:t>8</w:t>
          </w:r>
          <w:r>
            <w:fldChar w:fldCharType="end"/>
          </w:r>
          <w:r>
            <w:fldChar w:fldCharType="end"/>
          </w:r>
        </w:p>
        <w:p>
          <w:pPr>
            <w:pStyle w:val="8"/>
            <w:tabs>
              <w:tab w:val="right" w:leader="dot" w:pos="8845"/>
            </w:tabs>
            <w:spacing w:line="300" w:lineRule="auto"/>
          </w:pPr>
          <w:r>
            <w:fldChar w:fldCharType="begin"/>
          </w:r>
          <w:r>
            <w:instrText xml:space="preserve"> HYPERLINK \l _Toc676388044 </w:instrText>
          </w:r>
          <w:r>
            <w:fldChar w:fldCharType="separate"/>
          </w:r>
          <w:r>
            <w:rPr>
              <w:rFonts w:hint="eastAsia" w:ascii="黑体" w:hAnsi="黑体" w:eastAsia="黑体" w:cs="黑体"/>
              <w:szCs w:val="32"/>
              <w:highlight w:val="none"/>
              <w:lang w:val="en-US" w:eastAsia="zh-CN"/>
            </w:rPr>
            <w:t>八、政府性基金预算支出情况说明</w:t>
          </w:r>
          <w:r>
            <w:tab/>
          </w:r>
          <w:r>
            <w:fldChar w:fldCharType="begin"/>
          </w:r>
          <w:r>
            <w:instrText xml:space="preserve"> PAGEREF _Toc676388044 \h </w:instrText>
          </w:r>
          <w:r>
            <w:fldChar w:fldCharType="separate"/>
          </w:r>
          <w:r>
            <w:t>9</w:t>
          </w:r>
          <w:r>
            <w:fldChar w:fldCharType="end"/>
          </w:r>
          <w:r>
            <w:fldChar w:fldCharType="end"/>
          </w:r>
        </w:p>
        <w:p>
          <w:pPr>
            <w:pStyle w:val="8"/>
            <w:tabs>
              <w:tab w:val="right" w:leader="dot" w:pos="8845"/>
            </w:tabs>
            <w:spacing w:line="300" w:lineRule="auto"/>
          </w:pPr>
          <w:r>
            <w:fldChar w:fldCharType="begin"/>
          </w:r>
          <w:r>
            <w:instrText xml:space="preserve"> HYPERLINK \l _Toc1390197293 </w:instrText>
          </w:r>
          <w:r>
            <w:fldChar w:fldCharType="separate"/>
          </w:r>
          <w:r>
            <w:rPr>
              <w:rFonts w:hint="eastAsia" w:ascii="黑体" w:hAnsi="黑体" w:eastAsia="黑体" w:cs="黑体"/>
              <w:szCs w:val="32"/>
              <w:highlight w:val="none"/>
              <w:lang w:val="en-US" w:eastAsia="zh-CN"/>
            </w:rPr>
            <w:t>九、国有资本经营预算支出情况说明</w:t>
          </w:r>
          <w:r>
            <w:tab/>
          </w:r>
          <w:r>
            <w:fldChar w:fldCharType="begin"/>
          </w:r>
          <w:r>
            <w:instrText xml:space="preserve"> PAGEREF _Toc1390197293 \h </w:instrText>
          </w:r>
          <w:r>
            <w:fldChar w:fldCharType="separate"/>
          </w:r>
          <w:r>
            <w:t>9</w:t>
          </w:r>
          <w:r>
            <w:fldChar w:fldCharType="end"/>
          </w:r>
          <w:r>
            <w:fldChar w:fldCharType="end"/>
          </w:r>
        </w:p>
        <w:p>
          <w:pPr>
            <w:pStyle w:val="8"/>
            <w:tabs>
              <w:tab w:val="right" w:leader="dot" w:pos="8845"/>
            </w:tabs>
            <w:spacing w:line="300" w:lineRule="auto"/>
          </w:pPr>
          <w:r>
            <w:fldChar w:fldCharType="begin"/>
          </w:r>
          <w:r>
            <w:instrText xml:space="preserve"> HYPERLINK \l _Toc487084868 </w:instrText>
          </w:r>
          <w:r>
            <w:fldChar w:fldCharType="separate"/>
          </w:r>
          <w:r>
            <w:rPr>
              <w:rFonts w:hint="eastAsia" w:ascii="黑体" w:hAnsi="黑体" w:eastAsia="黑体" w:cs="黑体"/>
              <w:szCs w:val="32"/>
              <w:highlight w:val="none"/>
              <w:lang w:val="en-US" w:eastAsia="zh-CN"/>
            </w:rPr>
            <w:t>十、其他重要事项的情况说明</w:t>
          </w:r>
          <w:r>
            <w:tab/>
          </w:r>
          <w:r>
            <w:fldChar w:fldCharType="begin"/>
          </w:r>
          <w:r>
            <w:instrText xml:space="preserve"> PAGEREF _Toc487084868 \h </w:instrText>
          </w:r>
          <w:r>
            <w:fldChar w:fldCharType="separate"/>
          </w:r>
          <w:r>
            <w:t>9</w:t>
          </w:r>
          <w:r>
            <w:fldChar w:fldCharType="end"/>
          </w:r>
          <w:r>
            <w:fldChar w:fldCharType="end"/>
          </w:r>
        </w:p>
        <w:p>
          <w:pPr>
            <w:pStyle w:val="10"/>
            <w:tabs>
              <w:tab w:val="right" w:leader="dot" w:pos="8845"/>
            </w:tabs>
            <w:spacing w:line="300" w:lineRule="auto"/>
          </w:pPr>
          <w:r>
            <w:fldChar w:fldCharType="begin"/>
          </w:r>
          <w:r>
            <w:instrText xml:space="preserve"> HYPERLINK \l _Toc925016757 </w:instrText>
          </w:r>
          <w:r>
            <w:fldChar w:fldCharType="separate"/>
          </w:r>
          <w:r>
            <w:rPr>
              <w:rFonts w:hint="eastAsia" w:ascii="仿宋" w:hAnsi="仿宋" w:eastAsia="仿宋" w:cs="仿宋"/>
              <w:i w:val="0"/>
              <w:iCs w:val="0"/>
              <w:caps w:val="0"/>
              <w:spacing w:val="0"/>
              <w:szCs w:val="32"/>
              <w:highlight w:val="none"/>
              <w:lang w:val="en-US" w:eastAsia="zh-CN"/>
            </w:rPr>
            <w:t>（一）机关运行经费</w:t>
          </w:r>
          <w:r>
            <w:tab/>
          </w:r>
          <w:r>
            <w:fldChar w:fldCharType="begin"/>
          </w:r>
          <w:r>
            <w:instrText xml:space="preserve"> PAGEREF _Toc925016757 \h </w:instrText>
          </w:r>
          <w:r>
            <w:fldChar w:fldCharType="separate"/>
          </w:r>
          <w:r>
            <w:t>9</w:t>
          </w:r>
          <w:r>
            <w:fldChar w:fldCharType="end"/>
          </w:r>
          <w:r>
            <w:fldChar w:fldCharType="end"/>
          </w:r>
        </w:p>
        <w:p>
          <w:pPr>
            <w:pStyle w:val="10"/>
            <w:tabs>
              <w:tab w:val="right" w:leader="dot" w:pos="8845"/>
            </w:tabs>
            <w:spacing w:line="300" w:lineRule="auto"/>
          </w:pPr>
          <w:r>
            <w:fldChar w:fldCharType="begin"/>
          </w:r>
          <w:r>
            <w:instrText xml:space="preserve"> HYPERLINK \l _Toc2095009656 </w:instrText>
          </w:r>
          <w:r>
            <w:fldChar w:fldCharType="separate"/>
          </w:r>
          <w:r>
            <w:rPr>
              <w:rFonts w:hint="eastAsia" w:ascii="仿宋" w:hAnsi="仿宋" w:eastAsia="仿宋" w:cs="仿宋"/>
              <w:i w:val="0"/>
              <w:iCs w:val="0"/>
              <w:caps w:val="0"/>
              <w:spacing w:val="0"/>
              <w:szCs w:val="32"/>
              <w:highlight w:val="none"/>
              <w:lang w:val="en-US" w:eastAsia="zh-CN"/>
            </w:rPr>
            <w:t>（二）政府采购情况</w:t>
          </w:r>
          <w:r>
            <w:tab/>
          </w:r>
          <w:r>
            <w:fldChar w:fldCharType="begin"/>
          </w:r>
          <w:r>
            <w:instrText xml:space="preserve"> PAGEREF _Toc2095009656 \h </w:instrText>
          </w:r>
          <w:r>
            <w:fldChar w:fldCharType="separate"/>
          </w:r>
          <w:r>
            <w:t>9</w:t>
          </w:r>
          <w:r>
            <w:fldChar w:fldCharType="end"/>
          </w:r>
          <w:r>
            <w:fldChar w:fldCharType="end"/>
          </w:r>
        </w:p>
        <w:p>
          <w:pPr>
            <w:pStyle w:val="10"/>
            <w:tabs>
              <w:tab w:val="right" w:leader="dot" w:pos="8845"/>
            </w:tabs>
            <w:spacing w:line="300" w:lineRule="auto"/>
          </w:pPr>
          <w:r>
            <w:fldChar w:fldCharType="begin"/>
          </w:r>
          <w:r>
            <w:instrText xml:space="preserve"> HYPERLINK \l _Toc1492077875 </w:instrText>
          </w:r>
          <w:r>
            <w:fldChar w:fldCharType="separate"/>
          </w:r>
          <w:r>
            <w:rPr>
              <w:rFonts w:hint="eastAsia" w:ascii="仿宋" w:hAnsi="仿宋" w:eastAsia="仿宋" w:cs="仿宋"/>
              <w:i w:val="0"/>
              <w:iCs w:val="0"/>
              <w:caps w:val="0"/>
              <w:spacing w:val="0"/>
              <w:szCs w:val="32"/>
              <w:highlight w:val="none"/>
              <w:lang w:val="en-US" w:eastAsia="zh-CN"/>
            </w:rPr>
            <w:t>（三）国有资产占有使用情况</w:t>
          </w:r>
          <w:r>
            <w:tab/>
          </w:r>
          <w:r>
            <w:fldChar w:fldCharType="begin"/>
          </w:r>
          <w:r>
            <w:instrText xml:space="preserve"> PAGEREF _Toc1492077875 \h </w:instrText>
          </w:r>
          <w:r>
            <w:fldChar w:fldCharType="separate"/>
          </w:r>
          <w:r>
            <w:t>9</w:t>
          </w:r>
          <w:r>
            <w:fldChar w:fldCharType="end"/>
          </w:r>
          <w:r>
            <w:fldChar w:fldCharType="end"/>
          </w:r>
        </w:p>
        <w:p>
          <w:pPr>
            <w:pStyle w:val="10"/>
            <w:tabs>
              <w:tab w:val="right" w:leader="dot" w:pos="8845"/>
            </w:tabs>
            <w:spacing w:line="300" w:lineRule="auto"/>
          </w:pPr>
          <w:r>
            <w:fldChar w:fldCharType="begin"/>
          </w:r>
          <w:r>
            <w:instrText xml:space="preserve"> HYPERLINK \l _Toc998793057 </w:instrText>
          </w:r>
          <w:r>
            <w:fldChar w:fldCharType="separate"/>
          </w:r>
          <w:r>
            <w:rPr>
              <w:rFonts w:hint="eastAsia" w:ascii="仿宋" w:hAnsi="仿宋" w:eastAsia="仿宋" w:cs="仿宋"/>
              <w:i w:val="0"/>
              <w:iCs w:val="0"/>
              <w:caps w:val="0"/>
              <w:spacing w:val="0"/>
              <w:szCs w:val="32"/>
              <w:highlight w:val="none"/>
              <w:lang w:val="en-US" w:eastAsia="zh-CN"/>
            </w:rPr>
            <w:t>（四）绩效目标设置情况</w:t>
          </w:r>
          <w:r>
            <w:tab/>
          </w:r>
          <w:r>
            <w:fldChar w:fldCharType="begin"/>
          </w:r>
          <w:r>
            <w:instrText xml:space="preserve"> PAGEREF _Toc998793057 \h </w:instrText>
          </w:r>
          <w:r>
            <w:fldChar w:fldCharType="separate"/>
          </w:r>
          <w:r>
            <w:t>9</w:t>
          </w:r>
          <w:r>
            <w:fldChar w:fldCharType="end"/>
          </w:r>
          <w:r>
            <w:fldChar w:fldCharType="end"/>
          </w:r>
        </w:p>
        <w:p>
          <w:pPr>
            <w:pStyle w:val="8"/>
            <w:tabs>
              <w:tab w:val="right" w:leader="dot" w:pos="8845"/>
            </w:tabs>
            <w:spacing w:line="300" w:lineRule="auto"/>
          </w:pPr>
          <w:r>
            <w:fldChar w:fldCharType="begin"/>
          </w:r>
          <w:r>
            <w:instrText xml:space="preserve"> HYPERLINK \l _Toc1060822616 </w:instrText>
          </w:r>
          <w:r>
            <w:fldChar w:fldCharType="separate"/>
          </w:r>
          <w:r>
            <w:rPr>
              <w:rFonts w:hint="eastAsia" w:ascii="黑体" w:hAnsi="黑体" w:eastAsia="黑体" w:cs="黑体"/>
              <w:szCs w:val="32"/>
              <w:highlight w:val="none"/>
              <w:lang w:val="en-US" w:eastAsia="zh-CN"/>
            </w:rPr>
            <w:t>十一、名词解释</w:t>
          </w:r>
          <w:r>
            <w:tab/>
          </w:r>
          <w:r>
            <w:fldChar w:fldCharType="begin"/>
          </w:r>
          <w:r>
            <w:instrText xml:space="preserve"> PAGEREF _Toc1060822616 \h </w:instrText>
          </w:r>
          <w:r>
            <w:fldChar w:fldCharType="separate"/>
          </w:r>
          <w:r>
            <w:t>9</w:t>
          </w:r>
          <w:r>
            <w:fldChar w:fldCharType="end"/>
          </w:r>
          <w:r>
            <w:fldChar w:fldCharType="end"/>
          </w:r>
        </w:p>
        <w:p>
          <w:pPr>
            <w:spacing w:line="300" w:lineRule="auto"/>
          </w:pPr>
          <w:r>
            <w:fldChar w:fldCharType="end"/>
          </w:r>
          <w:bookmarkEnd w:id="29"/>
        </w:p>
      </w:sdtContent>
    </w:sdt>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0" w:name="_Toc25187985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r>
        <w:rPr>
          <w:rFonts w:hint="eastAsia" w:ascii="黑体" w:hAnsi="黑体" w:eastAsia="黑体" w:cs="黑体"/>
          <w:sz w:val="32"/>
          <w:szCs w:val="32"/>
          <w:highlight w:val="none"/>
          <w:lang w:val="en-US" w:eastAsia="zh-CN"/>
        </w:rPr>
        <w:t>一、基本职能及主要工作</w:t>
      </w:r>
      <w:bookmarkEnd w:id="0"/>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firstLine="640" w:firstLineChars="200"/>
        <w:textAlignment w:val="auto"/>
        <w:outlineLvl w:val="1"/>
        <w:rPr>
          <w:rStyle w:val="14"/>
          <w:rFonts w:hint="eastAsia" w:ascii="仿宋" w:hAnsi="仿宋" w:eastAsia="仿宋" w:cs="仿宋"/>
          <w:i w:val="0"/>
          <w:iCs w:val="0"/>
          <w:caps w:val="0"/>
          <w:color w:val="000000" w:themeColor="text1"/>
          <w:spacing w:val="0"/>
          <w:sz w:val="32"/>
          <w:szCs w:val="32"/>
          <w:highlight w:val="none"/>
          <w14:textFill>
            <w14:solidFill>
              <w14:schemeClr w14:val="tx1"/>
            </w14:solidFill>
          </w14:textFill>
        </w:rPr>
      </w:pPr>
      <w:bookmarkStart w:id="1" w:name="_Toc2056833083"/>
      <w:r>
        <w:rPr>
          <w:rStyle w:val="14"/>
          <w:rFonts w:hint="eastAsia" w:ascii="仿宋" w:hAnsi="仿宋" w:eastAsia="仿宋" w:cs="仿宋"/>
          <w:i w:val="0"/>
          <w:iCs w:val="0"/>
          <w:caps w:val="0"/>
          <w:color w:val="000000" w:themeColor="text1"/>
          <w:spacing w:val="0"/>
          <w:sz w:val="32"/>
          <w:szCs w:val="32"/>
          <w:highlight w:val="none"/>
          <w14:textFill>
            <w14:solidFill>
              <w14:schemeClr w14:val="tx1"/>
            </w14:solidFill>
          </w14:textFill>
        </w:rPr>
        <w:t>（一）民建广元市委职能简介。</w:t>
      </w:r>
      <w:bookmarkEnd w:id="1"/>
    </w:p>
    <w:p>
      <w:pPr>
        <w:pStyle w:val="11"/>
        <w:keepNext w:val="0"/>
        <w:keepLines w:val="0"/>
        <w:widowControl/>
        <w:suppressLineNumbers w:val="0"/>
        <w:shd w:val="clear"/>
        <w:spacing w:before="0" w:beforeAutospacing="0" w:after="0" w:afterAutospacing="0" w:line="555" w:lineRule="atLeast"/>
        <w:ind w:left="0" w:right="0" w:firstLine="645"/>
        <w:jc w:val="left"/>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民建作为参政党主要肩负参政议政、民主监督主等工作职能。民建广元市委围绕参政议政、组织建设、社会服务、思想宣传教育、机关建设等重点开展工作。</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仿宋" w:hAnsi="仿宋" w:eastAsia="仿宋" w:cs="仿宋"/>
          <w:color w:val="000000" w:themeColor="text1"/>
          <w:sz w:val="32"/>
          <w:szCs w:val="32"/>
          <w:highlight w:val="none"/>
          <w14:textFill>
            <w14:solidFill>
              <w14:schemeClr w14:val="tx1"/>
            </w14:solidFill>
          </w14:textFill>
        </w:rPr>
      </w:pPr>
      <w:bookmarkStart w:id="2" w:name="_Toc1249712476"/>
      <w:r>
        <w:rPr>
          <w:rStyle w:val="14"/>
          <w:rFonts w:hint="eastAsia" w:ascii="仿宋" w:hAnsi="仿宋" w:eastAsia="仿宋" w:cs="仿宋"/>
          <w:i w:val="0"/>
          <w:iCs w:val="0"/>
          <w:caps w:val="0"/>
          <w:color w:val="000000" w:themeColor="text1"/>
          <w:spacing w:val="0"/>
          <w:sz w:val="32"/>
          <w:szCs w:val="32"/>
          <w:highlight w:val="none"/>
          <w:lang w:eastAsia="zh-CN"/>
          <w14:textFill>
            <w14:solidFill>
              <w14:schemeClr w14:val="tx1"/>
            </w14:solidFill>
          </w14:textFill>
        </w:rPr>
        <w:t>（二）</w:t>
      </w:r>
      <w:r>
        <w:rPr>
          <w:rStyle w:val="14"/>
          <w:rFonts w:hint="eastAsia" w:ascii="仿宋" w:hAnsi="仿宋" w:eastAsia="仿宋" w:cs="仿宋"/>
          <w:i w:val="0"/>
          <w:iCs w:val="0"/>
          <w:caps w:val="0"/>
          <w:color w:val="000000" w:themeColor="text1"/>
          <w:spacing w:val="0"/>
          <w:sz w:val="32"/>
          <w:szCs w:val="32"/>
          <w:highlight w:val="none"/>
          <w14:textFill>
            <w14:solidFill>
              <w14:schemeClr w14:val="tx1"/>
            </w14:solidFill>
          </w14:textFill>
        </w:rPr>
        <w:t>民建广元市委202</w:t>
      </w:r>
      <w:r>
        <w:rPr>
          <w:rStyle w:val="14"/>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t>4</w:t>
      </w:r>
      <w:r>
        <w:rPr>
          <w:rStyle w:val="14"/>
          <w:rFonts w:hint="eastAsia" w:ascii="仿宋" w:hAnsi="仿宋" w:eastAsia="仿宋" w:cs="仿宋"/>
          <w:i w:val="0"/>
          <w:iCs w:val="0"/>
          <w:caps w:val="0"/>
          <w:color w:val="000000" w:themeColor="text1"/>
          <w:spacing w:val="0"/>
          <w:sz w:val="32"/>
          <w:szCs w:val="32"/>
          <w:highlight w:val="none"/>
          <w14:textFill>
            <w14:solidFill>
              <w14:schemeClr w14:val="tx1"/>
            </w14:solidFill>
          </w14:textFill>
        </w:rPr>
        <w:t>年重点工作</w:t>
      </w:r>
      <w:bookmarkEnd w:id="2"/>
    </w:p>
    <w:p>
      <w:pPr>
        <w:shd w:val="clear"/>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2024年是新中国成立75周年，是深入实施“十四五”规划的关键一年，是新时代新征程上全面建设社会主义现代化广元的重要一年。民建市委会将坚定以习近平新时代中国特色社会主义思想为指导，深入学习贯彻中共二十大和二十届一中、二中全会精神，全面贯彻落实中共四川省委十二届四次全会、中共广元市委八届六次、七次、八次全会决策部署，紧扣中心大局，守正创新，开拓进取，为全面建设社会主义现代化广元贡献力量。</w:t>
      </w:r>
    </w:p>
    <w:p>
      <w:pPr>
        <w:numPr>
          <w:ilvl w:val="0"/>
          <w:numId w:val="1"/>
        </w:numPr>
        <w:shd w:val="clear"/>
        <w:ind w:firstLine="640" w:firstLineChars="200"/>
        <w:outlineLvl w:val="2"/>
        <w:rPr>
          <w:rFonts w:hint="eastAsia" w:ascii="仿宋" w:hAnsi="仿宋" w:eastAsia="仿宋" w:cs="仿宋"/>
          <w:b/>
          <w:bCs/>
          <w:sz w:val="32"/>
          <w:szCs w:val="32"/>
          <w:highlight w:val="none"/>
        </w:rPr>
      </w:pPr>
      <w:bookmarkStart w:id="3" w:name="_Toc1835870848"/>
      <w:r>
        <w:rPr>
          <w:rFonts w:hint="eastAsia" w:ascii="仿宋" w:hAnsi="仿宋" w:eastAsia="仿宋" w:cs="仿宋"/>
          <w:b/>
          <w:bCs/>
          <w:sz w:val="32"/>
          <w:szCs w:val="32"/>
          <w:highlight w:val="none"/>
        </w:rPr>
        <w:t>以加强政治建设为统领凝聚思想政治共识</w:t>
      </w:r>
      <w:r>
        <w:rPr>
          <w:rFonts w:hint="eastAsia" w:ascii="仿宋" w:hAnsi="仿宋" w:eastAsia="仿宋" w:cs="仿宋"/>
          <w:b/>
          <w:bCs/>
          <w:sz w:val="32"/>
          <w:szCs w:val="32"/>
          <w:highlight w:val="none"/>
          <w:lang w:eastAsia="zh-CN"/>
        </w:rPr>
        <w:t>。</w:t>
      </w:r>
      <w:bookmarkEnd w:id="3"/>
    </w:p>
    <w:p>
      <w:pPr>
        <w:numPr>
          <w:ilvl w:val="0"/>
          <w:numId w:val="0"/>
        </w:numPr>
        <w:shd w:val="clear"/>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坚定把深学笃用习近平新时代中国特色社会主义思想作为首要政治任务和各项工作的统揽，深刻领悟“两个确立”的决定性意义，增强“四个意识”、坚定“四个自信”、做到“两个维护”。深入贯彻落实习近平总书记来川来广视察重要指示精神，引导全市民建会员旗帜鲜明讲政治，切实把思想和行动统一到中央、省、市决策部署上来，切实把学习成果体现在围绕中心、服务大局的具体实践中。巩固深化主题教育活动成果，深入总结“凝心铸魂强根基、团结奋进新征程”主题教育成效和好经验好做法。持续抓好意识形态工作，把握会员思想动态，加强会员思想政治引领。管好用好微信公众号、期刊等，结合新中国成立75周年重要时间节点强化主题宣传，讲好民建故事，传播好民建声音。</w:t>
      </w:r>
    </w:p>
    <w:p>
      <w:pPr>
        <w:numPr>
          <w:ilvl w:val="0"/>
          <w:numId w:val="1"/>
        </w:numPr>
        <w:shd w:val="clear"/>
        <w:ind w:firstLine="640" w:firstLineChars="200"/>
        <w:outlineLvl w:val="2"/>
        <w:rPr>
          <w:rFonts w:hint="eastAsia" w:ascii="仿宋" w:hAnsi="仿宋" w:eastAsia="仿宋" w:cs="仿宋"/>
          <w:b/>
          <w:bCs/>
          <w:sz w:val="32"/>
          <w:szCs w:val="32"/>
          <w:highlight w:val="none"/>
        </w:rPr>
      </w:pPr>
      <w:bookmarkStart w:id="4" w:name="_Toc1946725420"/>
      <w:r>
        <w:rPr>
          <w:rFonts w:hint="eastAsia" w:ascii="仿宋" w:hAnsi="仿宋" w:eastAsia="仿宋" w:cs="仿宋"/>
          <w:b/>
          <w:bCs/>
          <w:sz w:val="32"/>
          <w:szCs w:val="32"/>
          <w:highlight w:val="none"/>
        </w:rPr>
        <w:t>以紧扣中心大局为主线提升建言资政成效</w:t>
      </w:r>
      <w:r>
        <w:rPr>
          <w:rFonts w:hint="eastAsia" w:ascii="仿宋" w:hAnsi="仿宋" w:eastAsia="仿宋" w:cs="仿宋"/>
          <w:b/>
          <w:bCs/>
          <w:sz w:val="32"/>
          <w:szCs w:val="32"/>
          <w:highlight w:val="none"/>
          <w:lang w:eastAsia="zh-CN"/>
        </w:rPr>
        <w:t>。</w:t>
      </w:r>
      <w:bookmarkEnd w:id="4"/>
    </w:p>
    <w:p>
      <w:pPr>
        <w:numPr>
          <w:ilvl w:val="0"/>
          <w:numId w:val="0"/>
        </w:numPr>
        <w:shd w:val="clear"/>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聚焦“国之大者”“省之要事”“市之要情”,紧扣广元现代化建设“1345”发展战略总体布局，围绕打造“工业广元”，聚焦推进城乡融合发展、构建现代化产业体系、乡村振兴、促进民营经济发展等重点热点难点问题，积极建言资政。加强与市级部门、社会团体合作，汇聚更多资源和力量，着力做好政党协商、专题调研、反映社情民意等工作。</w:t>
      </w:r>
    </w:p>
    <w:p>
      <w:pPr>
        <w:numPr>
          <w:ilvl w:val="0"/>
          <w:numId w:val="1"/>
        </w:numPr>
        <w:shd w:val="clear"/>
        <w:ind w:firstLine="640" w:firstLineChars="200"/>
        <w:outlineLvl w:val="2"/>
        <w:rPr>
          <w:rFonts w:hint="eastAsia" w:ascii="仿宋" w:hAnsi="仿宋" w:eastAsia="仿宋" w:cs="仿宋"/>
          <w:b/>
          <w:bCs/>
          <w:sz w:val="32"/>
          <w:szCs w:val="32"/>
          <w:highlight w:val="none"/>
        </w:rPr>
      </w:pPr>
      <w:bookmarkStart w:id="5" w:name="_Toc1738612819"/>
      <w:r>
        <w:rPr>
          <w:rFonts w:hint="eastAsia" w:ascii="仿宋" w:hAnsi="仿宋" w:eastAsia="仿宋" w:cs="仿宋"/>
          <w:b/>
          <w:bCs/>
          <w:sz w:val="32"/>
          <w:szCs w:val="32"/>
          <w:highlight w:val="none"/>
        </w:rPr>
        <w:t>以突出人才强会为关键汇聚干事创业力量</w:t>
      </w:r>
      <w:r>
        <w:rPr>
          <w:rFonts w:hint="eastAsia" w:ascii="仿宋" w:hAnsi="仿宋" w:eastAsia="仿宋" w:cs="仿宋"/>
          <w:b/>
          <w:bCs/>
          <w:sz w:val="32"/>
          <w:szCs w:val="32"/>
          <w:highlight w:val="none"/>
          <w:lang w:eastAsia="zh-CN"/>
        </w:rPr>
        <w:t>。</w:t>
      </w:r>
      <w:bookmarkEnd w:id="5"/>
    </w:p>
    <w:p>
      <w:pPr>
        <w:numPr>
          <w:ilvl w:val="0"/>
          <w:numId w:val="0"/>
        </w:numPr>
        <w:shd w:val="clear"/>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以加强领导班子和队伍建设为突破口提升组织建设整体效能。新会员发展突出质量，不断提升会员中的高层次人才比例，加强队伍动态管理，实现发现、培养、调整、使用有机结合，激励“双岗建功”。着力推动组织和会员数据收集、整理和分析应用。做好干部培训工作，加大对基层组织负责人、骨干会员培训力度。深入推进省级会员之家建设，增强基层组织活力和凝聚力。研探有效形式，深入开展内部监督工作，始终以严的基调强化正风肃纪。持续完善规章制度，不断强化制度执行。进一步规范机关管理，提升信息化水平，不断优化工作流程，提升办文办会能力。</w:t>
      </w:r>
    </w:p>
    <w:p>
      <w:pPr>
        <w:numPr>
          <w:ilvl w:val="0"/>
          <w:numId w:val="1"/>
        </w:numPr>
        <w:shd w:val="clear"/>
        <w:ind w:firstLine="640" w:firstLineChars="200"/>
        <w:outlineLvl w:val="2"/>
        <w:rPr>
          <w:rFonts w:hint="eastAsia" w:ascii="仿宋" w:hAnsi="仿宋" w:eastAsia="仿宋" w:cs="仿宋"/>
          <w:b/>
          <w:bCs/>
          <w:sz w:val="32"/>
          <w:szCs w:val="32"/>
          <w:highlight w:val="none"/>
        </w:rPr>
      </w:pPr>
      <w:bookmarkStart w:id="6" w:name="_Toc1970599873"/>
      <w:r>
        <w:rPr>
          <w:rFonts w:hint="eastAsia" w:ascii="仿宋" w:hAnsi="仿宋" w:eastAsia="仿宋" w:cs="仿宋"/>
          <w:b/>
          <w:bCs/>
          <w:sz w:val="32"/>
          <w:szCs w:val="32"/>
          <w:highlight w:val="none"/>
        </w:rPr>
        <w:t>以树立品牌标杆为目标全力服务经济社会</w:t>
      </w:r>
      <w:r>
        <w:rPr>
          <w:rFonts w:hint="eastAsia" w:ascii="仿宋" w:hAnsi="仿宋" w:eastAsia="仿宋" w:cs="仿宋"/>
          <w:b/>
          <w:bCs/>
          <w:sz w:val="32"/>
          <w:szCs w:val="32"/>
          <w:highlight w:val="none"/>
          <w:lang w:eastAsia="zh-CN"/>
        </w:rPr>
        <w:t>。</w:t>
      </w:r>
      <w:bookmarkEnd w:id="6"/>
    </w:p>
    <w:p>
      <w:pPr>
        <w:numPr>
          <w:ilvl w:val="0"/>
          <w:numId w:val="0"/>
        </w:numPr>
        <w:shd w:val="clear"/>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围绕“同心携手+”社会服务品牌，坚持尽力而为、量力而行,将助力乡村振兴作为社会服务工作着力点。组织会员企业走出去考察学习，提振发展信心。积极拓展会内外联系，整合资源和力量，在社会服务工作上做出特色和亮点。</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7" w:name="_Toc1335334651"/>
      <w:r>
        <w:rPr>
          <w:rFonts w:hint="eastAsia" w:ascii="黑体" w:hAnsi="黑体" w:eastAsia="黑体" w:cs="黑体"/>
          <w:sz w:val="32"/>
          <w:szCs w:val="32"/>
          <w:highlight w:val="none"/>
          <w:lang w:val="en-US" w:eastAsia="zh-CN"/>
        </w:rPr>
        <w:t>二、部门预算单位构成</w:t>
      </w:r>
      <w:bookmarkEnd w:id="7"/>
    </w:p>
    <w:p>
      <w:pPr>
        <w:pStyle w:val="11"/>
        <w:keepNext w:val="0"/>
        <w:keepLines w:val="0"/>
        <w:widowControl/>
        <w:suppressLineNumbers w:val="0"/>
        <w:shd w:val="clear"/>
        <w:spacing w:before="0" w:beforeAutospacing="0" w:after="0" w:afterAutospacing="0" w:line="555" w:lineRule="atLeast"/>
        <w:ind w:left="0" w:right="0" w:firstLine="645"/>
        <w:jc w:val="left"/>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民建广元市委是纳入市委统战部2024年部门预算编制范围的二级预算单位，</w:t>
      </w:r>
      <w:r>
        <w:rPr>
          <w:rFonts w:hint="eastAsia" w:ascii="仿宋" w:hAnsi="仿宋" w:eastAsia="仿宋" w:cs="仿宋"/>
          <w:sz w:val="32"/>
          <w:szCs w:val="32"/>
          <w:lang w:val="en-US" w:eastAsia="zh-CN"/>
        </w:rPr>
        <w:t>我单位</w:t>
      </w:r>
      <w:r>
        <w:rPr>
          <w:rFonts w:hint="eastAsia" w:ascii="仿宋" w:hAnsi="仿宋" w:eastAsia="仿宋" w:cs="仿宋"/>
          <w:sz w:val="32"/>
          <w:szCs w:val="32"/>
        </w:rPr>
        <w:t>是纳入市委统战部202</w:t>
      </w:r>
      <w:r>
        <w:rPr>
          <w:rFonts w:hint="eastAsia" w:ascii="仿宋" w:hAnsi="仿宋" w:eastAsia="仿宋" w:cs="仿宋"/>
          <w:sz w:val="32"/>
          <w:szCs w:val="32"/>
          <w:lang w:val="en-US" w:eastAsia="zh-CN"/>
        </w:rPr>
        <w:t>4</w:t>
      </w:r>
      <w:r>
        <w:rPr>
          <w:rFonts w:hint="eastAsia" w:ascii="仿宋" w:hAnsi="仿宋" w:eastAsia="仿宋" w:cs="仿宋"/>
          <w:sz w:val="32"/>
          <w:szCs w:val="32"/>
        </w:rPr>
        <w:t>年单位预算编制范围的二级预算单位。</w:t>
      </w:r>
      <w:r>
        <w:rPr>
          <w:rFonts w:hint="eastAsia" w:ascii="仿宋" w:hAnsi="仿宋" w:eastAsia="仿宋" w:cs="仿宋"/>
          <w:color w:val="auto"/>
          <w:kern w:val="2"/>
          <w:sz w:val="32"/>
          <w:szCs w:val="32"/>
          <w:highlight w:val="none"/>
          <w:lang w:val="en-US" w:eastAsia="zh-CN" w:bidi="ar-SA"/>
        </w:rPr>
        <w:t>本单位无下属机构。</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8" w:name="_Toc983109245"/>
      <w:r>
        <w:rPr>
          <w:rFonts w:hint="eastAsia" w:ascii="黑体" w:hAnsi="黑体" w:eastAsia="黑体" w:cs="黑体"/>
          <w:sz w:val="32"/>
          <w:szCs w:val="32"/>
          <w:highlight w:val="none"/>
          <w:lang w:val="en-US" w:eastAsia="zh-CN"/>
        </w:rPr>
        <w:t>三、收支预算情况说明</w:t>
      </w:r>
      <w:bookmarkEnd w:id="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按照综合预算的原则，民建广元市委所有收入和支出均纳入部门预算管理。收入包括：一般公共预算拨款收入83.51万元；支出包括：一般公共服务支出、社会保障和就业支出、卫生健康支出、住房保障支出。民建广元市委2024年收支预算总数83.51万元,比2023年收支预算总数增加3.23万元，主要原因是人员经费及公用经费增加。</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firstLine="640" w:firstLineChars="200"/>
        <w:textAlignment w:val="auto"/>
        <w:outlineLvl w:val="1"/>
        <w:rPr>
          <w:rStyle w:val="14"/>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pPr>
      <w:bookmarkStart w:id="9" w:name="_Toc1123175157"/>
      <w:r>
        <w:rPr>
          <w:rStyle w:val="14"/>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t>（一）收入预算情况</w:t>
      </w:r>
      <w:bookmarkEnd w:id="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民建广元市委2024年收入预算83.51万元，其中：一般公共预算拨款收入83.51万元，占100%。</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firstLine="640" w:firstLineChars="200"/>
        <w:textAlignment w:val="auto"/>
        <w:outlineLvl w:val="1"/>
        <w:rPr>
          <w:rStyle w:val="14"/>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pPr>
      <w:bookmarkStart w:id="10" w:name="_Toc181400745"/>
      <w:r>
        <w:rPr>
          <w:rStyle w:val="14"/>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t>（二）支出预算情况</w:t>
      </w:r>
      <w:bookmarkEnd w:id="1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bCs/>
          <w:sz w:val="32"/>
          <w:szCs w:val="32"/>
          <w:highlight w:val="none"/>
          <w:lang w:val="en-US" w:eastAsia="zh-CN"/>
        </w:rPr>
      </w:pPr>
      <w:r>
        <w:rPr>
          <w:rFonts w:hint="eastAsia" w:ascii="仿宋" w:hAnsi="仿宋" w:eastAsia="仿宋" w:cs="仿宋"/>
          <w:sz w:val="32"/>
          <w:szCs w:val="32"/>
          <w:highlight w:val="none"/>
          <w:lang w:val="en-US" w:eastAsia="zh-CN"/>
        </w:rPr>
        <w:t>民建广元市委2024年支出预算83.51万元，其中：基本支出63.16万元，占75.63%；项目支出20.35万元，占24.37%</w:t>
      </w:r>
      <w:r>
        <w:rPr>
          <w:rFonts w:hint="eastAsia" w:ascii="仿宋" w:hAnsi="仿宋" w:eastAsia="仿宋" w:cs="仿宋"/>
          <w:b w:val="0"/>
          <w:bCs w:val="0"/>
          <w:sz w:val="32"/>
          <w:szCs w:val="32"/>
          <w:highlight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11" w:name="_Toc1139834454"/>
      <w:r>
        <w:rPr>
          <w:rFonts w:hint="eastAsia" w:ascii="黑体" w:hAnsi="黑体" w:eastAsia="黑体" w:cs="黑体"/>
          <w:sz w:val="32"/>
          <w:szCs w:val="32"/>
          <w:highlight w:val="none"/>
          <w:lang w:val="en-US" w:eastAsia="zh-CN"/>
        </w:rPr>
        <w:t>四、财政拨款收支预算情况说明</w:t>
      </w:r>
      <w:bookmarkEnd w:id="1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民建广元市委2024年财政拨款收支预算总数83.51万元,比2023年财政拨款收支预算总数增加3.23万元，主要原因是人员经费及公用经费增加。</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Style w:val="14"/>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t>收入包括：</w:t>
      </w:r>
      <w:r>
        <w:rPr>
          <w:rFonts w:hint="eastAsia" w:ascii="仿宋" w:hAnsi="仿宋" w:eastAsia="仿宋" w:cs="仿宋"/>
          <w:color w:val="auto"/>
          <w:kern w:val="2"/>
          <w:sz w:val="32"/>
          <w:szCs w:val="32"/>
          <w:highlight w:val="none"/>
          <w:lang w:val="en-US" w:eastAsia="zh-CN" w:bidi="ar-SA"/>
        </w:rPr>
        <w:t>本年一般公共预算拨款收入83.51万元；支出包括：一般公共服务支出71.51万元、社会保障和就业支出5.57万元、卫生健康支出1.89万元、住房保障支出4.66万元。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12" w:name="_Toc1292362784"/>
      <w:r>
        <w:rPr>
          <w:rFonts w:hint="eastAsia" w:ascii="黑体" w:hAnsi="黑体" w:eastAsia="黑体" w:cs="黑体"/>
          <w:sz w:val="32"/>
          <w:szCs w:val="32"/>
          <w:highlight w:val="none"/>
          <w:lang w:val="en-US" w:eastAsia="zh-CN"/>
        </w:rPr>
        <w:t>五、一般公共预算当年拨款情况说明</w:t>
      </w:r>
      <w:bookmarkEnd w:id="12"/>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firstLine="640" w:firstLineChars="200"/>
        <w:textAlignment w:val="auto"/>
        <w:outlineLvl w:val="1"/>
        <w:rPr>
          <w:rStyle w:val="14"/>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pPr>
      <w:bookmarkStart w:id="13" w:name="_Toc1506619242"/>
      <w:r>
        <w:rPr>
          <w:rStyle w:val="14"/>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t>（一）一般公共预算当年拨款规模变化情况</w:t>
      </w:r>
      <w:bookmarkEnd w:id="1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民建广元市委2024年一般公共预算当年拨款83.51万元，比2023年预算数增加3.23万元，主要原因是人员经费及公用经费增加。</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firstLine="640" w:firstLineChars="200"/>
        <w:textAlignment w:val="auto"/>
        <w:outlineLvl w:val="1"/>
        <w:rPr>
          <w:rStyle w:val="14"/>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pPr>
      <w:bookmarkStart w:id="14" w:name="_Toc1850981759"/>
      <w:r>
        <w:rPr>
          <w:rStyle w:val="14"/>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t>（二）一般公共预算当年拨款结构情况</w:t>
      </w:r>
      <w:bookmarkEnd w:id="1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一般公共服务支出71.51万元，占85.63%；社会保障和就业支出5.57万元，占6.67%；卫生健康支出1.77万元，占2.12%；住房保障支出4.66万元，占5.58%。</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firstLine="640" w:firstLineChars="200"/>
        <w:textAlignment w:val="auto"/>
        <w:outlineLvl w:val="1"/>
        <w:rPr>
          <w:rStyle w:val="14"/>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pPr>
      <w:bookmarkStart w:id="15" w:name="_Toc1887655009"/>
      <w:r>
        <w:rPr>
          <w:rStyle w:val="14"/>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t>（三）一般公共预算当年拨款具体使用情况</w:t>
      </w:r>
      <w:bookmarkEnd w:id="15"/>
    </w:p>
    <w:p>
      <w:pPr>
        <w:pStyle w:val="11"/>
        <w:keepNext w:val="0"/>
        <w:keepLines w:val="0"/>
        <w:widowControl/>
        <w:suppressLineNumbers w:val="0"/>
        <w:shd w:val="clear"/>
        <w:spacing w:before="0" w:beforeAutospacing="0" w:after="0" w:afterAutospacing="0" w:line="555" w:lineRule="atLeast"/>
        <w:ind w:left="0" w:right="0" w:firstLine="645"/>
        <w:jc w:val="left"/>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1.一般公共服务（类）民主党派及工商联事务（款）行政运行（项）2024年预算数为51.16万元，主要用于：人员经费支出及日常办公运转经费。</w:t>
      </w:r>
    </w:p>
    <w:p>
      <w:pPr>
        <w:pStyle w:val="11"/>
        <w:keepNext w:val="0"/>
        <w:keepLines w:val="0"/>
        <w:widowControl/>
        <w:suppressLineNumbers w:val="0"/>
        <w:shd w:val="clear"/>
        <w:spacing w:before="0" w:beforeAutospacing="0" w:after="0" w:afterAutospacing="0" w:line="555" w:lineRule="atLeast"/>
        <w:ind w:left="0" w:right="0" w:firstLine="645"/>
        <w:jc w:val="left"/>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2.一般公共服务（类）民主党派及工商联事务（款）一般行政管理事务（项）2024年预算数为20.35万元，主要用于：机关及直属支部开展正常的工作经费。</w:t>
      </w:r>
    </w:p>
    <w:p>
      <w:pPr>
        <w:pStyle w:val="11"/>
        <w:keepNext w:val="0"/>
        <w:keepLines w:val="0"/>
        <w:widowControl/>
        <w:suppressLineNumbers w:val="0"/>
        <w:shd w:val="clear"/>
        <w:spacing w:before="0" w:beforeAutospacing="0" w:after="0" w:afterAutospacing="0" w:line="555" w:lineRule="atLeast"/>
        <w:ind w:left="0" w:right="0" w:firstLine="645"/>
        <w:jc w:val="left"/>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3.社会保障和就业（类）行政事业单位养老支出（款）机关事业单位基本养老保险缴费支出（项）2024年预算数为5.54万元，主要用于：实施养老保险制度由单位缴纳的基本养老保险支出。</w:t>
      </w:r>
    </w:p>
    <w:p>
      <w:pPr>
        <w:pStyle w:val="11"/>
        <w:keepNext w:val="0"/>
        <w:keepLines w:val="0"/>
        <w:widowControl/>
        <w:suppressLineNumbers w:val="0"/>
        <w:shd w:val="clear"/>
        <w:spacing w:before="0" w:beforeAutospacing="0" w:after="0" w:afterAutospacing="0" w:line="555" w:lineRule="atLeast"/>
        <w:ind w:left="0" w:right="0" w:firstLine="645"/>
        <w:jc w:val="left"/>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4.社会保障和就业（类）其他社会保障和就业支出（款）其他社会保障和就业支出（项）2024年预算数为0.04万元，主要用于实施工伤保险制度由单位缴纳的工伤保险支出。</w:t>
      </w:r>
    </w:p>
    <w:p>
      <w:pPr>
        <w:keepNext w:val="0"/>
        <w:keepLines w:val="0"/>
        <w:widowControl w:val="0"/>
        <w:suppressLineNumbers w:val="0"/>
        <w:shd w:val="clear"/>
        <w:suppressAutoHyphens/>
        <w:spacing w:before="0" w:beforeAutospacing="0" w:after="0" w:afterAutospacing="0" w:line="555" w:lineRule="atLeast"/>
        <w:ind w:left="0" w:right="0" w:firstLine="645"/>
        <w:jc w:val="both"/>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5.卫生健康（类）行政事业单位医疗（款）行政单位医疗（项）2024年预算数为1.77万元，主要用于：机关及事业单位按规定由单位缴纳的基本医疗保险支出。</w:t>
      </w:r>
    </w:p>
    <w:p>
      <w:pPr>
        <w:pStyle w:val="11"/>
        <w:keepNext w:val="0"/>
        <w:keepLines w:val="0"/>
        <w:widowControl/>
        <w:suppressLineNumbers w:val="0"/>
        <w:shd w:val="clear"/>
        <w:spacing w:before="0" w:beforeAutospacing="0" w:after="0" w:afterAutospacing="0" w:line="555" w:lineRule="atLeast"/>
        <w:ind w:left="0" w:right="0" w:firstLine="645"/>
        <w:jc w:val="left"/>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6.住房保障（类）住房改革支出（款）住房公积金（项）2024年预算数为4.66万元，主要用于：部门按规定为职工缴纳的住房公积金支出。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16" w:name="_Toc983035598"/>
      <w:r>
        <w:rPr>
          <w:rFonts w:hint="eastAsia" w:ascii="黑体" w:hAnsi="黑体" w:eastAsia="黑体" w:cs="黑体"/>
          <w:sz w:val="32"/>
          <w:szCs w:val="32"/>
          <w:highlight w:val="none"/>
          <w:lang w:val="en-US" w:eastAsia="zh-CN"/>
        </w:rPr>
        <w:t>六、一般公共预算基本支出情况说明</w:t>
      </w:r>
      <w:bookmarkEnd w:id="1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民建广元市委2024年一般公共预算基本支出63.16万元，其中：</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人员经费54.28万元，主要包括：基本工资、津贴补贴、奖金、机关事业单位基本养老保险缴费、职工基本医疗保险缴费、住房公积金、生活补助。</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公用经费8.88万元，主要包括：办公费、印刷费、水费、电费、邮电费、物业管理费、差旅费、维修（护）费、会议费、公务接待费、工会经费、福利费、其他交通费用、其他商品和服务支出等支出。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17" w:name="_Toc606365385"/>
      <w:r>
        <w:rPr>
          <w:rFonts w:hint="eastAsia" w:ascii="黑体" w:hAnsi="黑体" w:eastAsia="黑体" w:cs="黑体"/>
          <w:sz w:val="32"/>
          <w:szCs w:val="32"/>
          <w:highlight w:val="none"/>
          <w:lang w:val="en-US" w:eastAsia="zh-CN"/>
        </w:rPr>
        <w:t>七、“三公”经费财政拨款预算安排情况说明</w:t>
      </w:r>
      <w:bookmarkEnd w:id="1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民建广元市委2024年“三公”经费财政拨款预算数0.16万元，其中：公务接待费0.16万元，公务用车购置及运行维护费0万元，因公出国（境）经费0万元。</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firstLine="640" w:firstLineChars="200"/>
        <w:textAlignment w:val="auto"/>
        <w:outlineLvl w:val="1"/>
        <w:rPr>
          <w:rStyle w:val="14"/>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pPr>
      <w:bookmarkStart w:id="18" w:name="_Toc1891536498"/>
      <w:r>
        <w:rPr>
          <w:rStyle w:val="14"/>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t>（一）公务接待费</w:t>
      </w:r>
      <w:bookmarkEnd w:id="1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公务接待费与2023年预算相比持平。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b/>
          <w:bCs/>
          <w:sz w:val="32"/>
          <w:szCs w:val="32"/>
          <w:highlight w:val="none"/>
        </w:rPr>
      </w:pPr>
      <w:r>
        <w:rPr>
          <w:rFonts w:hint="eastAsia" w:ascii="仿宋" w:hAnsi="仿宋" w:eastAsia="仿宋" w:cs="仿宋"/>
          <w:color w:val="auto"/>
          <w:kern w:val="2"/>
          <w:sz w:val="32"/>
          <w:szCs w:val="32"/>
          <w:highlight w:val="none"/>
          <w:lang w:val="en-US" w:eastAsia="zh-CN" w:bidi="ar-SA"/>
        </w:rPr>
        <w:t>2024年公务接待费计划用于执行接待考察调研、检查指导等公务活动开支的交通费、住宿费、用餐费等。</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firstLine="640" w:firstLineChars="200"/>
        <w:textAlignment w:val="auto"/>
        <w:outlineLvl w:val="1"/>
        <w:rPr>
          <w:rStyle w:val="14"/>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pPr>
      <w:bookmarkStart w:id="19" w:name="_Toc921583343"/>
      <w:r>
        <w:rPr>
          <w:rStyle w:val="14"/>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t>（二）公务用车购置及运行维护费</w:t>
      </w:r>
      <w:bookmarkEnd w:id="1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公务用车购置及运行维护费与2023年预算相比持平。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民建广元市委现有公务用车0辆。</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2024年未安排公务用车购置</w:t>
      </w:r>
      <w:r>
        <w:rPr>
          <w:rFonts w:hint="default" w:ascii="仿宋" w:hAnsi="仿宋" w:eastAsia="仿宋" w:cs="仿宋"/>
          <w:sz w:val="32"/>
          <w:szCs w:val="32"/>
          <w:highlight w:val="none"/>
          <w:lang w:eastAsia="zh-CN"/>
          <w:woUserID w:val="1"/>
        </w:rPr>
        <w:t>及</w:t>
      </w:r>
      <w:r>
        <w:rPr>
          <w:rFonts w:hint="eastAsia" w:ascii="仿宋" w:hAnsi="仿宋" w:eastAsia="仿宋" w:cs="仿宋"/>
          <w:sz w:val="32"/>
          <w:szCs w:val="32"/>
          <w:highlight w:val="none"/>
          <w:lang w:val="en-US" w:eastAsia="zh-CN"/>
        </w:rPr>
        <w:t>运行维护费。</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仿宋" w:hAnsi="仿宋" w:eastAsia="仿宋" w:cs="仿宋"/>
          <w:sz w:val="32"/>
          <w:szCs w:val="32"/>
          <w:highlight w:val="none"/>
          <w:lang w:val="en-US" w:eastAsia="zh-CN"/>
        </w:rPr>
      </w:pPr>
      <w:bookmarkStart w:id="20" w:name="_Toc1770509817"/>
      <w:r>
        <w:rPr>
          <w:rStyle w:val="14"/>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t>（三）因公出国（境）经费</w:t>
      </w:r>
      <w:bookmarkEnd w:id="2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因公出国（境）经费与2023年预算相比持平。</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21" w:name="_Toc676388044"/>
      <w:r>
        <w:rPr>
          <w:rFonts w:hint="eastAsia" w:ascii="黑体" w:hAnsi="黑体" w:eastAsia="黑体" w:cs="黑体"/>
          <w:sz w:val="32"/>
          <w:szCs w:val="32"/>
          <w:highlight w:val="none"/>
          <w:lang w:val="en-US" w:eastAsia="zh-CN"/>
        </w:rPr>
        <w:t>八、政府性基金预算支出情况说明</w:t>
      </w:r>
      <w:bookmarkEnd w:id="2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民建广元市委2024年无政府性基金预算拨款安排的支出。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22" w:name="_Toc1390197293"/>
      <w:r>
        <w:rPr>
          <w:rFonts w:hint="eastAsia" w:ascii="黑体" w:hAnsi="黑体" w:eastAsia="黑体" w:cs="黑体"/>
          <w:sz w:val="32"/>
          <w:szCs w:val="32"/>
          <w:highlight w:val="none"/>
          <w:lang w:val="en-US" w:eastAsia="zh-CN"/>
        </w:rPr>
        <w:t>九、国有资本经营预算支出情况说明</w:t>
      </w:r>
      <w:bookmarkEnd w:id="2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民建广元市委2024年无国有资本经营预算拨款安排的支出。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23" w:name="_Toc487084868"/>
      <w:r>
        <w:rPr>
          <w:rFonts w:hint="eastAsia" w:ascii="黑体" w:hAnsi="黑体" w:eastAsia="黑体" w:cs="黑体"/>
          <w:sz w:val="32"/>
          <w:szCs w:val="32"/>
          <w:highlight w:val="none"/>
          <w:lang w:val="en-US" w:eastAsia="zh-CN"/>
        </w:rPr>
        <w:t>十、其他重要事项的情况说明</w:t>
      </w:r>
      <w:bookmarkEnd w:id="23"/>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firstLine="640" w:firstLineChars="200"/>
        <w:textAlignment w:val="auto"/>
        <w:outlineLvl w:val="1"/>
        <w:rPr>
          <w:rStyle w:val="14"/>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pPr>
      <w:bookmarkStart w:id="24" w:name="_Toc925016757"/>
      <w:r>
        <w:rPr>
          <w:rStyle w:val="14"/>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t>（一）机关运行经费</w:t>
      </w:r>
      <w:bookmarkEnd w:id="2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Style w:val="14"/>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pPr>
      <w:r>
        <w:rPr>
          <w:rFonts w:hint="eastAsia" w:ascii="仿宋" w:hAnsi="仿宋" w:eastAsia="仿宋" w:cs="仿宋"/>
          <w:sz w:val="32"/>
          <w:szCs w:val="32"/>
          <w:highlight w:val="none"/>
          <w:lang w:val="en-US" w:eastAsia="zh-CN"/>
        </w:rPr>
        <w:t>2024年，民建广元市委机关运行经费财政拨款预算为8.88万元，比2023年预算持平。</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firstLine="640" w:firstLineChars="200"/>
        <w:textAlignment w:val="auto"/>
        <w:outlineLvl w:val="1"/>
        <w:rPr>
          <w:rStyle w:val="14"/>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pPr>
      <w:bookmarkStart w:id="25" w:name="_Toc2095009656"/>
      <w:r>
        <w:rPr>
          <w:rStyle w:val="14"/>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t>（二）政府采购情况</w:t>
      </w:r>
      <w:bookmarkEnd w:id="2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2024年，民建广元市委未安排政府采购预算。</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firstLine="640" w:firstLineChars="200"/>
        <w:textAlignment w:val="auto"/>
        <w:outlineLvl w:val="1"/>
        <w:rPr>
          <w:rStyle w:val="14"/>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pPr>
      <w:bookmarkStart w:id="26" w:name="_Toc1492077875"/>
      <w:r>
        <w:rPr>
          <w:rStyle w:val="14"/>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t>（三）国有资产占有使用情况</w:t>
      </w:r>
      <w:bookmarkEnd w:id="2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截至2023年底，民建广元市委共有车辆0辆。单位无价值200万元以上的大型设备。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Style w:val="14"/>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pPr>
      <w:r>
        <w:rPr>
          <w:rFonts w:hint="eastAsia" w:ascii="仿宋" w:hAnsi="仿宋" w:eastAsia="仿宋" w:cs="仿宋"/>
          <w:sz w:val="32"/>
          <w:szCs w:val="32"/>
          <w:highlight w:val="none"/>
          <w:lang w:val="en-US" w:eastAsia="zh-CN"/>
        </w:rPr>
        <w:t>2024年部门预算未安排购置车辆及单位价值200万元以上大型设备。</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firstLine="640" w:firstLineChars="200"/>
        <w:textAlignment w:val="auto"/>
        <w:outlineLvl w:val="1"/>
        <w:rPr>
          <w:rStyle w:val="14"/>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pPr>
      <w:bookmarkStart w:id="27" w:name="_Toc998793057"/>
      <w:r>
        <w:rPr>
          <w:rStyle w:val="14"/>
          <w:rFonts w:hint="eastAsia" w:ascii="仿宋" w:hAnsi="仿宋" w:eastAsia="仿宋" w:cs="仿宋"/>
          <w:i w:val="0"/>
          <w:iCs w:val="0"/>
          <w:caps w:val="0"/>
          <w:color w:val="000000" w:themeColor="text1"/>
          <w:spacing w:val="0"/>
          <w:sz w:val="32"/>
          <w:szCs w:val="32"/>
          <w:highlight w:val="none"/>
          <w:lang w:val="en-US" w:eastAsia="zh-CN"/>
          <w14:textFill>
            <w14:solidFill>
              <w14:schemeClr w14:val="tx1"/>
            </w14:solidFill>
          </w14:textFill>
        </w:rPr>
        <w:t>（四）绩效目标设置情况</w:t>
      </w:r>
      <w:bookmarkEnd w:id="2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2024年民建广元市委开展绩效目标管理的项目</w:t>
      </w:r>
      <w:r>
        <w:rPr>
          <w:rFonts w:hint="default" w:ascii="仿宋" w:hAnsi="仿宋" w:eastAsia="仿宋" w:cs="仿宋"/>
          <w:sz w:val="32"/>
          <w:szCs w:val="32"/>
          <w:highlight w:val="none"/>
          <w:lang w:eastAsia="zh-CN"/>
          <w:woUserID w:val="1"/>
        </w:rPr>
        <w:t>3</w:t>
      </w:r>
      <w:r>
        <w:rPr>
          <w:rFonts w:hint="eastAsia" w:ascii="仿宋" w:hAnsi="仿宋" w:eastAsia="仿宋" w:cs="仿宋"/>
          <w:sz w:val="32"/>
          <w:szCs w:val="32"/>
          <w:highlight w:val="none"/>
          <w:lang w:val="en-US" w:eastAsia="zh-CN"/>
        </w:rPr>
        <w:t>个，涉及预算</w:t>
      </w:r>
      <w:r>
        <w:rPr>
          <w:rFonts w:hint="default" w:ascii="仿宋" w:hAnsi="仿宋" w:eastAsia="仿宋" w:cs="仿宋"/>
          <w:sz w:val="32"/>
          <w:szCs w:val="32"/>
          <w:highlight w:val="none"/>
          <w:lang w:eastAsia="zh-CN"/>
          <w:woUserID w:val="1"/>
        </w:rPr>
        <w:t>83.51</w:t>
      </w:r>
      <w:r>
        <w:rPr>
          <w:rFonts w:hint="eastAsia" w:ascii="仿宋" w:hAnsi="仿宋" w:eastAsia="仿宋" w:cs="仿宋"/>
          <w:sz w:val="32"/>
          <w:szCs w:val="32"/>
          <w:highlight w:val="none"/>
          <w:lang w:val="en-US" w:eastAsia="zh-CN"/>
        </w:rPr>
        <w:t>万元。其中：</w:t>
      </w:r>
      <w:r>
        <w:rPr>
          <w:rFonts w:hint="default" w:ascii="仿宋" w:hAnsi="仿宋" w:eastAsia="仿宋" w:cs="仿宋"/>
          <w:sz w:val="32"/>
          <w:szCs w:val="32"/>
          <w:highlight w:val="none"/>
          <w:lang w:eastAsia="zh-CN"/>
          <w:woUserID w:val="1"/>
        </w:rPr>
        <w:t>人员</w:t>
      </w:r>
      <w:r>
        <w:rPr>
          <w:rFonts w:hint="eastAsia" w:ascii="仿宋" w:hAnsi="仿宋" w:eastAsia="仿宋" w:cs="仿宋"/>
          <w:sz w:val="32"/>
          <w:szCs w:val="32"/>
          <w:highlight w:val="none"/>
          <w:lang w:val="en-US" w:eastAsia="zh-CN"/>
          <w:woUserID w:val="1"/>
        </w:rPr>
        <w:t>类项目</w:t>
      </w:r>
      <w:r>
        <w:rPr>
          <w:rFonts w:hint="default" w:ascii="仿宋" w:hAnsi="仿宋" w:eastAsia="仿宋" w:cs="仿宋"/>
          <w:sz w:val="32"/>
          <w:szCs w:val="32"/>
          <w:highlight w:val="none"/>
          <w:lang w:eastAsia="zh-CN"/>
          <w:woUserID w:val="1"/>
        </w:rPr>
        <w:t>1</w:t>
      </w:r>
      <w:r>
        <w:rPr>
          <w:rFonts w:hint="eastAsia" w:ascii="仿宋" w:hAnsi="仿宋" w:eastAsia="仿宋" w:cs="仿宋"/>
          <w:sz w:val="32"/>
          <w:szCs w:val="32"/>
          <w:highlight w:val="none"/>
          <w:lang w:val="en-US" w:eastAsia="zh-CN"/>
          <w:woUserID w:val="1"/>
        </w:rPr>
        <w:t>个，涉及预算</w:t>
      </w:r>
      <w:r>
        <w:rPr>
          <w:rFonts w:hint="default" w:ascii="仿宋" w:hAnsi="仿宋" w:eastAsia="仿宋" w:cs="仿宋"/>
          <w:sz w:val="32"/>
          <w:szCs w:val="32"/>
          <w:highlight w:val="none"/>
          <w:lang w:eastAsia="zh-CN"/>
          <w:woUserID w:val="1"/>
        </w:rPr>
        <w:t>54.28</w:t>
      </w:r>
      <w:r>
        <w:rPr>
          <w:rFonts w:hint="eastAsia" w:ascii="仿宋" w:hAnsi="仿宋" w:eastAsia="仿宋" w:cs="仿宋"/>
          <w:sz w:val="32"/>
          <w:szCs w:val="32"/>
          <w:highlight w:val="none"/>
          <w:lang w:val="en-US" w:eastAsia="zh-CN"/>
          <w:woUserID w:val="1"/>
        </w:rPr>
        <w:t>万元</w:t>
      </w:r>
      <w:r>
        <w:rPr>
          <w:rFonts w:hint="default" w:ascii="仿宋" w:hAnsi="仿宋" w:eastAsia="仿宋" w:cs="仿宋"/>
          <w:sz w:val="32"/>
          <w:szCs w:val="32"/>
          <w:highlight w:val="none"/>
          <w:lang w:eastAsia="zh-CN"/>
          <w:woUserID w:val="1"/>
        </w:rPr>
        <w:t>；运转</w:t>
      </w:r>
      <w:r>
        <w:rPr>
          <w:rFonts w:hint="eastAsia" w:ascii="仿宋" w:hAnsi="仿宋" w:eastAsia="仿宋" w:cs="仿宋"/>
          <w:sz w:val="32"/>
          <w:szCs w:val="32"/>
          <w:highlight w:val="none"/>
          <w:lang w:val="en-US" w:eastAsia="zh-CN"/>
          <w:woUserID w:val="1"/>
        </w:rPr>
        <w:t>类项目</w:t>
      </w:r>
      <w:r>
        <w:rPr>
          <w:rFonts w:hint="default" w:ascii="仿宋" w:hAnsi="仿宋" w:eastAsia="仿宋" w:cs="仿宋"/>
          <w:sz w:val="32"/>
          <w:szCs w:val="32"/>
          <w:highlight w:val="none"/>
          <w:lang w:eastAsia="zh-CN"/>
          <w:woUserID w:val="1"/>
        </w:rPr>
        <w:t>1</w:t>
      </w:r>
      <w:r>
        <w:rPr>
          <w:rFonts w:hint="eastAsia" w:ascii="仿宋" w:hAnsi="仿宋" w:eastAsia="仿宋" w:cs="仿宋"/>
          <w:sz w:val="32"/>
          <w:szCs w:val="32"/>
          <w:highlight w:val="none"/>
          <w:lang w:val="en-US" w:eastAsia="zh-CN"/>
          <w:woUserID w:val="1"/>
        </w:rPr>
        <w:t>个，涉及预算</w:t>
      </w:r>
      <w:r>
        <w:rPr>
          <w:rFonts w:hint="default" w:ascii="仿宋" w:hAnsi="仿宋" w:eastAsia="仿宋" w:cs="仿宋"/>
          <w:sz w:val="32"/>
          <w:szCs w:val="32"/>
          <w:highlight w:val="none"/>
          <w:lang w:eastAsia="zh-CN"/>
          <w:woUserID w:val="1"/>
        </w:rPr>
        <w:t>8.88</w:t>
      </w:r>
      <w:r>
        <w:rPr>
          <w:rFonts w:hint="eastAsia" w:ascii="仿宋" w:hAnsi="仿宋" w:eastAsia="仿宋" w:cs="仿宋"/>
          <w:sz w:val="32"/>
          <w:szCs w:val="32"/>
          <w:highlight w:val="none"/>
          <w:lang w:val="en-US" w:eastAsia="zh-CN"/>
          <w:woUserID w:val="1"/>
        </w:rPr>
        <w:t>万元</w:t>
      </w:r>
      <w:r>
        <w:rPr>
          <w:rFonts w:hint="default" w:ascii="仿宋" w:hAnsi="仿宋" w:eastAsia="仿宋" w:cs="仿宋"/>
          <w:sz w:val="32"/>
          <w:szCs w:val="32"/>
          <w:highlight w:val="none"/>
          <w:lang w:eastAsia="zh-CN"/>
          <w:woUserID w:val="1"/>
        </w:rPr>
        <w:t>；</w:t>
      </w:r>
      <w:r>
        <w:rPr>
          <w:rFonts w:hint="eastAsia" w:ascii="仿宋" w:hAnsi="仿宋" w:eastAsia="仿宋" w:cs="仿宋"/>
          <w:sz w:val="32"/>
          <w:szCs w:val="32"/>
          <w:highlight w:val="none"/>
          <w:lang w:val="en-US" w:eastAsia="zh-CN"/>
        </w:rPr>
        <w:t>特定目标类项目1个，涉及预算20.35万元。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仿宋" w:hAnsi="仿宋" w:eastAsia="仿宋" w:cs="仿宋"/>
          <w:sz w:val="32"/>
          <w:szCs w:val="32"/>
          <w:highlight w:val="none"/>
        </w:rPr>
      </w:pPr>
      <w:bookmarkStart w:id="28" w:name="_Toc1060822616"/>
      <w:r>
        <w:rPr>
          <w:rFonts w:hint="eastAsia" w:ascii="黑体" w:hAnsi="黑体" w:eastAsia="黑体" w:cs="黑体"/>
          <w:sz w:val="32"/>
          <w:szCs w:val="32"/>
          <w:highlight w:val="none"/>
          <w:lang w:val="en-US" w:eastAsia="zh-CN"/>
        </w:rPr>
        <w:t>十一、名词解释</w:t>
      </w:r>
      <w:bookmarkEnd w:id="2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（一）财政拨款收入:指市财政当年安排的财政预算收入。按现行管理制度,部门预算中反映的财政拨款包括一般公共预算拨款和政府性基金预算拨款。</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（二）一般公共服务（类）民主党派及工商联事务（款）行政运行（项）：指行政单位（包括实行公务员管理的事业单位）的基本支出。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（三）一般公共服务（类）民主党派及工商联事务（款）一般行政管理事务（项）：指反映行政单位（包括实行公务员管理的事业单位）未单独设置项级科目的其他项目支出。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val="en-US" w:eastAsia="zh-CN"/>
          <w:woUserID w:val="1"/>
        </w:rPr>
      </w:pPr>
      <w:r>
        <w:rPr>
          <w:rFonts w:hint="eastAsia" w:ascii="仿宋" w:hAnsi="仿宋" w:eastAsia="仿宋" w:cs="仿宋"/>
          <w:sz w:val="32"/>
          <w:szCs w:val="32"/>
          <w:highlight w:val="none"/>
          <w:lang w:val="en-US" w:eastAsia="zh-CN"/>
        </w:rPr>
        <w:t>（四）</w:t>
      </w:r>
      <w:r>
        <w:rPr>
          <w:rFonts w:hint="eastAsia" w:ascii="仿宋" w:hAnsi="仿宋" w:eastAsia="仿宋" w:cs="仿宋"/>
          <w:sz w:val="32"/>
          <w:szCs w:val="32"/>
          <w:highlight w:val="none"/>
          <w:lang w:val="en-US" w:eastAsia="zh-CN"/>
          <w:woUserID w:val="1"/>
        </w:rPr>
        <w:t>社会保障和就业（类）行政事业单位养老支出（款）机关事业单位基本养老保险缴费支出（项）：指机关事业单位实施养老保险制度由单位缴纳的基本养老保险费支出。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val="en-US" w:eastAsia="zh-CN"/>
          <w:woUserID w:val="1"/>
        </w:rPr>
      </w:pPr>
      <w:r>
        <w:rPr>
          <w:rFonts w:hint="eastAsia" w:ascii="仿宋" w:hAnsi="仿宋" w:eastAsia="仿宋" w:cs="仿宋"/>
          <w:sz w:val="32"/>
          <w:szCs w:val="32"/>
          <w:highlight w:val="none"/>
          <w:lang w:val="en-US" w:eastAsia="zh-CN"/>
        </w:rPr>
        <w:t>（五）</w:t>
      </w:r>
      <w:r>
        <w:rPr>
          <w:rFonts w:hint="eastAsia" w:ascii="仿宋" w:hAnsi="仿宋" w:eastAsia="仿宋" w:cs="仿宋"/>
          <w:sz w:val="32"/>
          <w:szCs w:val="32"/>
          <w:highlight w:val="none"/>
          <w:lang w:val="en-US" w:eastAsia="zh-CN"/>
          <w:woUserID w:val="1"/>
        </w:rPr>
        <w:t>社会保障和就业（类）</w:t>
      </w:r>
      <w:r>
        <w:rPr>
          <w:rFonts w:hint="default" w:ascii="仿宋" w:hAnsi="仿宋" w:eastAsia="仿宋" w:cs="仿宋"/>
          <w:sz w:val="32"/>
          <w:szCs w:val="32"/>
          <w:highlight w:val="none"/>
          <w:lang w:eastAsia="zh-CN"/>
          <w:woUserID w:val="1"/>
        </w:rPr>
        <w:t>其他社会保障和就业支出</w:t>
      </w:r>
      <w:r>
        <w:rPr>
          <w:rFonts w:hint="eastAsia" w:ascii="仿宋" w:hAnsi="仿宋" w:eastAsia="仿宋" w:cs="仿宋"/>
          <w:sz w:val="32"/>
          <w:szCs w:val="32"/>
          <w:highlight w:val="none"/>
          <w:lang w:val="en-US" w:eastAsia="zh-CN"/>
          <w:woUserID w:val="1"/>
        </w:rPr>
        <w:t>（款）</w:t>
      </w:r>
      <w:r>
        <w:rPr>
          <w:rFonts w:hint="default" w:ascii="仿宋" w:hAnsi="仿宋" w:eastAsia="仿宋" w:cs="仿宋"/>
          <w:sz w:val="32"/>
          <w:szCs w:val="32"/>
          <w:highlight w:val="none"/>
          <w:lang w:eastAsia="zh-CN"/>
          <w:woUserID w:val="1"/>
        </w:rPr>
        <w:t>其他社会保障和就业支出</w:t>
      </w:r>
      <w:r>
        <w:rPr>
          <w:rFonts w:hint="eastAsia" w:ascii="仿宋" w:hAnsi="仿宋" w:eastAsia="仿宋" w:cs="仿宋"/>
          <w:sz w:val="32"/>
          <w:szCs w:val="32"/>
          <w:highlight w:val="none"/>
          <w:lang w:val="en-US" w:eastAsia="zh-CN"/>
          <w:woUserID w:val="1"/>
        </w:rPr>
        <w:t>（项）：指</w:t>
      </w:r>
      <w:r>
        <w:rPr>
          <w:rFonts w:hint="eastAsia" w:ascii="仿宋" w:hAnsi="仿宋" w:eastAsia="仿宋" w:cs="仿宋"/>
          <w:color w:val="auto"/>
          <w:kern w:val="2"/>
          <w:sz w:val="32"/>
          <w:szCs w:val="32"/>
          <w:highlight w:val="none"/>
          <w:lang w:val="en-US" w:eastAsia="zh-CN" w:bidi="ar-SA"/>
          <w:woUserID w:val="1"/>
        </w:rPr>
        <w:t>实施工伤保险制度由单位缴纳的工伤保险支出。</w:t>
      </w:r>
    </w:p>
    <w:p>
      <w:pPr>
        <w:keepNext w:val="0"/>
        <w:keepLines w:val="0"/>
        <w:pageBreakBefore w:val="0"/>
        <w:widowControl w:val="0"/>
        <w:suppressLineNumbers w:val="0"/>
        <w:shd w:val="clear"/>
        <w:suppressAutoHyphens/>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（六）卫生健康（类）行政事业单位医疗（款）行政单位医疗（项）：</w:t>
      </w:r>
      <w:r>
        <w:rPr>
          <w:rFonts w:hint="default" w:ascii="仿宋_GB2312" w:hAnsi="Calibri" w:eastAsia="仿宋_GB2312" w:cs="仿宋_GB2312"/>
          <w:color w:val="auto"/>
          <w:kern w:val="2"/>
          <w:sz w:val="32"/>
          <w:szCs w:val="32"/>
          <w:lang w:val="en-US" w:eastAsia="zh-CN" w:bidi="ar"/>
          <w:woUserID w:val="1"/>
        </w:rPr>
        <w:t>指机关及事业单位用于单位应缴纳基本医疗保险支出。</w:t>
      </w:r>
    </w:p>
    <w:p>
      <w:pPr>
        <w:keepNext w:val="0"/>
        <w:keepLines w:val="0"/>
        <w:pageBreakBefore w:val="0"/>
        <w:widowControl w:val="0"/>
        <w:suppressLineNumbers w:val="0"/>
        <w:shd w:val="clear"/>
        <w:suppressAutoHyphens/>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（七）住房保障（类）住房改革支出（款）住房公积金（项）：指</w:t>
      </w:r>
      <w:r>
        <w:rPr>
          <w:rFonts w:hint="default" w:ascii="仿宋_GB2312" w:hAnsi="Calibri" w:eastAsia="仿宋_GB2312" w:cs="仿宋_GB2312"/>
          <w:color w:val="auto"/>
          <w:kern w:val="2"/>
          <w:sz w:val="32"/>
          <w:szCs w:val="32"/>
          <w:lang w:val="en-US" w:eastAsia="zh-CN" w:bidi="ar"/>
          <w:woUserID w:val="1"/>
        </w:rPr>
        <w:t>按照《住房公积金管理条例》的规定，由单位及其在职职工缴存的长期住房储金。</w:t>
      </w:r>
      <w:r>
        <w:rPr>
          <w:rFonts w:hint="eastAsia" w:ascii="仿宋" w:hAnsi="仿宋" w:eastAsia="仿宋" w:cs="仿宋"/>
          <w:sz w:val="32"/>
          <w:szCs w:val="32"/>
          <w:highlight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（八）基本支出：指为保证机构正常运转，完成日常工作任务而发生的人员支出和公用支出。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（九）项目支出：指在基本支出之外为完成特定行政任务和事业发展目标所发生的支出。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十）“三公”经费：纳入财政厅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十一）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附件：</w:t>
      </w:r>
      <w:r>
        <w:rPr>
          <w:rFonts w:hint="default" w:ascii="仿宋" w:hAnsi="仿宋" w:eastAsia="仿宋" w:cs="仿宋"/>
          <w:sz w:val="32"/>
          <w:szCs w:val="32"/>
          <w:highlight w:val="none"/>
          <w:lang w:eastAsia="zh-CN"/>
          <w:woUserID w:val="1"/>
        </w:rPr>
        <w:t>单位</w:t>
      </w:r>
      <w:r>
        <w:rPr>
          <w:rFonts w:hint="eastAsia" w:ascii="仿宋" w:hAnsi="仿宋" w:eastAsia="仿宋" w:cs="仿宋"/>
          <w:sz w:val="32"/>
          <w:szCs w:val="32"/>
          <w:highlight w:val="none"/>
          <w:lang w:val="en-US" w:eastAsia="zh-CN"/>
        </w:rPr>
        <w:t>预算公开表</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highlight w:val="none"/>
          <w:lang w:val="en-US"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Liberation Sans">
    <w:altName w:val="Arial"/>
    <w:panose1 w:val="020B0604020202020204"/>
    <w:charset w:val="00"/>
    <w:family w:val="swiss"/>
    <w:pitch w:val="default"/>
    <w:sig w:usb0="00000000" w:usb1="00000000" w:usb2="00000000" w:usb3="00000000" w:csb0="6000009F" w:csb1="DFD70000"/>
  </w:font>
  <w:font w:name="Noto Sans CJK SC Regular">
    <w:altName w:val="Noto Serif CJK SC"/>
    <w:panose1 w:val="020B0500000000000000"/>
    <w:charset w:val="86"/>
    <w:family w:val="auto"/>
    <w:pitch w:val="default"/>
    <w:sig w:usb0="00000000" w:usb1="00000000" w:usb2="00000016" w:usb3="00000000" w:csb0="602E0107" w:csb1="00000000"/>
  </w:font>
  <w:font w:name="方正小标宋简体">
    <w:altName w:val="Times New Roman"/>
    <w:panose1 w:val="02000000000000000000"/>
    <w:charset w:val="86"/>
    <w:family w:val="auto"/>
    <w:pitch w:val="default"/>
    <w:sig w:usb0="00000000" w:usb1="00000000" w:usb2="00000012" w:usb3="00000000" w:csb0="00040001" w:csb1="00000000"/>
  </w:font>
  <w:font w:name="仿宋">
    <w:altName w:val="Times New Roman"/>
    <w:panose1 w:val="02010609060101010101"/>
    <w:charset w:val="86"/>
    <w:family w:val="auto"/>
    <w:pitch w:val="default"/>
    <w:sig w:usb0="00000000" w:usb1="00000000" w:usb2="00000016" w:usb3="00000000" w:csb0="00040001" w:csb1="00000000"/>
  </w:font>
  <w:font w:name="仿宋_GB2312">
    <w:altName w:val="Times New Roman"/>
    <w:panose1 w:val="02010609030101010101"/>
    <w:charset w:val="86"/>
    <w:family w:val="auto"/>
    <w:pitch w:val="default"/>
    <w:sig w:usb0="00000000" w:usb1="00000000" w:usb2="00000000" w:usb3="00000000" w:csb0="00040000" w:csb1="00000000"/>
  </w:font>
  <w:font w:name="Noto Serif CJK SC">
    <w:panose1 w:val="02020400000000000000"/>
    <w:charset w:val="86"/>
    <w:family w:val="auto"/>
    <w:pitch w:val="default"/>
    <w:sig w:usb0="30000083" w:usb1="2BDF3C10" w:usb2="00000016" w:usb3="00000000" w:csb0="602E0107" w:csb1="00000000"/>
  </w:font>
  <w:font w:name="方正小标宋_GBK">
    <w:altName w:val="Times New Roman"/>
    <w:panose1 w:val="00000000000000000000"/>
    <w:charset w:val="00"/>
    <w:family w:val="auto"/>
    <w:pitch w:val="default"/>
    <w:sig w:usb0="00000000" w:usb1="00000000" w:usb2="00000000" w:usb3="00000000" w:csb0="00000000" w:csb1="00000000"/>
  </w:font>
  <w:font w:name="方正仿宋_GBK">
    <w:altName w:val="Times New Roman"/>
    <w:panose1 w:val="00000000000000000000"/>
    <w:charset w:val="00"/>
    <w:family w:val="auto"/>
    <w:pitch w:val="default"/>
    <w:sig w:usb0="00000000" w:usb1="00000000" w:usb2="00000000" w:usb3="00000000" w:csb0="00000000" w:csb1="00000000"/>
  </w:font>
  <w:font w:name="乐见体">
    <w:panose1 w:val="02020400000000000000"/>
    <w:charset w:val="86"/>
    <w:family w:val="auto"/>
    <w:pitch w:val="default"/>
    <w:sig w:usb0="80000003" w:usb1="08012000" w:usb2="00000012"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BA59D1"/>
    <w:multiLevelType w:val="singleLevel"/>
    <w:tmpl w:val="47BA59D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0"/>
  <w:displayVerticalDrawingGridEvery w:val="2"/>
  <w:doNotUseMarginsForDrawingGridOrigin w:val="1"/>
  <w:drawingGridHorizontalOrigin w:val="0"/>
  <w:drawingGridVerticalOrigin w:val="0"/>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4MjQ2NDJkOTMwZjNiOWMxZmJjMWE2ODYyMzY2NWUifQ=="/>
  </w:docVars>
  <w:rsids>
    <w:rsidRoot w:val="00000000"/>
    <w:rsid w:val="012352D1"/>
    <w:rsid w:val="02EE3C38"/>
    <w:rsid w:val="049868E8"/>
    <w:rsid w:val="07A3045D"/>
    <w:rsid w:val="0D9352C6"/>
    <w:rsid w:val="139F4031"/>
    <w:rsid w:val="150115A9"/>
    <w:rsid w:val="1573694A"/>
    <w:rsid w:val="177FD313"/>
    <w:rsid w:val="1AAA0A67"/>
    <w:rsid w:val="1AB2319A"/>
    <w:rsid w:val="1F7BF06F"/>
    <w:rsid w:val="1FEE4B73"/>
    <w:rsid w:val="20672C08"/>
    <w:rsid w:val="20777D67"/>
    <w:rsid w:val="23CE9849"/>
    <w:rsid w:val="257B5AE9"/>
    <w:rsid w:val="2CCB4651"/>
    <w:rsid w:val="2FA7D8B3"/>
    <w:rsid w:val="392B4CC2"/>
    <w:rsid w:val="39F304DD"/>
    <w:rsid w:val="3BDADEEB"/>
    <w:rsid w:val="3D3F6F8E"/>
    <w:rsid w:val="40855D14"/>
    <w:rsid w:val="54244390"/>
    <w:rsid w:val="54662A63"/>
    <w:rsid w:val="58064E12"/>
    <w:rsid w:val="5BFEAB6F"/>
    <w:rsid w:val="5BFEE015"/>
    <w:rsid w:val="5FA7034E"/>
    <w:rsid w:val="63EDCF55"/>
    <w:rsid w:val="63FBFBCF"/>
    <w:rsid w:val="669360FD"/>
    <w:rsid w:val="68FF6A83"/>
    <w:rsid w:val="6DFDF268"/>
    <w:rsid w:val="6FBBC9CF"/>
    <w:rsid w:val="72BDE561"/>
    <w:rsid w:val="77B25E8E"/>
    <w:rsid w:val="78462278"/>
    <w:rsid w:val="7997EA6C"/>
    <w:rsid w:val="7AEAE675"/>
    <w:rsid w:val="7BAFCE5D"/>
    <w:rsid w:val="7D46598C"/>
    <w:rsid w:val="7DFB240B"/>
    <w:rsid w:val="7E0935ED"/>
    <w:rsid w:val="7E4543B7"/>
    <w:rsid w:val="7F7B19A3"/>
    <w:rsid w:val="7FCF2AF7"/>
    <w:rsid w:val="9FEF033D"/>
    <w:rsid w:val="A27FF1E5"/>
    <w:rsid w:val="AF3F2FA5"/>
    <w:rsid w:val="AFDEB5A7"/>
    <w:rsid w:val="AFEA7FBF"/>
    <w:rsid w:val="B83F4767"/>
    <w:rsid w:val="BDFBD5FD"/>
    <w:rsid w:val="BF930F07"/>
    <w:rsid w:val="BFCE8436"/>
    <w:rsid w:val="C3F7EB7A"/>
    <w:rsid w:val="CFF5FEEC"/>
    <w:rsid w:val="D3DD9064"/>
    <w:rsid w:val="D6F76A0C"/>
    <w:rsid w:val="D7ECE8D2"/>
    <w:rsid w:val="DE4BE08C"/>
    <w:rsid w:val="DFDD4FB5"/>
    <w:rsid w:val="E6F74B18"/>
    <w:rsid w:val="E7F748B5"/>
    <w:rsid w:val="EE5F3713"/>
    <w:rsid w:val="EFC9D62C"/>
    <w:rsid w:val="F6BE9755"/>
    <w:rsid w:val="F6FFA89B"/>
    <w:rsid w:val="FAE4EFE1"/>
    <w:rsid w:val="FB9B6F12"/>
    <w:rsid w:val="FBB66A4A"/>
    <w:rsid w:val="FDEE6989"/>
    <w:rsid w:val="FDFF3726"/>
    <w:rsid w:val="FF5E7DB8"/>
    <w:rsid w:val="FF77E367"/>
    <w:rsid w:val="FFD576EB"/>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table of figures"/>
    <w:basedOn w:val="1"/>
    <w:next w:val="1"/>
    <w:semiHidden/>
    <w:qFormat/>
    <w:uiPriority w:val="99"/>
    <w:pPr>
      <w:ind w:left="200" w:leftChars="200" w:hanging="200" w:hangingChars="200"/>
    </w:p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toc 3"/>
    <w:basedOn w:val="1"/>
    <w:next w:val="1"/>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uiPriority w:val="0"/>
  </w:style>
  <w:style w:type="paragraph" w:styleId="9">
    <w:name w:val="List"/>
    <w:basedOn w:val="4"/>
    <w:qFormat/>
    <w:uiPriority w:val="0"/>
  </w:style>
  <w:style w:type="paragraph" w:styleId="10">
    <w:name w:val="toc 2"/>
    <w:basedOn w:val="1"/>
    <w:next w:val="1"/>
    <w:uiPriority w:val="0"/>
    <w:pPr>
      <w:ind w:left="420" w:leftChars="200"/>
    </w:pPr>
  </w:style>
  <w:style w:type="paragraph" w:styleId="11">
    <w:name w:val="Normal (Web)"/>
    <w:basedOn w:val="1"/>
    <w:qFormat/>
    <w:uiPriority w:val="0"/>
    <w:rPr>
      <w:sz w:val="24"/>
    </w:rPr>
  </w:style>
  <w:style w:type="character" w:styleId="14">
    <w:name w:val="Strong"/>
    <w:basedOn w:val="13"/>
    <w:qFormat/>
    <w:uiPriority w:val="0"/>
    <w:rPr>
      <w:b/>
    </w:rPr>
  </w:style>
  <w:style w:type="character" w:customStyle="1" w:styleId="15">
    <w:name w:val="默认段落字体1"/>
    <w:qFormat/>
    <w:uiPriority w:val="0"/>
  </w:style>
  <w:style w:type="paragraph" w:customStyle="1" w:styleId="16">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7">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Lines>1</Lines>
  <Paragraphs>1</Paragraphs>
  <TotalTime>0</TotalTime>
  <ScaleCrop>false</ScaleCrop>
  <LinksUpToDate>false</LinksUpToDate>
  <Application>WPS Office WWO_wpscloud_20240126182319-534a0df1c3</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2018-11-30T09:47:00Z</dcterms:created>
  <dc:creator>admin</dc:creator>
  <cp:lastModifiedBy>何昆睿</cp:lastModifiedBy>
  <dcterms:modified xsi:type="dcterms:W3CDTF">2024-02-28T16:26:57Z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96081F72B7444D3C8C1C7DDAED24732C_13</vt:lpwstr>
  </property>
</Properties>
</file>