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bookmarkStart w:id="0" w:name="_Toc920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t>广元市食品药品检验检测中心</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t>2024年单位预算编制说明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Times New Roman" w:hAnsi="Times New Roman" w:eastAsia="方正小标宋简体" w:cs="方正小标宋简体"/>
          <w:b w:val="0"/>
          <w:bCs w:val="0"/>
          <w:i w:val="0"/>
          <w:caps w:val="0"/>
          <w:color w:val="auto"/>
          <w:spacing w:val="0"/>
          <w:kern w:val="0"/>
          <w:sz w:val="44"/>
          <w:szCs w:val="44"/>
          <w:highlight w:val="none"/>
          <w:shd w:val="clear" w:color="auto" w:fill="FFFFFF"/>
          <w:lang w:val="en-US" w:eastAsia="zh-CN" w:bidi="ar"/>
        </w:rPr>
      </w:pPr>
    </w:p>
    <w:sdt>
      <w:sdtPr>
        <w:rPr>
          <w:rFonts w:hint="eastAsia" w:ascii="Times New Roman" w:hAnsi="Times New Roman" w:eastAsia="黑体" w:cs="黑体"/>
          <w:b w:val="0"/>
          <w:bCs w:val="0"/>
          <w:color w:val="auto"/>
          <w:kern w:val="2"/>
          <w:sz w:val="32"/>
          <w:szCs w:val="32"/>
          <w:lang w:val="en-US" w:eastAsia="zh-CN" w:bidi="ar-SA"/>
        </w:rPr>
        <w:id w:val="147461417"/>
        <w15:color w:val="DBDBDB"/>
        <w:docPartObj>
          <w:docPartGallery w:val="Table of Contents"/>
          <w:docPartUnique/>
        </w:docPartObj>
      </w:sdtPr>
      <w:sdtEndPr>
        <w:rPr>
          <w:rFonts w:hint="eastAsia" w:ascii="Times New Roman" w:hAnsi="Times New Roman" w:eastAsia="仿宋_GB2312" w:cs="仿宋_GB2312"/>
          <w:b/>
          <w:bCs/>
          <w:i w:val="0"/>
          <w:caps w:val="0"/>
          <w:color w:val="auto"/>
          <w:spacing w:val="0"/>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6"/>
            <w:tabs>
              <w:tab w:val="right" w:leader="dot" w:pos="8845"/>
            </w:tabs>
            <w:spacing w:line="360" w:lineRule="auto"/>
          </w:pPr>
          <w:r>
            <w:rPr>
              <w:rFonts w:hint="eastAsia" w:ascii="Times New Roman" w:hAnsi="Times New Roman" w:eastAsia="仿宋_GB2312" w:cs="仿宋_GB2312"/>
              <w:b w:val="0"/>
              <w:bCs w:val="0"/>
              <w:i w:val="0"/>
              <w:caps w:val="0"/>
              <w:color w:val="auto"/>
              <w:spacing w:val="0"/>
              <w:sz w:val="32"/>
              <w:szCs w:val="32"/>
              <w:highlight w:val="none"/>
            </w:rPr>
            <w:fldChar w:fldCharType="begin"/>
          </w:r>
          <w:r>
            <w:rPr>
              <w:rFonts w:hint="eastAsia" w:ascii="Times New Roman" w:hAnsi="Times New Roman" w:eastAsia="仿宋_GB2312" w:cs="仿宋_GB2312"/>
              <w:b w:val="0"/>
              <w:bCs w:val="0"/>
              <w:i w:val="0"/>
              <w:caps w:val="0"/>
              <w:color w:val="auto"/>
              <w:spacing w:val="0"/>
              <w:sz w:val="32"/>
              <w:szCs w:val="32"/>
              <w:highlight w:val="none"/>
            </w:rPr>
            <w:instrText xml:space="preserve">TOC \o "1-2" \h \u </w:instrText>
          </w:r>
          <w:r>
            <w:rPr>
              <w:rFonts w:hint="eastAsia" w:ascii="Times New Roman" w:hAnsi="Times New Roman" w:eastAsia="仿宋_GB2312" w:cs="仿宋_GB2312"/>
              <w:b w:val="0"/>
              <w:bCs w:val="0"/>
              <w:i w:val="0"/>
              <w:caps w:val="0"/>
              <w:color w:val="auto"/>
              <w:spacing w:val="0"/>
              <w:sz w:val="32"/>
              <w:szCs w:val="32"/>
              <w:highlight w:val="none"/>
            </w:rPr>
            <w:fldChar w:fldCharType="separate"/>
          </w: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_Toc381895263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szCs w:val="32"/>
              <w:lang w:val="en-US" w:eastAsia="zh-CN"/>
            </w:rPr>
            <w:t>一、基本职能及主要工作</w:t>
          </w:r>
          <w:r>
            <w:tab/>
          </w:r>
          <w:r>
            <w:fldChar w:fldCharType="begin"/>
          </w:r>
          <w:r>
            <w:instrText xml:space="preserve"> PAGEREF _Toc381895263 \h </w:instrText>
          </w:r>
          <w:r>
            <w:fldChar w:fldCharType="separate"/>
          </w:r>
          <w:r>
            <w:t>- 3 -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_Toc1966206238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rPr>
            <w:t>（一）</w:t>
          </w:r>
          <w:r>
            <w:rPr>
              <w:rFonts w:hint="default" w:ascii="Times New Roman" w:hAnsi="Times New Roman" w:eastAsia="楷体_GB2312" w:cs="楷体_GB2312"/>
              <w:szCs w:val="32"/>
            </w:rPr>
            <w:t>广元市食品药品检验检测中心</w:t>
          </w:r>
          <w:r>
            <w:rPr>
              <w:rFonts w:hint="eastAsia" w:ascii="Times New Roman" w:hAnsi="Times New Roman" w:eastAsia="楷体_GB2312" w:cs="楷体_GB2312"/>
              <w:szCs w:val="32"/>
            </w:rPr>
            <w:t>职能简介</w:t>
          </w:r>
          <w:r>
            <w:tab/>
          </w:r>
          <w:r>
            <w:fldChar w:fldCharType="begin"/>
          </w:r>
          <w:r>
            <w:instrText xml:space="preserve"> PAGEREF _Toc1966206238 \h </w:instrText>
          </w:r>
          <w:r>
            <w:fldChar w:fldCharType="separate"/>
          </w:r>
          <w:r>
            <w:t>- 3 -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_Toc1918019850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rPr>
            <w:t>（二）</w:t>
          </w:r>
          <w:r>
            <w:rPr>
              <w:rFonts w:hint="default" w:ascii="Times New Roman" w:hAnsi="Times New Roman" w:eastAsia="楷体_GB2312" w:cs="楷体_GB2312"/>
              <w:szCs w:val="32"/>
            </w:rPr>
            <w:t>广元市食品药品检验检测中心</w:t>
          </w:r>
          <w:r>
            <w:rPr>
              <w:rFonts w:hint="eastAsia" w:ascii="Times New Roman" w:hAnsi="Times New Roman" w:eastAsia="楷体_GB2312" w:cs="楷体_GB2312"/>
              <w:szCs w:val="32"/>
              <w:lang w:val="en-US"/>
            </w:rPr>
            <w:t>2024</w:t>
          </w:r>
          <w:r>
            <w:rPr>
              <w:rFonts w:hint="eastAsia" w:ascii="Times New Roman" w:hAnsi="Times New Roman" w:eastAsia="楷体_GB2312" w:cs="楷体_GB2312"/>
              <w:szCs w:val="32"/>
            </w:rPr>
            <w:t>年重点工作</w:t>
          </w:r>
          <w:r>
            <w:tab/>
          </w:r>
          <w:r>
            <w:fldChar w:fldCharType="begin"/>
          </w:r>
          <w:r>
            <w:instrText xml:space="preserve"> PAGEREF _Toc1918019850 \h </w:instrText>
          </w:r>
          <w:r>
            <w:fldChar w:fldCharType="separate"/>
          </w:r>
          <w:r>
            <w:t>- 3 -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_Toc245090708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szCs w:val="32"/>
              <w:lang w:val="en-US" w:eastAsia="zh-CN"/>
            </w:rPr>
            <w:t>二、部门预算单位构成</w:t>
          </w:r>
          <w:r>
            <w:tab/>
          </w:r>
          <w:r>
            <w:fldChar w:fldCharType="begin"/>
          </w:r>
          <w:r>
            <w:instrText xml:space="preserve"> PAGEREF _Toc245090708 \h </w:instrText>
          </w:r>
          <w:r>
            <w:fldChar w:fldCharType="separate"/>
          </w:r>
          <w:r>
            <w:t>- 4 -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_Toc9827014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szCs w:val="32"/>
              <w:lang w:val="en-US" w:eastAsia="zh-CN"/>
            </w:rPr>
            <w:t>三、收支预算情况说明</w:t>
          </w:r>
          <w:r>
            <w:tab/>
          </w:r>
          <w:r>
            <w:fldChar w:fldCharType="begin"/>
          </w:r>
          <w:r>
            <w:instrText xml:space="preserve"> PAGEREF _Toc9827014 \h </w:instrText>
          </w:r>
          <w:r>
            <w:fldChar w:fldCharType="separate"/>
          </w:r>
          <w:r>
            <w:t>- 4 -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_Toc2037190101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lang w:val="en-US" w:eastAsia="zh-CN"/>
            </w:rPr>
            <w:t>（一）收入预算情况</w:t>
          </w:r>
          <w:r>
            <w:tab/>
          </w:r>
          <w:r>
            <w:fldChar w:fldCharType="begin"/>
          </w:r>
          <w:r>
            <w:instrText xml:space="preserve"> PAGEREF _Toc2037190101 \h </w:instrText>
          </w:r>
          <w:r>
            <w:fldChar w:fldCharType="separate"/>
          </w:r>
          <w:r>
            <w:t>- 5 -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_Toc1359577754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lang w:val="en-US" w:eastAsia="zh-CN"/>
            </w:rPr>
            <w:t>（二）支出预算情况</w:t>
          </w:r>
          <w:r>
            <w:tab/>
          </w:r>
          <w:r>
            <w:fldChar w:fldCharType="begin"/>
          </w:r>
          <w:r>
            <w:instrText xml:space="preserve"> PAGEREF _Toc1359577754 \h </w:instrText>
          </w:r>
          <w:r>
            <w:fldChar w:fldCharType="separate"/>
          </w:r>
          <w:r>
            <w:t>- 5 -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_Toc748756721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szCs w:val="32"/>
              <w:lang w:val="en-US" w:eastAsia="zh-CN"/>
            </w:rPr>
            <w:t>四、财政拨款收支预算情况说明</w:t>
          </w:r>
          <w:r>
            <w:tab/>
          </w:r>
          <w:r>
            <w:fldChar w:fldCharType="begin"/>
          </w:r>
          <w:r>
            <w:instrText xml:space="preserve"> PAGEREF _Toc748756721 \h </w:instrText>
          </w:r>
          <w:r>
            <w:fldChar w:fldCharType="separate"/>
          </w:r>
          <w:r>
            <w:t>- 5 -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_Toc467668900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szCs w:val="32"/>
              <w:lang w:val="en-US" w:eastAsia="zh-CN"/>
            </w:rPr>
            <w:t>五、一般公共预算当年拨款情况说明</w:t>
          </w:r>
          <w:r>
            <w:tab/>
          </w:r>
          <w:r>
            <w:fldChar w:fldCharType="begin"/>
          </w:r>
          <w:r>
            <w:instrText xml:space="preserve"> PAGEREF _Toc467668900 \h </w:instrText>
          </w:r>
          <w:r>
            <w:fldChar w:fldCharType="separate"/>
          </w:r>
          <w:r>
            <w:t>- 5 -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_Toc1375605960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lang w:val="en-US" w:eastAsia="zh-CN"/>
            </w:rPr>
            <w:t>（一）一般公共预算当年拨款规模变化情况</w:t>
          </w:r>
          <w:r>
            <w:tab/>
          </w:r>
          <w:r>
            <w:fldChar w:fldCharType="begin"/>
          </w:r>
          <w:r>
            <w:instrText xml:space="preserve"> PAGEREF _Toc1375605960 \h </w:instrText>
          </w:r>
          <w:r>
            <w:fldChar w:fldCharType="separate"/>
          </w:r>
          <w:r>
            <w:t>- 5 -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_Toc954059720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lang w:val="en-US" w:eastAsia="zh-CN"/>
            </w:rPr>
            <w:t>（二）一般公共预算当年拨款结构情况</w:t>
          </w:r>
          <w:r>
            <w:tab/>
          </w:r>
          <w:r>
            <w:fldChar w:fldCharType="begin"/>
          </w:r>
          <w:r>
            <w:instrText xml:space="preserve"> PAGEREF _Toc954059720 \h </w:instrText>
          </w:r>
          <w:r>
            <w:fldChar w:fldCharType="separate"/>
          </w:r>
          <w:r>
            <w:t>- 5 -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_Toc1000418331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lang w:val="en-US" w:eastAsia="zh-CN"/>
            </w:rPr>
            <w:t>（三）一般公共预算当年拨款具体使用情况</w:t>
          </w:r>
          <w:r>
            <w:tab/>
          </w:r>
          <w:r>
            <w:fldChar w:fldCharType="begin"/>
          </w:r>
          <w:r>
            <w:instrText xml:space="preserve"> PAGEREF _Toc1000418331 \h </w:instrText>
          </w:r>
          <w:r>
            <w:fldChar w:fldCharType="separate"/>
          </w:r>
          <w:r>
            <w:t>- 6 -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_Toc882649515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szCs w:val="32"/>
              <w:lang w:val="en-US" w:eastAsia="zh-CN"/>
            </w:rPr>
            <w:t>六、一般公共预算基本支出情况说明</w:t>
          </w:r>
          <w:r>
            <w:tab/>
          </w:r>
          <w:r>
            <w:fldChar w:fldCharType="begin"/>
          </w:r>
          <w:r>
            <w:instrText xml:space="preserve"> PAGEREF _Toc882649515 \h </w:instrText>
          </w:r>
          <w:r>
            <w:fldChar w:fldCharType="separate"/>
          </w:r>
          <w:r>
            <w:t>- 7 -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_Toc2010461927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kern w:val="2"/>
              <w:szCs w:val="32"/>
              <w:lang w:val="en-US" w:eastAsia="zh-CN" w:bidi="ar-SA"/>
            </w:rPr>
            <w:t>七、</w:t>
          </w:r>
          <w:r>
            <w:rPr>
              <w:rFonts w:hint="eastAsia" w:ascii="Times New Roman" w:hAnsi="Times New Roman" w:eastAsia="黑体" w:cs="黑体"/>
              <w:szCs w:val="32"/>
              <w:lang w:val="en-US" w:eastAsia="zh-CN"/>
            </w:rPr>
            <w:t>“三公”经费财政拨款预算安排情况说明</w:t>
          </w:r>
          <w:r>
            <w:tab/>
          </w:r>
          <w:r>
            <w:fldChar w:fldCharType="begin"/>
          </w:r>
          <w:r>
            <w:instrText xml:space="preserve"> PAGEREF _Toc2010461927 \h </w:instrText>
          </w:r>
          <w:r>
            <w:fldChar w:fldCharType="separate"/>
          </w:r>
          <w:r>
            <w:t>- 7 -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_Toc1817807192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kern w:val="2"/>
              <w:szCs w:val="32"/>
              <w:lang w:val="en-US" w:eastAsia="zh-CN" w:bidi="ar-SA"/>
            </w:rPr>
            <w:t>（一）</w:t>
          </w:r>
          <w:r>
            <w:rPr>
              <w:rFonts w:hint="eastAsia" w:ascii="Times New Roman" w:hAnsi="Times New Roman" w:eastAsia="楷体_GB2312" w:cs="楷体_GB2312"/>
              <w:szCs w:val="32"/>
              <w:lang w:val="en-US" w:eastAsia="zh-CN"/>
            </w:rPr>
            <w:t>公务接待费</w:t>
          </w:r>
          <w:r>
            <w:tab/>
          </w:r>
          <w:r>
            <w:fldChar w:fldCharType="begin"/>
          </w:r>
          <w:r>
            <w:instrText xml:space="preserve"> PAGEREF _Toc1817807192 \h </w:instrText>
          </w:r>
          <w:r>
            <w:fldChar w:fldCharType="separate"/>
          </w:r>
          <w:r>
            <w:t>- 7 -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_Toc878426368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kern w:val="2"/>
              <w:szCs w:val="32"/>
              <w:lang w:val="en-US" w:eastAsia="zh-CN" w:bidi="ar-SA"/>
            </w:rPr>
            <w:t>（二）公务用车购置及运行维护费</w:t>
          </w:r>
          <w:r>
            <w:tab/>
          </w:r>
          <w:r>
            <w:fldChar w:fldCharType="begin"/>
          </w:r>
          <w:r>
            <w:instrText xml:space="preserve"> PAGEREF _Toc878426368 \h </w:instrText>
          </w:r>
          <w:r>
            <w:fldChar w:fldCharType="separate"/>
          </w:r>
          <w:r>
            <w:t>- 7 -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_Toc141428635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kern w:val="2"/>
              <w:szCs w:val="32"/>
              <w:lang w:val="en-US" w:eastAsia="zh-CN" w:bidi="ar-SA"/>
            </w:rPr>
            <w:t>（三）</w:t>
          </w:r>
          <w:r>
            <w:rPr>
              <w:rFonts w:hint="eastAsia" w:ascii="Times New Roman" w:hAnsi="Times New Roman" w:eastAsia="楷体_GB2312" w:cs="楷体_GB2312"/>
              <w:szCs w:val="32"/>
              <w:lang w:val="en-US" w:eastAsia="zh-CN"/>
            </w:rPr>
            <w:t>因公出国（境）经费</w:t>
          </w:r>
          <w:r>
            <w:tab/>
          </w:r>
          <w:r>
            <w:fldChar w:fldCharType="begin"/>
          </w:r>
          <w:r>
            <w:instrText xml:space="preserve"> PAGEREF _Toc141428635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_Toc106211516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kern w:val="2"/>
              <w:szCs w:val="32"/>
              <w:lang w:val="en-US" w:eastAsia="zh-CN" w:bidi="ar-SA"/>
            </w:rPr>
            <w:t>八、</w:t>
          </w:r>
          <w:r>
            <w:rPr>
              <w:rFonts w:hint="eastAsia" w:ascii="Times New Roman" w:hAnsi="Times New Roman" w:eastAsia="黑体" w:cs="黑体"/>
              <w:szCs w:val="32"/>
              <w:lang w:val="en-US" w:eastAsia="zh-CN"/>
            </w:rPr>
            <w:t>政府性基金预算支出情况说明</w:t>
          </w:r>
          <w:r>
            <w:tab/>
          </w:r>
          <w:r>
            <w:fldChar w:fldCharType="begin"/>
          </w:r>
          <w:r>
            <w:instrText xml:space="preserve"> PAGEREF _Toc106211516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_Toc223627156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kern w:val="2"/>
              <w:szCs w:val="32"/>
              <w:lang w:val="en-US" w:eastAsia="zh-CN" w:bidi="ar-SA"/>
            </w:rPr>
            <w:t>九、</w:t>
          </w:r>
          <w:r>
            <w:rPr>
              <w:rFonts w:hint="eastAsia" w:ascii="Times New Roman" w:hAnsi="Times New Roman" w:eastAsia="黑体" w:cs="黑体"/>
              <w:szCs w:val="32"/>
              <w:lang w:val="en-US" w:eastAsia="zh-CN"/>
            </w:rPr>
            <w:t>国有资本经营预算支出情况说明</w:t>
          </w:r>
          <w:r>
            <w:tab/>
          </w:r>
          <w:r>
            <w:fldChar w:fldCharType="begin"/>
          </w:r>
          <w:r>
            <w:instrText xml:space="preserve"> PAGEREF _Toc223627156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_Toc618039784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kern w:val="2"/>
              <w:szCs w:val="32"/>
              <w:lang w:val="en-US" w:eastAsia="zh-CN" w:bidi="ar-SA"/>
            </w:rPr>
            <w:t>十、</w:t>
          </w:r>
          <w:r>
            <w:rPr>
              <w:rFonts w:hint="eastAsia" w:ascii="Times New Roman" w:hAnsi="Times New Roman" w:eastAsia="黑体" w:cs="黑体"/>
              <w:szCs w:val="32"/>
              <w:lang w:val="en-US" w:eastAsia="zh-CN"/>
            </w:rPr>
            <w:t>其他重要事项的情况说明</w:t>
          </w:r>
          <w:r>
            <w:tab/>
          </w:r>
          <w:r>
            <w:fldChar w:fldCharType="begin"/>
          </w:r>
          <w:r>
            <w:instrText xml:space="preserve"> PAGEREF _Toc618039784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_Toc2086107811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szCs w:val="32"/>
              <w:lang w:val="en-US" w:eastAsia="zh-CN"/>
            </w:rPr>
            <w:t>（一）机关运行经费</w:t>
          </w:r>
          <w:r>
            <w:tab/>
          </w:r>
          <w:r>
            <w:fldChar w:fldCharType="begin"/>
          </w:r>
          <w:r>
            <w:instrText xml:space="preserve"> PAGEREF _Toc2086107811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_Toc1484937888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kern w:val="2"/>
              <w:szCs w:val="32"/>
              <w:lang w:val="en-US" w:eastAsia="zh-CN" w:bidi="ar-SA"/>
            </w:rPr>
            <w:t>（二）</w:t>
          </w:r>
          <w:r>
            <w:rPr>
              <w:rFonts w:hint="eastAsia" w:ascii="Times New Roman" w:hAnsi="Times New Roman" w:eastAsia="楷体_GB2312" w:cs="楷体_GB2312"/>
              <w:szCs w:val="32"/>
              <w:lang w:val="en-US" w:eastAsia="zh-CN"/>
            </w:rPr>
            <w:t>政府采购情况</w:t>
          </w:r>
          <w:r>
            <w:tab/>
          </w:r>
          <w:r>
            <w:fldChar w:fldCharType="begin"/>
          </w:r>
          <w:r>
            <w:instrText xml:space="preserve"> PAGEREF _Toc1484937888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_Toc2005121775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kern w:val="2"/>
              <w:szCs w:val="32"/>
              <w:lang w:val="en-US" w:eastAsia="zh-CN" w:bidi="ar-SA"/>
            </w:rPr>
            <w:t>（三）</w:t>
          </w:r>
          <w:r>
            <w:rPr>
              <w:rFonts w:hint="eastAsia" w:ascii="Times New Roman" w:hAnsi="Times New Roman" w:eastAsia="楷体_GB2312" w:cs="楷体_GB2312"/>
              <w:szCs w:val="32"/>
              <w:lang w:val="en-US" w:eastAsia="zh-CN"/>
            </w:rPr>
            <w:t>国有资产占有使用情况</w:t>
          </w:r>
          <w:r>
            <w:tab/>
          </w:r>
          <w:r>
            <w:fldChar w:fldCharType="begin"/>
          </w:r>
          <w:r>
            <w:instrText xml:space="preserve"> PAGEREF _Toc2005121775 \h </w:instrText>
          </w:r>
          <w:r>
            <w:fldChar w:fldCharType="separate"/>
          </w:r>
          <w:r>
            <w:t>- 8 -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8"/>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_Toc871654940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楷体_GB2312" w:cs="楷体_GB2312"/>
              <w:kern w:val="2"/>
              <w:szCs w:val="32"/>
              <w:lang w:val="en-US" w:eastAsia="zh-CN" w:bidi="ar-SA"/>
            </w:rPr>
            <w:t>（四）</w:t>
          </w:r>
          <w:r>
            <w:rPr>
              <w:rFonts w:hint="eastAsia" w:ascii="Times New Roman" w:hAnsi="Times New Roman" w:eastAsia="楷体_GB2312" w:cs="楷体_GB2312"/>
              <w:szCs w:val="32"/>
              <w:lang w:val="en-US" w:eastAsia="zh-CN"/>
            </w:rPr>
            <w:t>绩效目标设置情况</w:t>
          </w:r>
          <w:r>
            <w:tab/>
          </w:r>
          <w:r>
            <w:fldChar w:fldCharType="begin"/>
          </w:r>
          <w:r>
            <w:instrText xml:space="preserve"> PAGEREF _Toc871654940 \h </w:instrText>
          </w:r>
          <w:r>
            <w:fldChar w:fldCharType="separate"/>
          </w:r>
          <w:r>
            <w:t>- 9 -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pStyle w:val="6"/>
            <w:tabs>
              <w:tab w:val="right" w:leader="dot" w:pos="8845"/>
            </w:tabs>
            <w:spacing w:line="360" w:lineRule="auto"/>
          </w:pPr>
          <w:r>
            <w:rPr>
              <w:rFonts w:hint="eastAsia" w:ascii="Times New Roman" w:hAnsi="Times New Roman" w:eastAsia="仿宋_GB2312" w:cs="仿宋_GB2312"/>
              <w:bCs w:val="0"/>
              <w:i w:val="0"/>
              <w:caps w:val="0"/>
              <w:color w:val="auto"/>
              <w:spacing w:val="0"/>
              <w:szCs w:val="32"/>
              <w:highlight w:val="none"/>
            </w:rPr>
            <w:fldChar w:fldCharType="begin"/>
          </w:r>
          <w:r>
            <w:rPr>
              <w:rFonts w:hint="eastAsia" w:ascii="Times New Roman" w:hAnsi="Times New Roman" w:eastAsia="仿宋_GB2312" w:cs="仿宋_GB2312"/>
              <w:bCs w:val="0"/>
              <w:i w:val="0"/>
              <w:caps w:val="0"/>
              <w:spacing w:val="0"/>
              <w:szCs w:val="32"/>
              <w:highlight w:val="none"/>
            </w:rPr>
            <w:instrText xml:space="preserve"> HYPERLINK \l _Toc1410733619 </w:instrText>
          </w:r>
          <w:r>
            <w:rPr>
              <w:rFonts w:hint="eastAsia" w:ascii="Times New Roman" w:hAnsi="Times New Roman" w:eastAsia="仿宋_GB2312" w:cs="仿宋_GB2312"/>
              <w:bCs w:val="0"/>
              <w:i w:val="0"/>
              <w:caps w:val="0"/>
              <w:spacing w:val="0"/>
              <w:szCs w:val="32"/>
              <w:highlight w:val="none"/>
            </w:rPr>
            <w:fldChar w:fldCharType="separate"/>
          </w:r>
          <w:r>
            <w:rPr>
              <w:rFonts w:hint="eastAsia" w:ascii="Times New Roman" w:hAnsi="Times New Roman" w:eastAsia="黑体" w:cs="黑体"/>
              <w:kern w:val="2"/>
              <w:szCs w:val="32"/>
              <w:lang w:val="en-US" w:eastAsia="zh-CN" w:bidi="ar-SA"/>
            </w:rPr>
            <w:t>十一、</w:t>
          </w:r>
          <w:r>
            <w:rPr>
              <w:rFonts w:hint="eastAsia" w:ascii="Times New Roman" w:hAnsi="Times New Roman" w:eastAsia="黑体" w:cs="黑体"/>
              <w:szCs w:val="32"/>
              <w:lang w:val="en-US" w:eastAsia="zh-CN"/>
            </w:rPr>
            <w:t>名词解释</w:t>
          </w:r>
          <w:r>
            <w:tab/>
          </w:r>
          <w:r>
            <w:fldChar w:fldCharType="begin"/>
          </w:r>
          <w:r>
            <w:instrText xml:space="preserve"> PAGEREF _Toc1410733619 \h </w:instrText>
          </w:r>
          <w:r>
            <w:fldChar w:fldCharType="separate"/>
          </w:r>
          <w:r>
            <w:t>- 9 -</w:t>
          </w:r>
          <w:r>
            <w:fldChar w:fldCharType="end"/>
          </w:r>
          <w:r>
            <w:rPr>
              <w:rFonts w:hint="eastAsia" w:ascii="Times New Roman" w:hAnsi="Times New Roman" w:eastAsia="仿宋_GB2312" w:cs="仿宋_GB2312"/>
              <w:bCs w:val="0"/>
              <w:i w:val="0"/>
              <w:caps w:val="0"/>
              <w:color w:val="auto"/>
              <w:spacing w:val="0"/>
              <w:szCs w:val="32"/>
              <w:highlight w:val="none"/>
            </w:rPr>
            <w:fldChar w:fldCharType="end"/>
          </w:r>
        </w:p>
        <w:p>
          <w:pPr>
            <w:keepNext w:val="0"/>
            <w:keepLines w:val="0"/>
            <w:pageBreakBefore w:val="0"/>
            <w:kinsoku/>
            <w:wordWrap/>
            <w:overflowPunct/>
            <w:topLinePunct w:val="0"/>
            <w:autoSpaceDE/>
            <w:autoSpaceDN/>
            <w:bidi w:val="0"/>
            <w:adjustRightInd/>
            <w:snapToGrid/>
            <w:spacing w:line="360" w:lineRule="auto"/>
            <w:ind w:leftChars="0"/>
            <w:jc w:val="distribute"/>
            <w:textAlignment w:val="auto"/>
            <w:rPr>
              <w:rFonts w:hint="eastAsia" w:ascii="Times New Roman" w:hAnsi="Times New Roman" w:eastAsia="仿宋_GB2312" w:cs="仿宋_GB2312"/>
              <w:i w:val="0"/>
              <w:caps w:val="0"/>
              <w:color w:val="auto"/>
              <w:spacing w:val="0"/>
              <w:sz w:val="32"/>
              <w:szCs w:val="32"/>
              <w:highlight w:val="none"/>
            </w:rPr>
          </w:pPr>
          <w:r>
            <w:rPr>
              <w:rFonts w:hint="eastAsia" w:ascii="Times New Roman" w:hAnsi="Times New Roman" w:eastAsia="仿宋_GB2312" w:cs="仿宋_GB2312"/>
              <w:bCs w:val="0"/>
              <w:i w:val="0"/>
              <w:caps w:val="0"/>
              <w:color w:val="auto"/>
              <w:spacing w:val="0"/>
              <w:szCs w:val="32"/>
              <w:highlight w:val="none"/>
            </w:rPr>
            <w:fldChar w:fldCharType="end"/>
          </w:r>
        </w:p>
      </w:sdtContent>
    </w:sdt>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黑体" w:cs="黑体"/>
          <w:color w:val="auto"/>
          <w:sz w:val="32"/>
          <w:szCs w:val="32"/>
          <w:lang w:val="en-US" w:eastAsia="zh-CN"/>
        </w:rPr>
      </w:pPr>
      <w:bookmarkStart w:id="1" w:name="_Toc381895263"/>
      <w:r>
        <w:rPr>
          <w:rFonts w:hint="eastAsia" w:ascii="Times New Roman" w:hAnsi="Times New Roman" w:eastAsia="黑体" w:cs="黑体"/>
          <w:color w:val="auto"/>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rPr>
      </w:pPr>
      <w:bookmarkStart w:id="2" w:name="_Toc1966206238"/>
      <w:r>
        <w:rPr>
          <w:rFonts w:hint="eastAsia" w:ascii="Times New Roman" w:hAnsi="Times New Roman" w:eastAsia="楷体_GB2312" w:cs="楷体_GB2312"/>
          <w:color w:val="auto"/>
          <w:sz w:val="32"/>
          <w:szCs w:val="32"/>
        </w:rPr>
        <w:t>（一）</w:t>
      </w:r>
      <w:r>
        <w:rPr>
          <w:rFonts w:hint="default" w:ascii="Times New Roman" w:hAnsi="Times New Roman" w:eastAsia="楷体_GB2312" w:cs="楷体_GB2312"/>
          <w:color w:val="auto"/>
          <w:sz w:val="32"/>
          <w:szCs w:val="32"/>
        </w:rPr>
        <w:t>广元市食品药品检验检测中心</w:t>
      </w:r>
      <w:r>
        <w:rPr>
          <w:rFonts w:hint="eastAsia" w:ascii="Times New Roman" w:hAnsi="Times New Roman" w:eastAsia="楷体_GB2312" w:cs="楷体_GB2312"/>
          <w:color w:val="auto"/>
          <w:sz w:val="32"/>
          <w:szCs w:val="32"/>
        </w:rPr>
        <w:t>职能简介</w:t>
      </w:r>
      <w:bookmarkEnd w:id="2"/>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Times New Roman"/>
          <w:bCs/>
          <w:color w:val="auto"/>
          <w:sz w:val="32"/>
          <w:szCs w:val="32"/>
          <w:shd w:val="clear" w:color="auto" w:fill="FFFFFF"/>
          <w:lang w:eastAsia="zh-CN"/>
        </w:rPr>
      </w:pPr>
      <w:r>
        <w:rPr>
          <w:rFonts w:hint="default" w:ascii="Times New Roman" w:hAnsi="Times New Roman" w:eastAsia="仿宋_GB2312" w:cs="Times New Roman"/>
          <w:bCs/>
          <w:color w:val="auto"/>
          <w:sz w:val="32"/>
          <w:szCs w:val="32"/>
          <w:shd w:val="clear" w:color="auto" w:fill="FFFFFF"/>
        </w:rPr>
        <w:t>1.</w:t>
      </w:r>
      <w:r>
        <w:rPr>
          <w:rFonts w:hint="eastAsia" w:ascii="Times New Roman" w:hAnsi="Times New Roman" w:eastAsia="仿宋_GB2312" w:cs="Times New Roman"/>
          <w:bCs/>
          <w:color w:val="auto"/>
          <w:sz w:val="32"/>
          <w:szCs w:val="32"/>
          <w:shd w:val="clear" w:color="auto" w:fill="FFFFFF"/>
          <w:lang w:eastAsia="zh-CN"/>
        </w:rPr>
        <w:t>承担上级下达的</w:t>
      </w:r>
      <w:r>
        <w:rPr>
          <w:rFonts w:hint="default" w:ascii="Times New Roman" w:hAnsi="Times New Roman" w:eastAsia="仿宋_GB2312" w:cs="Times New Roman"/>
          <w:bCs/>
          <w:color w:val="auto"/>
          <w:sz w:val="32"/>
          <w:szCs w:val="32"/>
          <w:shd w:val="clear" w:color="auto" w:fill="FFFFFF"/>
        </w:rPr>
        <w:t>食品（保健食品）、药品、化妆品</w:t>
      </w:r>
      <w:r>
        <w:rPr>
          <w:rFonts w:hint="eastAsia" w:ascii="Times New Roman" w:hAnsi="Times New Roman" w:eastAsia="仿宋_GB2312" w:cs="Times New Roman"/>
          <w:bCs/>
          <w:color w:val="auto"/>
          <w:sz w:val="32"/>
          <w:szCs w:val="32"/>
          <w:shd w:val="clear" w:color="auto" w:fill="FFFFFF"/>
          <w:lang w:eastAsia="zh-CN"/>
        </w:rPr>
        <w:t>等监督抽检，专项抽检</w:t>
      </w:r>
      <w:r>
        <w:rPr>
          <w:rFonts w:hint="default" w:ascii="Times New Roman" w:hAnsi="Times New Roman" w:eastAsia="仿宋_GB2312" w:cs="Times New Roman"/>
          <w:bCs/>
          <w:color w:val="auto"/>
          <w:sz w:val="32"/>
          <w:szCs w:val="32"/>
          <w:shd w:val="clear" w:color="auto" w:fill="FFFFFF"/>
        </w:rPr>
        <w:t>，</w:t>
      </w:r>
      <w:r>
        <w:rPr>
          <w:rFonts w:hint="eastAsia" w:ascii="Times New Roman" w:hAnsi="Times New Roman" w:eastAsia="仿宋_GB2312" w:cs="Times New Roman"/>
          <w:bCs/>
          <w:color w:val="auto"/>
          <w:sz w:val="32"/>
          <w:szCs w:val="32"/>
          <w:shd w:val="clear" w:color="auto" w:fill="FFFFFF"/>
          <w:lang w:eastAsia="zh-CN"/>
        </w:rPr>
        <w:t>风险监测等任务。</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bCs/>
          <w:color w:val="auto"/>
          <w:sz w:val="32"/>
          <w:szCs w:val="32"/>
          <w:shd w:val="clear" w:color="auto" w:fill="FFFFFF"/>
        </w:rPr>
      </w:pPr>
      <w:r>
        <w:rPr>
          <w:rFonts w:hint="eastAsia" w:ascii="Times New Roman" w:hAnsi="Times New Roman" w:eastAsia="仿宋_GB2312" w:cs="Times New Roman"/>
          <w:bCs/>
          <w:color w:val="auto"/>
          <w:sz w:val="32"/>
          <w:szCs w:val="32"/>
          <w:shd w:val="clear" w:color="auto" w:fill="FFFFFF"/>
          <w:lang w:val="en-US" w:eastAsia="zh-CN"/>
        </w:rPr>
        <w:t>2.</w:t>
      </w:r>
      <w:r>
        <w:rPr>
          <w:rFonts w:hint="default" w:ascii="Times New Roman" w:hAnsi="Times New Roman" w:eastAsia="仿宋_GB2312" w:cs="Times New Roman"/>
          <w:bCs/>
          <w:color w:val="auto"/>
          <w:sz w:val="32"/>
          <w:szCs w:val="32"/>
          <w:shd w:val="clear" w:color="auto" w:fill="FFFFFF"/>
        </w:rPr>
        <w:t>负责辖区内食品（保健食品）</w:t>
      </w:r>
      <w:r>
        <w:rPr>
          <w:rFonts w:hint="eastAsia" w:ascii="Times New Roman" w:hAnsi="Times New Roman" w:eastAsia="仿宋_GB2312" w:cs="Times New Roman"/>
          <w:bCs/>
          <w:color w:val="auto"/>
          <w:sz w:val="32"/>
          <w:szCs w:val="32"/>
          <w:shd w:val="clear" w:color="auto" w:fill="FFFFFF"/>
          <w:lang w:eastAsia="zh-CN"/>
        </w:rPr>
        <w:t>、药品（含医院制剂）、化妆品的执法检查、注册审批、风险研判、行政仲裁等检验工作</w:t>
      </w:r>
      <w:r>
        <w:rPr>
          <w:rFonts w:hint="default" w:ascii="Times New Roman" w:hAnsi="Times New Roman" w:eastAsia="仿宋_GB2312" w:cs="Times New Roman"/>
          <w:bCs/>
          <w:color w:val="auto"/>
          <w:sz w:val="32"/>
          <w:szCs w:val="32"/>
          <w:shd w:val="clear" w:color="auto" w:fill="FFFFFF"/>
        </w:rPr>
        <w:t>。</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bCs/>
          <w:color w:val="auto"/>
          <w:sz w:val="32"/>
          <w:szCs w:val="32"/>
          <w:shd w:val="clear" w:color="auto" w:fill="FFFFFF"/>
        </w:rPr>
      </w:pPr>
      <w:r>
        <w:rPr>
          <w:rFonts w:hint="eastAsia" w:ascii="Times New Roman" w:hAnsi="Times New Roman" w:eastAsia="仿宋_GB2312" w:cs="Times New Roman"/>
          <w:bCs/>
          <w:color w:val="auto"/>
          <w:sz w:val="32"/>
          <w:szCs w:val="32"/>
          <w:shd w:val="clear" w:color="auto" w:fill="FFFFFF"/>
          <w:lang w:val="en-US" w:eastAsia="zh-CN"/>
        </w:rPr>
        <w:t>3</w:t>
      </w:r>
      <w:r>
        <w:rPr>
          <w:rFonts w:hint="default" w:ascii="Times New Roman" w:hAnsi="Times New Roman" w:eastAsia="仿宋_GB2312" w:cs="Times New Roman"/>
          <w:bCs/>
          <w:color w:val="auto"/>
          <w:sz w:val="32"/>
          <w:szCs w:val="32"/>
          <w:shd w:val="clear" w:color="auto" w:fill="FFFFFF"/>
        </w:rPr>
        <w:t>.负责辖区</w:t>
      </w:r>
      <w:r>
        <w:rPr>
          <w:rFonts w:hint="eastAsia" w:ascii="Times New Roman" w:hAnsi="Times New Roman" w:eastAsia="仿宋_GB2312" w:cs="Times New Roman"/>
          <w:bCs/>
          <w:color w:val="auto"/>
          <w:sz w:val="32"/>
          <w:szCs w:val="32"/>
          <w:shd w:val="clear" w:color="auto" w:fill="FFFFFF"/>
          <w:lang w:eastAsia="zh-CN"/>
        </w:rPr>
        <w:t>洁净室（区）净化监测</w:t>
      </w:r>
      <w:r>
        <w:rPr>
          <w:rFonts w:hint="default" w:ascii="Times New Roman" w:hAnsi="Times New Roman" w:eastAsia="仿宋_GB2312" w:cs="Times New Roman"/>
          <w:bCs/>
          <w:color w:val="auto"/>
          <w:sz w:val="32"/>
          <w:szCs w:val="32"/>
          <w:shd w:val="clear" w:color="auto" w:fill="FFFFFF"/>
        </w:rPr>
        <w:t>工作。</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bCs/>
          <w:color w:val="auto"/>
          <w:sz w:val="32"/>
          <w:szCs w:val="32"/>
          <w:shd w:val="clear" w:color="auto" w:fill="FFFFFF"/>
        </w:rPr>
      </w:pPr>
      <w:r>
        <w:rPr>
          <w:rFonts w:hint="default" w:ascii="Times New Roman" w:hAnsi="Times New Roman" w:eastAsia="仿宋_GB2312" w:cs="Times New Roman"/>
          <w:bCs/>
          <w:color w:val="auto"/>
          <w:sz w:val="32"/>
          <w:szCs w:val="32"/>
          <w:shd w:val="clear" w:color="auto" w:fill="FFFFFF"/>
        </w:rPr>
        <w:t>3.指导</w:t>
      </w:r>
      <w:r>
        <w:rPr>
          <w:rFonts w:hint="eastAsia" w:ascii="Times New Roman" w:hAnsi="Times New Roman" w:eastAsia="仿宋_GB2312" w:cs="Times New Roman"/>
          <w:bCs/>
          <w:color w:val="auto"/>
          <w:sz w:val="32"/>
          <w:szCs w:val="32"/>
          <w:shd w:val="clear" w:color="auto" w:fill="FFFFFF"/>
          <w:lang w:eastAsia="zh-CN"/>
        </w:rPr>
        <w:t>帮助</w:t>
      </w:r>
      <w:r>
        <w:rPr>
          <w:rFonts w:hint="default" w:ascii="Times New Roman" w:hAnsi="Times New Roman" w:eastAsia="仿宋_GB2312" w:cs="Times New Roman"/>
          <w:bCs/>
          <w:color w:val="auto"/>
          <w:sz w:val="32"/>
          <w:szCs w:val="32"/>
          <w:shd w:val="clear" w:color="auto" w:fill="FFFFFF"/>
        </w:rPr>
        <w:t>辖区食品（保健食品）</w:t>
      </w:r>
      <w:r>
        <w:rPr>
          <w:rFonts w:hint="eastAsia" w:ascii="Times New Roman" w:hAnsi="Times New Roman" w:eastAsia="仿宋_GB2312" w:cs="Times New Roman"/>
          <w:bCs/>
          <w:color w:val="auto"/>
          <w:sz w:val="32"/>
          <w:szCs w:val="32"/>
          <w:shd w:val="clear" w:color="auto" w:fill="FFFFFF"/>
          <w:lang w:eastAsia="zh-CN"/>
        </w:rPr>
        <w:t>、</w:t>
      </w:r>
      <w:r>
        <w:rPr>
          <w:rFonts w:hint="default" w:ascii="Times New Roman" w:hAnsi="Times New Roman" w:eastAsia="仿宋_GB2312" w:cs="Times New Roman"/>
          <w:bCs/>
          <w:color w:val="auto"/>
          <w:sz w:val="32"/>
          <w:szCs w:val="32"/>
          <w:shd w:val="clear" w:color="auto" w:fill="FFFFFF"/>
        </w:rPr>
        <w:t>药品</w:t>
      </w:r>
      <w:r>
        <w:rPr>
          <w:rFonts w:hint="eastAsia" w:ascii="Times New Roman" w:hAnsi="Times New Roman" w:eastAsia="仿宋_GB2312" w:cs="Times New Roman"/>
          <w:bCs/>
          <w:color w:val="auto"/>
          <w:sz w:val="32"/>
          <w:szCs w:val="32"/>
          <w:shd w:val="clear" w:color="auto" w:fill="FFFFFF"/>
          <w:lang w:eastAsia="zh-CN"/>
        </w:rPr>
        <w:t>、化妆品等</w:t>
      </w:r>
      <w:r>
        <w:rPr>
          <w:rFonts w:hint="default" w:ascii="Times New Roman" w:hAnsi="Times New Roman" w:eastAsia="仿宋_GB2312" w:cs="Times New Roman"/>
          <w:bCs/>
          <w:color w:val="auto"/>
          <w:sz w:val="32"/>
          <w:szCs w:val="32"/>
          <w:shd w:val="clear" w:color="auto" w:fill="FFFFFF"/>
        </w:rPr>
        <w:t>生产、经营、使用</w:t>
      </w:r>
      <w:r>
        <w:rPr>
          <w:rFonts w:hint="eastAsia" w:ascii="Times New Roman" w:hAnsi="Times New Roman" w:eastAsia="仿宋_GB2312" w:cs="Times New Roman"/>
          <w:bCs/>
          <w:color w:val="auto"/>
          <w:sz w:val="32"/>
          <w:szCs w:val="32"/>
          <w:shd w:val="clear" w:color="auto" w:fill="FFFFFF"/>
          <w:lang w:eastAsia="zh-CN"/>
        </w:rPr>
        <w:t>企业开展</w:t>
      </w:r>
      <w:r>
        <w:rPr>
          <w:rFonts w:hint="default" w:ascii="Times New Roman" w:hAnsi="Times New Roman" w:eastAsia="仿宋_GB2312" w:cs="Times New Roman"/>
          <w:bCs/>
          <w:color w:val="auto"/>
          <w:sz w:val="32"/>
          <w:szCs w:val="32"/>
          <w:shd w:val="clear" w:color="auto" w:fill="FFFFFF"/>
        </w:rPr>
        <w:t>质量</w:t>
      </w:r>
      <w:r>
        <w:rPr>
          <w:rFonts w:hint="eastAsia" w:ascii="Times New Roman" w:hAnsi="Times New Roman" w:eastAsia="仿宋_GB2312" w:cs="Times New Roman"/>
          <w:bCs/>
          <w:color w:val="auto"/>
          <w:sz w:val="32"/>
          <w:szCs w:val="32"/>
          <w:shd w:val="clear" w:color="auto" w:fill="FFFFFF"/>
          <w:lang w:eastAsia="zh-CN"/>
        </w:rPr>
        <w:t>提升、</w:t>
      </w:r>
      <w:r>
        <w:rPr>
          <w:rFonts w:hint="default" w:ascii="Times New Roman" w:hAnsi="Times New Roman" w:eastAsia="仿宋_GB2312" w:cs="Times New Roman"/>
          <w:bCs/>
          <w:color w:val="auto"/>
          <w:sz w:val="32"/>
          <w:szCs w:val="32"/>
          <w:shd w:val="clear" w:color="auto" w:fill="FFFFFF"/>
        </w:rPr>
        <w:t>解决技术难题，培训有关技术管理人员。</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bCs/>
          <w:color w:val="auto"/>
          <w:sz w:val="32"/>
          <w:szCs w:val="32"/>
          <w:shd w:val="clear" w:color="auto" w:fill="FFFFFF"/>
        </w:rPr>
      </w:pPr>
      <w:r>
        <w:rPr>
          <w:rFonts w:hint="default" w:ascii="Times New Roman" w:hAnsi="Times New Roman" w:eastAsia="仿宋_GB2312" w:cs="Times New Roman"/>
          <w:bCs/>
          <w:color w:val="auto"/>
          <w:sz w:val="32"/>
          <w:szCs w:val="32"/>
          <w:shd w:val="clear" w:color="auto" w:fill="FFFFFF"/>
        </w:rPr>
        <w:t>4.开展食品药品检验等科研工作。</w:t>
      </w:r>
    </w:p>
    <w:p>
      <w:pPr>
        <w:keepNext w:val="0"/>
        <w:keepLines w:val="0"/>
        <w:pageBreakBefore w:val="0"/>
        <w:widowControl w:val="0"/>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bCs/>
          <w:color w:val="auto"/>
          <w:sz w:val="32"/>
          <w:szCs w:val="32"/>
          <w:shd w:val="clear" w:color="auto" w:fill="FFFFFF"/>
        </w:rPr>
      </w:pPr>
      <w:r>
        <w:rPr>
          <w:rFonts w:hint="default" w:ascii="Times New Roman" w:hAnsi="Times New Roman" w:eastAsia="仿宋_GB2312" w:cs="Times New Roman"/>
          <w:bCs/>
          <w:color w:val="auto"/>
          <w:sz w:val="32"/>
          <w:szCs w:val="32"/>
          <w:shd w:val="clear" w:color="auto" w:fill="FFFFFF"/>
        </w:rPr>
        <w:t>5.综合上报和反馈辖区内食品药品质量情况信息。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rPr>
      </w:pPr>
      <w:bookmarkStart w:id="3" w:name="_Toc1918019850"/>
      <w:r>
        <w:rPr>
          <w:rFonts w:hint="eastAsia" w:ascii="Times New Roman" w:hAnsi="Times New Roman" w:eastAsia="楷体_GB2312" w:cs="楷体_GB2312"/>
          <w:color w:val="auto"/>
          <w:sz w:val="32"/>
          <w:szCs w:val="32"/>
        </w:rPr>
        <w:t>（二）</w:t>
      </w:r>
      <w:r>
        <w:rPr>
          <w:rFonts w:hint="default" w:ascii="Times New Roman" w:hAnsi="Times New Roman" w:eastAsia="楷体_GB2312" w:cs="楷体_GB2312"/>
          <w:color w:val="auto"/>
          <w:sz w:val="32"/>
          <w:szCs w:val="32"/>
        </w:rPr>
        <w:t>广元市食品药品检验检测中心</w:t>
      </w:r>
      <w:r>
        <w:rPr>
          <w:rFonts w:hint="eastAsia" w:ascii="Times New Roman" w:hAnsi="Times New Roman" w:eastAsia="楷体_GB2312" w:cs="楷体_GB2312"/>
          <w:color w:val="auto"/>
          <w:sz w:val="32"/>
          <w:szCs w:val="32"/>
          <w:lang w:val="en-US"/>
        </w:rPr>
        <w:t>2024</w:t>
      </w:r>
      <w:r>
        <w:rPr>
          <w:rFonts w:hint="eastAsia" w:ascii="Times New Roman" w:hAnsi="Times New Roman" w:eastAsia="楷体_GB2312" w:cs="楷体_GB2312"/>
          <w:color w:val="auto"/>
          <w:sz w:val="32"/>
          <w:szCs w:val="32"/>
        </w:rPr>
        <w:t>年重点工作</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1.</w:t>
      </w:r>
      <w:r>
        <w:rPr>
          <w:rFonts w:hint="default" w:ascii="Times New Roman" w:hAnsi="Times New Roman" w:eastAsia="仿宋_GB2312" w:cs="Times New Roman"/>
          <w:b w:val="0"/>
          <w:bCs/>
          <w:color w:val="auto"/>
          <w:sz w:val="32"/>
          <w:szCs w:val="32"/>
        </w:rPr>
        <w:t>继续抓好专业技术队伍建设</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val="0"/>
          <w:color w:val="auto"/>
          <w:sz w:val="32"/>
          <w:szCs w:val="32"/>
        </w:rPr>
        <w:t>一是利用人才</w:t>
      </w:r>
      <w:r>
        <w:rPr>
          <w:rFonts w:hint="default" w:ascii="Times New Roman" w:hAnsi="Times New Roman" w:eastAsia="仿宋_GB2312" w:cs="Times New Roman"/>
          <w:b w:val="0"/>
          <w:bCs w:val="0"/>
          <w:color w:val="auto"/>
          <w:sz w:val="32"/>
          <w:szCs w:val="32"/>
          <w:lang w:eastAsia="zh-CN"/>
        </w:rPr>
        <w:t>引进政策积极争取</w:t>
      </w:r>
      <w:r>
        <w:rPr>
          <w:rFonts w:hint="default" w:ascii="Times New Roman" w:hAnsi="Times New Roman" w:eastAsia="仿宋_GB2312" w:cs="Times New Roman"/>
          <w:b w:val="0"/>
          <w:bCs w:val="0"/>
          <w:color w:val="auto"/>
          <w:sz w:val="32"/>
          <w:szCs w:val="32"/>
        </w:rPr>
        <w:t>引进高层次专业人才，不断改善</w:t>
      </w:r>
      <w:r>
        <w:rPr>
          <w:rFonts w:hint="default" w:ascii="Times New Roman" w:hAnsi="Times New Roman" w:eastAsia="仿宋_GB2312" w:cs="Times New Roman"/>
          <w:b w:val="0"/>
          <w:bCs w:val="0"/>
          <w:color w:val="auto"/>
          <w:sz w:val="32"/>
          <w:szCs w:val="32"/>
          <w:lang w:eastAsia="zh-CN"/>
        </w:rPr>
        <w:t>人才队伍</w:t>
      </w:r>
      <w:r>
        <w:rPr>
          <w:rFonts w:hint="default" w:ascii="Times New Roman" w:hAnsi="Times New Roman" w:eastAsia="仿宋_GB2312" w:cs="Times New Roman"/>
          <w:b w:val="0"/>
          <w:bCs w:val="0"/>
          <w:color w:val="auto"/>
          <w:sz w:val="32"/>
          <w:szCs w:val="32"/>
        </w:rPr>
        <w:t>结构；二是进一步</w:t>
      </w:r>
      <w:r>
        <w:rPr>
          <w:rFonts w:hint="default" w:ascii="Times New Roman" w:hAnsi="Times New Roman" w:eastAsia="仿宋_GB2312" w:cs="Times New Roman"/>
          <w:b w:val="0"/>
          <w:bCs w:val="0"/>
          <w:color w:val="auto"/>
          <w:sz w:val="32"/>
          <w:szCs w:val="32"/>
          <w:lang w:eastAsia="zh-CN"/>
        </w:rPr>
        <w:t>规范人才选用和培养</w:t>
      </w:r>
      <w:r>
        <w:rPr>
          <w:rFonts w:hint="default" w:ascii="Times New Roman" w:hAnsi="Times New Roman" w:eastAsia="仿宋_GB2312" w:cs="Times New Roman"/>
          <w:b w:val="0"/>
          <w:bCs w:val="0"/>
          <w:color w:val="auto"/>
          <w:sz w:val="32"/>
          <w:szCs w:val="32"/>
        </w:rPr>
        <w:t>，</w:t>
      </w:r>
      <w:r>
        <w:rPr>
          <w:rFonts w:hint="default" w:ascii="Times New Roman" w:hAnsi="Times New Roman" w:eastAsia="仿宋_GB2312" w:cs="Times New Roman"/>
          <w:b w:val="0"/>
          <w:bCs w:val="0"/>
          <w:color w:val="auto"/>
          <w:sz w:val="32"/>
          <w:szCs w:val="32"/>
          <w:lang w:eastAsia="zh-CN"/>
        </w:rPr>
        <w:t>不断增强人才队伍活力</w:t>
      </w:r>
      <w:r>
        <w:rPr>
          <w:rFonts w:hint="default" w:ascii="Times New Roman" w:hAnsi="Times New Roman" w:eastAsia="仿宋_GB2312" w:cs="Times New Roman"/>
          <w:b w:val="0"/>
          <w:bCs w:val="0"/>
          <w:color w:val="auto"/>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2.</w:t>
      </w:r>
      <w:r>
        <w:rPr>
          <w:rFonts w:hint="default" w:ascii="Times New Roman" w:hAnsi="Times New Roman" w:eastAsia="仿宋_GB2312" w:cs="Times New Roman"/>
          <w:b w:val="0"/>
          <w:bCs/>
          <w:color w:val="auto"/>
          <w:sz w:val="32"/>
          <w:szCs w:val="32"/>
          <w:lang w:val="en-US" w:eastAsia="zh-CN"/>
        </w:rPr>
        <w:t>继续精心准备2024年食品药品监督抽检。</w:t>
      </w:r>
      <w:r>
        <w:rPr>
          <w:rFonts w:hint="default" w:ascii="Times New Roman" w:hAnsi="Times New Roman" w:eastAsia="仿宋_GB2312" w:cs="Times New Roman"/>
          <w:b w:val="0"/>
          <w:bCs w:val="0"/>
          <w:color w:val="auto"/>
          <w:sz w:val="32"/>
          <w:szCs w:val="32"/>
          <w:lang w:eastAsia="zh-CN"/>
        </w:rPr>
        <w:t>在编制</w:t>
      </w:r>
      <w:r>
        <w:rPr>
          <w:rFonts w:hint="default" w:ascii="Times New Roman" w:hAnsi="Times New Roman" w:eastAsia="仿宋_GB2312" w:cs="Times New Roman"/>
          <w:b w:val="0"/>
          <w:bCs w:val="0"/>
          <w:color w:val="auto"/>
          <w:sz w:val="32"/>
          <w:szCs w:val="32"/>
          <w:lang w:val="en-US" w:eastAsia="zh-CN"/>
        </w:rPr>
        <w:t>2024年食品药品抽检计划时，坚持以人民为中心，坚持以问题为导向，将上一年国家级和省级（含省外）抽检不合格样品</w:t>
      </w:r>
      <w:r>
        <w:rPr>
          <w:rFonts w:hint="default" w:ascii="Times New Roman" w:hAnsi="Times New Roman" w:eastAsia="仿宋_GB2312" w:cs="Times New Roman"/>
          <w:b w:val="0"/>
          <w:bCs w:val="0"/>
          <w:color w:val="auto"/>
          <w:sz w:val="32"/>
          <w:szCs w:val="32"/>
          <w:lang w:eastAsia="zh-CN"/>
        </w:rPr>
        <w:t>为重点，</w:t>
      </w:r>
      <w:r>
        <w:rPr>
          <w:rFonts w:hint="default" w:ascii="Times New Roman" w:hAnsi="Times New Roman" w:eastAsia="仿宋_GB2312" w:cs="Times New Roman"/>
          <w:b w:val="0"/>
          <w:bCs w:val="0"/>
          <w:color w:val="auto"/>
          <w:sz w:val="32"/>
          <w:szCs w:val="32"/>
          <w:lang w:val="en-US" w:eastAsia="zh-CN"/>
        </w:rPr>
        <w:t>持续增强抽样靶向性，提高检验命中率，全力守护食品药品安全。</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3.</w:t>
      </w:r>
      <w:r>
        <w:rPr>
          <w:rFonts w:hint="default" w:ascii="Times New Roman" w:hAnsi="Times New Roman" w:eastAsia="仿宋_GB2312" w:cs="Times New Roman"/>
          <w:b w:val="0"/>
          <w:bCs/>
          <w:color w:val="auto"/>
          <w:sz w:val="32"/>
          <w:szCs w:val="32"/>
          <w:lang w:val="en-US" w:eastAsia="zh-CN"/>
        </w:rPr>
        <w:t>继续提升检验检测能力。</w:t>
      </w:r>
      <w:r>
        <w:rPr>
          <w:rFonts w:hint="default" w:ascii="Times New Roman" w:hAnsi="Times New Roman" w:eastAsia="仿宋_GB2312" w:cs="Times New Roman"/>
          <w:color w:val="auto"/>
          <w:sz w:val="32"/>
          <w:szCs w:val="32"/>
          <w:lang w:eastAsia="zh-CN"/>
        </w:rPr>
        <w:t>一是充分利用川北食品药品检验检测中心硬件优势，主动按照与国际接轨的通用准则和实验室管理规范加强实验室质量管理。二是加大年轻干部职工和重点岗位人员培训，不断提升专业技术人员检验检测能力。三是继续向上争取资金，加大对色谱仪、质谱仪等大型仪器的配置，全面对标并努力争创食品药品省级重点实验室。</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0" w:leftChars="0" w:firstLine="640" w:firstLineChars="200"/>
        <w:jc w:val="both"/>
        <w:textAlignment w:val="auto"/>
        <w:rPr>
          <w:rFonts w:hint="default" w:ascii="Times New Roman" w:hAnsi="Times New Roman" w:eastAsia="仿宋_GB2312" w:cs="Times New Roman"/>
          <w:b w:val="0"/>
          <w:bCs w:val="0"/>
          <w:color w:val="auto"/>
          <w:kern w:val="2"/>
          <w:sz w:val="32"/>
          <w:szCs w:val="32"/>
          <w:lang w:val="en-US" w:eastAsia="zh-CN" w:bidi="ar-SA"/>
        </w:rPr>
      </w:pPr>
      <w:bookmarkStart w:id="4" w:name="_Hlk119530101"/>
      <w:bookmarkEnd w:id="4"/>
      <w:r>
        <w:rPr>
          <w:rFonts w:hint="eastAsia" w:ascii="Times New Roman" w:hAnsi="Times New Roman" w:eastAsia="仿宋_GB2312" w:cs="Times New Roman"/>
          <w:b w:val="0"/>
          <w:bCs w:val="0"/>
          <w:color w:val="auto"/>
          <w:kern w:val="2"/>
          <w:sz w:val="32"/>
          <w:szCs w:val="32"/>
          <w:lang w:val="en-US" w:eastAsia="zh-CN" w:bidi="ar-SA"/>
        </w:rPr>
        <w:t>4.</w:t>
      </w:r>
      <w:r>
        <w:rPr>
          <w:rFonts w:hint="default" w:ascii="Times New Roman" w:hAnsi="Times New Roman" w:eastAsia="仿宋_GB2312" w:cs="Times New Roman"/>
          <w:b w:val="0"/>
          <w:bCs/>
          <w:color w:val="auto"/>
          <w:sz w:val="32"/>
          <w:szCs w:val="32"/>
          <w:lang w:val="en-US" w:eastAsia="zh-CN"/>
        </w:rPr>
        <w:t>继续突破科研创新水平。</w:t>
      </w:r>
      <w:r>
        <w:rPr>
          <w:rFonts w:hint="default" w:ascii="Times New Roman" w:hAnsi="Times New Roman" w:eastAsia="仿宋_GB2312" w:cs="Times New Roman"/>
          <w:color w:val="auto"/>
          <w:sz w:val="32"/>
          <w:szCs w:val="32"/>
          <w:lang w:eastAsia="zh-CN"/>
        </w:rPr>
        <w:t>一是</w:t>
      </w:r>
      <w:r>
        <w:rPr>
          <w:rFonts w:hint="default" w:ascii="Times New Roman" w:hAnsi="Times New Roman" w:eastAsia="仿宋_GB2312" w:cs="Times New Roman"/>
          <w:b w:val="0"/>
          <w:bCs w:val="0"/>
          <w:color w:val="auto"/>
          <w:sz w:val="32"/>
          <w:szCs w:val="32"/>
          <w:lang w:eastAsia="zh-CN"/>
        </w:rPr>
        <w:t>加快完成在研省级科研项目《参梅养胃颗粒（无糖型）生产工艺及质量标准研究》、市级科研项目《广元道地中药材白及质量评价》按既定计划结题验收。二是继续申报省市级科研项目，力争在科研创新上取得新的突破。</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jc w:val="both"/>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5.</w:t>
      </w:r>
      <w:r>
        <w:rPr>
          <w:rFonts w:hint="default" w:ascii="Times New Roman" w:hAnsi="Times New Roman" w:eastAsia="仿宋_GB2312" w:cs="Times New Roman"/>
          <w:b w:val="0"/>
          <w:bCs/>
          <w:color w:val="auto"/>
          <w:sz w:val="32"/>
          <w:szCs w:val="32"/>
          <w:lang w:val="en-US" w:eastAsia="zh-CN"/>
        </w:rPr>
        <w:t>继续提升技术服务质量。</w:t>
      </w:r>
      <w:r>
        <w:rPr>
          <w:rFonts w:hint="default" w:ascii="Times New Roman" w:hAnsi="Times New Roman" w:eastAsia="仿宋_GB2312" w:cs="Times New Roman"/>
          <w:color w:val="auto"/>
          <w:sz w:val="32"/>
          <w:szCs w:val="32"/>
          <w:shd w:val="solid" w:color="FFFFFF" w:fill="auto"/>
        </w:rPr>
        <w:t>围绕医药产业园区建设、地道药材开发项目、重点优势品种发展等</w:t>
      </w:r>
      <w:r>
        <w:rPr>
          <w:rFonts w:hint="default" w:ascii="Times New Roman" w:hAnsi="Times New Roman" w:eastAsia="仿宋_GB2312" w:cs="Times New Roman"/>
          <w:color w:val="auto"/>
          <w:sz w:val="32"/>
          <w:szCs w:val="32"/>
          <w:shd w:val="solid" w:color="FFFFFF" w:fill="auto"/>
          <w:lang w:eastAsia="zh-CN"/>
        </w:rPr>
        <w:t>政策导向和我市食品药品生产企业技术需求</w:t>
      </w:r>
      <w:r>
        <w:rPr>
          <w:rFonts w:hint="default" w:ascii="Times New Roman" w:hAnsi="Times New Roman" w:eastAsia="仿宋_GB2312" w:cs="Times New Roman"/>
          <w:color w:val="auto"/>
          <w:sz w:val="32"/>
          <w:szCs w:val="32"/>
          <w:shd w:val="solid" w:color="FFFFFF" w:fill="auto"/>
        </w:rPr>
        <w:t>，</w:t>
      </w:r>
      <w:r>
        <w:rPr>
          <w:rFonts w:hint="default" w:ascii="Times New Roman" w:hAnsi="Times New Roman" w:eastAsia="仿宋_GB2312" w:cs="Times New Roman"/>
          <w:color w:val="auto"/>
          <w:sz w:val="32"/>
          <w:szCs w:val="32"/>
          <w:shd w:val="solid" w:color="FFFFFF" w:fill="auto"/>
          <w:lang w:eastAsia="zh-CN"/>
        </w:rPr>
        <w:t>进一步</w:t>
      </w:r>
      <w:r>
        <w:rPr>
          <w:rFonts w:hint="default" w:ascii="Times New Roman" w:hAnsi="Times New Roman" w:eastAsia="仿宋_GB2312" w:cs="Times New Roman"/>
          <w:color w:val="auto"/>
          <w:sz w:val="32"/>
          <w:szCs w:val="32"/>
          <w:shd w:val="solid" w:color="FFFFFF" w:fill="auto"/>
        </w:rPr>
        <w:t>优化配置检测资源，</w:t>
      </w:r>
      <w:r>
        <w:rPr>
          <w:rFonts w:hint="default" w:ascii="Times New Roman" w:hAnsi="Times New Roman" w:eastAsia="仿宋_GB2312" w:cs="Times New Roman"/>
          <w:color w:val="auto"/>
          <w:sz w:val="32"/>
          <w:szCs w:val="32"/>
        </w:rPr>
        <w:t>开展技术交流合作</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shd w:val="solid" w:color="FFFFFF" w:fill="auto"/>
        </w:rPr>
        <w:t>提供技术咨询</w:t>
      </w:r>
      <w:r>
        <w:rPr>
          <w:rFonts w:hint="default" w:ascii="Times New Roman" w:hAnsi="Times New Roman" w:eastAsia="仿宋_GB2312" w:cs="Times New Roman"/>
          <w:color w:val="auto"/>
          <w:sz w:val="32"/>
          <w:szCs w:val="32"/>
          <w:shd w:val="solid" w:color="FFFFFF" w:fill="auto"/>
          <w:lang w:eastAsia="zh-CN"/>
        </w:rPr>
        <w:t>，帮助开展质量提升</w:t>
      </w:r>
      <w:r>
        <w:rPr>
          <w:rFonts w:hint="default" w:ascii="Times New Roman" w:hAnsi="Times New Roman" w:eastAsia="仿宋_GB2312" w:cs="Times New Roman"/>
          <w:color w:val="auto"/>
          <w:sz w:val="32"/>
          <w:szCs w:val="32"/>
          <w:shd w:val="solid" w:color="FFFFFF" w:fill="auto"/>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黑体" w:cs="黑体"/>
          <w:color w:val="auto"/>
          <w:sz w:val="32"/>
          <w:szCs w:val="32"/>
          <w:lang w:val="en-US" w:eastAsia="zh-CN"/>
        </w:rPr>
      </w:pPr>
      <w:bookmarkStart w:id="5" w:name="_Toc245090708"/>
      <w:r>
        <w:rPr>
          <w:rFonts w:hint="eastAsia" w:ascii="Times New Roman" w:hAnsi="Times New Roman" w:eastAsia="黑体" w:cs="黑体"/>
          <w:color w:val="auto"/>
          <w:sz w:val="32"/>
          <w:szCs w:val="32"/>
          <w:lang w:val="en-US" w:eastAsia="zh-CN"/>
        </w:rPr>
        <w:t>二、部门预算单位构成</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广元市食品药品检验检测中心为</w:t>
      </w:r>
      <w:r>
        <w:rPr>
          <w:rFonts w:hint="eastAsia" w:ascii="Times New Roman" w:hAnsi="Times New Roman" w:eastAsia="仿宋_GB2312" w:cs="Times New Roman"/>
          <w:bCs/>
          <w:color w:val="auto"/>
          <w:sz w:val="32"/>
          <w:szCs w:val="32"/>
          <w:shd w:val="clear" w:color="auto" w:fill="FFFFFF"/>
          <w:lang w:eastAsia="zh-CN"/>
        </w:rPr>
        <w:t>市场监管局的下属</w:t>
      </w:r>
      <w:r>
        <w:rPr>
          <w:rFonts w:hint="default" w:ascii="Times New Roman" w:hAnsi="Times New Roman" w:eastAsia="仿宋_GB2312" w:cs="Times New Roman"/>
          <w:bCs/>
          <w:color w:val="auto"/>
          <w:sz w:val="32"/>
          <w:szCs w:val="32"/>
          <w:shd w:val="clear" w:color="auto" w:fill="FFFFFF"/>
        </w:rPr>
        <w:t>二级预算单位</w:t>
      </w:r>
      <w:r>
        <w:rPr>
          <w:rFonts w:hint="eastAsia" w:ascii="Times New Roman" w:hAnsi="Times New Roman" w:eastAsia="仿宋_GB2312" w:cs="Times New Roman"/>
          <w:bCs/>
          <w:color w:val="auto"/>
          <w:sz w:val="32"/>
          <w:szCs w:val="32"/>
          <w:shd w:val="clear" w:color="auto" w:fill="FFFFFF"/>
          <w:lang w:eastAsia="zh-CN"/>
        </w:rPr>
        <w:t>，</w:t>
      </w:r>
      <w:r>
        <w:rPr>
          <w:rFonts w:hint="eastAsia" w:ascii="Times New Roman" w:hAnsi="Times New Roman" w:eastAsia="仿宋_GB2312" w:cs="仿宋_GB2312"/>
          <w:color w:val="auto"/>
          <w:sz w:val="32"/>
          <w:szCs w:val="32"/>
          <w:lang w:val="en-US" w:eastAsia="zh-CN"/>
        </w:rPr>
        <w:t>本单位无下属机构。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黑体" w:cs="黑体"/>
          <w:color w:val="auto"/>
          <w:sz w:val="32"/>
          <w:szCs w:val="32"/>
        </w:rPr>
      </w:pPr>
      <w:bookmarkStart w:id="6" w:name="_Toc9827014"/>
      <w:r>
        <w:rPr>
          <w:rFonts w:hint="eastAsia" w:ascii="Times New Roman" w:hAnsi="Times New Roman" w:eastAsia="黑体" w:cs="黑体"/>
          <w:color w:val="auto"/>
          <w:sz w:val="32"/>
          <w:szCs w:val="32"/>
          <w:lang w:val="en-US" w:eastAsia="zh-CN"/>
        </w:rPr>
        <w:t>三、收支预算情况说明</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rPr>
      </w:pPr>
      <w:r>
        <w:rPr>
          <w:rFonts w:hint="eastAsia" w:ascii="Times New Roman" w:hAnsi="Times New Roman" w:eastAsia="仿宋_GB2312" w:cs="仿宋_GB2312"/>
          <w:color w:val="auto"/>
          <w:sz w:val="32"/>
          <w:szCs w:val="32"/>
          <w:lang w:val="en-US" w:eastAsia="zh-CN"/>
        </w:rPr>
        <w:t>按照综合预算的原则，</w:t>
      </w: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所有收入和支出均纳入部门预算管理。收入包括：一般公共预算拨款收入；支出包括：一般公共服务支出、社会保障和就业支出、卫生健康支出、住房保障支出。</w:t>
      </w: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单位2024年收支预算总数1006.48万元,比2023年收支预算总数增加56.80万元，主要原因是</w:t>
      </w:r>
      <w:r>
        <w:rPr>
          <w:rFonts w:hint="default" w:ascii="Times New Roman" w:hAnsi="Times New Roman" w:eastAsia="仿宋_GB2312" w:cs="Times New Roman"/>
          <w:color w:val="auto"/>
          <w:kern w:val="0"/>
          <w:sz w:val="32"/>
          <w:szCs w:val="32"/>
          <w:shd w:val="clear" w:color="auto" w:fill="FFFFFF"/>
          <w:lang w:bidi="ar"/>
        </w:rPr>
        <w:t>人员经费和项目经费增加</w:t>
      </w:r>
      <w:r>
        <w:rPr>
          <w:rFonts w:hint="eastAsia" w:ascii="Times New Roman" w:hAnsi="Times New Roman"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lang w:val="en-US" w:eastAsia="zh-CN"/>
        </w:rPr>
      </w:pPr>
      <w:bookmarkStart w:id="7" w:name="_Toc2037190101"/>
      <w:r>
        <w:rPr>
          <w:rFonts w:hint="eastAsia" w:ascii="Times New Roman" w:hAnsi="Times New Roman" w:eastAsia="楷体_GB2312" w:cs="楷体_GB2312"/>
          <w:color w:val="auto"/>
          <w:sz w:val="32"/>
          <w:szCs w:val="32"/>
          <w:lang w:val="en-US" w:eastAsia="zh-CN"/>
        </w:rPr>
        <w:t>（一）收入预算情况</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2024年收入预算1006.48万元，其中：一般公共预算拨款收入1006.48万元，占100%。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lang w:val="en-US" w:eastAsia="zh-CN"/>
        </w:rPr>
      </w:pPr>
      <w:bookmarkStart w:id="8" w:name="_Toc1359577754"/>
      <w:r>
        <w:rPr>
          <w:rFonts w:hint="eastAsia" w:ascii="Times New Roman" w:hAnsi="Times New Roman" w:eastAsia="楷体_GB2312" w:cs="楷体_GB2312"/>
          <w:color w:val="auto"/>
          <w:sz w:val="32"/>
          <w:szCs w:val="32"/>
          <w:lang w:val="en-US" w:eastAsia="zh-CN"/>
        </w:rPr>
        <w:t>（二）支出预算情况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b w:val="0"/>
          <w:bCs w:val="0"/>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2024年支出预算1006.48万元，其中：基本支出944.44万元，占93.84%；项目支出62.04万元，占6.16%</w:t>
      </w:r>
      <w:r>
        <w:rPr>
          <w:rFonts w:hint="eastAsia" w:ascii="Times New Roman" w:hAnsi="Times New Roman" w:eastAsia="仿宋_GB2312" w:cs="仿宋_GB2312"/>
          <w:b w:val="0"/>
          <w:bCs w:val="0"/>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黑体" w:cs="黑体"/>
          <w:color w:val="auto"/>
          <w:sz w:val="32"/>
          <w:szCs w:val="32"/>
        </w:rPr>
      </w:pPr>
      <w:bookmarkStart w:id="9" w:name="_Toc748756721"/>
      <w:r>
        <w:rPr>
          <w:rFonts w:hint="eastAsia" w:ascii="Times New Roman" w:hAnsi="Times New Roman" w:eastAsia="黑体" w:cs="黑体"/>
          <w:color w:val="auto"/>
          <w:sz w:val="32"/>
          <w:szCs w:val="32"/>
          <w:lang w:val="en-US" w:eastAsia="zh-CN"/>
        </w:rPr>
        <w:t>四、财政拨款收支预算情况说明</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2024年财政拨款收支预算总数1006.48万元,比2023年财政拨款收支预算总数增加56.80万元，主要原因是</w:t>
      </w:r>
      <w:r>
        <w:rPr>
          <w:rFonts w:hint="default" w:ascii="Times New Roman" w:hAnsi="Times New Roman" w:eastAsia="仿宋_GB2312" w:cs="Times New Roman"/>
          <w:color w:val="auto"/>
          <w:kern w:val="0"/>
          <w:sz w:val="32"/>
          <w:szCs w:val="32"/>
          <w:shd w:val="clear" w:color="auto" w:fill="FFFFFF"/>
          <w:lang w:bidi="ar"/>
        </w:rPr>
        <w:t>人员经费和项目经费增加。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收入包括：本年一般公共预算拨款收入1006.48万元；支出包括：一般公共服务支出809.42万元、社会保障和就业支出90.67万元、卫生健康支出29.56万元、住房保障支出76.83万元。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黑体" w:cs="黑体"/>
          <w:color w:val="auto"/>
          <w:sz w:val="32"/>
          <w:szCs w:val="32"/>
          <w:lang w:val="en-US" w:eastAsia="zh-CN"/>
        </w:rPr>
      </w:pPr>
      <w:bookmarkStart w:id="10" w:name="_Toc467668900"/>
      <w:r>
        <w:rPr>
          <w:rFonts w:hint="eastAsia" w:ascii="Times New Roman" w:hAnsi="Times New Roman" w:eastAsia="黑体" w:cs="黑体"/>
          <w:color w:val="auto"/>
          <w:sz w:val="32"/>
          <w:szCs w:val="32"/>
          <w:lang w:val="en-US" w:eastAsia="zh-CN"/>
        </w:rPr>
        <w:t>五、一般公共预算当年拨款情况说明</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lang w:val="en-US" w:eastAsia="zh-CN"/>
        </w:rPr>
      </w:pPr>
      <w:bookmarkStart w:id="11" w:name="_Toc1375605960"/>
      <w:r>
        <w:rPr>
          <w:rFonts w:hint="eastAsia" w:ascii="Times New Roman" w:hAnsi="Times New Roman" w:eastAsia="楷体_GB2312" w:cs="楷体_GB2312"/>
          <w:color w:val="auto"/>
          <w:sz w:val="32"/>
          <w:szCs w:val="32"/>
          <w:lang w:val="en-US" w:eastAsia="zh-CN"/>
        </w:rPr>
        <w:t>（一）一般公共预算当年拨款规模变化情况</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2024年一般公共预算当年拨款1006.48万元，比2023年预算数增加56.80万元，主要原因是</w:t>
      </w:r>
      <w:r>
        <w:rPr>
          <w:rFonts w:hint="default" w:ascii="Times New Roman" w:hAnsi="Times New Roman" w:eastAsia="仿宋_GB2312" w:cs="Times New Roman"/>
          <w:color w:val="auto"/>
          <w:kern w:val="0"/>
          <w:sz w:val="32"/>
          <w:szCs w:val="32"/>
          <w:shd w:val="clear" w:color="auto" w:fill="FFFFFF"/>
          <w:lang w:bidi="ar"/>
        </w:rPr>
        <w:t>人员经费和项目经费增加</w:t>
      </w:r>
      <w:r>
        <w:rPr>
          <w:rFonts w:hint="eastAsia" w:ascii="Times New Roman" w:hAnsi="Times New Roman" w:eastAsia="仿宋_GB2312" w:cs="仿宋_GB2312"/>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lang w:val="en-US" w:eastAsia="zh-CN"/>
        </w:rPr>
      </w:pPr>
      <w:bookmarkStart w:id="12" w:name="_Toc954059720"/>
      <w:r>
        <w:rPr>
          <w:rFonts w:hint="eastAsia" w:ascii="Times New Roman" w:hAnsi="Times New Roman" w:eastAsia="楷体_GB2312" w:cs="楷体_GB2312"/>
          <w:color w:val="auto"/>
          <w:sz w:val="32"/>
          <w:szCs w:val="32"/>
          <w:lang w:val="en-US" w:eastAsia="zh-CN"/>
        </w:rPr>
        <w:t>（二）一般公共预算当年拨款结构情况</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一般公共服务支出809.42万元，占80.42%；社会保障和就业支出90.67万元，占9.01%；卫生健康支出29.56万元，占2.94%；住房保障支出76.83万元，占7.63%。</w:t>
      </w:r>
      <w:bookmarkStart w:id="27" w:name="_GoBack"/>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Times New Roman" w:hAnsi="Times New Roman" w:eastAsia="楷体_GB2312" w:cs="楷体_GB2312"/>
          <w:color w:val="auto"/>
          <w:sz w:val="32"/>
          <w:szCs w:val="32"/>
          <w:lang w:val="en-US" w:eastAsia="zh-CN"/>
        </w:rPr>
      </w:pPr>
      <w:bookmarkStart w:id="13" w:name="_Toc1000418331"/>
      <w:r>
        <w:rPr>
          <w:rFonts w:hint="eastAsia" w:ascii="Times New Roman" w:hAnsi="Times New Roman" w:eastAsia="楷体_GB2312" w:cs="楷体_GB2312"/>
          <w:color w:val="auto"/>
          <w:sz w:val="32"/>
          <w:szCs w:val="32"/>
          <w:lang w:val="en-US" w:eastAsia="zh-CN"/>
        </w:rPr>
        <w:t>（三）一般公共预算当年拨款具体使用情况</w:t>
      </w:r>
      <w:bookmarkEnd w:id="13"/>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Times New Roman"/>
          <w:color w:val="auto"/>
          <w:kern w:val="0"/>
          <w:sz w:val="32"/>
          <w:szCs w:val="32"/>
          <w:shd w:val="clear" w:color="auto" w:fill="FFFFFF"/>
          <w:lang w:eastAsia="zh-CN" w:bidi="ar"/>
        </w:rPr>
      </w:pPr>
      <w:r>
        <w:rPr>
          <w:rFonts w:hint="default" w:ascii="Times New Roman" w:hAnsi="Times New Roman" w:eastAsia="仿宋_GB2312" w:cs="仿宋_GB2312"/>
          <w:color w:val="auto"/>
          <w:sz w:val="32"/>
          <w:szCs w:val="32"/>
          <w:lang w:val="en-US" w:eastAsia="zh-CN"/>
        </w:rPr>
        <w:t>1.</w:t>
      </w:r>
      <w:r>
        <w:rPr>
          <w:rFonts w:hint="default" w:ascii="Times New Roman" w:hAnsi="Times New Roman" w:eastAsia="仿宋_GB2312" w:cs="Times New Roman"/>
          <w:color w:val="auto"/>
          <w:kern w:val="0"/>
          <w:sz w:val="32"/>
          <w:szCs w:val="32"/>
          <w:shd w:val="clear" w:color="auto" w:fill="FFFFFF"/>
          <w:lang w:bidi="ar"/>
        </w:rPr>
        <w:t>一般公共服务（类）市场监督管理事务（款）事业运行</w:t>
      </w:r>
      <w:r>
        <w:rPr>
          <w:rFonts w:hint="eastAsia" w:ascii="Times New Roman" w:hAnsi="Times New Roman" w:eastAsia="仿宋_GB2312" w:cs="仿宋_GB2312"/>
          <w:color w:val="auto"/>
          <w:sz w:val="32"/>
          <w:szCs w:val="32"/>
          <w:lang w:val="en-US" w:eastAsia="zh-CN"/>
        </w:rPr>
        <w:t>（项）2024年预算数为747.38万元，主要用于：</w:t>
      </w:r>
      <w:r>
        <w:rPr>
          <w:rFonts w:hint="default" w:ascii="Times New Roman" w:hAnsi="Times New Roman" w:eastAsia="仿宋_GB2312" w:cs="Times New Roman"/>
          <w:color w:val="auto"/>
          <w:kern w:val="0"/>
          <w:sz w:val="32"/>
          <w:szCs w:val="32"/>
          <w:shd w:val="clear" w:color="auto" w:fill="FFFFFF"/>
          <w:lang w:bidi="ar"/>
        </w:rPr>
        <w:t>行政事业单位工资奖金津补贴、其他工资福利支出、办公经费、</w:t>
      </w:r>
      <w:r>
        <w:rPr>
          <w:rFonts w:hint="eastAsia" w:ascii="Times New Roman" w:hAnsi="Times New Roman" w:eastAsia="仿宋_GB2312" w:cs="Times New Roman"/>
          <w:color w:val="auto"/>
          <w:kern w:val="0"/>
          <w:sz w:val="32"/>
          <w:szCs w:val="32"/>
          <w:shd w:val="clear" w:color="auto" w:fill="FFFFFF"/>
          <w:lang w:eastAsia="zh-CN" w:bidi="ar"/>
        </w:rPr>
        <w:t>印刷费、水电</w:t>
      </w:r>
      <w:r>
        <w:rPr>
          <w:rFonts w:hint="default" w:ascii="Times New Roman" w:hAnsi="Times New Roman" w:eastAsia="仿宋_GB2312" w:cs="Times New Roman"/>
          <w:color w:val="auto"/>
          <w:kern w:val="0"/>
          <w:sz w:val="32"/>
          <w:szCs w:val="32"/>
          <w:shd w:val="clear" w:color="auto" w:fill="FFFFFF"/>
          <w:lang w:bidi="ar"/>
        </w:rPr>
        <w:t>费、培训费、委托业务费、公务接待费、</w:t>
      </w:r>
      <w:r>
        <w:rPr>
          <w:rFonts w:hint="eastAsia" w:ascii="Times New Roman" w:hAnsi="Times New Roman" w:eastAsia="仿宋_GB2312" w:cs="Times New Roman"/>
          <w:color w:val="auto"/>
          <w:kern w:val="0"/>
          <w:sz w:val="32"/>
          <w:szCs w:val="32"/>
          <w:shd w:val="clear" w:color="auto" w:fill="FFFFFF"/>
          <w:lang w:eastAsia="zh-CN" w:bidi="ar"/>
        </w:rPr>
        <w:t>差旅</w:t>
      </w:r>
      <w:r>
        <w:rPr>
          <w:rFonts w:hint="default" w:ascii="Times New Roman" w:hAnsi="Times New Roman" w:eastAsia="仿宋_GB2312" w:cs="Times New Roman"/>
          <w:color w:val="auto"/>
          <w:kern w:val="0"/>
          <w:sz w:val="32"/>
          <w:szCs w:val="32"/>
          <w:shd w:val="clear" w:color="auto" w:fill="FFFFFF"/>
          <w:lang w:bidi="ar"/>
        </w:rPr>
        <w:t>费、维修（护）费、</w:t>
      </w:r>
      <w:r>
        <w:rPr>
          <w:rFonts w:hint="eastAsia" w:ascii="Times New Roman" w:hAnsi="Times New Roman" w:eastAsia="仿宋_GB2312" w:cs="Times New Roman"/>
          <w:color w:val="auto"/>
          <w:kern w:val="0"/>
          <w:sz w:val="32"/>
          <w:szCs w:val="32"/>
          <w:shd w:val="clear" w:color="auto" w:fill="FFFFFF"/>
          <w:lang w:eastAsia="zh-CN" w:bidi="ar"/>
        </w:rPr>
        <w:t>劳务费、其他交通费、</w:t>
      </w:r>
      <w:r>
        <w:rPr>
          <w:rFonts w:hint="default" w:ascii="Times New Roman" w:hAnsi="Times New Roman" w:eastAsia="仿宋_GB2312" w:cs="Times New Roman"/>
          <w:color w:val="auto"/>
          <w:kern w:val="0"/>
          <w:sz w:val="32"/>
          <w:szCs w:val="32"/>
          <w:shd w:val="clear" w:color="auto" w:fill="FFFFFF"/>
          <w:lang w:bidi="ar"/>
        </w:rPr>
        <w:t>其他商品和服务支出</w:t>
      </w:r>
      <w:r>
        <w:rPr>
          <w:rFonts w:hint="eastAsia" w:ascii="Times New Roman" w:hAnsi="Times New Roman" w:eastAsia="仿宋_GB2312" w:cs="Times New Roman"/>
          <w:color w:val="auto"/>
          <w:kern w:val="0"/>
          <w:sz w:val="32"/>
          <w:szCs w:val="32"/>
          <w:shd w:val="clear" w:color="auto" w:fill="FFFFFF"/>
          <w:lang w:eastAsia="zh-CN" w:bidi="ar"/>
        </w:rPr>
        <w:t>及对个人和家庭的补助。</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仿宋_GB2312"/>
          <w:color w:val="auto"/>
          <w:sz w:val="32"/>
          <w:szCs w:val="32"/>
          <w:lang w:val="en-US" w:eastAsia="zh-CN"/>
        </w:rPr>
        <w:t>2.</w:t>
      </w:r>
      <w:r>
        <w:rPr>
          <w:rFonts w:hint="default" w:ascii="Times New Roman" w:hAnsi="Times New Roman" w:eastAsia="仿宋_GB2312" w:cs="Times New Roman"/>
          <w:color w:val="auto"/>
          <w:kern w:val="0"/>
          <w:sz w:val="32"/>
          <w:szCs w:val="32"/>
          <w:shd w:val="clear" w:color="auto" w:fill="FFFFFF"/>
          <w:lang w:bidi="ar"/>
        </w:rPr>
        <w:t>一般公共服务（类）市场监督管理事务（款）其他市场监督管理事务</w:t>
      </w:r>
      <w:r>
        <w:rPr>
          <w:rFonts w:hint="eastAsia" w:ascii="Times New Roman" w:hAnsi="Times New Roman" w:eastAsia="仿宋_GB2312" w:cs="Times New Roman"/>
          <w:color w:val="auto"/>
          <w:kern w:val="0"/>
          <w:sz w:val="32"/>
          <w:szCs w:val="32"/>
          <w:shd w:val="clear" w:color="auto" w:fill="FFFFFF"/>
          <w:lang w:eastAsia="zh-CN" w:bidi="ar"/>
        </w:rPr>
        <w:t>（项）</w:t>
      </w:r>
      <w:r>
        <w:rPr>
          <w:rFonts w:hint="eastAsia" w:ascii="Times New Roman" w:hAnsi="Times New Roman" w:eastAsia="仿宋_GB2312" w:cs="仿宋_GB2312"/>
          <w:color w:val="auto"/>
          <w:sz w:val="32"/>
          <w:szCs w:val="32"/>
          <w:lang w:val="en-US" w:eastAsia="zh-CN"/>
        </w:rPr>
        <w:t>2024年预算数为62.04万元，主要用于：</w:t>
      </w:r>
      <w:r>
        <w:rPr>
          <w:rFonts w:hint="default" w:ascii="Times New Roman" w:hAnsi="Times New Roman" w:eastAsia="仿宋_GB2312" w:cs="Times New Roman"/>
          <w:color w:val="auto"/>
          <w:kern w:val="0"/>
          <w:sz w:val="32"/>
          <w:szCs w:val="32"/>
          <w:shd w:val="clear" w:color="auto" w:fill="FFFFFF"/>
          <w:lang w:bidi="ar"/>
        </w:rPr>
        <w:t>药品抽样、检验支出，实验室运行维护，乡村振兴驻村人员差旅费等，食品企业指导、检验所需标准物质及实验耗材等费用支出。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color w:val="auto"/>
          <w:kern w:val="0"/>
          <w:sz w:val="32"/>
          <w:szCs w:val="32"/>
          <w:shd w:val="clear" w:color="auto" w:fill="FFFFFF"/>
          <w:lang w:eastAsia="zh-CN" w:bidi="ar"/>
        </w:rPr>
      </w:pPr>
      <w:r>
        <w:rPr>
          <w:rFonts w:hint="eastAsia" w:ascii="Times New Roman" w:hAnsi="Times New Roman" w:eastAsia="仿宋_GB2312" w:cs="Times New Roman"/>
          <w:color w:val="auto"/>
          <w:kern w:val="0"/>
          <w:sz w:val="32"/>
          <w:szCs w:val="32"/>
          <w:shd w:val="clear" w:color="auto" w:fill="FFFFFF"/>
          <w:lang w:val="en-US" w:eastAsia="zh-CN" w:bidi="ar"/>
        </w:rPr>
        <w:t>3.</w:t>
      </w:r>
      <w:r>
        <w:rPr>
          <w:rFonts w:hint="default" w:ascii="Times New Roman" w:hAnsi="Times New Roman" w:eastAsia="仿宋_GB2312" w:cs="Times New Roman"/>
          <w:color w:val="auto"/>
          <w:kern w:val="0"/>
          <w:sz w:val="32"/>
          <w:szCs w:val="32"/>
          <w:shd w:val="clear" w:color="auto" w:fill="FFFFFF"/>
          <w:lang w:bidi="ar"/>
        </w:rPr>
        <w:t>社会保障和就业（类）行政事业单位养老支出（款）机关事业单位基本养老保险缴费支出（项）</w:t>
      </w:r>
      <w:r>
        <w:rPr>
          <w:rFonts w:hint="eastAsia" w:ascii="Times New Roman" w:hAnsi="Times New Roman" w:eastAsia="仿宋_GB2312" w:cs="仿宋_GB2312"/>
          <w:color w:val="auto"/>
          <w:sz w:val="32"/>
          <w:szCs w:val="32"/>
          <w:lang w:val="en-US" w:eastAsia="zh-CN"/>
        </w:rPr>
        <w:t>2024年预算数为90.67万元，主要用于：</w:t>
      </w:r>
      <w:r>
        <w:rPr>
          <w:rFonts w:hint="default" w:ascii="Times New Roman" w:hAnsi="Times New Roman" w:eastAsia="仿宋_GB2312" w:cs="Times New Roman"/>
          <w:color w:val="auto"/>
          <w:kern w:val="0"/>
          <w:sz w:val="32"/>
          <w:szCs w:val="32"/>
          <w:shd w:val="clear" w:color="auto" w:fill="FFFFFF"/>
          <w:lang w:bidi="ar"/>
        </w:rPr>
        <w:t>实施养老保险制度由单位缴纳的基本养老保险</w:t>
      </w:r>
      <w:r>
        <w:rPr>
          <w:rFonts w:hint="default" w:ascii="Times New Roman" w:hAnsi="Times New Roman" w:eastAsia="仿宋_GB2312" w:cs="Times New Roman"/>
          <w:color w:val="auto"/>
          <w:kern w:val="0"/>
          <w:sz w:val="32"/>
          <w:szCs w:val="32"/>
          <w:shd w:val="clear" w:color="auto" w:fill="FFFFFF"/>
          <w:lang w:eastAsia="zh-CN" w:bidi="ar"/>
        </w:rPr>
        <w:t>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Times New Roman"/>
          <w:color w:val="auto"/>
          <w:kern w:val="0"/>
          <w:sz w:val="32"/>
          <w:szCs w:val="32"/>
          <w:shd w:val="clear" w:color="auto" w:fill="FFFFFF"/>
          <w:lang w:val="en-US" w:eastAsia="zh-CN" w:bidi="ar"/>
        </w:rPr>
      </w:pPr>
      <w:r>
        <w:rPr>
          <w:rFonts w:hint="eastAsia" w:ascii="Times New Roman" w:hAnsi="Times New Roman" w:eastAsia="仿宋_GB2312" w:cs="Times New Roman"/>
          <w:color w:val="auto"/>
          <w:kern w:val="0"/>
          <w:sz w:val="32"/>
          <w:szCs w:val="32"/>
          <w:shd w:val="clear" w:color="auto" w:fill="FFFFFF"/>
          <w:lang w:val="en-US" w:eastAsia="zh-CN" w:bidi="ar"/>
        </w:rPr>
        <w:t>4.</w:t>
      </w:r>
      <w:r>
        <w:rPr>
          <w:rFonts w:hint="default" w:ascii="Times New Roman" w:hAnsi="Times New Roman" w:eastAsia="仿宋_GB2312" w:cs="Times New Roman"/>
          <w:color w:val="auto"/>
          <w:kern w:val="0"/>
          <w:sz w:val="32"/>
          <w:szCs w:val="32"/>
          <w:shd w:val="clear" w:color="auto" w:fill="FFFFFF"/>
          <w:lang w:eastAsia="zh-CN" w:bidi="ar"/>
        </w:rPr>
        <w:t>卫生健康（类）行政事业单位医疗（款）事业单位医疗（项）</w:t>
      </w:r>
      <w:r>
        <w:rPr>
          <w:rFonts w:hint="eastAsia" w:ascii="Times New Roman" w:hAnsi="Times New Roman" w:eastAsia="仿宋_GB2312" w:cs="Times New Roman"/>
          <w:color w:val="auto"/>
          <w:kern w:val="0"/>
          <w:sz w:val="32"/>
          <w:szCs w:val="32"/>
          <w:shd w:val="clear" w:color="auto" w:fill="FFFFFF"/>
          <w:lang w:val="en-US" w:eastAsia="zh-CN" w:bidi="ar"/>
        </w:rPr>
        <w:t>2024年预算数为29.56万元，主要用于：</w:t>
      </w:r>
      <w:r>
        <w:rPr>
          <w:rFonts w:hint="default" w:ascii="Times New Roman" w:hAnsi="Times New Roman" w:eastAsia="仿宋_GB2312" w:cs="Times New Roman"/>
          <w:color w:val="auto"/>
          <w:kern w:val="0"/>
          <w:sz w:val="32"/>
          <w:szCs w:val="32"/>
          <w:shd w:val="clear" w:color="auto" w:fill="FFFFFF"/>
          <w:lang w:eastAsia="zh-CN" w:bidi="ar"/>
        </w:rPr>
        <w:t>部门下属事业单位按规定由单位缴纳的基本医疗保险支出。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color w:val="auto"/>
          <w:kern w:val="0"/>
          <w:sz w:val="32"/>
          <w:szCs w:val="32"/>
          <w:shd w:val="clear" w:color="auto" w:fill="FFFFFF"/>
          <w:lang w:bidi="ar"/>
        </w:rPr>
      </w:pPr>
      <w:r>
        <w:rPr>
          <w:rFonts w:hint="eastAsia" w:ascii="Times New Roman" w:hAnsi="Times New Roman" w:eastAsia="仿宋_GB2312" w:cs="Times New Roman"/>
          <w:color w:val="auto"/>
          <w:kern w:val="0"/>
          <w:sz w:val="32"/>
          <w:szCs w:val="32"/>
          <w:shd w:val="clear" w:color="auto" w:fill="FFFFFF"/>
          <w:lang w:val="en-US" w:eastAsia="zh-CN" w:bidi="ar"/>
        </w:rPr>
        <w:t>5.</w:t>
      </w:r>
      <w:r>
        <w:rPr>
          <w:rFonts w:hint="default" w:ascii="Times New Roman" w:hAnsi="Times New Roman" w:eastAsia="仿宋_GB2312" w:cs="Times New Roman"/>
          <w:color w:val="auto"/>
          <w:kern w:val="0"/>
          <w:sz w:val="32"/>
          <w:szCs w:val="32"/>
          <w:shd w:val="clear" w:color="auto" w:fill="FFFFFF"/>
          <w:lang w:eastAsia="zh-CN" w:bidi="ar"/>
        </w:rPr>
        <w:t>住房保障（类）住房改革支出（款）住房公积金（项）</w:t>
      </w:r>
      <w:r>
        <w:rPr>
          <w:rFonts w:hint="eastAsia" w:ascii="Times New Roman" w:hAnsi="Times New Roman" w:eastAsia="仿宋_GB2312" w:cs="Times New Roman"/>
          <w:color w:val="auto"/>
          <w:kern w:val="0"/>
          <w:sz w:val="32"/>
          <w:szCs w:val="32"/>
          <w:shd w:val="clear" w:color="auto" w:fill="FFFFFF"/>
          <w:lang w:val="en-US" w:eastAsia="zh-CN" w:bidi="ar"/>
        </w:rPr>
        <w:t>2024年预算数为76.83万元，主要用于：</w:t>
      </w:r>
      <w:r>
        <w:rPr>
          <w:rFonts w:hint="default" w:ascii="Times New Roman" w:hAnsi="Times New Roman" w:eastAsia="仿宋_GB2312" w:cs="Times New Roman"/>
          <w:color w:val="auto"/>
          <w:kern w:val="0"/>
          <w:sz w:val="32"/>
          <w:szCs w:val="32"/>
          <w:shd w:val="clear" w:color="auto" w:fill="FFFFFF"/>
          <w:lang w:eastAsia="zh-CN" w:bidi="ar"/>
        </w:rPr>
        <w:t>部门按规定为职工缴纳</w:t>
      </w:r>
      <w:r>
        <w:rPr>
          <w:rFonts w:hint="default" w:ascii="Times New Roman" w:hAnsi="Times New Roman" w:eastAsia="仿宋_GB2312" w:cs="Times New Roman"/>
          <w:color w:val="auto"/>
          <w:kern w:val="0"/>
          <w:sz w:val="32"/>
          <w:szCs w:val="32"/>
          <w:shd w:val="clear" w:color="auto" w:fill="FFFFFF"/>
          <w:lang w:bidi="ar"/>
        </w:rPr>
        <w:t>的住房公积金支出。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outlineLvl w:val="0"/>
        <w:rPr>
          <w:rFonts w:hint="eastAsia" w:ascii="Times New Roman" w:hAnsi="Times New Roman" w:eastAsia="黑体" w:cs="黑体"/>
          <w:color w:val="auto"/>
          <w:sz w:val="32"/>
          <w:szCs w:val="32"/>
          <w:lang w:val="en-US" w:eastAsia="zh-CN"/>
        </w:rPr>
      </w:pPr>
      <w:bookmarkStart w:id="14" w:name="_Toc882649515"/>
      <w:r>
        <w:rPr>
          <w:rFonts w:hint="eastAsia" w:ascii="Times New Roman" w:hAnsi="Times New Roman" w:eastAsia="黑体" w:cs="黑体"/>
          <w:color w:val="auto"/>
          <w:sz w:val="32"/>
          <w:szCs w:val="32"/>
          <w:lang w:val="en-US" w:eastAsia="zh-CN"/>
        </w:rPr>
        <w:t>六、一般公共预算基本支出情况说明</w:t>
      </w:r>
      <w:bookmarkEnd w:id="14"/>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2024年一般公共预算基本支出944.44万元，其中：</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 xml:space="preserve">人员经费844.37万元，主要包括：基本工资、津贴补贴、奖金、绩效工资、社会保险缴费、住房公积金、生活补助等支出。 </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公用经费100.07万元，主要包括：办公费、印刷费、水费、电费、邮电费、差旅费、维修（护）费、培训费、公务接待费、劳务费、工会经费、福利费、其他交通费用</w:t>
      </w:r>
      <w:r>
        <w:rPr>
          <w:rFonts w:hint="default" w:ascii="Times New Roman" w:hAnsi="Times New Roman" w:eastAsia="仿宋_GB2312" w:cs="仿宋_GB2312"/>
          <w:color w:val="auto"/>
          <w:sz w:val="32"/>
          <w:szCs w:val="32"/>
          <w:lang w:eastAsia="zh-CN"/>
        </w:rPr>
        <w:t>、其他商品和服务支出</w:t>
      </w:r>
      <w:r>
        <w:rPr>
          <w:rFonts w:hint="eastAsia" w:ascii="Times New Roman" w:hAnsi="Times New Roman" w:eastAsia="仿宋_GB2312" w:cs="仿宋_GB2312"/>
          <w:color w:val="auto"/>
          <w:sz w:val="32"/>
          <w:szCs w:val="32"/>
          <w:lang w:val="en-US" w:eastAsia="zh-CN"/>
        </w:rPr>
        <w:t>等支出。</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outlineLvl w:val="0"/>
        <w:rPr>
          <w:rFonts w:hint="eastAsia" w:ascii="Times New Roman" w:hAnsi="Times New Roman" w:eastAsia="黑体" w:cs="黑体"/>
          <w:color w:val="auto"/>
          <w:sz w:val="32"/>
          <w:szCs w:val="32"/>
          <w:lang w:val="en-US" w:eastAsia="zh-CN"/>
        </w:rPr>
      </w:pPr>
      <w:bookmarkStart w:id="15" w:name="_Toc2010461927"/>
      <w:r>
        <w:rPr>
          <w:rFonts w:hint="eastAsia" w:ascii="Times New Roman" w:hAnsi="Times New Roman" w:eastAsia="黑体" w:cs="黑体"/>
          <w:color w:val="auto"/>
          <w:kern w:val="2"/>
          <w:sz w:val="32"/>
          <w:szCs w:val="32"/>
          <w:lang w:val="en-US" w:eastAsia="zh-CN" w:bidi="ar-SA"/>
        </w:rPr>
        <w:t>七、</w:t>
      </w:r>
      <w:r>
        <w:rPr>
          <w:rFonts w:hint="eastAsia" w:ascii="Times New Roman" w:hAnsi="Times New Roman" w:eastAsia="黑体" w:cs="黑体"/>
          <w:color w:val="auto"/>
          <w:sz w:val="32"/>
          <w:szCs w:val="32"/>
          <w:lang w:val="en-US" w:eastAsia="zh-CN"/>
        </w:rPr>
        <w:t>“三公”经费财政拨款预算安排情况说明</w:t>
      </w:r>
      <w:bookmarkEnd w:id="15"/>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2024年“三公”经费财政拨款预算数0.70万元，其中：公务接待费0.70万元，公务用车购置及运行维护费0万元，因公出国（境）经费0万元。</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outlineLvl w:val="1"/>
        <w:rPr>
          <w:rFonts w:hint="eastAsia" w:ascii="Times New Roman" w:hAnsi="Times New Roman" w:eastAsia="楷体_GB2312" w:cs="楷体_GB2312"/>
          <w:color w:val="auto"/>
          <w:sz w:val="32"/>
          <w:szCs w:val="32"/>
          <w:lang w:val="en-US" w:eastAsia="zh-CN"/>
        </w:rPr>
      </w:pPr>
      <w:bookmarkStart w:id="16" w:name="_Toc1817807192"/>
      <w:r>
        <w:rPr>
          <w:rFonts w:hint="eastAsia" w:ascii="Times New Roman" w:hAnsi="Times New Roman" w:eastAsia="楷体_GB2312" w:cs="楷体_GB2312"/>
          <w:color w:val="auto"/>
          <w:kern w:val="2"/>
          <w:sz w:val="32"/>
          <w:szCs w:val="32"/>
          <w:lang w:val="en-US" w:eastAsia="zh-CN" w:bidi="ar-SA"/>
        </w:rPr>
        <w:t>（一）</w:t>
      </w:r>
      <w:r>
        <w:rPr>
          <w:rFonts w:hint="eastAsia" w:ascii="Times New Roman" w:hAnsi="Times New Roman" w:eastAsia="楷体_GB2312" w:cs="楷体_GB2312"/>
          <w:color w:val="auto"/>
          <w:sz w:val="32"/>
          <w:szCs w:val="32"/>
          <w:lang w:val="en-US" w:eastAsia="zh-CN"/>
        </w:rPr>
        <w:t>公务接待费</w:t>
      </w:r>
      <w:bookmarkEnd w:id="16"/>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公务接待费与2023年预算相比下降0.02万元，主要原因是</w:t>
      </w:r>
      <w:r>
        <w:rPr>
          <w:rFonts w:hint="default" w:ascii="Times New Roman" w:hAnsi="Times New Roman" w:eastAsia="仿宋_GB2312" w:cs="Times New Roman"/>
          <w:bCs/>
          <w:color w:val="auto"/>
          <w:kern w:val="0"/>
          <w:sz w:val="32"/>
          <w:szCs w:val="32"/>
          <w:shd w:val="clear" w:color="auto" w:fill="FFFFFF"/>
          <w:lang w:bidi="ar"/>
        </w:rPr>
        <w:t>厉行节约，压减支出</w:t>
      </w:r>
      <w:r>
        <w:rPr>
          <w:rFonts w:hint="eastAsia" w:ascii="Times New Roman" w:hAnsi="Times New Roman" w:eastAsia="仿宋_GB2312" w:cs="仿宋_GB2312"/>
          <w:color w:val="auto"/>
          <w:sz w:val="32"/>
          <w:szCs w:val="32"/>
          <w:lang w:val="en-US" w:eastAsia="zh-CN"/>
        </w:rPr>
        <w:t>。</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outlineLvl w:val="1"/>
        <w:rPr>
          <w:rFonts w:hint="eastAsia" w:ascii="Times New Roman" w:hAnsi="Times New Roman" w:eastAsia="楷体_GB2312" w:cs="楷体_GB2312"/>
          <w:color w:val="auto"/>
          <w:kern w:val="2"/>
          <w:sz w:val="32"/>
          <w:szCs w:val="32"/>
          <w:lang w:val="en-US" w:eastAsia="zh-CN" w:bidi="ar-SA"/>
        </w:rPr>
      </w:pPr>
      <w:bookmarkStart w:id="17" w:name="_Toc878426368"/>
      <w:r>
        <w:rPr>
          <w:rFonts w:hint="eastAsia" w:ascii="Times New Roman" w:hAnsi="Times New Roman" w:eastAsia="楷体_GB2312" w:cs="楷体_GB2312"/>
          <w:color w:val="auto"/>
          <w:kern w:val="2"/>
          <w:sz w:val="32"/>
          <w:szCs w:val="32"/>
          <w:lang w:val="en-US" w:eastAsia="zh-CN" w:bidi="ar-SA"/>
        </w:rPr>
        <w:t>（二）公务用车购置及运行维护费</w:t>
      </w:r>
      <w:bookmarkEnd w:id="17"/>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公务用车购置及运行维护费</w:t>
      </w:r>
      <w:r>
        <w:rPr>
          <w:rFonts w:hint="default" w:ascii="Times New Roman" w:hAnsi="Times New Roman" w:eastAsia="仿宋_GB2312" w:cs="仿宋_GB2312"/>
          <w:color w:val="auto"/>
          <w:sz w:val="32"/>
          <w:szCs w:val="32"/>
          <w:lang w:val="en-US" w:eastAsia="zh-CN"/>
        </w:rPr>
        <w:t>0万元，</w:t>
      </w:r>
      <w:r>
        <w:rPr>
          <w:rFonts w:hint="eastAsia" w:ascii="Times New Roman" w:hAnsi="Times New Roman" w:eastAsia="仿宋_GB2312" w:cs="仿宋_GB2312"/>
          <w:color w:val="auto"/>
          <w:sz w:val="32"/>
          <w:szCs w:val="32"/>
          <w:lang w:val="en-US" w:eastAsia="zh-CN"/>
        </w:rPr>
        <w:t>与2023年预算相比持平。</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单位现有公务用车0辆。</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2024年安排公务用车购置费0万元。</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2024年安排公务用车运行维护费0万元。</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1"/>
        <w:rPr>
          <w:rFonts w:hint="eastAsia" w:ascii="Times New Roman" w:hAnsi="Times New Roman" w:eastAsia="楷体_GB2312" w:cs="楷体_GB2312"/>
          <w:color w:val="auto"/>
          <w:sz w:val="32"/>
          <w:szCs w:val="32"/>
          <w:lang w:val="en-US" w:eastAsia="zh-CN"/>
        </w:rPr>
      </w:pPr>
      <w:bookmarkStart w:id="18" w:name="_Toc141428635"/>
      <w:r>
        <w:rPr>
          <w:rFonts w:hint="eastAsia" w:ascii="Times New Roman" w:hAnsi="Times New Roman" w:eastAsia="楷体_GB2312" w:cs="楷体_GB2312"/>
          <w:color w:val="auto"/>
          <w:kern w:val="2"/>
          <w:sz w:val="32"/>
          <w:szCs w:val="32"/>
          <w:lang w:val="en-US" w:eastAsia="zh-CN" w:bidi="ar-SA"/>
        </w:rPr>
        <w:t>（三）</w:t>
      </w:r>
      <w:r>
        <w:rPr>
          <w:rFonts w:hint="eastAsia" w:ascii="Times New Roman" w:hAnsi="Times New Roman" w:eastAsia="楷体_GB2312" w:cs="楷体_GB2312"/>
          <w:color w:val="auto"/>
          <w:sz w:val="32"/>
          <w:szCs w:val="32"/>
          <w:lang w:val="en-US" w:eastAsia="zh-CN"/>
        </w:rPr>
        <w:t>因公出国（境）经费</w:t>
      </w:r>
      <w:bookmarkEnd w:id="18"/>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因公出国（境）经费与2023年预算相比持平。</w:t>
      </w:r>
      <w:r>
        <w:rPr>
          <w:rFonts w:hint="default" w:ascii="Times New Roman" w:hAnsi="Times New Roman" w:eastAsia="仿宋_GB2312" w:cs="仿宋_GB2312"/>
          <w:color w:val="auto"/>
          <w:sz w:val="32"/>
          <w:szCs w:val="32"/>
          <w:lang w:eastAsia="zh-CN"/>
        </w:rPr>
        <w:t>单位</w:t>
      </w:r>
      <w:r>
        <w:rPr>
          <w:rFonts w:hint="eastAsia" w:ascii="Times New Roman" w:hAnsi="Times New Roman" w:eastAsia="仿宋_GB2312" w:cs="仿宋_GB2312"/>
          <w:color w:val="auto"/>
          <w:sz w:val="32"/>
          <w:szCs w:val="32"/>
          <w:lang w:val="en-US" w:eastAsia="zh-CN"/>
        </w:rPr>
        <w:t>预算未编列因公出国（境）经费，未安排出国（境）任务和计划。</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0"/>
        <w:rPr>
          <w:rFonts w:hint="eastAsia" w:ascii="Times New Roman" w:hAnsi="Times New Roman" w:eastAsia="黑体" w:cs="黑体"/>
          <w:color w:val="auto"/>
          <w:sz w:val="32"/>
          <w:szCs w:val="32"/>
          <w:lang w:val="en-US" w:eastAsia="zh-CN"/>
        </w:rPr>
      </w:pPr>
      <w:bookmarkStart w:id="19" w:name="_Toc106211516"/>
      <w:r>
        <w:rPr>
          <w:rFonts w:hint="eastAsia" w:ascii="Times New Roman" w:hAnsi="Times New Roman" w:eastAsia="黑体" w:cs="黑体"/>
          <w:color w:val="auto"/>
          <w:kern w:val="2"/>
          <w:sz w:val="32"/>
          <w:szCs w:val="32"/>
          <w:lang w:val="en-US" w:eastAsia="zh-CN" w:bidi="ar-SA"/>
        </w:rPr>
        <w:t>八、</w:t>
      </w:r>
      <w:r>
        <w:rPr>
          <w:rFonts w:hint="eastAsia" w:ascii="Times New Roman" w:hAnsi="Times New Roman" w:eastAsia="黑体" w:cs="黑体"/>
          <w:color w:val="auto"/>
          <w:sz w:val="32"/>
          <w:szCs w:val="32"/>
          <w:lang w:val="en-US" w:eastAsia="zh-CN"/>
        </w:rPr>
        <w:t>政府性基金预算支出情况说明</w:t>
      </w:r>
      <w:bookmarkEnd w:id="19"/>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2024年无政府性基金预算拨款安排的支出。</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0"/>
        <w:rPr>
          <w:rFonts w:hint="eastAsia" w:ascii="Times New Roman" w:hAnsi="Times New Roman" w:eastAsia="黑体" w:cs="黑体"/>
          <w:color w:val="auto"/>
          <w:sz w:val="32"/>
          <w:szCs w:val="32"/>
          <w:lang w:val="en-US" w:eastAsia="zh-CN"/>
        </w:rPr>
      </w:pPr>
      <w:bookmarkStart w:id="20" w:name="_Toc223627156"/>
      <w:r>
        <w:rPr>
          <w:rFonts w:hint="eastAsia" w:ascii="Times New Roman" w:hAnsi="Times New Roman" w:eastAsia="黑体" w:cs="黑体"/>
          <w:color w:val="auto"/>
          <w:kern w:val="2"/>
          <w:sz w:val="32"/>
          <w:szCs w:val="32"/>
          <w:lang w:val="en-US" w:eastAsia="zh-CN" w:bidi="ar-SA"/>
        </w:rPr>
        <w:t>九、</w:t>
      </w:r>
      <w:r>
        <w:rPr>
          <w:rFonts w:hint="eastAsia" w:ascii="Times New Roman" w:hAnsi="Times New Roman" w:eastAsia="黑体" w:cs="黑体"/>
          <w:color w:val="auto"/>
          <w:sz w:val="32"/>
          <w:szCs w:val="32"/>
          <w:lang w:val="en-US" w:eastAsia="zh-CN"/>
        </w:rPr>
        <w:t>国有资本经营预算支出情况说明</w:t>
      </w:r>
      <w:bookmarkEnd w:id="20"/>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default" w:ascii="Times New Roman" w:hAnsi="Times New Roman" w:eastAsia="仿宋_GB2312" w:cs="Times New Roman"/>
          <w:bCs/>
          <w:color w:val="auto"/>
          <w:sz w:val="32"/>
          <w:szCs w:val="32"/>
          <w:shd w:val="clear" w:color="auto" w:fill="FFFFFF"/>
        </w:rPr>
        <w:t>广元市食品药品检验检测中心</w:t>
      </w:r>
      <w:r>
        <w:rPr>
          <w:rFonts w:hint="eastAsia" w:ascii="Times New Roman" w:hAnsi="Times New Roman" w:eastAsia="仿宋_GB2312" w:cs="仿宋_GB2312"/>
          <w:color w:val="auto"/>
          <w:sz w:val="32"/>
          <w:szCs w:val="32"/>
          <w:lang w:val="en-US" w:eastAsia="zh-CN"/>
        </w:rPr>
        <w:t>2024年无国有资本经营预算拨款安排的支出。</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0"/>
        <w:rPr>
          <w:rFonts w:hint="eastAsia" w:ascii="Times New Roman" w:hAnsi="Times New Roman" w:eastAsia="黑体" w:cs="黑体"/>
          <w:color w:val="auto"/>
          <w:sz w:val="32"/>
          <w:szCs w:val="32"/>
          <w:lang w:val="en-US" w:eastAsia="zh-CN"/>
        </w:rPr>
      </w:pPr>
      <w:bookmarkStart w:id="21" w:name="_Toc618039784"/>
      <w:r>
        <w:rPr>
          <w:rFonts w:hint="eastAsia" w:ascii="Times New Roman" w:hAnsi="Times New Roman" w:eastAsia="黑体" w:cs="黑体"/>
          <w:color w:val="auto"/>
          <w:kern w:val="2"/>
          <w:sz w:val="32"/>
          <w:szCs w:val="32"/>
          <w:lang w:val="en-US" w:eastAsia="zh-CN" w:bidi="ar-SA"/>
        </w:rPr>
        <w:t>十、</w:t>
      </w:r>
      <w:r>
        <w:rPr>
          <w:rFonts w:hint="eastAsia" w:ascii="Times New Roman" w:hAnsi="Times New Roman" w:eastAsia="黑体" w:cs="黑体"/>
          <w:color w:val="auto"/>
          <w:sz w:val="32"/>
          <w:szCs w:val="32"/>
          <w:lang w:val="en-US" w:eastAsia="zh-CN"/>
        </w:rPr>
        <w:t>其他重要事项的情况说明</w:t>
      </w:r>
      <w:bookmarkEnd w:id="21"/>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outlineLvl w:val="1"/>
        <w:rPr>
          <w:rFonts w:hint="eastAsia" w:ascii="Times New Roman" w:hAnsi="Times New Roman" w:eastAsia="楷体_GB2312" w:cs="楷体_GB2312"/>
          <w:color w:val="auto"/>
          <w:sz w:val="32"/>
          <w:szCs w:val="32"/>
          <w:lang w:val="en-US" w:eastAsia="zh-CN"/>
        </w:rPr>
      </w:pPr>
      <w:bookmarkStart w:id="22" w:name="_Toc2086107811"/>
      <w:r>
        <w:rPr>
          <w:rFonts w:hint="eastAsia" w:ascii="Times New Roman" w:hAnsi="Times New Roman" w:eastAsia="楷体_GB2312" w:cs="楷体_GB2312"/>
          <w:color w:val="auto"/>
          <w:sz w:val="32"/>
          <w:szCs w:val="32"/>
          <w:lang w:val="en-US" w:eastAsia="zh-CN"/>
        </w:rPr>
        <w:t>（一）机关运行经费</w:t>
      </w:r>
      <w:bookmarkEnd w:id="22"/>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b/>
          <w:bCs/>
          <w:color w:val="auto"/>
          <w:sz w:val="32"/>
          <w:szCs w:val="32"/>
          <w:lang w:val="en-US" w:eastAsia="zh-CN"/>
        </w:rPr>
      </w:pPr>
      <w:r>
        <w:rPr>
          <w:rFonts w:hint="eastAsia" w:ascii="仿宋_GB2312" w:hAnsi="仿宋_GB2312" w:eastAsia="仿宋_GB2312" w:cs="仿宋_GB2312"/>
          <w:color w:val="000000"/>
          <w:sz w:val="32"/>
          <w:szCs w:val="32"/>
        </w:rPr>
        <w:t>广元市产品质量监督检验所为事业单位，按规定未使用机关运行的相关科目。</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1"/>
        <w:rPr>
          <w:rFonts w:hint="eastAsia" w:ascii="Times New Roman" w:hAnsi="Times New Roman" w:eastAsia="楷体_GB2312" w:cs="楷体_GB2312"/>
          <w:color w:val="auto"/>
          <w:sz w:val="32"/>
          <w:szCs w:val="32"/>
          <w:lang w:val="en-US" w:eastAsia="zh-CN"/>
        </w:rPr>
      </w:pPr>
      <w:bookmarkStart w:id="23" w:name="_Toc1484937888"/>
      <w:r>
        <w:rPr>
          <w:rFonts w:hint="eastAsia" w:ascii="Times New Roman" w:hAnsi="Times New Roman" w:eastAsia="楷体_GB2312" w:cs="楷体_GB2312"/>
          <w:color w:val="auto"/>
          <w:kern w:val="2"/>
          <w:sz w:val="32"/>
          <w:szCs w:val="32"/>
          <w:lang w:val="en-US" w:eastAsia="zh-CN" w:bidi="ar-SA"/>
        </w:rPr>
        <w:t>（二）</w:t>
      </w:r>
      <w:r>
        <w:rPr>
          <w:rFonts w:hint="eastAsia" w:ascii="Times New Roman" w:hAnsi="Times New Roman" w:eastAsia="楷体_GB2312" w:cs="楷体_GB2312"/>
          <w:color w:val="auto"/>
          <w:sz w:val="32"/>
          <w:szCs w:val="32"/>
          <w:lang w:val="en-US" w:eastAsia="zh-CN"/>
        </w:rPr>
        <w:t>政府采购情况</w:t>
      </w:r>
      <w:bookmarkEnd w:id="23"/>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b/>
          <w:bCs/>
          <w:color w:val="auto"/>
          <w:sz w:val="32"/>
          <w:szCs w:val="32"/>
          <w:lang w:val="en-US" w:eastAsia="zh-CN"/>
        </w:rPr>
      </w:pPr>
      <w:r>
        <w:rPr>
          <w:rFonts w:hint="eastAsia" w:ascii="Times New Roman" w:hAnsi="Times New Roman" w:eastAsia="仿宋_GB2312" w:cs="仿宋_GB2312"/>
          <w:color w:val="auto"/>
          <w:sz w:val="32"/>
          <w:szCs w:val="32"/>
          <w:lang w:val="en-US" w:eastAsia="zh-CN"/>
        </w:rPr>
        <w:t>2024年，</w:t>
      </w:r>
      <w:r>
        <w:rPr>
          <w:rFonts w:hint="default" w:ascii="Times New Roman" w:hAnsi="Times New Roman" w:eastAsia="仿宋_GB2312" w:cs="Times New Roman"/>
          <w:color w:val="auto"/>
          <w:kern w:val="0"/>
          <w:sz w:val="32"/>
          <w:szCs w:val="32"/>
          <w:shd w:val="clear" w:color="auto" w:fill="FFFFFF"/>
          <w:lang w:bidi="ar"/>
        </w:rPr>
        <w:t>广元市食品药品检验检测中心</w:t>
      </w:r>
      <w:r>
        <w:rPr>
          <w:rFonts w:hint="eastAsia" w:ascii="Times New Roman" w:hAnsi="Times New Roman" w:eastAsia="仿宋_GB2312" w:cs="仿宋_GB2312"/>
          <w:color w:val="auto"/>
          <w:sz w:val="32"/>
          <w:szCs w:val="32"/>
          <w:lang w:val="en-US" w:eastAsia="zh-CN"/>
        </w:rPr>
        <w:t>安排政府采购预算0万元。</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1"/>
        <w:rPr>
          <w:rFonts w:hint="eastAsia" w:ascii="Times New Roman" w:hAnsi="Times New Roman" w:eastAsia="楷体_GB2312" w:cs="楷体_GB2312"/>
          <w:color w:val="auto"/>
          <w:sz w:val="32"/>
          <w:szCs w:val="32"/>
          <w:lang w:val="en-US" w:eastAsia="zh-CN"/>
        </w:rPr>
      </w:pPr>
      <w:bookmarkStart w:id="24" w:name="_Toc2005121775"/>
      <w:r>
        <w:rPr>
          <w:rFonts w:hint="eastAsia" w:ascii="Times New Roman" w:hAnsi="Times New Roman" w:eastAsia="楷体_GB2312" w:cs="楷体_GB2312"/>
          <w:color w:val="auto"/>
          <w:kern w:val="2"/>
          <w:sz w:val="32"/>
          <w:szCs w:val="32"/>
          <w:lang w:val="en-US" w:eastAsia="zh-CN" w:bidi="ar-SA"/>
        </w:rPr>
        <w:t>（三）</w:t>
      </w:r>
      <w:r>
        <w:rPr>
          <w:rFonts w:hint="eastAsia" w:ascii="Times New Roman" w:hAnsi="Times New Roman" w:eastAsia="楷体_GB2312" w:cs="楷体_GB2312"/>
          <w:color w:val="auto"/>
          <w:sz w:val="32"/>
          <w:szCs w:val="32"/>
          <w:lang w:val="en-US" w:eastAsia="zh-CN"/>
        </w:rPr>
        <w:t>国有资产占有使用情况</w:t>
      </w:r>
      <w:bookmarkEnd w:id="24"/>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截至2023年底，</w:t>
      </w:r>
      <w:r>
        <w:rPr>
          <w:rFonts w:hint="default" w:ascii="Times New Roman" w:hAnsi="Times New Roman" w:eastAsia="仿宋_GB2312" w:cs="Times New Roman"/>
          <w:color w:val="auto"/>
          <w:kern w:val="0"/>
          <w:sz w:val="32"/>
          <w:szCs w:val="32"/>
          <w:shd w:val="clear" w:color="auto" w:fill="FFFFFF"/>
          <w:lang w:bidi="ar"/>
        </w:rPr>
        <w:t>广元市食品药品检验检测中心</w:t>
      </w:r>
      <w:r>
        <w:rPr>
          <w:rFonts w:hint="eastAsia" w:ascii="Times New Roman" w:hAnsi="Times New Roman" w:eastAsia="仿宋_GB2312" w:cs="仿宋_GB2312"/>
          <w:color w:val="auto"/>
          <w:sz w:val="32"/>
          <w:szCs w:val="32"/>
          <w:lang w:val="en-US" w:eastAsia="zh-CN"/>
        </w:rPr>
        <w:t>单位共有车辆0辆，单位价值200万元以上大型设备1台（套）。</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2024年</w:t>
      </w:r>
      <w:r>
        <w:rPr>
          <w:rFonts w:hint="default" w:ascii="Times New Roman" w:hAnsi="Times New Roman" w:eastAsia="仿宋_GB2312" w:cs="仿宋_GB2312"/>
          <w:color w:val="auto"/>
          <w:sz w:val="32"/>
          <w:szCs w:val="32"/>
          <w:lang w:eastAsia="zh-CN"/>
        </w:rPr>
        <w:t>单位</w:t>
      </w:r>
      <w:r>
        <w:rPr>
          <w:rFonts w:hint="eastAsia" w:ascii="Times New Roman" w:hAnsi="Times New Roman" w:eastAsia="仿宋_GB2312" w:cs="仿宋_GB2312"/>
          <w:color w:val="auto"/>
          <w:sz w:val="32"/>
          <w:szCs w:val="32"/>
          <w:lang w:val="en-US" w:eastAsia="zh-CN"/>
        </w:rPr>
        <w:t>预算未安排购置车辆及单位价值200万元以上大型设备。</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1"/>
        <w:rPr>
          <w:rFonts w:hint="eastAsia" w:ascii="Times New Roman" w:hAnsi="Times New Roman" w:eastAsia="楷体_GB2312" w:cs="楷体_GB2312"/>
          <w:color w:val="auto"/>
          <w:sz w:val="32"/>
          <w:szCs w:val="32"/>
          <w:lang w:val="en-US" w:eastAsia="zh-CN"/>
        </w:rPr>
      </w:pPr>
      <w:bookmarkStart w:id="25" w:name="_Toc871654940"/>
      <w:r>
        <w:rPr>
          <w:rFonts w:hint="eastAsia" w:ascii="Times New Roman" w:hAnsi="Times New Roman" w:eastAsia="楷体_GB2312" w:cs="楷体_GB2312"/>
          <w:color w:val="auto"/>
          <w:kern w:val="2"/>
          <w:sz w:val="32"/>
          <w:szCs w:val="32"/>
          <w:lang w:val="en-US" w:eastAsia="zh-CN" w:bidi="ar-SA"/>
        </w:rPr>
        <w:t>（四）</w:t>
      </w:r>
      <w:r>
        <w:rPr>
          <w:rFonts w:hint="eastAsia" w:ascii="Times New Roman" w:hAnsi="Times New Roman" w:eastAsia="楷体_GB2312" w:cs="楷体_GB2312"/>
          <w:color w:val="auto"/>
          <w:sz w:val="32"/>
          <w:szCs w:val="32"/>
          <w:lang w:val="en-US" w:eastAsia="zh-CN"/>
        </w:rPr>
        <w:t>绩效目标设置情况</w:t>
      </w:r>
      <w:bookmarkEnd w:id="25"/>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lang w:val="en-US" w:eastAsia="zh-CN"/>
        </w:rPr>
        <w:t>2024年</w:t>
      </w:r>
      <w:r>
        <w:rPr>
          <w:rFonts w:hint="default" w:ascii="Times New Roman" w:hAnsi="Times New Roman" w:eastAsia="仿宋_GB2312" w:cs="Times New Roman"/>
          <w:color w:val="auto"/>
          <w:kern w:val="0"/>
          <w:sz w:val="32"/>
          <w:szCs w:val="32"/>
          <w:shd w:val="clear" w:color="auto" w:fill="FFFFFF"/>
          <w:lang w:bidi="ar"/>
        </w:rPr>
        <w:t>广元市食品药品检验检测中心</w:t>
      </w:r>
      <w:r>
        <w:rPr>
          <w:rFonts w:hint="eastAsia" w:ascii="Times New Roman" w:hAnsi="Times New Roman" w:eastAsia="仿宋_GB2312" w:cs="仿宋_GB2312"/>
          <w:color w:val="auto"/>
          <w:sz w:val="32"/>
          <w:szCs w:val="32"/>
          <w:lang w:val="en-US" w:eastAsia="zh-CN"/>
        </w:rPr>
        <w:t>单位开展绩效目标管理的项目13个，</w:t>
      </w:r>
      <w:r>
        <w:rPr>
          <w:rFonts w:hint="eastAsia" w:ascii="Times New Roman" w:hAnsi="Times New Roman" w:eastAsia="仿宋_GB2312" w:cs="仿宋_GB2312"/>
          <w:color w:val="auto"/>
          <w:sz w:val="32"/>
          <w:szCs w:val="32"/>
          <w:highlight w:val="none"/>
          <w:lang w:val="en-US" w:eastAsia="zh-CN"/>
        </w:rPr>
        <w:t>涉及预算1006.48万元。其中：</w:t>
      </w:r>
      <w:r>
        <w:rPr>
          <w:rFonts w:hint="eastAsia" w:ascii="Times New Roman" w:hAnsi="Times New Roman" w:eastAsia="仿宋_GB2312" w:cs="仿宋_GB2312"/>
          <w:color w:val="auto"/>
          <w:sz w:val="32"/>
          <w:szCs w:val="32"/>
          <w:lang w:val="en-US" w:eastAsia="zh-CN"/>
        </w:rPr>
        <w:t>人员类项目7个，涉及预算844.37万元；运转类项目3个，涉及预算100.07万元；特定目标类项目3个，涉及预算62.04万元。</w:t>
      </w:r>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left="0" w:leftChars="0" w:firstLine="640" w:firstLineChars="200"/>
        <w:contextualSpacing/>
        <w:jc w:val="both"/>
        <w:textAlignment w:val="auto"/>
        <w:outlineLvl w:val="0"/>
        <w:rPr>
          <w:rFonts w:hint="eastAsia" w:ascii="Times New Roman" w:hAnsi="Times New Roman" w:eastAsia="黑体" w:cs="黑体"/>
          <w:color w:val="auto"/>
          <w:sz w:val="32"/>
          <w:szCs w:val="32"/>
          <w:lang w:val="en-US" w:eastAsia="zh-CN"/>
        </w:rPr>
      </w:pPr>
      <w:bookmarkStart w:id="26" w:name="_Toc1410733619"/>
      <w:r>
        <w:rPr>
          <w:rFonts w:hint="eastAsia" w:ascii="Times New Roman" w:hAnsi="Times New Roman" w:eastAsia="黑体" w:cs="黑体"/>
          <w:color w:val="auto"/>
          <w:kern w:val="2"/>
          <w:sz w:val="32"/>
          <w:szCs w:val="32"/>
          <w:lang w:val="en-US" w:eastAsia="zh-CN" w:bidi="ar-SA"/>
        </w:rPr>
        <w:t>十一、</w:t>
      </w:r>
      <w:r>
        <w:rPr>
          <w:rFonts w:hint="eastAsia" w:ascii="Times New Roman" w:hAnsi="Times New Roman" w:eastAsia="黑体" w:cs="黑体"/>
          <w:color w:val="auto"/>
          <w:sz w:val="32"/>
          <w:szCs w:val="32"/>
          <w:lang w:val="en-US" w:eastAsia="zh-CN"/>
        </w:rPr>
        <w:t>名词解释</w:t>
      </w:r>
      <w:bookmarkEnd w:id="26"/>
    </w:p>
    <w:p>
      <w:pPr>
        <w:keepNext w:val="0"/>
        <w:keepLines w:val="0"/>
        <w:pageBreakBefore w:val="0"/>
        <w:widowControl w:val="0"/>
        <w:numPr>
          <w:ilvl w:val="0"/>
          <w:numId w:val="0"/>
        </w:numPr>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楷体" w:cs="楷体_GB2312"/>
          <w:color w:val="auto"/>
          <w:sz w:val="32"/>
          <w:szCs w:val="32"/>
          <w:lang w:val="en-US" w:eastAsia="zh-CN"/>
        </w:rPr>
        <w:t>（一）财政拨款收入</w:t>
      </w:r>
      <w:r>
        <w:rPr>
          <w:rFonts w:hint="default" w:ascii="Times New Roman" w:hAnsi="Times New Roman" w:eastAsia="楷体" w:cs="楷体_GB2312"/>
          <w:color w:val="auto"/>
          <w:sz w:val="32"/>
          <w:szCs w:val="32"/>
          <w:lang w:val="en-US" w:eastAsia="zh-CN"/>
        </w:rPr>
        <w:t>:</w:t>
      </w:r>
      <w:r>
        <w:rPr>
          <w:rFonts w:hint="eastAsia" w:ascii="Times New Roman" w:hAnsi="Times New Roman" w:eastAsia="仿宋_GB2312" w:cs="仿宋_GB2312"/>
          <w:color w:val="auto"/>
          <w:sz w:val="32"/>
          <w:szCs w:val="32"/>
          <w:lang w:val="en-US" w:eastAsia="zh-CN"/>
        </w:rPr>
        <w:t>指市财政当年安排的财政预算收入。按现行管理制度</w:t>
      </w:r>
      <w:r>
        <w:rPr>
          <w:rFonts w:hint="default" w:ascii="Times New Roman" w:hAnsi="Times New Roman" w:eastAsia="仿宋_GB2312" w:cs="仿宋_GB2312"/>
          <w:color w:val="auto"/>
          <w:sz w:val="32"/>
          <w:szCs w:val="32"/>
          <w:lang w:val="en-US" w:eastAsia="zh-CN"/>
        </w:rPr>
        <w:t>,</w:t>
      </w:r>
      <w:r>
        <w:rPr>
          <w:rFonts w:hint="eastAsia" w:ascii="Times New Roman" w:hAnsi="Times New Roman" w:eastAsia="仿宋_GB2312" w:cs="仿宋_GB2312"/>
          <w:color w:val="auto"/>
          <w:sz w:val="32"/>
          <w:szCs w:val="32"/>
          <w:lang w:val="en-US" w:eastAsia="zh-CN"/>
        </w:rPr>
        <w:t>部门预算中反映的财政拨款包括一般公共预算拨款和政府性基金预算拨款。</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楷体_GB2312"/>
          <w:color w:val="auto"/>
          <w:sz w:val="32"/>
          <w:szCs w:val="32"/>
          <w:lang w:val="en-US" w:eastAsia="zh-CN"/>
        </w:rPr>
        <w:t>（二）</w:t>
      </w:r>
      <w:r>
        <w:rPr>
          <w:rFonts w:hint="default" w:ascii="Times New Roman" w:hAnsi="Times New Roman" w:eastAsia="仿宋_GB2312" w:cs="Times New Roman"/>
          <w:color w:val="auto"/>
          <w:kern w:val="0"/>
          <w:sz w:val="32"/>
          <w:szCs w:val="32"/>
          <w:shd w:val="clear" w:color="auto" w:fill="FFFFFF"/>
          <w:lang w:bidi="ar"/>
        </w:rPr>
        <w:t>一般公共服务（类）市场监督管理事务（款）事业运行（项）主要用于事业单位基本支出，保障机构正常运行、开展日常工作的基本支出。</w:t>
      </w:r>
      <w:r>
        <w:rPr>
          <w:rFonts w:hint="eastAsia" w:ascii="Times New Roman" w:hAnsi="Times New Roman" w:eastAsia="仿宋_GB2312" w:cs="仿宋_GB2312"/>
          <w:color w:val="auto"/>
          <w:sz w:val="32"/>
          <w:szCs w:val="32"/>
          <w:lang w:val="en-US" w:eastAsia="zh-CN"/>
        </w:rPr>
        <w:t>　</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color w:val="auto"/>
          <w:kern w:val="0"/>
          <w:sz w:val="32"/>
          <w:szCs w:val="32"/>
          <w:shd w:val="clear" w:color="auto" w:fill="FFFFFF"/>
          <w:lang w:bidi="ar"/>
        </w:rPr>
      </w:pPr>
      <w:r>
        <w:rPr>
          <w:rFonts w:hint="eastAsia" w:ascii="Times New Roman" w:hAnsi="Times New Roman" w:eastAsia="仿宋_GB2312" w:cs="楷体_GB2312"/>
          <w:color w:val="auto"/>
          <w:sz w:val="32"/>
          <w:szCs w:val="32"/>
          <w:lang w:val="en-US" w:eastAsia="zh-CN"/>
        </w:rPr>
        <w:t>（三）</w:t>
      </w:r>
      <w:r>
        <w:rPr>
          <w:rFonts w:hint="default" w:ascii="Times New Roman" w:hAnsi="Times New Roman" w:eastAsia="仿宋_GB2312" w:cs="Times New Roman"/>
          <w:color w:val="auto"/>
          <w:kern w:val="0"/>
          <w:sz w:val="32"/>
          <w:szCs w:val="32"/>
          <w:shd w:val="clear" w:color="auto" w:fill="FFFFFF"/>
          <w:lang w:bidi="ar"/>
        </w:rPr>
        <w:t>一般公共服务（类）市场监督管理事务（款）其他市场监督管理事务（项）主要用于除上述项目以外其他市场监督管理事务方面的支出。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color w:val="auto"/>
          <w:kern w:val="0"/>
          <w:sz w:val="32"/>
          <w:szCs w:val="32"/>
          <w:shd w:val="clear" w:color="auto" w:fill="FFFFFF"/>
          <w:lang w:bidi="ar"/>
        </w:rPr>
      </w:pPr>
      <w:r>
        <w:rPr>
          <w:rFonts w:hint="eastAsia" w:ascii="Times New Roman" w:hAnsi="Times New Roman" w:eastAsia="楷体" w:cs="楷体_GB2312"/>
          <w:color w:val="auto"/>
          <w:sz w:val="32"/>
          <w:szCs w:val="32"/>
          <w:lang w:val="en-US" w:eastAsia="zh-CN"/>
        </w:rPr>
        <w:t>（四）</w:t>
      </w:r>
      <w:r>
        <w:rPr>
          <w:rFonts w:hint="default" w:ascii="Times New Roman" w:hAnsi="Times New Roman" w:eastAsia="楷体" w:cs="Times New Roman"/>
          <w:color w:val="auto"/>
          <w:kern w:val="0"/>
          <w:sz w:val="32"/>
          <w:szCs w:val="32"/>
          <w:shd w:val="clear" w:color="auto" w:fill="FFFFFF"/>
          <w:lang w:bidi="ar"/>
        </w:rPr>
        <w:t>社会保障和就业（类）行政事业单位养老支出（款）机关事业单位基本养老保险缴费支出（项）：</w:t>
      </w:r>
      <w:r>
        <w:rPr>
          <w:rFonts w:hint="default" w:ascii="Times New Roman" w:hAnsi="Times New Roman" w:eastAsia="仿宋_GB2312" w:cs="Times New Roman"/>
          <w:color w:val="auto"/>
          <w:kern w:val="0"/>
          <w:sz w:val="32"/>
          <w:szCs w:val="32"/>
          <w:shd w:val="clear" w:color="auto" w:fill="FFFFFF"/>
          <w:lang w:bidi="ar"/>
        </w:rPr>
        <w:t>指部门实施养老保险制度由单位缴纳的养老保险的支出。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default" w:ascii="Times New Roman" w:hAnsi="Times New Roman" w:eastAsia="仿宋_GB2312" w:cs="Times New Roman"/>
          <w:color w:val="auto"/>
          <w:kern w:val="0"/>
          <w:sz w:val="32"/>
          <w:szCs w:val="32"/>
          <w:shd w:val="clear" w:color="auto" w:fill="FFFFFF"/>
          <w:lang w:bidi="ar"/>
        </w:rPr>
      </w:pPr>
      <w:r>
        <w:rPr>
          <w:rFonts w:hint="eastAsia" w:ascii="Times New Roman" w:hAnsi="Times New Roman" w:eastAsia="楷体" w:cs="楷体_GB2312"/>
          <w:color w:val="auto"/>
          <w:sz w:val="32"/>
          <w:szCs w:val="32"/>
          <w:lang w:val="en-US" w:eastAsia="zh-CN"/>
        </w:rPr>
        <w:t>（五）</w:t>
      </w:r>
      <w:r>
        <w:rPr>
          <w:rFonts w:hint="default" w:ascii="Times New Roman" w:hAnsi="Times New Roman" w:eastAsia="楷体" w:cs="Times New Roman"/>
          <w:color w:val="auto"/>
          <w:kern w:val="0"/>
          <w:sz w:val="32"/>
          <w:szCs w:val="32"/>
          <w:shd w:val="clear" w:color="auto" w:fill="FFFFFF"/>
          <w:lang w:bidi="ar"/>
        </w:rPr>
        <w:t>卫生健康（类）行政事业单位医疗（款）事业单位医疗（项）：</w:t>
      </w:r>
      <w:r>
        <w:rPr>
          <w:rFonts w:hint="default" w:ascii="Times New Roman" w:hAnsi="Times New Roman" w:eastAsia="仿宋_GB2312" w:cs="Times New Roman"/>
          <w:color w:val="auto"/>
          <w:kern w:val="0"/>
          <w:sz w:val="32"/>
          <w:szCs w:val="32"/>
          <w:shd w:val="clear" w:color="auto" w:fill="FFFFFF"/>
          <w:lang w:bidi="ar"/>
        </w:rPr>
        <w:t>指事业单位用于单位应缴纳基本医疗保险支出。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楷体" w:cs="楷体_GB2312"/>
          <w:color w:val="auto"/>
          <w:sz w:val="32"/>
          <w:szCs w:val="32"/>
          <w:lang w:val="en-US" w:eastAsia="zh-CN"/>
        </w:rPr>
        <w:t>（六）</w:t>
      </w:r>
      <w:r>
        <w:rPr>
          <w:rFonts w:hint="default" w:ascii="Times New Roman" w:hAnsi="Times New Roman" w:eastAsia="楷体" w:cs="Times New Roman"/>
          <w:color w:val="auto"/>
          <w:kern w:val="0"/>
          <w:sz w:val="32"/>
          <w:szCs w:val="32"/>
          <w:shd w:val="clear" w:color="auto" w:fill="FFFFFF"/>
          <w:lang w:bidi="ar"/>
        </w:rPr>
        <w:t>住房保障（类）住房改革支出（款）住房公积金（项）：</w:t>
      </w:r>
      <w:r>
        <w:rPr>
          <w:rFonts w:hint="default" w:ascii="Times New Roman" w:hAnsi="Times New Roman" w:eastAsia="仿宋_GB2312" w:cs="Times New Roman"/>
          <w:color w:val="auto"/>
          <w:kern w:val="0"/>
          <w:sz w:val="32"/>
          <w:szCs w:val="32"/>
          <w:shd w:val="clear" w:color="auto" w:fill="FFFFFF"/>
          <w:lang w:bidi="ar"/>
        </w:rPr>
        <w:t>指按照《住房公积金管理条例》的规定，由单位及其在职职工缴存的长期住房储金。</w:t>
      </w:r>
      <w:r>
        <w:rPr>
          <w:rFonts w:hint="eastAsia" w:ascii="Times New Roman" w:hAnsi="Times New Roman" w:eastAsia="仿宋_GB2312" w:cs="仿宋_GB2312"/>
          <w:color w:val="auto"/>
          <w:sz w:val="32"/>
          <w:szCs w:val="32"/>
          <w:lang w:val="en-US" w:eastAsia="zh-CN"/>
        </w:rPr>
        <w:t>　　</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楷体" w:cs="楷体_GB2312"/>
          <w:color w:val="auto"/>
          <w:sz w:val="32"/>
          <w:szCs w:val="32"/>
          <w:lang w:val="en-US" w:eastAsia="zh-CN"/>
        </w:rPr>
        <w:t>（七）基本支出：</w:t>
      </w:r>
      <w:r>
        <w:rPr>
          <w:rFonts w:hint="eastAsia" w:ascii="Times New Roman" w:hAnsi="Times New Roman" w:eastAsia="仿宋_GB2312" w:cs="仿宋_GB2312"/>
          <w:color w:val="auto"/>
          <w:sz w:val="32"/>
          <w:szCs w:val="32"/>
          <w:lang w:val="en-US" w:eastAsia="zh-CN"/>
        </w:rPr>
        <w:t>指为保证机构正常运转，完成日常工作任务而发生的人员支出和公用支出。</w:t>
      </w:r>
      <w:r>
        <w:rPr>
          <w:rFonts w:hint="eastAsia" w:ascii="Times New Roman" w:hAnsi="Times New Roman" w:eastAsia="仿宋_GB2312" w:cs="仿宋_GB2312"/>
          <w:color w:val="auto"/>
          <w:sz w:val="32"/>
          <w:szCs w:val="32"/>
          <w:lang w:val="en-US" w:eastAsia="zh-CN"/>
        </w:rPr>
        <w:br w:type="textWrapping"/>
      </w:r>
      <w:r>
        <w:rPr>
          <w:rFonts w:hint="eastAsia" w:ascii="Times New Roman" w:hAnsi="Times New Roman" w:eastAsia="仿宋_GB2312" w:cs="仿宋_GB2312"/>
          <w:color w:val="auto"/>
          <w:sz w:val="32"/>
          <w:szCs w:val="32"/>
          <w:lang w:val="en-US" w:eastAsia="zh-CN"/>
        </w:rPr>
        <w:t>　</w:t>
      </w:r>
      <w:r>
        <w:rPr>
          <w:rFonts w:hint="eastAsia" w:ascii="Times New Roman" w:hAnsi="Times New Roman" w:eastAsia="楷体" w:cs="仿宋_GB2312"/>
          <w:color w:val="auto"/>
          <w:sz w:val="32"/>
          <w:szCs w:val="32"/>
          <w:lang w:val="en-US" w:eastAsia="zh-CN"/>
        </w:rPr>
        <w:t>　</w:t>
      </w:r>
      <w:r>
        <w:rPr>
          <w:rFonts w:hint="eastAsia" w:ascii="Times New Roman" w:hAnsi="Times New Roman" w:eastAsia="楷体" w:cs="楷体_GB2312"/>
          <w:color w:val="auto"/>
          <w:sz w:val="32"/>
          <w:szCs w:val="32"/>
          <w:lang w:val="en-US" w:eastAsia="zh-CN"/>
        </w:rPr>
        <w:t>（八）项目支出：</w:t>
      </w:r>
      <w:r>
        <w:rPr>
          <w:rFonts w:hint="eastAsia" w:ascii="Times New Roman" w:hAnsi="Times New Roman" w:eastAsia="仿宋_GB2312" w:cs="仿宋_GB2312"/>
          <w:color w:val="auto"/>
          <w:sz w:val="32"/>
          <w:szCs w:val="32"/>
          <w:lang w:val="en-US" w:eastAsia="zh-CN"/>
        </w:rPr>
        <w:t>指在基本支出之外为完成特定行政任务和事业发展目标所发生的支出。</w:t>
      </w:r>
    </w:p>
    <w:p>
      <w:pPr>
        <w:keepNext w:val="0"/>
        <w:keepLines w:val="0"/>
        <w:pageBreakBefore w:val="0"/>
        <w:widowControl w:val="0"/>
        <w:pBdr>
          <w:bottom w:val="single" w:color="FFFFFF" w:sz="8" w:space="31"/>
        </w:pBdr>
        <w:shd w:val="clear" w:color="auto" w:fill="FFFFFF"/>
        <w:suppressAutoHyphens w:val="0"/>
        <w:kinsoku/>
        <w:wordWrap/>
        <w:overflowPunct/>
        <w:topLinePunct w:val="0"/>
        <w:autoSpaceDE/>
        <w:autoSpaceDN/>
        <w:bidi w:val="0"/>
        <w:adjustRightInd/>
        <w:snapToGrid/>
        <w:spacing w:line="560" w:lineRule="exact"/>
        <w:ind w:firstLine="640" w:firstLineChars="200"/>
        <w:contextualSpacing/>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楷体" w:cs="楷体_GB2312"/>
          <w:color w:val="auto"/>
          <w:sz w:val="32"/>
          <w:szCs w:val="32"/>
          <w:lang w:val="en-US" w:eastAsia="zh-CN"/>
        </w:rPr>
        <w:t>（九）“三公”经费：</w:t>
      </w:r>
      <w:r>
        <w:rPr>
          <w:rFonts w:hint="eastAsia" w:ascii="Times New Roman" w:hAnsi="Times New Roman" w:eastAsia="仿宋_GB2312" w:cs="仿宋_GB2312"/>
          <w:color w:val="auto"/>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Times New Roman" w:hAnsi="Times New Roman" w:eastAsia="仿宋_GB2312" w:cs="仿宋_GB2312"/>
          <w:color w:val="auto"/>
          <w:sz w:val="32"/>
          <w:szCs w:val="32"/>
          <w:lang w:val="en-US" w:eastAsia="zh-CN"/>
        </w:rPr>
        <w:br w:type="textWrapping"/>
      </w:r>
      <w:r>
        <w:rPr>
          <w:rFonts w:hint="eastAsia" w:ascii="Times New Roman" w:hAnsi="Times New Roman" w:eastAsia="仿宋_GB2312" w:cs="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color w:val="auto"/>
          <w:sz w:val="32"/>
          <w:szCs w:val="32"/>
          <w:lang w:val="en-US" w:eastAsia="zh-CN"/>
        </w:rPr>
      </w:pPr>
      <w:r>
        <w:rPr>
          <w:rFonts w:hint="eastAsia" w:ascii="Times New Roman" w:hAnsi="Times New Roman" w:eastAsia="仿宋_GB2312" w:cs="仿宋_GB2312"/>
          <w:color w:val="auto"/>
          <w:sz w:val="32"/>
          <w:szCs w:val="32"/>
          <w:lang w:val="en-US" w:eastAsia="zh-CN"/>
        </w:rPr>
        <w:t>附件：</w:t>
      </w:r>
      <w:r>
        <w:rPr>
          <w:rFonts w:hint="default" w:ascii="Times New Roman" w:hAnsi="Times New Roman" w:eastAsia="仿宋_GB2312" w:cs="仿宋_GB2312"/>
          <w:color w:val="auto"/>
          <w:sz w:val="32"/>
          <w:szCs w:val="32"/>
          <w:lang w:eastAsia="zh-CN"/>
        </w:rPr>
        <w:t>单位</w:t>
      </w:r>
      <w:r>
        <w:rPr>
          <w:rFonts w:hint="eastAsia" w:ascii="Times New Roman" w:hAnsi="Times New Roman" w:eastAsia="仿宋_GB2312" w:cs="仿宋_GB2312"/>
          <w:color w:val="auto"/>
          <w:sz w:val="32"/>
          <w:szCs w:val="32"/>
          <w:lang w:val="en-US" w:eastAsia="zh-CN"/>
        </w:rPr>
        <w:t>预算公开表</w:t>
      </w:r>
    </w:p>
    <w:sectPr>
      <w:footerReference r:id="rId3" w:type="default"/>
      <w:pgSz w:w="11906" w:h="16838"/>
      <w:pgMar w:top="2098" w:right="1474" w:bottom="1984" w:left="1587" w:header="720" w:footer="1559"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ZDhlNTUzYWRkNzE3MWFmZDMwZmU4OWQ2NDI2NmQifQ=="/>
  </w:docVars>
  <w:rsids>
    <w:rsidRoot w:val="00000000"/>
    <w:rsid w:val="005539A0"/>
    <w:rsid w:val="005547FB"/>
    <w:rsid w:val="012352D1"/>
    <w:rsid w:val="015B4FE6"/>
    <w:rsid w:val="02AA4FD2"/>
    <w:rsid w:val="04B71DAB"/>
    <w:rsid w:val="084C38DA"/>
    <w:rsid w:val="0F917E25"/>
    <w:rsid w:val="0F9F3206"/>
    <w:rsid w:val="0FAB538A"/>
    <w:rsid w:val="10F955A4"/>
    <w:rsid w:val="138B198E"/>
    <w:rsid w:val="151C5ACE"/>
    <w:rsid w:val="163D2AB4"/>
    <w:rsid w:val="17E36F09"/>
    <w:rsid w:val="1A3366A8"/>
    <w:rsid w:val="1A8A5A13"/>
    <w:rsid w:val="1BD97C38"/>
    <w:rsid w:val="1F7BF06F"/>
    <w:rsid w:val="1FA15B25"/>
    <w:rsid w:val="1FEE4B73"/>
    <w:rsid w:val="20F6042F"/>
    <w:rsid w:val="238E0DF3"/>
    <w:rsid w:val="23963804"/>
    <w:rsid w:val="23CE9849"/>
    <w:rsid w:val="28633D84"/>
    <w:rsid w:val="295108F9"/>
    <w:rsid w:val="316F2989"/>
    <w:rsid w:val="33AF5847"/>
    <w:rsid w:val="352D221A"/>
    <w:rsid w:val="39131727"/>
    <w:rsid w:val="39F304DD"/>
    <w:rsid w:val="3A876507"/>
    <w:rsid w:val="4D6420F9"/>
    <w:rsid w:val="4EDDC789"/>
    <w:rsid w:val="503F29AA"/>
    <w:rsid w:val="51F33C47"/>
    <w:rsid w:val="533777E5"/>
    <w:rsid w:val="54244390"/>
    <w:rsid w:val="54662A63"/>
    <w:rsid w:val="55B5418A"/>
    <w:rsid w:val="58064E12"/>
    <w:rsid w:val="5BFEE015"/>
    <w:rsid w:val="5EC96260"/>
    <w:rsid w:val="61907509"/>
    <w:rsid w:val="62BE3C02"/>
    <w:rsid w:val="63EDCF55"/>
    <w:rsid w:val="63FBFBCF"/>
    <w:rsid w:val="64D77ADF"/>
    <w:rsid w:val="669360FD"/>
    <w:rsid w:val="68FF6A83"/>
    <w:rsid w:val="6D7E0B5E"/>
    <w:rsid w:val="6DA32241"/>
    <w:rsid w:val="6E98077C"/>
    <w:rsid w:val="6EDFD27F"/>
    <w:rsid w:val="6FBBC9CF"/>
    <w:rsid w:val="70A24B63"/>
    <w:rsid w:val="70F00FCB"/>
    <w:rsid w:val="71B66B18"/>
    <w:rsid w:val="72BDE561"/>
    <w:rsid w:val="73FF3BDD"/>
    <w:rsid w:val="749B3367"/>
    <w:rsid w:val="76B44499"/>
    <w:rsid w:val="77EF6695"/>
    <w:rsid w:val="78462278"/>
    <w:rsid w:val="78D43D28"/>
    <w:rsid w:val="7997EA6C"/>
    <w:rsid w:val="79BC7409"/>
    <w:rsid w:val="79F83F99"/>
    <w:rsid w:val="7AEAE675"/>
    <w:rsid w:val="7BAFCE5D"/>
    <w:rsid w:val="7D46598C"/>
    <w:rsid w:val="7DFB240B"/>
    <w:rsid w:val="7E0935ED"/>
    <w:rsid w:val="7E47C2EC"/>
    <w:rsid w:val="7EDC7492"/>
    <w:rsid w:val="7FCF2AF7"/>
    <w:rsid w:val="9FEF033D"/>
    <w:rsid w:val="A27FF1E5"/>
    <w:rsid w:val="AFDEB5A7"/>
    <w:rsid w:val="AFEA7FBF"/>
    <w:rsid w:val="B5BFFB2B"/>
    <w:rsid w:val="B63EAA62"/>
    <w:rsid w:val="B80BF689"/>
    <w:rsid w:val="B83F4767"/>
    <w:rsid w:val="BF930F07"/>
    <w:rsid w:val="BFCE8436"/>
    <w:rsid w:val="C3F7EB7A"/>
    <w:rsid w:val="C7D12829"/>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qFormat/>
    <w:uiPriority w:val="0"/>
  </w:style>
  <w:style w:type="paragraph" w:styleId="8">
    <w:name w:val="toc 2"/>
    <w:basedOn w:val="1"/>
    <w:next w:val="1"/>
    <w:qFormat/>
    <w:uiPriority w:val="0"/>
    <w:pPr>
      <w:ind w:left="420" w:left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2024-02-28T15:06:40Z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