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outlineLvl w:val="0"/>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bookmarkStart w:id="0" w:name="_Toc16261"/>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广元市利州中等专业学校</w:t>
      </w:r>
      <w:bookmarkEnd w:id="0"/>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 xml:space="preserve"> 2024年部门预算编制说明</w:t>
      </w:r>
    </w:p>
    <w:sdt>
      <w:sdtPr>
        <w:rPr>
          <w:rFonts w:ascii="宋体" w:hAnsi="宋体" w:eastAsia="宋体" w:cs="Times New Roman"/>
          <w:kern w:val="2"/>
          <w:sz w:val="21"/>
          <w:szCs w:val="24"/>
          <w:lang w:val="en-US" w:eastAsia="zh-CN" w:bidi="ar-SA"/>
        </w:rPr>
        <w:id w:val="147455151"/>
        <w15:color w:val="DBDBDB"/>
        <w:docPartObj>
          <w:docPartGallery w:val="Table of Contents"/>
          <w:docPartUnique/>
        </w:docPartObj>
      </w:sdtPr>
      <w:sdtEndPr>
        <w:rPr>
          <w:rFonts w:ascii="宋体" w:hAnsi="宋体" w:eastAsia="宋体" w:cs="宋体"/>
          <w:b/>
          <w:color w:val="000000" w:themeColor="text1"/>
          <w:kern w:val="2"/>
          <w:sz w:val="21"/>
          <w:szCs w:val="28"/>
          <w:shd w:val="clear" w:color="auto" w:fill="FFFFFF"/>
          <w:lang w:val="en-US" w:eastAsia="zh-CN" w:bidi="ar-SA"/>
          <w14:textFill>
            <w14:solidFill>
              <w14:schemeClr w14:val="tx1"/>
            </w14:solidFill>
          </w14:textFill>
        </w:rPr>
      </w:sdtEndPr>
      <w:sdtContent>
        <w:p>
          <w:pPr>
            <w:keepNext w:val="0"/>
            <w:keepLines w:val="0"/>
            <w:pageBreakBefore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pPr>
          <w:r>
            <w:rPr>
              <w:rFonts w:ascii="宋体" w:hAnsi="宋体" w:eastAsia="宋体"/>
              <w:sz w:val="21"/>
            </w:rPr>
            <w:t>目录</w:t>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 w:val="28"/>
              <w:szCs w:val="28"/>
              <w:shd w:val="clear" w:color="auto" w:fill="FFFFFF"/>
              <w14:textFill>
                <w14:solidFill>
                  <w14:schemeClr w14:val="tx1"/>
                </w14:solidFill>
              </w14:textFill>
            </w:rPr>
            <w:fldChar w:fldCharType="begin"/>
          </w:r>
          <w:r>
            <w:rPr>
              <w:rFonts w:ascii="宋体" w:hAnsi="宋体" w:cs="宋体"/>
              <w:b/>
              <w:color w:val="000000" w:themeColor="text1"/>
              <w:sz w:val="28"/>
              <w:szCs w:val="28"/>
              <w:shd w:val="clear" w:color="auto" w:fill="FFFFFF"/>
              <w14:textFill>
                <w14:solidFill>
                  <w14:schemeClr w14:val="tx1"/>
                </w14:solidFill>
              </w14:textFill>
            </w:rPr>
            <w:instrText xml:space="preserve">TOC \o "1-2" \h \u </w:instrText>
          </w:r>
          <w:r>
            <w:rPr>
              <w:rFonts w:ascii="宋体" w:hAnsi="宋体" w:cs="宋体"/>
              <w:b/>
              <w:color w:val="000000" w:themeColor="text1"/>
              <w:sz w:val="28"/>
              <w:szCs w:val="28"/>
              <w:shd w:val="clear" w:color="auto" w:fill="FFFFFF"/>
              <w14:textFill>
                <w14:solidFill>
                  <w14:schemeClr w14:val="tx1"/>
                </w14:solidFill>
              </w14:textFill>
            </w:rPr>
            <w:fldChar w:fldCharType="separate"/>
          </w: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_Toc8658 </w:instrText>
          </w:r>
          <w:r>
            <w:rPr>
              <w:rFonts w:ascii="宋体" w:hAnsi="宋体" w:cs="宋体"/>
              <w:b/>
              <w:szCs w:val="28"/>
              <w:shd w:val="clear" w:color="auto" w:fill="FFFFFF"/>
            </w:rPr>
            <w:fldChar w:fldCharType="separate"/>
          </w:r>
          <w:r>
            <w:rPr>
              <w:rFonts w:hint="eastAsia"/>
              <w:b/>
            </w:rPr>
            <w:t>一、基本职能及主要工作</w:t>
          </w:r>
          <w:r>
            <w:rPr>
              <w:b/>
            </w:rPr>
            <w:tab/>
          </w:r>
          <w:r>
            <w:rPr>
              <w:b/>
            </w:rPr>
            <w:fldChar w:fldCharType="begin"/>
          </w:r>
          <w:r>
            <w:rPr>
              <w:b/>
            </w:rPr>
            <w:instrText xml:space="preserve"> PAGEREF _Toc8658 \h </w:instrText>
          </w:r>
          <w:r>
            <w:rPr>
              <w:b/>
            </w:rPr>
            <w:fldChar w:fldCharType="separate"/>
          </w:r>
          <w:r>
            <w:rPr>
              <w:b/>
            </w:rPr>
            <w:t>3</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_Toc26937 </w:instrText>
          </w:r>
          <w:r>
            <w:rPr>
              <w:rFonts w:ascii="宋体" w:hAnsi="宋体" w:cs="宋体"/>
              <w:szCs w:val="28"/>
              <w:shd w:val="clear" w:color="auto" w:fill="FFFFFF"/>
            </w:rPr>
            <w:fldChar w:fldCharType="separate"/>
          </w:r>
          <w:r>
            <w:rPr>
              <w:rFonts w:hint="eastAsia"/>
            </w:rPr>
            <w:t>（一）广元市利州中等专业学校</w:t>
          </w:r>
          <w:r>
            <w:rPr>
              <w:rFonts w:hint="eastAsia"/>
              <w:lang w:eastAsia="zh-CN"/>
            </w:rPr>
            <w:t>单位</w:t>
          </w:r>
          <w:r>
            <w:rPr>
              <w:rFonts w:hint="eastAsia"/>
            </w:rPr>
            <w:t>职能简介</w:t>
          </w:r>
          <w:r>
            <w:tab/>
          </w:r>
          <w:r>
            <w:fldChar w:fldCharType="begin"/>
          </w:r>
          <w:r>
            <w:instrText xml:space="preserve"> PAGEREF _Toc26937 \h </w:instrText>
          </w:r>
          <w:r>
            <w:fldChar w:fldCharType="separate"/>
          </w:r>
          <w:r>
            <w:t>3</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_Toc12046 </w:instrText>
          </w:r>
          <w:r>
            <w:rPr>
              <w:rFonts w:ascii="宋体" w:hAnsi="宋体" w:cs="宋体"/>
              <w:szCs w:val="28"/>
              <w:shd w:val="clear" w:color="auto" w:fill="FFFFFF"/>
            </w:rPr>
            <w:fldChar w:fldCharType="separate"/>
          </w:r>
          <w:r>
            <w:rPr>
              <w:rFonts w:hint="eastAsia"/>
            </w:rPr>
            <w:t>（二）广元市利州中等专业学校</w:t>
          </w:r>
          <w:r>
            <w:rPr>
              <w:rFonts w:hint="eastAsia"/>
              <w:lang w:eastAsia="zh-CN"/>
            </w:rPr>
            <w:t>单位</w:t>
          </w:r>
          <w:r>
            <w:rPr>
              <w:rFonts w:hint="eastAsia"/>
            </w:rPr>
            <w:t>2024年重点工作</w:t>
          </w:r>
          <w:r>
            <w:tab/>
          </w:r>
          <w:r>
            <w:fldChar w:fldCharType="begin"/>
          </w:r>
          <w:r>
            <w:instrText xml:space="preserve"> PAGEREF _Toc12046 \h </w:instrText>
          </w:r>
          <w:r>
            <w:fldChar w:fldCharType="separate"/>
          </w:r>
          <w:r>
            <w:t>3</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_Toc5282 </w:instrText>
          </w:r>
          <w:r>
            <w:rPr>
              <w:rFonts w:ascii="宋体" w:hAnsi="宋体" w:cs="宋体"/>
              <w:b/>
              <w:szCs w:val="28"/>
              <w:shd w:val="clear" w:color="auto" w:fill="FFFFFF"/>
            </w:rPr>
            <w:fldChar w:fldCharType="separate"/>
          </w:r>
          <w:r>
            <w:rPr>
              <w:rFonts w:hint="eastAsia"/>
              <w:b/>
            </w:rPr>
            <w:t>二、部门预算单位构成</w:t>
          </w:r>
          <w:r>
            <w:rPr>
              <w:b/>
            </w:rPr>
            <w:tab/>
          </w:r>
          <w:r>
            <w:rPr>
              <w:b/>
            </w:rPr>
            <w:fldChar w:fldCharType="begin"/>
          </w:r>
          <w:r>
            <w:rPr>
              <w:b/>
            </w:rPr>
            <w:instrText xml:space="preserve"> PAGEREF _Toc5282 \h </w:instrText>
          </w:r>
          <w:r>
            <w:rPr>
              <w:b/>
            </w:rPr>
            <w:fldChar w:fldCharType="separate"/>
          </w:r>
          <w:r>
            <w:rPr>
              <w:b/>
            </w:rPr>
            <w:t>6</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_Toc23832 </w:instrText>
          </w:r>
          <w:r>
            <w:rPr>
              <w:rFonts w:ascii="宋体" w:hAnsi="宋体" w:cs="宋体"/>
              <w:b/>
              <w:szCs w:val="28"/>
              <w:shd w:val="clear" w:color="auto" w:fill="FFFFFF"/>
            </w:rPr>
            <w:fldChar w:fldCharType="separate"/>
          </w:r>
          <w:r>
            <w:rPr>
              <w:rFonts w:hint="eastAsia"/>
              <w:b/>
            </w:rPr>
            <w:t>三、收支预算情况说明</w:t>
          </w:r>
          <w:r>
            <w:rPr>
              <w:b/>
            </w:rPr>
            <w:tab/>
          </w:r>
          <w:r>
            <w:rPr>
              <w:b/>
            </w:rPr>
            <w:fldChar w:fldCharType="begin"/>
          </w:r>
          <w:r>
            <w:rPr>
              <w:b/>
            </w:rPr>
            <w:instrText xml:space="preserve"> PAGEREF _Toc23832 \h </w:instrText>
          </w:r>
          <w:r>
            <w:rPr>
              <w:b/>
            </w:rPr>
            <w:fldChar w:fldCharType="separate"/>
          </w:r>
          <w:r>
            <w:rPr>
              <w:b/>
            </w:rPr>
            <w:t>6</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_Toc31955 </w:instrText>
          </w:r>
          <w:r>
            <w:rPr>
              <w:rFonts w:ascii="宋体" w:hAnsi="宋体" w:cs="宋体"/>
              <w:szCs w:val="28"/>
              <w:shd w:val="clear" w:color="auto" w:fill="FFFFFF"/>
            </w:rPr>
            <w:fldChar w:fldCharType="separate"/>
          </w:r>
          <w:r>
            <w:rPr>
              <w:rFonts w:hint="eastAsia"/>
            </w:rPr>
            <w:t>（一）收入预算情况</w:t>
          </w:r>
          <w:r>
            <w:tab/>
          </w:r>
          <w:r>
            <w:fldChar w:fldCharType="begin"/>
          </w:r>
          <w:r>
            <w:instrText xml:space="preserve"> PAGEREF _Toc31955 \h </w:instrText>
          </w:r>
          <w:r>
            <w:fldChar w:fldCharType="separate"/>
          </w:r>
          <w:r>
            <w:t>6</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_Toc17472 </w:instrText>
          </w:r>
          <w:r>
            <w:rPr>
              <w:rFonts w:ascii="宋体" w:hAnsi="宋体" w:cs="宋体"/>
              <w:szCs w:val="28"/>
              <w:shd w:val="clear" w:color="auto" w:fill="FFFFFF"/>
            </w:rPr>
            <w:fldChar w:fldCharType="separate"/>
          </w:r>
          <w:r>
            <w:rPr>
              <w:rFonts w:hint="eastAsia"/>
            </w:rPr>
            <w:t>（二）支出预算情况</w:t>
          </w:r>
          <w:r>
            <w:tab/>
          </w:r>
          <w:r>
            <w:fldChar w:fldCharType="begin"/>
          </w:r>
          <w:r>
            <w:instrText xml:space="preserve"> PAGEREF _Toc17472 \h </w:instrText>
          </w:r>
          <w:r>
            <w:fldChar w:fldCharType="separate"/>
          </w:r>
          <w:r>
            <w:t>7</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_Toc1106 </w:instrText>
          </w:r>
          <w:r>
            <w:rPr>
              <w:rFonts w:ascii="宋体" w:hAnsi="宋体" w:cs="宋体"/>
              <w:b/>
              <w:szCs w:val="28"/>
              <w:shd w:val="clear" w:color="auto" w:fill="FFFFFF"/>
            </w:rPr>
            <w:fldChar w:fldCharType="separate"/>
          </w:r>
          <w:r>
            <w:rPr>
              <w:rFonts w:hint="eastAsia"/>
              <w:b/>
            </w:rPr>
            <w:t>四、财政拨款收支预算情况说明</w:t>
          </w:r>
          <w:r>
            <w:rPr>
              <w:b/>
            </w:rPr>
            <w:tab/>
          </w:r>
          <w:r>
            <w:rPr>
              <w:b/>
            </w:rPr>
            <w:fldChar w:fldCharType="begin"/>
          </w:r>
          <w:r>
            <w:rPr>
              <w:b/>
            </w:rPr>
            <w:instrText xml:space="preserve"> PAGEREF _Toc1106 \h </w:instrText>
          </w:r>
          <w:r>
            <w:rPr>
              <w:b/>
            </w:rPr>
            <w:fldChar w:fldCharType="separate"/>
          </w:r>
          <w:r>
            <w:rPr>
              <w:b/>
            </w:rPr>
            <w:t>7</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_Toc8831 </w:instrText>
          </w:r>
          <w:r>
            <w:rPr>
              <w:rFonts w:ascii="宋体" w:hAnsi="宋体" w:cs="宋体"/>
              <w:b/>
              <w:szCs w:val="28"/>
              <w:shd w:val="clear" w:color="auto" w:fill="FFFFFF"/>
            </w:rPr>
            <w:fldChar w:fldCharType="separate"/>
          </w:r>
          <w:r>
            <w:rPr>
              <w:rFonts w:hint="eastAsia"/>
              <w:b/>
            </w:rPr>
            <w:t>五、一般公共预算当年拨款情况说明</w:t>
          </w:r>
          <w:r>
            <w:rPr>
              <w:b/>
            </w:rPr>
            <w:tab/>
          </w:r>
          <w:r>
            <w:rPr>
              <w:b/>
            </w:rPr>
            <w:fldChar w:fldCharType="begin"/>
          </w:r>
          <w:r>
            <w:rPr>
              <w:b/>
            </w:rPr>
            <w:instrText xml:space="preserve"> PAGEREF _Toc8831 \h </w:instrText>
          </w:r>
          <w:r>
            <w:rPr>
              <w:b/>
            </w:rPr>
            <w:fldChar w:fldCharType="separate"/>
          </w:r>
          <w:r>
            <w:rPr>
              <w:b/>
            </w:rPr>
            <w:t>7</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_Toc2174 </w:instrText>
          </w:r>
          <w:r>
            <w:rPr>
              <w:rFonts w:ascii="宋体" w:hAnsi="宋体" w:cs="宋体"/>
              <w:szCs w:val="28"/>
              <w:shd w:val="clear" w:color="auto" w:fill="FFFFFF"/>
            </w:rPr>
            <w:fldChar w:fldCharType="separate"/>
          </w:r>
          <w:r>
            <w:rPr>
              <w:rFonts w:hint="eastAsia"/>
            </w:rPr>
            <w:t>（一）一般公共预算当年拨款规模变化情况</w:t>
          </w:r>
          <w:r>
            <w:tab/>
          </w:r>
          <w:r>
            <w:fldChar w:fldCharType="begin"/>
          </w:r>
          <w:r>
            <w:instrText xml:space="preserve"> PAGEREF _Toc2174 \h </w:instrText>
          </w:r>
          <w:r>
            <w:fldChar w:fldCharType="separate"/>
          </w:r>
          <w:r>
            <w:t>7</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_Toc16861 </w:instrText>
          </w:r>
          <w:r>
            <w:rPr>
              <w:rFonts w:ascii="宋体" w:hAnsi="宋体" w:cs="宋体"/>
              <w:szCs w:val="28"/>
              <w:shd w:val="clear" w:color="auto" w:fill="FFFFFF"/>
            </w:rPr>
            <w:fldChar w:fldCharType="separate"/>
          </w:r>
          <w:r>
            <w:rPr>
              <w:rFonts w:hint="eastAsia"/>
            </w:rPr>
            <w:t>（二）一般公共预算当年拨款结构情况</w:t>
          </w:r>
          <w:r>
            <w:tab/>
          </w:r>
          <w:r>
            <w:fldChar w:fldCharType="begin"/>
          </w:r>
          <w:r>
            <w:instrText xml:space="preserve"> PAGEREF _Toc16861 \h </w:instrText>
          </w:r>
          <w:r>
            <w:fldChar w:fldCharType="separate"/>
          </w:r>
          <w:r>
            <w:t>7</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_Toc3291 </w:instrText>
          </w:r>
          <w:r>
            <w:rPr>
              <w:rFonts w:ascii="宋体" w:hAnsi="宋体" w:cs="宋体"/>
              <w:szCs w:val="28"/>
              <w:shd w:val="clear" w:color="auto" w:fill="FFFFFF"/>
            </w:rPr>
            <w:fldChar w:fldCharType="separate"/>
          </w:r>
          <w:r>
            <w:rPr>
              <w:rFonts w:hint="eastAsia"/>
            </w:rPr>
            <w:t>（三）一般公共预算当年拨款具体使用情况</w:t>
          </w:r>
          <w:r>
            <w:tab/>
          </w:r>
          <w:r>
            <w:fldChar w:fldCharType="begin"/>
          </w:r>
          <w:r>
            <w:instrText xml:space="preserve"> PAGEREF _Toc3291 \h </w:instrText>
          </w:r>
          <w:r>
            <w:fldChar w:fldCharType="separate"/>
          </w:r>
          <w:r>
            <w:t>7</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_Toc23299 </w:instrText>
          </w:r>
          <w:r>
            <w:rPr>
              <w:rFonts w:ascii="宋体" w:hAnsi="宋体" w:cs="宋体"/>
              <w:b/>
              <w:szCs w:val="28"/>
              <w:shd w:val="clear" w:color="auto" w:fill="FFFFFF"/>
            </w:rPr>
            <w:fldChar w:fldCharType="separate"/>
          </w:r>
          <w:r>
            <w:rPr>
              <w:rFonts w:hint="eastAsia"/>
              <w:b/>
            </w:rPr>
            <w:t>六、一般公共预算基本支出情况说明</w:t>
          </w:r>
          <w:r>
            <w:rPr>
              <w:b/>
            </w:rPr>
            <w:tab/>
          </w:r>
          <w:r>
            <w:rPr>
              <w:b/>
            </w:rPr>
            <w:fldChar w:fldCharType="begin"/>
          </w:r>
          <w:r>
            <w:rPr>
              <w:b/>
            </w:rPr>
            <w:instrText xml:space="preserve"> PAGEREF _Toc23299 \h </w:instrText>
          </w:r>
          <w:r>
            <w:rPr>
              <w:b/>
            </w:rPr>
            <w:fldChar w:fldCharType="separate"/>
          </w:r>
          <w:r>
            <w:rPr>
              <w:b/>
            </w:rPr>
            <w:t>8</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_Toc26072 </w:instrText>
          </w:r>
          <w:r>
            <w:rPr>
              <w:rFonts w:ascii="宋体" w:hAnsi="宋体" w:cs="宋体"/>
              <w:b/>
              <w:szCs w:val="28"/>
              <w:shd w:val="clear" w:color="auto" w:fill="FFFFFF"/>
            </w:rPr>
            <w:fldChar w:fldCharType="separate"/>
          </w:r>
          <w:r>
            <w:rPr>
              <w:rFonts w:hint="eastAsia"/>
              <w:b/>
            </w:rPr>
            <w:t>七、“三公”经费财政拨款预算安排情况说明</w:t>
          </w:r>
          <w:r>
            <w:rPr>
              <w:b/>
            </w:rPr>
            <w:tab/>
          </w:r>
          <w:r>
            <w:rPr>
              <w:b/>
            </w:rPr>
            <w:fldChar w:fldCharType="begin"/>
          </w:r>
          <w:r>
            <w:rPr>
              <w:b/>
            </w:rPr>
            <w:instrText xml:space="preserve"> PAGEREF _Toc26072 \h </w:instrText>
          </w:r>
          <w:r>
            <w:rPr>
              <w:b/>
            </w:rPr>
            <w:fldChar w:fldCharType="separate"/>
          </w:r>
          <w:r>
            <w:rPr>
              <w:b/>
            </w:rPr>
            <w:t>8</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_Toc7521 </w:instrText>
          </w:r>
          <w:r>
            <w:rPr>
              <w:rFonts w:ascii="宋体" w:hAnsi="宋体" w:cs="宋体"/>
              <w:szCs w:val="28"/>
              <w:shd w:val="clear" w:color="auto" w:fill="FFFFFF"/>
            </w:rPr>
            <w:fldChar w:fldCharType="separate"/>
          </w:r>
          <w:r>
            <w:rPr>
              <w:rFonts w:hint="eastAsia"/>
            </w:rPr>
            <w:t>（一）公务接待费</w:t>
          </w:r>
          <w:r>
            <w:tab/>
          </w:r>
          <w:r>
            <w:fldChar w:fldCharType="begin"/>
          </w:r>
          <w:r>
            <w:instrText xml:space="preserve"> PAGEREF _Toc7521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_Toc1756 </w:instrText>
          </w:r>
          <w:r>
            <w:rPr>
              <w:rFonts w:ascii="宋体" w:hAnsi="宋体" w:cs="宋体"/>
              <w:szCs w:val="28"/>
              <w:shd w:val="clear" w:color="auto" w:fill="FFFFFF"/>
            </w:rPr>
            <w:fldChar w:fldCharType="separate"/>
          </w:r>
          <w:r>
            <w:rPr>
              <w:rFonts w:hint="eastAsia"/>
              <w:lang w:eastAsia="zh-CN"/>
            </w:rPr>
            <w:t>（</w:t>
          </w:r>
          <w:r>
            <w:rPr>
              <w:rFonts w:hint="eastAsia"/>
              <w:lang w:val="en-US" w:eastAsia="zh-CN"/>
            </w:rPr>
            <w:t>二</w:t>
          </w:r>
          <w:r>
            <w:rPr>
              <w:rFonts w:hint="eastAsia"/>
              <w:lang w:eastAsia="zh-CN"/>
            </w:rPr>
            <w:t>）</w:t>
          </w:r>
          <w:r>
            <w:rPr>
              <w:rFonts w:hint="eastAsia"/>
            </w:rPr>
            <w:t>公务用车购置及运行维护费</w:t>
          </w:r>
          <w:r>
            <w:tab/>
          </w:r>
          <w:r>
            <w:fldChar w:fldCharType="begin"/>
          </w:r>
          <w:r>
            <w:instrText xml:space="preserve"> PAGEREF _Toc1756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_Toc4503 </w:instrText>
          </w:r>
          <w:r>
            <w:rPr>
              <w:rFonts w:ascii="宋体" w:hAnsi="宋体" w:cs="宋体"/>
              <w:szCs w:val="28"/>
              <w:shd w:val="clear" w:color="auto" w:fill="FFFFFF"/>
            </w:rPr>
            <w:fldChar w:fldCharType="separate"/>
          </w:r>
          <w:r>
            <w:rPr>
              <w:rFonts w:hint="eastAsia"/>
              <w:lang w:eastAsia="zh-CN"/>
            </w:rPr>
            <w:t>（</w:t>
          </w:r>
          <w:r>
            <w:rPr>
              <w:rFonts w:hint="eastAsia"/>
              <w:lang w:val="en-US" w:eastAsia="zh-CN"/>
            </w:rPr>
            <w:t>三</w:t>
          </w:r>
          <w:r>
            <w:rPr>
              <w:rFonts w:hint="eastAsia"/>
              <w:lang w:eastAsia="zh-CN"/>
            </w:rPr>
            <w:t>）因公出国（境）经费</w:t>
          </w:r>
          <w:r>
            <w:tab/>
          </w:r>
          <w:r>
            <w:fldChar w:fldCharType="begin"/>
          </w:r>
          <w:r>
            <w:instrText xml:space="preserve"> PAGEREF _Toc4503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_Toc30102 </w:instrText>
          </w:r>
          <w:r>
            <w:rPr>
              <w:rFonts w:ascii="宋体" w:hAnsi="宋体" w:cs="宋体"/>
              <w:b/>
              <w:szCs w:val="28"/>
              <w:shd w:val="clear" w:color="auto" w:fill="FFFFFF"/>
            </w:rPr>
            <w:fldChar w:fldCharType="separate"/>
          </w:r>
          <w:r>
            <w:rPr>
              <w:rFonts w:hint="eastAsia" w:ascii="黑体" w:hAnsi="黑体" w:eastAsia="黑体" w:cs="黑体"/>
              <w:b/>
              <w:szCs w:val="32"/>
            </w:rPr>
            <w:t>八、政府性基金预算支出情况说明</w:t>
          </w:r>
          <w:r>
            <w:rPr>
              <w:b/>
            </w:rPr>
            <w:tab/>
          </w:r>
          <w:r>
            <w:rPr>
              <w:b/>
            </w:rPr>
            <w:fldChar w:fldCharType="begin"/>
          </w:r>
          <w:r>
            <w:rPr>
              <w:b/>
            </w:rPr>
            <w:instrText xml:space="preserve"> PAGEREF _Toc30102 \h </w:instrText>
          </w:r>
          <w:r>
            <w:rPr>
              <w:b/>
            </w:rPr>
            <w:fldChar w:fldCharType="separate"/>
          </w:r>
          <w:r>
            <w:rPr>
              <w:b/>
            </w:rPr>
            <w:t>9</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_Toc28664 </w:instrText>
          </w:r>
          <w:r>
            <w:rPr>
              <w:rFonts w:ascii="宋体" w:hAnsi="宋体" w:cs="宋体"/>
              <w:b/>
              <w:szCs w:val="28"/>
              <w:shd w:val="clear" w:color="auto" w:fill="FFFFFF"/>
            </w:rPr>
            <w:fldChar w:fldCharType="separate"/>
          </w:r>
          <w:r>
            <w:rPr>
              <w:rFonts w:hint="eastAsia"/>
              <w:b/>
            </w:rPr>
            <w:t>九、国有资本经营预算支出情况说明</w:t>
          </w:r>
          <w:r>
            <w:rPr>
              <w:b/>
            </w:rPr>
            <w:tab/>
          </w:r>
          <w:r>
            <w:rPr>
              <w:b/>
            </w:rPr>
            <w:fldChar w:fldCharType="begin"/>
          </w:r>
          <w:r>
            <w:rPr>
              <w:b/>
            </w:rPr>
            <w:instrText xml:space="preserve"> PAGEREF _Toc28664 \h </w:instrText>
          </w:r>
          <w:r>
            <w:rPr>
              <w:b/>
            </w:rPr>
            <w:fldChar w:fldCharType="separate"/>
          </w:r>
          <w:r>
            <w:rPr>
              <w:b/>
            </w:rPr>
            <w:t>9</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_Toc13536 </w:instrText>
          </w:r>
          <w:r>
            <w:rPr>
              <w:rFonts w:ascii="宋体" w:hAnsi="宋体" w:cs="宋体"/>
              <w:b/>
              <w:szCs w:val="28"/>
              <w:shd w:val="clear" w:color="auto" w:fill="FFFFFF"/>
            </w:rPr>
            <w:fldChar w:fldCharType="separate"/>
          </w:r>
          <w:r>
            <w:rPr>
              <w:rFonts w:hint="eastAsia"/>
              <w:b/>
            </w:rPr>
            <w:t>十、 其他重要事项的情况说明</w:t>
          </w:r>
          <w:r>
            <w:rPr>
              <w:b/>
            </w:rPr>
            <w:tab/>
          </w:r>
          <w:r>
            <w:rPr>
              <w:b/>
            </w:rPr>
            <w:fldChar w:fldCharType="begin"/>
          </w:r>
          <w:r>
            <w:rPr>
              <w:b/>
            </w:rPr>
            <w:instrText xml:space="preserve"> PAGEREF _Toc13536 \h </w:instrText>
          </w:r>
          <w:r>
            <w:rPr>
              <w:b/>
            </w:rPr>
            <w:fldChar w:fldCharType="separate"/>
          </w:r>
          <w:r>
            <w:rPr>
              <w:b/>
            </w:rPr>
            <w:t>9</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_Toc5225 </w:instrText>
          </w:r>
          <w:r>
            <w:rPr>
              <w:rFonts w:ascii="宋体" w:hAnsi="宋体" w:cs="宋体"/>
              <w:szCs w:val="28"/>
              <w:shd w:val="clear" w:color="auto" w:fill="FFFFFF"/>
            </w:rPr>
            <w:fldChar w:fldCharType="separate"/>
          </w:r>
          <w:r>
            <w:rPr>
              <w:rFonts w:hint="eastAsia"/>
              <w:lang w:val="en-US" w:eastAsia="zh-CN"/>
            </w:rPr>
            <w:t>（一）机关运行经费</w:t>
          </w:r>
          <w:r>
            <w:tab/>
          </w:r>
          <w:r>
            <w:fldChar w:fldCharType="begin"/>
          </w:r>
          <w:r>
            <w:instrText xml:space="preserve"> PAGEREF _Toc5225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_Toc19389 </w:instrText>
          </w:r>
          <w:r>
            <w:rPr>
              <w:rFonts w:ascii="宋体" w:hAnsi="宋体" w:cs="宋体"/>
              <w:szCs w:val="28"/>
              <w:shd w:val="clear" w:color="auto" w:fill="FFFFFF"/>
            </w:rPr>
            <w:fldChar w:fldCharType="separate"/>
          </w:r>
          <w:r>
            <w:rPr>
              <w:rFonts w:hint="eastAsia"/>
              <w:lang w:val="en-US" w:eastAsia="zh-CN"/>
            </w:rPr>
            <w:t>（二）</w:t>
          </w:r>
          <w:r>
            <w:rPr>
              <w:rFonts w:hint="eastAsia"/>
            </w:rPr>
            <w:t>政府采购情况</w:t>
          </w:r>
          <w:r>
            <w:tab/>
          </w:r>
          <w:r>
            <w:fldChar w:fldCharType="begin"/>
          </w:r>
          <w:r>
            <w:instrText xml:space="preserve"> PAGEREF _Toc19389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_Toc16868 </w:instrText>
          </w:r>
          <w:r>
            <w:rPr>
              <w:rFonts w:ascii="宋体" w:hAnsi="宋体" w:cs="宋体"/>
              <w:szCs w:val="28"/>
              <w:shd w:val="clear" w:color="auto" w:fill="FFFFFF"/>
            </w:rPr>
            <w:fldChar w:fldCharType="separate"/>
          </w:r>
          <w:r>
            <w:rPr>
              <w:rFonts w:hint="eastAsia"/>
            </w:rPr>
            <w:t>（</w:t>
          </w:r>
          <w:r>
            <w:rPr>
              <w:rFonts w:hint="eastAsia"/>
              <w:lang w:eastAsia="zh-CN"/>
            </w:rPr>
            <w:t>三</w:t>
          </w:r>
          <w:r>
            <w:rPr>
              <w:rFonts w:hint="eastAsia"/>
            </w:rPr>
            <w:t>）国有资产占有使用情况</w:t>
          </w:r>
          <w:r>
            <w:tab/>
          </w:r>
          <w:r>
            <w:fldChar w:fldCharType="begin"/>
          </w:r>
          <w:r>
            <w:instrText xml:space="preserve"> PAGEREF _Toc16868 \h </w:instrText>
          </w:r>
          <w:r>
            <w:fldChar w:fldCharType="separate"/>
          </w:r>
          <w:r>
            <w:t>10</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6"/>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_Toc28980 </w:instrText>
          </w:r>
          <w:r>
            <w:rPr>
              <w:rFonts w:ascii="宋体" w:hAnsi="宋体" w:cs="宋体"/>
              <w:szCs w:val="28"/>
              <w:shd w:val="clear" w:color="auto" w:fill="FFFFFF"/>
            </w:rPr>
            <w:fldChar w:fldCharType="separate"/>
          </w:r>
          <w:r>
            <w:rPr>
              <w:rFonts w:hint="eastAsia"/>
            </w:rPr>
            <w:t>（</w:t>
          </w:r>
          <w:r>
            <w:rPr>
              <w:rFonts w:hint="eastAsia"/>
              <w:lang w:eastAsia="zh-CN"/>
            </w:rPr>
            <w:t>四</w:t>
          </w:r>
          <w:r>
            <w:rPr>
              <w:rFonts w:hint="eastAsia"/>
            </w:rPr>
            <w:t>）绩效目标设置情况</w:t>
          </w:r>
          <w:r>
            <w:tab/>
          </w:r>
          <w:r>
            <w:fldChar w:fldCharType="begin"/>
          </w:r>
          <w:r>
            <w:instrText xml:space="preserve"> PAGEREF _Toc28980 \h </w:instrText>
          </w:r>
          <w:r>
            <w:fldChar w:fldCharType="separate"/>
          </w:r>
          <w:r>
            <w:t>10</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460" w:lineRule="exact"/>
            <w:textAlignment w:val="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_Toc15208 </w:instrText>
          </w:r>
          <w:r>
            <w:rPr>
              <w:rFonts w:ascii="宋体" w:hAnsi="宋体" w:cs="宋体"/>
              <w:b/>
              <w:szCs w:val="28"/>
              <w:shd w:val="clear" w:color="auto" w:fill="FFFFFF"/>
            </w:rPr>
            <w:fldChar w:fldCharType="separate"/>
          </w:r>
          <w:r>
            <w:rPr>
              <w:rFonts w:hint="eastAsia"/>
              <w:b/>
            </w:rPr>
            <w:t>十一、名词解释</w:t>
          </w:r>
          <w:r>
            <w:rPr>
              <w:b/>
            </w:rPr>
            <w:tab/>
          </w:r>
          <w:r>
            <w:rPr>
              <w:b/>
            </w:rPr>
            <w:fldChar w:fldCharType="begin"/>
          </w:r>
          <w:r>
            <w:rPr>
              <w:b/>
            </w:rPr>
            <w:instrText xml:space="preserve"> PAGEREF _Toc15208 \h </w:instrText>
          </w:r>
          <w:r>
            <w:rPr>
              <w:b/>
            </w:rPr>
            <w:fldChar w:fldCharType="separate"/>
          </w:r>
          <w:r>
            <w:rPr>
              <w:b/>
            </w:rPr>
            <w:t>10</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keepNext w:val="0"/>
            <w:keepLines w:val="0"/>
            <w:pageBreakBefore w:val="0"/>
            <w:widowControl/>
            <w:shd w:val="clear" w:color="auto"/>
            <w:kinsoku/>
            <w:wordWrap/>
            <w:overflowPunct/>
            <w:topLinePunct w:val="0"/>
            <w:autoSpaceDE/>
            <w:autoSpaceDN/>
            <w:bidi w:val="0"/>
            <w:adjustRightInd/>
            <w:snapToGrid/>
            <w:spacing w:line="460" w:lineRule="exact"/>
            <w:jc w:val="both"/>
            <w:textAlignment w:val="auto"/>
            <w:rPr>
              <w:rFonts w:ascii="宋体" w:hAnsi="宋体" w:cs="宋体"/>
              <w:color w:val="000000" w:themeColor="text1"/>
              <w:kern w:val="0"/>
              <w:sz w:val="28"/>
              <w:szCs w:val="28"/>
              <w:shd w:val="clear" w:color="auto" w:fill="FFFFFF"/>
              <w:lang w:bidi="ar"/>
              <w14:textFill>
                <w14:solidFill>
                  <w14:schemeClr w14:val="tx1"/>
                </w14:solidFill>
              </w14:textFill>
            </w:rPr>
          </w:pPr>
          <w:r>
            <w:rPr>
              <w:rFonts w:ascii="宋体" w:hAnsi="宋体" w:cs="宋体"/>
              <w:b/>
              <w:color w:val="000000" w:themeColor="text1"/>
              <w:szCs w:val="28"/>
              <w:shd w:val="clear" w:color="auto" w:fill="FFFFFF"/>
              <w14:textFill>
                <w14:solidFill>
                  <w14:schemeClr w14:val="tx1"/>
                </w14:solidFill>
              </w14:textFill>
            </w:rPr>
            <w:fldChar w:fldCharType="end"/>
          </w:r>
        </w:p>
      </w:sdtContent>
    </w:sdt>
    <w:p>
      <w:pPr>
        <w:pStyle w:val="2"/>
        <w:bidi w:val="0"/>
      </w:pPr>
      <w:bookmarkStart w:id="1" w:name="_Toc8658"/>
      <w:r>
        <w:rPr>
          <w:rFonts w:hint="eastAsia"/>
        </w:rPr>
        <w:t>一、基本职能及主要工作</w:t>
      </w:r>
      <w:bookmarkEnd w:id="1"/>
    </w:p>
    <w:p>
      <w:pPr>
        <w:pStyle w:val="3"/>
        <w:bidi w:val="0"/>
      </w:pPr>
      <w:bookmarkStart w:id="2" w:name="_Toc26937"/>
      <w:r>
        <w:rPr>
          <w:rFonts w:hint="eastAsia"/>
        </w:rPr>
        <w:t>（一）广元市利州中等专业学校</w:t>
      </w:r>
      <w:r>
        <w:rPr>
          <w:rFonts w:hint="eastAsia"/>
          <w:lang w:eastAsia="zh-CN"/>
        </w:rPr>
        <w:t>单位</w:t>
      </w:r>
      <w:r>
        <w:rPr>
          <w:rFonts w:hint="eastAsia"/>
        </w:rPr>
        <w:t>职能简介</w:t>
      </w:r>
      <w:bookmarkEnd w:id="2"/>
    </w:p>
    <w:p>
      <w:pPr>
        <w:pStyle w:val="9"/>
        <w:widowControl/>
        <w:shd w:val="clear" w:color="auto"/>
        <w:spacing w:before="130" w:line="580" w:lineRule="atLeast"/>
        <w:ind w:firstLine="674"/>
        <w:rPr>
          <w:rFonts w:ascii="仿宋_GB2312" w:eastAsia="仿宋_GB2312" w:cs="仿宋_GB2312"/>
          <w:color w:val="333333"/>
          <w:sz w:val="30"/>
          <w:szCs w:val="30"/>
        </w:rPr>
      </w:pPr>
      <w:r>
        <w:rPr>
          <w:rFonts w:hint="eastAsia" w:ascii="仿宋_GB2312" w:eastAsia="仿宋_GB2312"/>
          <w:sz w:val="32"/>
          <w:szCs w:val="32"/>
        </w:rPr>
        <w:t>广元市利州中等专业学校是经四川省人民政府批准成立的公办全日制普通中等专业学校（简称利州中专）</w:t>
      </w:r>
      <w:r>
        <w:rPr>
          <w:rFonts w:hint="eastAsia" w:ascii="仿宋_GB2312" w:eastAsia="仿宋_GB2312"/>
          <w:sz w:val="32"/>
          <w:szCs w:val="32"/>
          <w:lang w:eastAsia="zh-CN"/>
        </w:rPr>
        <w:t>，</w:t>
      </w:r>
      <w:r>
        <w:rPr>
          <w:rFonts w:hint="eastAsia" w:ascii="仿宋_GB2312" w:eastAsia="仿宋_GB2312"/>
          <w:sz w:val="32"/>
          <w:szCs w:val="32"/>
        </w:rPr>
        <w:t>负责培养具有普通中专学历的医药卫生、建筑、汽车运用维修及其他职业技术人才，负责施工现场专业人员、医疗护理员、家政服务员、乡村医生的培训工作。</w:t>
      </w:r>
    </w:p>
    <w:p>
      <w:pPr>
        <w:pStyle w:val="3"/>
        <w:bidi w:val="0"/>
      </w:pPr>
      <w:bookmarkStart w:id="3" w:name="_Toc12046"/>
      <w:r>
        <w:rPr>
          <w:rFonts w:hint="eastAsia"/>
        </w:rPr>
        <w:t>（二）广元市利州中等专业学校</w:t>
      </w:r>
      <w:r>
        <w:rPr>
          <w:rFonts w:hint="eastAsia"/>
          <w:lang w:eastAsia="zh-CN"/>
        </w:rPr>
        <w:t>单位</w:t>
      </w:r>
      <w:r>
        <w:rPr>
          <w:rFonts w:hint="eastAsia"/>
        </w:rPr>
        <w:t>2024年重点工作</w:t>
      </w:r>
      <w:bookmarkEnd w:id="3"/>
    </w:p>
    <w:p>
      <w:pPr>
        <w:shd w:val="clear"/>
        <w:adjustRightInd w:val="0"/>
        <w:snapToGrid w:val="0"/>
        <w:spacing w:line="576"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1、基础建设进一步夯实</w:t>
      </w:r>
    </w:p>
    <w:p>
      <w:pPr>
        <w:shd w:val="clear"/>
        <w:spacing w:line="576" w:lineRule="exact"/>
        <w:ind w:firstLine="640" w:firstLineChars="200"/>
        <w:rPr>
          <w:rFonts w:hint="eastAsia" w:ascii="仿宋_GB2312" w:hAnsi="楷体" w:eastAsia="仿宋_GB2312" w:cs="仿宋_GB2312"/>
          <w:bCs/>
          <w:sz w:val="32"/>
          <w:szCs w:val="32"/>
        </w:rPr>
      </w:pPr>
      <w:r>
        <w:rPr>
          <w:rFonts w:hint="eastAsia" w:ascii="仿宋_GB2312" w:hAnsi="楷体" w:eastAsia="仿宋_GB2312" w:cs="仿宋_GB2312"/>
          <w:bCs/>
          <w:sz w:val="32"/>
          <w:szCs w:val="32"/>
        </w:rPr>
        <w:t>一是进一步完善安全管理，确保校园平安和谐。完善“人防、物防、技防”体系建设，强化联防联动机制，深入推进网格化管理。二是加强外引内培，促进师资队伍建设。落实2024年用编计划共30个岗位的招聘工作；开展师资队伍培训，落实“走出去”“请进来”多批次培训工作。三是争取项目资金，改善校园基础建设。通过争取项目资金，推动标准教室建设、老食堂改造工程、校园海绵化工程、操场翻修、教学楼维修维护等工作。四是创新招生手段，调减招生成本，完成市内市外招生计划。五是完善升学教育工作体系，提升高考升学质量。六是注重学生心理健康家校共育，抓实抓细心理健康排查、管控、教育等工作，确保安全风险下降，心理健康教育有实效。</w:t>
      </w:r>
    </w:p>
    <w:p>
      <w:pPr>
        <w:shd w:val="clear"/>
        <w:adjustRightInd w:val="0"/>
        <w:snapToGrid w:val="0"/>
        <w:spacing w:line="576"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2、组织建设进一步强化</w:t>
      </w:r>
    </w:p>
    <w:p>
      <w:pPr>
        <w:shd w:val="clear"/>
        <w:adjustRightInd w:val="0"/>
        <w:snapToGrid w:val="0"/>
        <w:spacing w:line="576" w:lineRule="exact"/>
        <w:ind w:firstLine="640" w:firstLineChars="200"/>
        <w:rPr>
          <w:rFonts w:ascii="仿宋_GB2312" w:hAnsi="宋体-方正超大字符集" w:eastAsia="仿宋_GB2312" w:cs="仿宋_GB2312"/>
          <w:sz w:val="32"/>
          <w:szCs w:val="32"/>
        </w:rPr>
      </w:pPr>
      <w:r>
        <w:rPr>
          <w:rFonts w:hint="eastAsia" w:ascii="仿宋_GB2312" w:hAnsi="宋体-方正超大字符集" w:eastAsia="仿宋_GB2312" w:cs="仿宋_GB2312"/>
          <w:sz w:val="32"/>
          <w:szCs w:val="32"/>
        </w:rPr>
        <w:t>进一步落实党委领导的校长负责制，强化支部建设与科室建设相结合，全面落实“六进强思想、两建创品牌、三评促发展”，促进党建+业务的深度融合，做到党建引领业务、业务支撑党建，既强化党建品牌建设，又推动重点工作高质量发展。</w:t>
      </w:r>
    </w:p>
    <w:p>
      <w:pPr>
        <w:shd w:val="clear"/>
        <w:spacing w:line="576"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3、重点工作进一步落实</w:t>
      </w:r>
    </w:p>
    <w:p>
      <w:pPr>
        <w:widowControl/>
        <w:shd w:val="clear"/>
        <w:spacing w:line="576" w:lineRule="exact"/>
        <w:ind w:firstLine="640" w:firstLineChars="200"/>
        <w:rPr>
          <w:rFonts w:ascii="仿宋_GB2312" w:hAnsi="宋体-方正超大字符集" w:eastAsia="仿宋_GB2312" w:cs="仿宋_GB2312"/>
          <w:sz w:val="32"/>
          <w:szCs w:val="32"/>
        </w:rPr>
      </w:pPr>
      <w:r>
        <w:rPr>
          <w:rFonts w:hint="eastAsia" w:ascii="仿宋_GB2312" w:hAnsi="宋体-方正超大字符集" w:eastAsia="仿宋_GB2312" w:cs="仿宋_GB2312"/>
          <w:sz w:val="32"/>
          <w:szCs w:val="32"/>
        </w:rPr>
        <w:t>持续推进“三名工程”“三全育人”“三江校区”等重点项目建设，推动落实全市教育发展大会安排部署、广元市职业教育高质量发展行动计划（2022</w:t>
      </w:r>
      <w:r>
        <w:rPr>
          <w:rFonts w:hint="eastAsia" w:ascii="仿宋_GB2312" w:hAnsi="宋体-方正超大字符集" w:eastAsia="仿宋_GB2312" w:cs="仿宋_GB2312"/>
          <w:sz w:val="32"/>
          <w:szCs w:val="32"/>
          <w:lang w:eastAsia="zh-CN"/>
        </w:rPr>
        <w:t>—</w:t>
      </w:r>
      <w:r>
        <w:rPr>
          <w:rFonts w:hint="eastAsia" w:ascii="仿宋_GB2312" w:hAnsi="宋体-方正超大字符集" w:eastAsia="仿宋_GB2312" w:cs="仿宋_GB2312"/>
          <w:sz w:val="32"/>
          <w:szCs w:val="32"/>
        </w:rPr>
        <w:t>2025年）重点任务、加快推进现代职业教育体系建设改革重点任务、2023—2024 年全市大中小幼“中华优秀传统文化、革命文化和生态文化进课堂”活动六个一批、创建第七届全国文明城市等重点工作，以细的谋划、实的作风、严的基调、高的标准，精细化塑造高质量的内涵品牌。</w:t>
      </w:r>
    </w:p>
    <w:p>
      <w:pPr>
        <w:shd w:val="clear"/>
        <w:spacing w:line="576" w:lineRule="exact"/>
        <w:ind w:firstLine="640" w:firstLineChars="200"/>
        <w:rPr>
          <w:rFonts w:ascii="楷体" w:hAnsi="楷体" w:eastAsia="楷体" w:cs="仿宋_GB2312"/>
          <w:sz w:val="32"/>
          <w:szCs w:val="32"/>
        </w:rPr>
      </w:pPr>
      <w:r>
        <w:rPr>
          <w:rFonts w:hint="eastAsia" w:ascii="楷体" w:hAnsi="楷体" w:eastAsia="楷体" w:cs="仿宋_GB2312"/>
          <w:sz w:val="32"/>
          <w:szCs w:val="32"/>
        </w:rPr>
        <w:t>4、提质增效进一步优化</w:t>
      </w:r>
    </w:p>
    <w:p>
      <w:pPr>
        <w:shd w:val="clear"/>
        <w:spacing w:line="576" w:lineRule="exact"/>
        <w:ind w:firstLine="640" w:firstLineChars="200"/>
        <w:rPr>
          <w:rFonts w:hint="eastAsia" w:ascii="仿宋_GB2312" w:hAnsi="楷体" w:eastAsia="仿宋_GB2312" w:cs="仿宋_GB2312"/>
          <w:bCs/>
          <w:sz w:val="32"/>
          <w:szCs w:val="32"/>
        </w:rPr>
      </w:pPr>
      <w:r>
        <w:rPr>
          <w:rFonts w:hint="eastAsia" w:ascii="仿宋_GB2312" w:hAnsi="宋体-方正超大字符集" w:eastAsia="仿宋_GB2312" w:cs="仿宋_GB2312"/>
          <w:sz w:val="32"/>
          <w:szCs w:val="32"/>
        </w:rPr>
        <w:t>一是将学习摆在首位。党委班子带头学，科室、部门集中学，全体教职员工自觉学，在党委会、校长办公会、科室会、全校教职工大会等各项会议中进一步落实第一议题制度；既要学习四史、党章、《习近平谈治国理政》等以提升党性修养，又要学习政策方针以增强职教信念，还要学习业务知识以提升工作能力。二是提升学校治理水平。持续推进制度“废改立”建设，构建学校激励机制，健全职称评聘、班主任聘任等管理办法，加强学校数字化校园建设进程，进一步明确教育教学、德育管理、综合行政、后勤保障等工作标尺，在高标准、严要求下促进工作落地落实，</w:t>
      </w:r>
      <w:r>
        <w:rPr>
          <w:rFonts w:hint="eastAsia" w:ascii="仿宋_GB2312" w:hAnsi="楷体" w:eastAsia="仿宋_GB2312" w:cs="仿宋_GB2312"/>
          <w:bCs/>
          <w:sz w:val="32"/>
          <w:szCs w:val="32"/>
        </w:rPr>
        <w:t>推动学校高效率运转。三是加强监察督导。积极推动开展重点工作监察、督导工作，坚决杜绝“躺平”思想和“不作为”“慢作为”风气，坚决做到让工作作风硬起来。强化学校资金预算监管，全面落实“无预算不执行、超预算不执行”要求，高效推进资金使用效能。强化重点工作巡察督察，确保重点工作推进、重大项目建设、大额资金使用有序、有力、有效。四是加强管理队伍建设。加强对中层干部、班主任、副班主任等队伍的培养，全面推进“三全育人”走深走实。加强政治引领和业务能力提升相结合，打造一支无坚不摧、敢闯敢拼的先锋军。五是坚持目标导向。坚持“仁爱、自信、敬畏、感恩”培养目标，积极推进“创新德育品牌</w:t>
      </w:r>
      <w:r>
        <w:rPr>
          <w:rFonts w:hint="eastAsia" w:ascii="仿宋_GB2312" w:hAnsi="楷体" w:eastAsia="仿宋_GB2312" w:cs="仿宋_GB2312"/>
          <w:bCs/>
          <w:sz w:val="32"/>
          <w:szCs w:val="32"/>
          <w:lang w:eastAsia="zh-CN"/>
        </w:rPr>
        <w:t>”“</w:t>
      </w:r>
      <w:r>
        <w:rPr>
          <w:rFonts w:hint="eastAsia" w:ascii="仿宋_GB2312" w:hAnsi="楷体" w:eastAsia="仿宋_GB2312" w:cs="仿宋_GB2312"/>
          <w:bCs/>
          <w:sz w:val="32"/>
          <w:szCs w:val="32"/>
        </w:rPr>
        <w:t>特色教学品牌</w:t>
      </w:r>
      <w:r>
        <w:rPr>
          <w:rFonts w:hint="eastAsia" w:ascii="仿宋_GB2312" w:hAnsi="楷体" w:eastAsia="仿宋_GB2312" w:cs="仿宋_GB2312"/>
          <w:bCs/>
          <w:sz w:val="32"/>
          <w:szCs w:val="32"/>
          <w:lang w:eastAsia="zh-CN"/>
        </w:rPr>
        <w:t>”“</w:t>
      </w:r>
      <w:r>
        <w:rPr>
          <w:rFonts w:hint="eastAsia" w:ascii="仿宋_GB2312" w:hAnsi="楷体" w:eastAsia="仿宋_GB2312" w:cs="仿宋_GB2312"/>
          <w:bCs/>
          <w:sz w:val="32"/>
          <w:szCs w:val="32"/>
        </w:rPr>
        <w:t>暖心服务品牌</w:t>
      </w:r>
      <w:r>
        <w:rPr>
          <w:rFonts w:hint="eastAsia" w:ascii="仿宋_GB2312" w:hAnsi="楷体" w:eastAsia="仿宋_GB2312" w:cs="仿宋_GB2312"/>
          <w:bCs/>
          <w:sz w:val="32"/>
          <w:szCs w:val="32"/>
          <w:lang w:eastAsia="zh-CN"/>
        </w:rPr>
        <w:t>”“</w:t>
      </w:r>
      <w:r>
        <w:rPr>
          <w:rFonts w:hint="eastAsia" w:ascii="仿宋_GB2312" w:hAnsi="楷体" w:eastAsia="仿宋_GB2312" w:cs="仿宋_GB2312"/>
          <w:bCs/>
          <w:sz w:val="32"/>
          <w:szCs w:val="32"/>
        </w:rPr>
        <w:t>重点特色品牌”内涵建设，努力实现学生管理有特色、教育教学有成效、服务保障有温度、重点工作有质量。六是坚持改革创新。围绕学校内涵发展持续推进机制体制和制度建设，不断完善教师队伍培训、骨干人才培育模式，积极构建“名师工作室</w:t>
      </w:r>
      <w:r>
        <w:rPr>
          <w:rFonts w:hint="eastAsia" w:ascii="仿宋_GB2312" w:hAnsi="楷体" w:eastAsia="仿宋_GB2312" w:cs="仿宋_GB2312"/>
          <w:bCs/>
          <w:sz w:val="32"/>
          <w:szCs w:val="32"/>
          <w:lang w:eastAsia="zh-CN"/>
        </w:rPr>
        <w:t>”“</w:t>
      </w:r>
      <w:r>
        <w:rPr>
          <w:rFonts w:hint="eastAsia" w:ascii="仿宋_GB2312" w:hAnsi="楷体" w:eastAsia="仿宋_GB2312" w:cs="仿宋_GB2312"/>
          <w:bCs/>
          <w:sz w:val="32"/>
          <w:szCs w:val="32"/>
        </w:rPr>
        <w:t>名班主任工作室</w:t>
      </w:r>
      <w:r>
        <w:rPr>
          <w:rFonts w:hint="eastAsia" w:ascii="仿宋_GB2312" w:hAnsi="楷体" w:eastAsia="仿宋_GB2312" w:cs="仿宋_GB2312"/>
          <w:bCs/>
          <w:sz w:val="32"/>
          <w:szCs w:val="32"/>
          <w:lang w:eastAsia="zh-CN"/>
        </w:rPr>
        <w:t>”“</w:t>
      </w:r>
      <w:r>
        <w:rPr>
          <w:rFonts w:hint="eastAsia" w:ascii="仿宋_GB2312" w:hAnsi="楷体" w:eastAsia="仿宋_GB2312" w:cs="仿宋_GB2312"/>
          <w:bCs/>
          <w:sz w:val="32"/>
          <w:szCs w:val="32"/>
        </w:rPr>
        <w:t>研究生工作室</w:t>
      </w:r>
      <w:r>
        <w:rPr>
          <w:rFonts w:hint="eastAsia" w:ascii="仿宋_GB2312" w:hAnsi="楷体" w:eastAsia="仿宋_GB2312" w:cs="仿宋_GB2312"/>
          <w:bCs/>
          <w:sz w:val="32"/>
          <w:szCs w:val="32"/>
          <w:lang w:eastAsia="zh-CN"/>
        </w:rPr>
        <w:t>”“</w:t>
      </w:r>
      <w:r>
        <w:rPr>
          <w:rFonts w:hint="eastAsia" w:ascii="仿宋_GB2312" w:hAnsi="楷体" w:eastAsia="仿宋_GB2312" w:cs="仿宋_GB2312"/>
          <w:bCs/>
          <w:sz w:val="32"/>
          <w:szCs w:val="32"/>
        </w:rPr>
        <w:t>技能大师工作室”等发展平台，深入推进升学教育、教研成果、技能大赛、就业能力等工作再上新台阶。</w:t>
      </w:r>
    </w:p>
    <w:p>
      <w:pPr>
        <w:pStyle w:val="2"/>
        <w:bidi w:val="0"/>
      </w:pPr>
      <w:bookmarkStart w:id="4" w:name="_Toc5282"/>
      <w:r>
        <w:rPr>
          <w:rFonts w:hint="eastAsia"/>
        </w:rPr>
        <w:t>二、部门预算单位构成</w:t>
      </w:r>
      <w:bookmarkEnd w:id="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我单位为广元市教育局单位的下属二级预算单位，本单位无下属机构，设有内设机构12个。</w:t>
      </w:r>
    </w:p>
    <w:p>
      <w:pPr>
        <w:pStyle w:val="2"/>
        <w:bidi w:val="0"/>
      </w:pPr>
      <w:bookmarkStart w:id="5" w:name="_Toc23832"/>
      <w:r>
        <w:rPr>
          <w:rFonts w:hint="eastAsia"/>
        </w:rPr>
        <w:t>三、收支预算情况说明</w:t>
      </w:r>
      <w:bookmarkEnd w:id="5"/>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按照综合预算的原则，广元市利州中等专业学校所有收入和支出均纳入部门预算管理。收入包括：一般公共预算拨款收入、事业收入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支出包括：教育支出、社会保障和就业支出、卫生健康支出、住房保障支出。广元市利州中等专业学校2024年收支预算总数3944.51万元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比2023年收支预算总数增加563.18万元，主要原因是2023年事业收入未纳入预算公开。</w:t>
      </w:r>
    </w:p>
    <w:p>
      <w:pPr>
        <w:pStyle w:val="3"/>
        <w:bidi w:val="0"/>
      </w:pPr>
      <w:bookmarkStart w:id="6" w:name="_Toc31955"/>
      <w:r>
        <w:rPr>
          <w:rFonts w:hint="eastAsia"/>
        </w:rPr>
        <w:t>（一）收入预算情况</w:t>
      </w:r>
      <w:bookmarkEnd w:id="6"/>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广元市利州中等专业学校2024年收入预算3944.51万元，其中：一般公共预算拨款收入3444.51万元，占87.32%；事业收入500万元，占12.68%。</w:t>
      </w:r>
    </w:p>
    <w:p>
      <w:pPr>
        <w:pStyle w:val="3"/>
        <w:bidi w:val="0"/>
      </w:pPr>
      <w:bookmarkStart w:id="7" w:name="_Toc17472"/>
      <w:r>
        <w:rPr>
          <w:rFonts w:hint="eastAsia"/>
        </w:rPr>
        <w:t>（二）支出预算情况</w:t>
      </w:r>
      <w:bookmarkEnd w:id="7"/>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广元市利州中等专业学校单位2024年支出预算3944.51万元，其中：基本支出3526.05万元，占89.39%；项目支出418.46万元，占10.61%。</w:t>
      </w:r>
    </w:p>
    <w:p>
      <w:pPr>
        <w:pStyle w:val="2"/>
        <w:bidi w:val="0"/>
      </w:pPr>
      <w:bookmarkStart w:id="8" w:name="_Toc1106"/>
      <w:r>
        <w:rPr>
          <w:rFonts w:hint="eastAsia"/>
        </w:rPr>
        <w:t>四、财政拨款收支预算情况说明</w:t>
      </w:r>
      <w:bookmarkEnd w:id="8"/>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广元市利州中等专业学校单位2024年财政拨款收支预算总数3444.51万元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比2023年财政拨款收支预算总数增加63.18万元，主要原因是人员经费支出增加。</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收入包括：本年一般公共预算拨款收入3444.51万元；支出包括：教育支出2654.61万元、社会保障和就业支出386.02万元、卫生健康支出123.33万元、住房保障支出280.55万元。</w:t>
      </w:r>
    </w:p>
    <w:p>
      <w:pPr>
        <w:pStyle w:val="2"/>
        <w:bidi w:val="0"/>
      </w:pPr>
      <w:bookmarkStart w:id="9" w:name="_Toc8831"/>
      <w:r>
        <w:rPr>
          <w:rFonts w:hint="eastAsia"/>
        </w:rPr>
        <w:t>五、一般公共预算当年拨款情况说明</w:t>
      </w:r>
      <w:bookmarkEnd w:id="9"/>
    </w:p>
    <w:p>
      <w:pPr>
        <w:pStyle w:val="3"/>
        <w:bidi w:val="0"/>
      </w:pPr>
      <w:bookmarkStart w:id="10" w:name="_Toc2174"/>
      <w:r>
        <w:rPr>
          <w:rFonts w:hint="eastAsia"/>
        </w:rPr>
        <w:t>（一）一般公共预算当年拨款规模变化情况</w:t>
      </w:r>
      <w:bookmarkEnd w:id="10"/>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广元市利州中等专业学校2024年一般公共预算当年拨款3444.51万元，比2023年预算数增加63.18万元，主要原因是2023年新进18人，人员经费增加，</w:t>
      </w:r>
      <w:r>
        <w:rPr>
          <w:rFonts w:hint="eastAsia" w:ascii="仿宋_GB2312" w:eastAsia="仿宋_GB2312"/>
          <w:sz w:val="32"/>
          <w:szCs w:val="32"/>
        </w:rPr>
        <w:t>五险一金基数增加。</w:t>
      </w:r>
    </w:p>
    <w:p>
      <w:pPr>
        <w:pStyle w:val="3"/>
        <w:bidi w:val="0"/>
      </w:pPr>
      <w:bookmarkStart w:id="11" w:name="_Toc16861"/>
      <w:r>
        <w:rPr>
          <w:rFonts w:hint="eastAsia"/>
        </w:rPr>
        <w:t>（二）一般公共预算当年拨款结构情况</w:t>
      </w:r>
      <w:bookmarkEnd w:id="11"/>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教育支出2654.61万元，占77.07%；社会保障和就业支出386.02万元，占11.21%；卫生健康支出123.33万元，占3.58%；住房保障支出280.55万元，占8.14%。</w:t>
      </w:r>
    </w:p>
    <w:p>
      <w:pPr>
        <w:pStyle w:val="3"/>
        <w:bidi w:val="0"/>
      </w:pPr>
      <w:bookmarkStart w:id="12" w:name="_Toc3291"/>
      <w:r>
        <w:rPr>
          <w:rFonts w:hint="eastAsia"/>
        </w:rPr>
        <w:t>（三）一般公共预算当年拨款具体使用情况</w:t>
      </w:r>
      <w:bookmarkEnd w:id="1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rPr>
        <w:t>教育支出（类）职业教育（款）中等职业教育（项）2024年预算数为2654.61万元，主要用于：人员经费支出。</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2.社会保障和就业（类）行政事业单位养老支出（款）机关事业单位基本养老保险缴费支出（项）2024年预算数为373.53万元，主要用于：实施养老保险制度由单位缴纳的基本养老保险支出。</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社会保障和就业（类）其他社会保障就业支出（款）其他社会保障就业支出（项）2024年预算数为</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0万元，主要用于：机关事业单位缴纳的其他社会保障和就业支出。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.卫生健康（类）行政事业单位医疗（款）事业单位医疗（项）2024年预算数为123.33万元，主要用于：事业单位按规定由单位缴纳的基本医疗保险支出。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.住房保障（类）住房改革支出（款）住房公积金（项）2024年预算数为280.55万元，主要用于：部门按规定为职工缴纳的住房公积金支出。</w:t>
      </w:r>
    </w:p>
    <w:p>
      <w:pPr>
        <w:pStyle w:val="2"/>
        <w:bidi w:val="0"/>
      </w:pPr>
      <w:bookmarkStart w:id="13" w:name="_Toc23299"/>
      <w:r>
        <w:rPr>
          <w:rFonts w:hint="eastAsia"/>
        </w:rPr>
        <w:t>六、一般公共预算基本支出情况说明</w:t>
      </w:r>
      <w:bookmarkEnd w:id="13"/>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广元市利州中等专业学校2024年一般公共预算基本支出3439.05万元，其中：</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人员经费3340.45万元，主要包括：基本工资、津贴补贴、奖金、绩效工资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机关事业单位基本养老保险缴费、职工基本医疗保险缴费、其他社会保障缴费、住房公积金</w:t>
      </w:r>
      <w:r>
        <w:rPr>
          <w:rFonts w:hint="eastAsia" w:ascii="仿宋_GB2312" w:hAnsi="仿宋_GB2312" w:eastAsia="仿宋_GB2312" w:cs="仿宋_GB2312"/>
          <w:sz w:val="32"/>
          <w:szCs w:val="32"/>
          <w:lang w:eastAsia="zh-CN"/>
        </w:rPr>
        <w:t>、生活补助</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支出。</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公用经费98.6万元，主要包括：工会经费、福利费、其他商品和服务支出等支出。</w:t>
      </w:r>
    </w:p>
    <w:p>
      <w:pPr>
        <w:pStyle w:val="2"/>
        <w:bidi w:val="0"/>
      </w:pPr>
      <w:bookmarkStart w:id="14" w:name="_Toc26072"/>
      <w:r>
        <w:rPr>
          <w:rFonts w:hint="eastAsia"/>
        </w:rPr>
        <w:t>七、“三公”经费财政拨款预算安排情况说明</w:t>
      </w:r>
      <w:bookmarkEnd w:id="1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广元市利州中等专业学校2024年“三公”经费财政拨款预算数0万元，其中：公务接待费0万元，公务用车购置及运行维护费0万元，因公出国（境）经费0万元。</w:t>
      </w:r>
      <w:bookmarkStart w:id="26" w:name="_GoBack"/>
      <w:bookmarkEnd w:id="26"/>
    </w:p>
    <w:p>
      <w:pPr>
        <w:pStyle w:val="3"/>
        <w:bidi w:val="0"/>
        <w:rPr>
          <w:rFonts w:hint="eastAsia"/>
        </w:rPr>
      </w:pPr>
      <w:bookmarkStart w:id="15" w:name="_Toc7521"/>
      <w:r>
        <w:rPr>
          <w:rFonts w:hint="eastAsia"/>
        </w:rPr>
        <w:t>（一）公务接待费</w:t>
      </w:r>
      <w:bookmarkEnd w:id="15"/>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公务接待费与2023年预算相比持平，未安排预算资金。</w:t>
      </w:r>
    </w:p>
    <w:p>
      <w:pPr>
        <w:pStyle w:val="3"/>
        <w:bidi w:val="0"/>
      </w:pPr>
      <w:bookmarkStart w:id="16" w:name="_Toc1756"/>
      <w:r>
        <w:rPr>
          <w:rFonts w:hint="eastAsia"/>
          <w:lang w:eastAsia="zh-CN"/>
        </w:rPr>
        <w:t>（</w:t>
      </w:r>
      <w:r>
        <w:rPr>
          <w:rFonts w:hint="eastAsia"/>
          <w:lang w:val="en-US" w:eastAsia="zh-CN"/>
        </w:rPr>
        <w:t>二</w:t>
      </w:r>
      <w:r>
        <w:rPr>
          <w:rFonts w:hint="eastAsia"/>
          <w:lang w:eastAsia="zh-CN"/>
        </w:rPr>
        <w:t>）</w:t>
      </w:r>
      <w:r>
        <w:rPr>
          <w:rFonts w:hint="eastAsia"/>
        </w:rPr>
        <w:t>公务用车购置及运行维护费</w:t>
      </w:r>
      <w:bookmarkEnd w:id="16"/>
    </w:p>
    <w:p>
      <w:pPr>
        <w:shd w:val="clear"/>
        <w:spacing w:line="576"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单位现有公务用车1辆，其中：轿车1辆。</w:t>
      </w:r>
      <w:r>
        <w:rPr>
          <w:rFonts w:hint="eastAsia" w:ascii="仿宋_GB2312" w:hAnsi="仿宋_GB2312" w:eastAsia="仿宋_GB2312" w:cs="仿宋_GB2312"/>
          <w:sz w:val="32"/>
          <w:szCs w:val="32"/>
          <w:lang w:val="en-US" w:eastAsia="zh-CN"/>
        </w:rPr>
        <w:t>其经费来源为教育收费。</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未安排公务用车购置费。</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p>
    <w:p>
      <w:pPr>
        <w:pStyle w:val="3"/>
        <w:bidi w:val="0"/>
        <w:rPr>
          <w:rFonts w:hint="eastAsia"/>
          <w:lang w:eastAsia="zh-CN"/>
        </w:rPr>
      </w:pPr>
      <w:bookmarkStart w:id="17" w:name="_Toc4503"/>
      <w:r>
        <w:rPr>
          <w:rFonts w:hint="eastAsia"/>
          <w:lang w:eastAsia="zh-CN"/>
        </w:rPr>
        <w:t>（</w:t>
      </w:r>
      <w:r>
        <w:rPr>
          <w:rFonts w:hint="eastAsia"/>
          <w:lang w:val="en-US" w:eastAsia="zh-CN"/>
        </w:rPr>
        <w:t>三</w:t>
      </w:r>
      <w:r>
        <w:rPr>
          <w:rFonts w:hint="eastAsia"/>
          <w:lang w:eastAsia="zh-CN"/>
        </w:rPr>
        <w:t>）因公出国（境）经费</w:t>
      </w:r>
      <w:bookmarkEnd w:id="17"/>
    </w:p>
    <w:p>
      <w:pPr>
        <w:shd w:val="clear"/>
        <w:spacing w:line="576"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因公出国（境）经费与2023年预算相比持平，未安排预算资金。</w:t>
      </w:r>
    </w:p>
    <w:p>
      <w:pPr>
        <w:pStyle w:val="2"/>
        <w:bidi w:val="0"/>
        <w:rPr>
          <w:rFonts w:ascii="仿宋_GB2312" w:hAnsi="仿宋_GB2312" w:eastAsia="仿宋_GB2312" w:cs="仿宋_GB2312"/>
          <w:b/>
          <w:bCs/>
          <w:sz w:val="32"/>
          <w:szCs w:val="32"/>
        </w:rPr>
      </w:pPr>
      <w:bookmarkStart w:id="18" w:name="_Toc30102"/>
      <w:r>
        <w:rPr>
          <w:rFonts w:hint="eastAsia" w:ascii="黑体" w:hAnsi="黑体" w:eastAsia="黑体" w:cs="黑体"/>
          <w:sz w:val="32"/>
          <w:szCs w:val="32"/>
        </w:rPr>
        <w:t>八、政府性基金预算支出情况说明</w:t>
      </w:r>
      <w:bookmarkEnd w:id="18"/>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广元市利州中等专业学校2024年政府性基金预算拨款安排支出0万元。</w:t>
      </w:r>
    </w:p>
    <w:p>
      <w:pPr>
        <w:pStyle w:val="2"/>
        <w:bidi w:val="0"/>
      </w:pPr>
      <w:bookmarkStart w:id="19" w:name="_Toc28664"/>
      <w:r>
        <w:rPr>
          <w:rFonts w:hint="eastAsia"/>
        </w:rPr>
        <w:t>九、国有资本经营预算支出情况说明</w:t>
      </w:r>
      <w:bookmarkEnd w:id="19"/>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广元市利州中等专业学校2024年无国有资本经营预算拨款安排的支出。</w:t>
      </w:r>
    </w:p>
    <w:p>
      <w:pPr>
        <w:pStyle w:val="2"/>
        <w:numPr>
          <w:ilvl w:val="0"/>
          <w:numId w:val="1"/>
        </w:numPr>
        <w:bidi w:val="0"/>
        <w:rPr>
          <w:rFonts w:hint="eastAsia"/>
        </w:rPr>
      </w:pPr>
      <w:bookmarkStart w:id="20" w:name="_Toc13536"/>
      <w:r>
        <w:rPr>
          <w:rFonts w:hint="eastAsia"/>
        </w:rPr>
        <w:t>其他重要事项的情况说明</w:t>
      </w:r>
      <w:bookmarkEnd w:id="20"/>
    </w:p>
    <w:p>
      <w:pPr>
        <w:pStyle w:val="3"/>
        <w:bidi w:val="0"/>
        <w:rPr>
          <w:rFonts w:hint="eastAsia"/>
          <w:lang w:val="en-US" w:eastAsia="zh-CN"/>
        </w:rPr>
      </w:pPr>
      <w:bookmarkStart w:id="21" w:name="_Toc5225"/>
      <w:r>
        <w:rPr>
          <w:rFonts w:hint="eastAsia"/>
          <w:lang w:val="en-US" w:eastAsia="zh-CN"/>
        </w:rPr>
        <w:t>（一）机关运行经费</w:t>
      </w:r>
      <w:bookmarkEnd w:id="21"/>
    </w:p>
    <w:p>
      <w:pPr>
        <w:shd w:val="clear"/>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广元市利州中等专业学校为事业单位，按规定未使用机关运行的相关科目。</w:t>
      </w:r>
    </w:p>
    <w:p>
      <w:pPr>
        <w:pStyle w:val="3"/>
        <w:bidi w:val="0"/>
      </w:pPr>
      <w:bookmarkStart w:id="22" w:name="_Toc19389"/>
      <w:r>
        <w:rPr>
          <w:rFonts w:hint="eastAsia"/>
          <w:lang w:val="en-US" w:eastAsia="zh-CN"/>
        </w:rPr>
        <w:t>（二）</w:t>
      </w:r>
      <w:r>
        <w:rPr>
          <w:rFonts w:hint="eastAsia"/>
        </w:rPr>
        <w:t>政府采购情况</w:t>
      </w:r>
      <w:bookmarkEnd w:id="2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2024年，广元市利州中等专业学校安排政府采购预算0万元。</w:t>
      </w:r>
    </w:p>
    <w:p>
      <w:pPr>
        <w:pStyle w:val="3"/>
        <w:bidi w:val="0"/>
      </w:pPr>
      <w:bookmarkStart w:id="23" w:name="_Toc16868"/>
      <w:r>
        <w:rPr>
          <w:rFonts w:hint="eastAsia"/>
        </w:rPr>
        <w:t>（</w:t>
      </w:r>
      <w:r>
        <w:rPr>
          <w:rFonts w:hint="eastAsia"/>
          <w:lang w:eastAsia="zh-CN"/>
        </w:rPr>
        <w:t>三</w:t>
      </w:r>
      <w:r>
        <w:rPr>
          <w:rFonts w:hint="eastAsia"/>
        </w:rPr>
        <w:t>）国有资产占有使用情况</w:t>
      </w:r>
      <w:bookmarkEnd w:id="23"/>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截至2023年底，广元市利州中等专业学校共有车辆1辆，其中，定向保障用车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辆。单位价值200万元以上大型设备0台（套）。</w:t>
      </w:r>
    </w:p>
    <w:p>
      <w:pPr>
        <w:pStyle w:val="3"/>
        <w:bidi w:val="0"/>
      </w:pPr>
      <w:bookmarkStart w:id="24" w:name="_Toc28980"/>
      <w:r>
        <w:rPr>
          <w:rFonts w:hint="eastAsia"/>
        </w:rPr>
        <w:t>（</w:t>
      </w:r>
      <w:r>
        <w:rPr>
          <w:rFonts w:hint="eastAsia"/>
          <w:lang w:eastAsia="zh-CN"/>
        </w:rPr>
        <w:t>四</w:t>
      </w:r>
      <w:r>
        <w:rPr>
          <w:rFonts w:hint="eastAsia"/>
        </w:rPr>
        <w:t>）绩效目标设置情况</w:t>
      </w:r>
      <w:bookmarkEnd w:id="24"/>
    </w:p>
    <w:p>
      <w:pPr>
        <w:pStyle w:val="9"/>
        <w:widowControl/>
        <w:shd w:val="clear" w:color="auto"/>
        <w:spacing w:before="130" w:line="580" w:lineRule="atLeast"/>
        <w:ind w:firstLine="674"/>
        <w:rPr>
          <w:rFonts w:hint="default" w:ascii="仿宋_GB2312" w:eastAsia="仿宋_GB2312"/>
          <w:sz w:val="32"/>
          <w:szCs w:val="32"/>
          <w:lang w:val="en-US" w:eastAsia="zh-CN"/>
        </w:rPr>
      </w:pPr>
      <w:r>
        <w:rPr>
          <w:rFonts w:hint="eastAsia" w:ascii="仿宋_GB2312" w:eastAsia="仿宋_GB2312"/>
          <w:sz w:val="32"/>
          <w:szCs w:val="32"/>
          <w:lang w:val="en-US" w:eastAsia="zh-CN"/>
        </w:rPr>
        <w:t>2024年广元市利州中等专业学校开展绩效目标管理的项目11个，涉及预算3944.51万元。其中：人员类项目5个，涉及预算3340.45万元；运转类项目3个，涉及预算185.60万元；特定目标类项目3个，涉及预算418.46万元。因部分项目内容涉密，不予公开。</w:t>
      </w:r>
    </w:p>
    <w:p>
      <w:pPr>
        <w:pStyle w:val="2"/>
        <w:bidi w:val="0"/>
      </w:pPr>
      <w:bookmarkStart w:id="25" w:name="_Toc15208"/>
      <w:r>
        <w:rPr>
          <w:rFonts w:hint="eastAsia"/>
        </w:rPr>
        <w:t>十一、名词解释</w:t>
      </w:r>
      <w:bookmarkEnd w:id="25"/>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w:t>
      </w:r>
    </w:p>
    <w:p>
      <w:pPr>
        <w:shd w:val="clear"/>
        <w:spacing w:line="576" w:lineRule="exact"/>
        <w:ind w:firstLine="640" w:firstLineChars="200"/>
        <w:rPr>
          <w:rFonts w:ascii="仿宋_GB2312" w:hAnsi="仿宋_GB2312" w:eastAsia="仿宋_GB2312" w:cs="仿宋_GB2312"/>
          <w:b/>
          <w:bCs/>
          <w:sz w:val="32"/>
          <w:szCs w:val="32"/>
        </w:rPr>
      </w:pPr>
      <w:r>
        <w:rPr>
          <w:rFonts w:hint="eastAsia" w:ascii="楷体_GB2312" w:hAnsi="楷体_GB2312" w:eastAsia="楷体_GB2312" w:cs="楷体_GB2312"/>
          <w:sz w:val="32"/>
          <w:szCs w:val="32"/>
        </w:rPr>
        <w:t>（二）事业收入：</w:t>
      </w:r>
      <w:r>
        <w:rPr>
          <w:rFonts w:hint="eastAsia" w:ascii="仿宋_GB2312" w:hAnsi="仿宋_GB2312" w:eastAsia="仿宋_GB2312" w:cs="仿宋_GB2312"/>
          <w:sz w:val="32"/>
          <w:szCs w:val="32"/>
        </w:rPr>
        <w:t>指事业单位开展专业业务活动及辅助活动所取得的收入。主要为学校根据国家有关部门批准的项目和标准收取的住宿费等。</w:t>
      </w:r>
    </w:p>
    <w:p>
      <w:pPr>
        <w:shd w:val="clear"/>
        <w:spacing w:line="576"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（三）教育（类）职业教育（款）中等职业教育（项）：</w:t>
      </w:r>
      <w:r>
        <w:rPr>
          <w:rFonts w:hint="eastAsia" w:ascii="楷体_GB2312" w:hAnsi="楷体_GB2312" w:eastAsia="楷体_GB2312" w:cs="楷体_GB2312"/>
          <w:sz w:val="32"/>
          <w:szCs w:val="32"/>
          <w:lang w:eastAsia="zh-CN"/>
        </w:rPr>
        <w:t>指</w:t>
      </w:r>
      <w:r>
        <w:rPr>
          <w:rFonts w:hint="eastAsia" w:ascii="仿宋_GB2312" w:eastAsia="仿宋_GB2312"/>
          <w:sz w:val="32"/>
          <w:szCs w:val="32"/>
        </w:rPr>
        <w:t>机关事业单位人员经费的支出。</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（四）社会保障和就业（类）行政事业单位养老支出（款）</w:t>
      </w:r>
      <w:r>
        <w:rPr>
          <w:rFonts w:hint="eastAsia" w:ascii="楷体_GB2312" w:hAnsi="楷体_GB2312" w:eastAsia="楷体_GB2312" w:cs="楷体_GB2312"/>
          <w:sz w:val="32"/>
          <w:szCs w:val="32"/>
          <w:lang w:val="en-US" w:eastAsia="zh-CN"/>
        </w:rPr>
        <w:t>对</w:t>
      </w:r>
      <w:r>
        <w:rPr>
          <w:rFonts w:hint="eastAsia" w:ascii="楷体_GB2312" w:hAnsi="楷体_GB2312" w:eastAsia="楷体_GB2312" w:cs="楷体_GB2312"/>
          <w:sz w:val="32"/>
          <w:szCs w:val="32"/>
        </w:rPr>
        <w:t>机关事业单位基本养老保险缴费支出（项）：</w:t>
      </w:r>
      <w:r>
        <w:rPr>
          <w:rFonts w:hint="eastAsia" w:ascii="仿宋_GB2312" w:hAnsi="仿宋_GB2312" w:eastAsia="仿宋_GB2312" w:cs="仿宋_GB2312"/>
          <w:sz w:val="32"/>
          <w:szCs w:val="32"/>
        </w:rPr>
        <w:t>指部门实施养老保险制度由单位缴纳的养老保险的支出。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五</w:t>
      </w:r>
      <w:r>
        <w:rPr>
          <w:rFonts w:hint="eastAsia" w:ascii="楷体_GB2312" w:hAnsi="楷体_GB2312" w:eastAsia="楷体_GB2312" w:cs="楷体_GB2312"/>
          <w:sz w:val="32"/>
          <w:szCs w:val="32"/>
        </w:rPr>
        <w:t>）社会保障和就业（类）其他社会保障和就业支出（款）其他社会保障和就业支出（项）：</w:t>
      </w:r>
      <w:r>
        <w:rPr>
          <w:rFonts w:hint="eastAsia" w:ascii="仿宋_GB2312" w:hAnsi="仿宋_GB2312" w:eastAsia="仿宋_GB2312" w:cs="仿宋_GB2312"/>
          <w:sz w:val="32"/>
          <w:szCs w:val="32"/>
        </w:rPr>
        <w:t>指机关事业单位其他用于其他社会保障和就业方面的支出。</w:t>
      </w:r>
    </w:p>
    <w:p>
      <w:pPr>
        <w:shd w:val="clear"/>
        <w:spacing w:line="576" w:lineRule="exact"/>
        <w:ind w:firstLine="640" w:firstLineChars="200"/>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六</w:t>
      </w:r>
      <w:r>
        <w:rPr>
          <w:rFonts w:hint="eastAsia" w:ascii="楷体_GB2312" w:hAnsi="楷体_GB2312" w:eastAsia="楷体_GB2312" w:cs="楷体_GB2312"/>
          <w:sz w:val="32"/>
          <w:szCs w:val="32"/>
        </w:rPr>
        <w:t>）卫生健康（类）行政事业单位医疗（款）事业单位医疗（项）：</w:t>
      </w:r>
      <w:r>
        <w:rPr>
          <w:rFonts w:hint="eastAsia" w:ascii="仿宋_GB2312" w:hAnsi="仿宋_GB2312" w:eastAsia="仿宋_GB2312" w:cs="仿宋_GB2312"/>
          <w:sz w:val="32"/>
          <w:szCs w:val="32"/>
        </w:rPr>
        <w:t>指事业单位基本医疗保险缴费经费，按国家规定享受离休人员待遇的医疗经费。</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（七）住房保障（类）住房改革支出（款）住房公积金（项）：</w:t>
      </w:r>
      <w:r>
        <w:rPr>
          <w:rFonts w:hint="eastAsia" w:ascii="仿宋_GB2312" w:hAnsi="仿宋_GB2312" w:eastAsia="仿宋_GB2312" w:cs="仿宋_GB2312"/>
          <w:sz w:val="32"/>
          <w:szCs w:val="32"/>
        </w:rPr>
        <w:t>指按照《住房公积金管理条例》的规定，由单位及其在职职工缴存的长期住房储金。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（八）基本支出：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（九）项目支出：</w:t>
      </w:r>
      <w:r>
        <w:rPr>
          <w:rFonts w:hint="eastAsia" w:ascii="仿宋_GB2312" w:hAnsi="仿宋_GB2312" w:eastAsia="仿宋_GB2312" w:cs="仿宋_GB2312"/>
          <w:sz w:val="32"/>
          <w:szCs w:val="32"/>
        </w:rPr>
        <w:t>指在基本支出之外为完成特定行政任务和事业发展目标所发生的支出。</w:t>
      </w:r>
    </w:p>
    <w:p>
      <w:pPr>
        <w:shd w:val="clea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（十）“三公”经费：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p>
    <w:p>
      <w:pPr>
        <w:shd w:val="clear"/>
        <w:spacing w:line="576" w:lineRule="exact"/>
        <w:ind w:firstLine="640" w:firstLineChars="200"/>
        <w:rPr>
          <w:rFonts w:hint="eastAsia"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预算公开表</w:t>
      </w: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DC5A1A-D6C4-4833-93A6-72C0B0ACEB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3D9210CD-2DE1-4560-93CD-2697D744C496}"/>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embedRegular r:id="rId3" w:fontKey="{7104F5D8-2188-4028-A41D-F49928CBC762}"/>
  </w:font>
  <w:font w:name="仿宋_GB2312">
    <w:panose1 w:val="02010609030101010101"/>
    <w:charset w:val="86"/>
    <w:family w:val="modern"/>
    <w:pitch w:val="default"/>
    <w:sig w:usb0="00000001" w:usb1="080E0000" w:usb2="00000000" w:usb3="00000000" w:csb0="00040000" w:csb1="00000000"/>
    <w:embedRegular r:id="rId4" w:fontKey="{D7CCC2A3-4B02-4E79-AA95-FFFB010C1300}"/>
  </w:font>
  <w:font w:name="方正仿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5" w:fontKey="{2064B4B6-A1F5-4EE8-B951-6A0C32782E47}"/>
  </w:font>
  <w:font w:name="Segoe Print">
    <w:panose1 w:val="02000600000000000000"/>
    <w:charset w:val="00"/>
    <w:family w:val="auto"/>
    <w:pitch w:val="default"/>
    <w:sig w:usb0="0000028F" w:usb1="00000000" w:usb2="00000000" w:usb3="00000000" w:csb0="2000009F" w:csb1="47010000"/>
  </w:font>
  <w:font w:name="宋体-方正超大字符集">
    <w:panose1 w:val="03000509000000000000"/>
    <w:charset w:val="86"/>
    <w:family w:val="auto"/>
    <w:pitch w:val="default"/>
    <w:sig w:usb0="00000001" w:usb1="080E0000" w:usb2="00000000" w:usb3="00000000" w:csb0="00040000" w:csb1="00000000"/>
    <w:embedRegular r:id="rId6" w:fontKey="{28CF8510-D9D4-4102-BDED-4249D36EBE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6"/>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F27BC8"/>
    <w:multiLevelType w:val="singleLevel"/>
    <w:tmpl w:val="BDF27BC8"/>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863f4278-b25c-40c9-99da-77a9dc3bdfcc"/>
  </w:docVars>
  <w:rsids>
    <w:rsidRoot w:val="00814921"/>
    <w:rsid w:val="00011121"/>
    <w:rsid w:val="0002352E"/>
    <w:rsid w:val="00030FFE"/>
    <w:rsid w:val="00093C8B"/>
    <w:rsid w:val="00277F6A"/>
    <w:rsid w:val="00322293"/>
    <w:rsid w:val="00377207"/>
    <w:rsid w:val="00392551"/>
    <w:rsid w:val="00407603"/>
    <w:rsid w:val="005A3BF0"/>
    <w:rsid w:val="005E57EE"/>
    <w:rsid w:val="005F61D3"/>
    <w:rsid w:val="00631165"/>
    <w:rsid w:val="00652888"/>
    <w:rsid w:val="00673B30"/>
    <w:rsid w:val="0067500D"/>
    <w:rsid w:val="006C24CA"/>
    <w:rsid w:val="006F03B5"/>
    <w:rsid w:val="00814921"/>
    <w:rsid w:val="008165F4"/>
    <w:rsid w:val="00827E7F"/>
    <w:rsid w:val="008324FC"/>
    <w:rsid w:val="00874C39"/>
    <w:rsid w:val="008C5414"/>
    <w:rsid w:val="00901329"/>
    <w:rsid w:val="009A0184"/>
    <w:rsid w:val="009C6066"/>
    <w:rsid w:val="009D458D"/>
    <w:rsid w:val="009F1330"/>
    <w:rsid w:val="00A14D45"/>
    <w:rsid w:val="00A35821"/>
    <w:rsid w:val="00A55C64"/>
    <w:rsid w:val="00A95889"/>
    <w:rsid w:val="00AB3B39"/>
    <w:rsid w:val="00AB68CF"/>
    <w:rsid w:val="00B06C04"/>
    <w:rsid w:val="00B1192A"/>
    <w:rsid w:val="00B930A4"/>
    <w:rsid w:val="00B97684"/>
    <w:rsid w:val="00BE0E5A"/>
    <w:rsid w:val="00BE4D74"/>
    <w:rsid w:val="00BF5719"/>
    <w:rsid w:val="00C353B3"/>
    <w:rsid w:val="00C957F3"/>
    <w:rsid w:val="00CA6285"/>
    <w:rsid w:val="00CC2C52"/>
    <w:rsid w:val="00DC0CDC"/>
    <w:rsid w:val="00DF7D20"/>
    <w:rsid w:val="00E04D36"/>
    <w:rsid w:val="00E1699F"/>
    <w:rsid w:val="00E74911"/>
    <w:rsid w:val="00EE2284"/>
    <w:rsid w:val="00EE32CD"/>
    <w:rsid w:val="00F844E5"/>
    <w:rsid w:val="012352D1"/>
    <w:rsid w:val="01784D4C"/>
    <w:rsid w:val="02702D13"/>
    <w:rsid w:val="070457D8"/>
    <w:rsid w:val="076800B2"/>
    <w:rsid w:val="0DB20D09"/>
    <w:rsid w:val="159D6475"/>
    <w:rsid w:val="1B9944F6"/>
    <w:rsid w:val="1D9F113A"/>
    <w:rsid w:val="1F7BF06F"/>
    <w:rsid w:val="1FEE4B73"/>
    <w:rsid w:val="23CE9849"/>
    <w:rsid w:val="27280C17"/>
    <w:rsid w:val="2A5543E3"/>
    <w:rsid w:val="372799D5"/>
    <w:rsid w:val="3787245D"/>
    <w:rsid w:val="37B1497B"/>
    <w:rsid w:val="39F304DD"/>
    <w:rsid w:val="3DA22980"/>
    <w:rsid w:val="419A2477"/>
    <w:rsid w:val="48FD385A"/>
    <w:rsid w:val="4C0312C1"/>
    <w:rsid w:val="54244390"/>
    <w:rsid w:val="54662A63"/>
    <w:rsid w:val="58064E12"/>
    <w:rsid w:val="5B12588A"/>
    <w:rsid w:val="5BFEE015"/>
    <w:rsid w:val="63EDCF55"/>
    <w:rsid w:val="63FBFBCF"/>
    <w:rsid w:val="669360FD"/>
    <w:rsid w:val="682C160E"/>
    <w:rsid w:val="68FF6A83"/>
    <w:rsid w:val="6AEF6005"/>
    <w:rsid w:val="6E3DB48E"/>
    <w:rsid w:val="6FBBC9CF"/>
    <w:rsid w:val="6FE37EB8"/>
    <w:rsid w:val="72BDE561"/>
    <w:rsid w:val="78462278"/>
    <w:rsid w:val="797846B3"/>
    <w:rsid w:val="7997EA6C"/>
    <w:rsid w:val="79C10E45"/>
    <w:rsid w:val="7AEAE675"/>
    <w:rsid w:val="7BAFCE5D"/>
    <w:rsid w:val="7D46598C"/>
    <w:rsid w:val="7D9F8F0F"/>
    <w:rsid w:val="7DFB240B"/>
    <w:rsid w:val="7DFE05E7"/>
    <w:rsid w:val="7E0935E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val="0"/>
      <w:keepLines w:val="0"/>
      <w:spacing w:line="560" w:lineRule="exact"/>
      <w:ind w:firstLine="880" w:firstLineChars="200"/>
      <w:outlineLvl w:val="0"/>
    </w:pPr>
    <w:rPr>
      <w:rFonts w:ascii="Times New Roman" w:hAnsi="Times New Roman" w:eastAsia="黑体" w:cs="Times New Roman"/>
      <w:kern w:val="44"/>
      <w:sz w:val="32"/>
      <w:szCs w:val="22"/>
    </w:rPr>
  </w:style>
  <w:style w:type="paragraph" w:styleId="3">
    <w:name w:val="heading 2"/>
    <w:basedOn w:val="1"/>
    <w:next w:val="1"/>
    <w:unhideWhenUsed/>
    <w:qFormat/>
    <w:uiPriority w:val="0"/>
    <w:pPr>
      <w:keepNext w:val="0"/>
      <w:keepLines w:val="0"/>
      <w:spacing w:line="560" w:lineRule="exact"/>
      <w:ind w:firstLine="880" w:firstLineChars="200"/>
      <w:jc w:val="both"/>
      <w:outlineLvl w:val="1"/>
    </w:pPr>
    <w:rPr>
      <w:rFonts w:ascii="Arial" w:hAnsi="Arial" w:eastAsia="楷体" w:cs="Times New Roman"/>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pPr>
      <w:suppressLineNumbers/>
      <w:spacing w:before="120" w:after="120"/>
    </w:pPr>
    <w:rPr>
      <w:i/>
      <w:iCs/>
      <w:sz w:val="24"/>
    </w:rPr>
  </w:style>
  <w:style w:type="paragraph" w:styleId="5">
    <w:name w:val="Body Text"/>
    <w:basedOn w:val="1"/>
    <w:qFormat/>
    <w:uiPriority w:val="0"/>
    <w:pPr>
      <w:spacing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List"/>
    <w:basedOn w:val="5"/>
    <w:qFormat/>
    <w:uiPriority w:val="0"/>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5"/>
    <w:qFormat/>
    <w:uiPriority w:val="0"/>
    <w:pPr>
      <w:keepNext/>
      <w:spacing w:before="240" w:after="120"/>
    </w:pPr>
    <w:rPr>
      <w:rFonts w:ascii="Liberation Sans" w:hAnsi="Liberation Sans" w:eastAsia="Noto Sans CJK SC Regular" w:cs="Noto Sans CJK SC Regular"/>
      <w:sz w:val="28"/>
      <w:szCs w:val="28"/>
    </w:rPr>
  </w:style>
  <w:style w:type="paragraph" w:customStyle="1" w:styleId="14">
    <w:name w:val="Index"/>
    <w:basedOn w:val="1"/>
    <w:qFormat/>
    <w:uiPriority w:val="0"/>
    <w:pPr>
      <w:suppressLineNumbers/>
    </w:pPr>
  </w:style>
  <w:style w:type="paragraph" w:customStyle="1" w:styleId="15">
    <w:name w:val="WPSOffice手动目录 1"/>
    <w:uiPriority w:val="0"/>
    <w:pPr>
      <w:ind w:leftChars="0"/>
    </w:pPr>
    <w:rPr>
      <w:rFonts w:ascii="Times New Roman" w:hAnsi="Times New Roman" w:eastAsia="宋体" w:cs="Times New Roman"/>
      <w:sz w:val="20"/>
      <w:szCs w:val="20"/>
    </w:rPr>
  </w:style>
  <w:style w:type="paragraph" w:customStyle="1" w:styleId="16">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4588</Words>
  <Characters>4913</Characters>
  <Lines>37</Lines>
  <Paragraphs>10</Paragraphs>
  <TotalTime>25</TotalTime>
  <ScaleCrop>false</ScaleCrop>
  <LinksUpToDate>false</LinksUpToDate>
  <CharactersWithSpaces>5001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2024-02-27T01:31:00Z</dcterms:created>
  <dc:creator>admin</dc:creator>
  <cp:lastModifiedBy>dell</cp:lastModifiedBy>
  <dcterms:modified xsi:type="dcterms:W3CDTF">2024-03-03T14:58:31Z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3FAE49A4E6EA4B50885ECD24D927214B_13</vt:lpwstr>
  </property>
</Properties>
</file>