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kern w:val="0"/>
          <w:sz w:val="44"/>
          <w:szCs w:val="44"/>
          <w:shd w:val="clear" w:color="auto" w:fill="FFFFFF"/>
        </w:rPr>
        <w:t>广元市应急管理科技信息中心</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2024年部门预算编制说明</w:t>
      </w: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p>
      <w:pPr>
        <w:jc w:val="center"/>
        <w:rPr>
          <w:rFonts w:hint="eastAsia" w:ascii="黑体" w:hAnsi="黑体" w:eastAsia="黑体" w:cs="黑体"/>
          <w:color w:val="000000" w:themeColor="text1"/>
          <w:kern w:val="0"/>
          <w:sz w:val="32"/>
          <w:szCs w:val="32"/>
          <w:shd w:val="clear" w:color="auto" w:fill="FFFFFF"/>
        </w:rPr>
      </w:pPr>
    </w:p>
    <w:sdt>
      <w:sdtPr>
        <w:rPr>
          <w:rFonts w:ascii="宋体" w:hAnsi="宋体" w:eastAsia="宋体" w:cs="Times New Roman"/>
          <w:kern w:val="2"/>
          <w:sz w:val="21"/>
          <w:szCs w:val="24"/>
          <w:lang w:val="en-US" w:eastAsia="zh-CN" w:bidi="ar-SA"/>
        </w:rPr>
        <w:id w:val="796271001"/>
        <w15:color w:val="DBDBDB"/>
        <w:docPartObj>
          <w:docPartGallery w:val="Table of Contents"/>
          <w:docPartUnique/>
        </w:docPartObj>
      </w:sdtPr>
      <w:sdtEndPr>
        <w:rPr>
          <w:rFonts w:hint="eastAsia" w:ascii="Calibri" w:hAnsi="Calibri"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7"/>
            <w:tabs>
              <w:tab w:val="right" w:leader="dot" w:pos="8845"/>
            </w:tabs>
          </w:pPr>
          <w:r>
            <w:rPr>
              <w:rFonts w:hint="eastAsia"/>
            </w:rPr>
            <w:fldChar w:fldCharType="begin"/>
          </w:r>
          <w:r>
            <w:rPr>
              <w:rFonts w:hint="eastAsia"/>
            </w:rPr>
            <w:instrText xml:space="preserve">TOC \o "1-3" \h \u </w:instrText>
          </w:r>
          <w:r>
            <w:rPr>
              <w:rFonts w:hint="eastAsia"/>
            </w:rPr>
            <w:fldChar w:fldCharType="separate"/>
          </w:r>
          <w:r>
            <w:rPr>
              <w:rFonts w:hint="eastAsia"/>
            </w:rPr>
            <w:fldChar w:fldCharType="begin"/>
          </w:r>
          <w:r>
            <w:rPr>
              <w:rFonts w:hint="eastAsia"/>
            </w:rPr>
            <w:instrText xml:space="preserve"> HYPERLINK \l _Toc579534177 </w:instrText>
          </w:r>
          <w:r>
            <w:rPr>
              <w:rFonts w:hint="eastAsia"/>
            </w:rPr>
            <w:fldChar w:fldCharType="separate"/>
          </w:r>
          <w:r>
            <w:rPr>
              <w:rFonts w:hint="eastAsia" w:ascii="黑体" w:hAnsi="黑体" w:eastAsia="黑体" w:cs="黑体"/>
              <w:szCs w:val="32"/>
            </w:rPr>
            <w:t>一、基本职能及主要工作</w:t>
          </w:r>
          <w:r>
            <w:tab/>
          </w:r>
          <w:r>
            <w:fldChar w:fldCharType="begin"/>
          </w:r>
          <w:r>
            <w:instrText xml:space="preserve"> PAGEREF _Toc579534177 \h </w:instrText>
          </w:r>
          <w:r>
            <w:fldChar w:fldCharType="separate"/>
          </w:r>
          <w:r>
            <w:t>3</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_Toc670756338 </w:instrText>
          </w:r>
          <w:r>
            <w:rPr>
              <w:rFonts w:hint="eastAsia"/>
            </w:rPr>
            <w:fldChar w:fldCharType="separate"/>
          </w:r>
          <w:r>
            <w:rPr>
              <w:rFonts w:hint="eastAsia" w:ascii="楷体_GB2312" w:hAnsi="华文仿宋" w:eastAsia="楷体_GB2312" w:cs="华文仿宋"/>
              <w:bCs/>
              <w:szCs w:val="32"/>
              <w:shd w:val="clear" w:fill="FFFFFF"/>
            </w:rPr>
            <w:t xml:space="preserve">（一） </w:t>
          </w:r>
          <w:r>
            <w:rPr>
              <w:rFonts w:hint="eastAsia" w:ascii="楷体_GB2312" w:hAnsi="华文仿宋" w:eastAsia="楷体_GB2312" w:cs="华文仿宋"/>
              <w:bCs/>
              <w:szCs w:val="32"/>
              <w:shd w:val="clear" w:color="auto" w:fill="FFFFFF"/>
            </w:rPr>
            <w:t>广元市应急管理科技信息中心职能简介</w:t>
          </w:r>
          <w:r>
            <w:tab/>
          </w:r>
          <w:r>
            <w:fldChar w:fldCharType="begin"/>
          </w:r>
          <w:r>
            <w:instrText xml:space="preserve"> PAGEREF _Toc670756338 \h </w:instrText>
          </w:r>
          <w:r>
            <w:fldChar w:fldCharType="separate"/>
          </w:r>
          <w:r>
            <w:t>3</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_Toc1695380987 </w:instrText>
          </w:r>
          <w:r>
            <w:rPr>
              <w:rFonts w:hint="eastAsia"/>
            </w:rPr>
            <w:fldChar w:fldCharType="separate"/>
          </w:r>
          <w:r>
            <w:rPr>
              <w:rFonts w:hint="eastAsia" w:ascii="楷体_GB2312" w:hAnsi="华文仿宋" w:eastAsia="楷体_GB2312" w:cs="华文仿宋"/>
              <w:bCs/>
              <w:szCs w:val="32"/>
              <w:shd w:val="clear" w:fill="FFFFFF"/>
            </w:rPr>
            <w:t xml:space="preserve">（二） </w:t>
          </w:r>
          <w:r>
            <w:rPr>
              <w:rFonts w:hint="eastAsia" w:ascii="楷体_GB2312" w:hAnsi="华文仿宋" w:eastAsia="楷体_GB2312" w:cs="华文仿宋"/>
              <w:bCs/>
              <w:szCs w:val="32"/>
              <w:shd w:val="clear" w:color="auto" w:fill="FFFFFF"/>
            </w:rPr>
            <w:t>广元市应急管理科技信息中心2024年重点工作</w:t>
          </w:r>
          <w:r>
            <w:tab/>
          </w:r>
          <w:r>
            <w:fldChar w:fldCharType="begin"/>
          </w:r>
          <w:r>
            <w:instrText xml:space="preserve"> PAGEREF _Toc1695380987 \h </w:instrText>
          </w:r>
          <w:r>
            <w:fldChar w:fldCharType="separate"/>
          </w:r>
          <w:r>
            <w:t>3</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_Toc1427455858 </w:instrText>
          </w:r>
          <w:r>
            <w:rPr>
              <w:rFonts w:hint="eastAsia"/>
            </w:rPr>
            <w:fldChar w:fldCharType="separate"/>
          </w:r>
          <w:r>
            <w:rPr>
              <w:rFonts w:hint="eastAsia" w:ascii="黑体" w:hAnsi="黑体" w:eastAsia="黑体" w:cs="黑体"/>
              <w:szCs w:val="32"/>
            </w:rPr>
            <w:t>二、部门预算单位构成</w:t>
          </w:r>
          <w:r>
            <w:tab/>
          </w:r>
          <w:r>
            <w:fldChar w:fldCharType="begin"/>
          </w:r>
          <w:r>
            <w:instrText xml:space="preserve"> PAGEREF _Toc1427455858 \h </w:instrText>
          </w:r>
          <w:r>
            <w:fldChar w:fldCharType="separate"/>
          </w:r>
          <w:r>
            <w:t>4</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_Toc1545896552 </w:instrText>
          </w:r>
          <w:r>
            <w:rPr>
              <w:rFonts w:hint="eastAsia"/>
            </w:rPr>
            <w:fldChar w:fldCharType="separate"/>
          </w:r>
          <w:r>
            <w:rPr>
              <w:rFonts w:hint="eastAsia" w:ascii="黑体" w:hAnsi="黑体" w:eastAsia="黑体" w:cs="黑体"/>
              <w:szCs w:val="32"/>
            </w:rPr>
            <w:t>三、收支预算情况说明</w:t>
          </w:r>
          <w:r>
            <w:tab/>
          </w:r>
          <w:r>
            <w:fldChar w:fldCharType="begin"/>
          </w:r>
          <w:r>
            <w:instrText xml:space="preserve"> PAGEREF _Toc1545896552 \h </w:instrText>
          </w:r>
          <w:r>
            <w:fldChar w:fldCharType="separate"/>
          </w:r>
          <w:r>
            <w:t>4</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_Toc547747177 </w:instrText>
          </w:r>
          <w:r>
            <w:rPr>
              <w:rFonts w:hint="eastAsia"/>
            </w:rPr>
            <w:fldChar w:fldCharType="separate"/>
          </w:r>
          <w:r>
            <w:rPr>
              <w:rFonts w:hint="eastAsia" w:ascii="楷体_GB2312" w:hAnsi="楷体_GB2312" w:eastAsia="楷体_GB2312" w:cs="楷体_GB2312"/>
              <w:szCs w:val="32"/>
            </w:rPr>
            <w:t>（一）收入预算情况</w:t>
          </w:r>
          <w:r>
            <w:tab/>
          </w:r>
          <w:r>
            <w:fldChar w:fldCharType="begin"/>
          </w:r>
          <w:r>
            <w:instrText xml:space="preserve"> PAGEREF _Toc547747177 \h </w:instrText>
          </w:r>
          <w:r>
            <w:fldChar w:fldCharType="separate"/>
          </w:r>
          <w:r>
            <w:t>5</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_Toc2112835510 </w:instrText>
          </w:r>
          <w:r>
            <w:rPr>
              <w:rFonts w:hint="eastAsia"/>
            </w:rPr>
            <w:fldChar w:fldCharType="separate"/>
          </w:r>
          <w:r>
            <w:rPr>
              <w:rFonts w:hint="eastAsia" w:ascii="楷体_GB2312" w:hAnsi="楷体_GB2312" w:eastAsia="楷体_GB2312" w:cs="楷体_GB2312"/>
              <w:szCs w:val="32"/>
            </w:rPr>
            <w:t>（二）支出预算情况</w:t>
          </w:r>
          <w:r>
            <w:tab/>
          </w:r>
          <w:r>
            <w:fldChar w:fldCharType="begin"/>
          </w:r>
          <w:r>
            <w:instrText xml:space="preserve"> PAGEREF _Toc2112835510 \h </w:instrText>
          </w:r>
          <w:r>
            <w:fldChar w:fldCharType="separate"/>
          </w:r>
          <w:r>
            <w:t>5</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_Toc168557420 </w:instrText>
          </w:r>
          <w:r>
            <w:rPr>
              <w:rFonts w:hint="eastAsia"/>
            </w:rPr>
            <w:fldChar w:fldCharType="separate"/>
          </w:r>
          <w:r>
            <w:rPr>
              <w:rFonts w:hint="eastAsia" w:ascii="黑体" w:hAnsi="黑体" w:eastAsia="黑体" w:cs="黑体"/>
              <w:szCs w:val="32"/>
            </w:rPr>
            <w:t>四、财政拨款收支预算情况说明</w:t>
          </w:r>
          <w:r>
            <w:tab/>
          </w:r>
          <w:r>
            <w:fldChar w:fldCharType="begin"/>
          </w:r>
          <w:r>
            <w:instrText xml:space="preserve"> PAGEREF _Toc168557420 \h </w:instrText>
          </w:r>
          <w:r>
            <w:fldChar w:fldCharType="separate"/>
          </w:r>
          <w:r>
            <w:t>5</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_Toc397018684 </w:instrText>
          </w:r>
          <w:r>
            <w:rPr>
              <w:rFonts w:hint="eastAsia"/>
            </w:rPr>
            <w:fldChar w:fldCharType="separate"/>
          </w:r>
          <w:r>
            <w:rPr>
              <w:rFonts w:hint="eastAsia" w:ascii="黑体" w:hAnsi="黑体" w:eastAsia="黑体" w:cs="黑体"/>
              <w:szCs w:val="32"/>
            </w:rPr>
            <w:t>五、一般公共预算当年拨款情况说明</w:t>
          </w:r>
          <w:r>
            <w:tab/>
          </w:r>
          <w:r>
            <w:fldChar w:fldCharType="begin"/>
          </w:r>
          <w:r>
            <w:instrText xml:space="preserve"> PAGEREF _Toc397018684 \h </w:instrText>
          </w:r>
          <w:r>
            <w:fldChar w:fldCharType="separate"/>
          </w:r>
          <w:r>
            <w:t>5</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_Toc628130853 </w:instrText>
          </w:r>
          <w:r>
            <w:rPr>
              <w:rFonts w:hint="eastAsia"/>
            </w:rP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_Toc628130853 \h </w:instrText>
          </w:r>
          <w:r>
            <w:fldChar w:fldCharType="separate"/>
          </w:r>
          <w:r>
            <w:t>5</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_Toc1459577926 </w:instrText>
          </w:r>
          <w:r>
            <w:rPr>
              <w:rFonts w:hint="eastAsia"/>
            </w:rP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_Toc1459577926 \h </w:instrText>
          </w:r>
          <w:r>
            <w:fldChar w:fldCharType="separate"/>
          </w:r>
          <w:r>
            <w:t>5</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_Toc198997106 </w:instrText>
          </w:r>
          <w:r>
            <w:rPr>
              <w:rFonts w:hint="eastAsia"/>
            </w:rP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_Toc198997106 \h </w:instrText>
          </w:r>
          <w:r>
            <w:fldChar w:fldCharType="separate"/>
          </w:r>
          <w:r>
            <w:t>6</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_Toc1402504053 </w:instrText>
          </w:r>
          <w:r>
            <w:rPr>
              <w:rFonts w:hint="eastAsia"/>
            </w:rPr>
            <w:fldChar w:fldCharType="separate"/>
          </w:r>
          <w:r>
            <w:rPr>
              <w:rFonts w:hint="eastAsia" w:ascii="黑体" w:hAnsi="黑体" w:eastAsia="黑体" w:cs="黑体"/>
              <w:szCs w:val="32"/>
            </w:rPr>
            <w:t>六、一般公共预算基本支出情况说明</w:t>
          </w:r>
          <w:r>
            <w:tab/>
          </w:r>
          <w:r>
            <w:fldChar w:fldCharType="begin"/>
          </w:r>
          <w:r>
            <w:instrText xml:space="preserve"> PAGEREF _Toc1402504053 \h </w:instrText>
          </w:r>
          <w:r>
            <w:fldChar w:fldCharType="separate"/>
          </w:r>
          <w:r>
            <w:t>6</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_Toc1161503257 </w:instrText>
          </w:r>
          <w:r>
            <w:rPr>
              <w:rFonts w:hint="eastAsia"/>
            </w:rPr>
            <w:fldChar w:fldCharType="separate"/>
          </w:r>
          <w:r>
            <w:rPr>
              <w:rFonts w:hint="default" w:ascii="黑体" w:hAnsi="黑体" w:eastAsia="黑体" w:cs="黑体"/>
              <w:szCs w:val="32"/>
            </w:rPr>
            <w:t>七、</w:t>
          </w:r>
          <w:r>
            <w:rPr>
              <w:rFonts w:hint="eastAsia" w:ascii="黑体" w:hAnsi="黑体" w:eastAsia="黑体" w:cs="黑体"/>
              <w:szCs w:val="32"/>
            </w:rPr>
            <w:t>“三公”经费财政拨款预算安排情况说明</w:t>
          </w:r>
          <w:r>
            <w:tab/>
          </w:r>
          <w:r>
            <w:fldChar w:fldCharType="begin"/>
          </w:r>
          <w:r>
            <w:instrText xml:space="preserve"> PAGEREF _Toc1161503257 \h </w:instrText>
          </w:r>
          <w:r>
            <w:fldChar w:fldCharType="separate"/>
          </w:r>
          <w:r>
            <w:t>7</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_Toc2024384615 </w:instrText>
          </w:r>
          <w:r>
            <w:rPr>
              <w:rFonts w:hint="eastAsia"/>
            </w:rPr>
            <w:fldChar w:fldCharType="separate"/>
          </w:r>
          <w:r>
            <w:rPr>
              <w:rFonts w:hint="eastAsia" w:ascii="楷体_GB2312" w:hAnsi="楷体_GB2312" w:eastAsia="楷体_GB2312" w:cs="楷体_GB2312"/>
              <w:szCs w:val="32"/>
            </w:rPr>
            <w:t>（一）公务接待费</w:t>
          </w:r>
          <w:r>
            <w:tab/>
          </w:r>
          <w:r>
            <w:fldChar w:fldCharType="begin"/>
          </w:r>
          <w:r>
            <w:instrText xml:space="preserve"> PAGEREF _Toc2024384615 \h </w:instrText>
          </w:r>
          <w:r>
            <w:fldChar w:fldCharType="separate"/>
          </w:r>
          <w:r>
            <w:t>7</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_Toc490447618 </w:instrText>
          </w:r>
          <w:r>
            <w:rPr>
              <w:rFonts w:hint="eastAsia"/>
            </w:rPr>
            <w:fldChar w:fldCharType="separate"/>
          </w:r>
          <w:r>
            <w:rPr>
              <w:rFonts w:hint="default" w:ascii="楷体_GB2312" w:hAnsi="楷体_GB2312" w:eastAsia="楷体_GB2312" w:cs="楷体_GB2312"/>
              <w:szCs w:val="32"/>
            </w:rPr>
            <w:t>（二）</w:t>
          </w:r>
          <w:r>
            <w:rPr>
              <w:rFonts w:hint="eastAsia" w:ascii="楷体_GB2312" w:hAnsi="楷体_GB2312" w:eastAsia="楷体_GB2312" w:cs="楷体_GB2312"/>
              <w:szCs w:val="32"/>
            </w:rPr>
            <w:t>公务用车购置及运行维护费</w:t>
          </w:r>
          <w:r>
            <w:tab/>
          </w:r>
          <w:r>
            <w:fldChar w:fldCharType="begin"/>
          </w:r>
          <w:r>
            <w:instrText xml:space="preserve"> PAGEREF _Toc490447618 \h </w:instrText>
          </w:r>
          <w:r>
            <w:fldChar w:fldCharType="separate"/>
          </w:r>
          <w:r>
            <w:t>7</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_Toc1726735581 </w:instrText>
          </w:r>
          <w:r>
            <w:rPr>
              <w:rFonts w:hint="eastAsia"/>
            </w:rP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_Toc1726735581 \h </w:instrText>
          </w:r>
          <w:r>
            <w:fldChar w:fldCharType="separate"/>
          </w:r>
          <w:r>
            <w:t>8</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_Toc1718511013 </w:instrText>
          </w:r>
          <w:r>
            <w:rPr>
              <w:rFonts w:hint="eastAsia"/>
            </w:rPr>
            <w:fldChar w:fldCharType="separate"/>
          </w:r>
          <w:r>
            <w:rPr>
              <w:rFonts w:hint="eastAsia" w:ascii="黑体" w:hAnsi="黑体" w:eastAsia="黑体" w:cs="黑体"/>
              <w:szCs w:val="32"/>
            </w:rPr>
            <w:t>八、政府性基金预算支出情况说明</w:t>
          </w:r>
          <w:r>
            <w:tab/>
          </w:r>
          <w:r>
            <w:fldChar w:fldCharType="begin"/>
          </w:r>
          <w:r>
            <w:instrText xml:space="preserve"> PAGEREF _Toc1718511013 \h </w:instrText>
          </w:r>
          <w:r>
            <w:fldChar w:fldCharType="separate"/>
          </w:r>
          <w:r>
            <w:t>8</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_Toc1741303186 </w:instrText>
          </w:r>
          <w:r>
            <w:rPr>
              <w:rFonts w:hint="eastAsia"/>
            </w:rPr>
            <w:fldChar w:fldCharType="separate"/>
          </w:r>
          <w:r>
            <w:rPr>
              <w:rFonts w:hint="eastAsia" w:ascii="黑体" w:hAnsi="黑体" w:eastAsia="黑体" w:cs="黑体"/>
              <w:szCs w:val="32"/>
            </w:rPr>
            <w:t>九、国有资本经营预算支出情况说明</w:t>
          </w:r>
          <w:r>
            <w:tab/>
          </w:r>
          <w:r>
            <w:fldChar w:fldCharType="begin"/>
          </w:r>
          <w:r>
            <w:instrText xml:space="preserve"> PAGEREF _Toc1741303186 \h </w:instrText>
          </w:r>
          <w:r>
            <w:fldChar w:fldCharType="separate"/>
          </w:r>
          <w:r>
            <w:t>8</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_Toc43938059 </w:instrText>
          </w:r>
          <w:r>
            <w:rPr>
              <w:rFonts w:hint="eastAsia"/>
            </w:rPr>
            <w:fldChar w:fldCharType="separate"/>
          </w:r>
          <w:r>
            <w:rPr>
              <w:rFonts w:hint="eastAsia" w:ascii="黑体" w:hAnsi="黑体" w:eastAsia="黑体" w:cs="黑体"/>
              <w:szCs w:val="32"/>
            </w:rPr>
            <w:t>十、其他重要事项的情况说明</w:t>
          </w:r>
          <w:r>
            <w:tab/>
          </w:r>
          <w:r>
            <w:fldChar w:fldCharType="begin"/>
          </w:r>
          <w:r>
            <w:instrText xml:space="preserve"> PAGEREF _Toc43938059 \h </w:instrText>
          </w:r>
          <w:r>
            <w:fldChar w:fldCharType="separate"/>
          </w:r>
          <w:r>
            <w:t>8</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_Toc1058310147 </w:instrText>
          </w:r>
          <w:r>
            <w:rPr>
              <w:rFonts w:hint="eastAsia"/>
            </w:rPr>
            <w:fldChar w:fldCharType="separate"/>
          </w:r>
          <w:r>
            <w:rPr>
              <w:rFonts w:hint="default" w:ascii="仿宋_GB2312" w:hAnsi="仿宋_GB2312" w:eastAsia="仿宋_GB2312" w:cs="仿宋_GB2312"/>
              <w:szCs w:val="32"/>
              <w:lang w:val="en-US" w:eastAsia="zh-CN"/>
            </w:rPr>
            <w:t>（一）机关运行经费</w:t>
          </w:r>
          <w:r>
            <w:tab/>
          </w:r>
          <w:r>
            <w:fldChar w:fldCharType="begin"/>
          </w:r>
          <w:r>
            <w:instrText xml:space="preserve"> PAGEREF _Toc1058310147 \h </w:instrText>
          </w:r>
          <w:r>
            <w:fldChar w:fldCharType="separate"/>
          </w:r>
          <w:r>
            <w:t>8</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_Toc507191665 </w:instrText>
          </w:r>
          <w:r>
            <w:rPr>
              <w:rFonts w:hint="eastAsia"/>
            </w:rPr>
            <w:fldChar w:fldCharType="separate"/>
          </w:r>
          <w:r>
            <w:rPr>
              <w:rFonts w:hint="eastAsia" w:ascii="仿宋_GB2312" w:hAnsi="仿宋_GB2312" w:eastAsia="仿宋_GB2312" w:cs="仿宋_GB2312"/>
              <w:szCs w:val="32"/>
              <w:lang w:val="en-US" w:eastAsia="zh-CN"/>
            </w:rPr>
            <w:t>（二）政府采购情况</w:t>
          </w:r>
          <w:r>
            <w:tab/>
          </w:r>
          <w:r>
            <w:fldChar w:fldCharType="begin"/>
          </w:r>
          <w:r>
            <w:instrText xml:space="preserve"> PAGEREF _Toc507191665 \h </w:instrText>
          </w:r>
          <w:r>
            <w:fldChar w:fldCharType="separate"/>
          </w:r>
          <w:r>
            <w:t>8</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_Toc1585847373 </w:instrText>
          </w:r>
          <w:r>
            <w:rPr>
              <w:rFonts w:hint="eastAsia"/>
            </w:rPr>
            <w:fldChar w:fldCharType="separate"/>
          </w:r>
          <w:r>
            <w:rPr>
              <w:rFonts w:hint="default" w:ascii="仿宋_GB2312" w:hAnsi="仿宋_GB2312" w:eastAsia="仿宋_GB2312" w:cs="仿宋_GB2312"/>
              <w:szCs w:val="32"/>
              <w:lang w:eastAsia="zh-CN"/>
            </w:rPr>
            <w:t>（三）</w:t>
          </w:r>
          <w:r>
            <w:rPr>
              <w:rFonts w:hint="eastAsia" w:ascii="仿宋_GB2312" w:hAnsi="仿宋_GB2312" w:eastAsia="仿宋_GB2312" w:cs="仿宋_GB2312"/>
              <w:szCs w:val="32"/>
              <w:lang w:val="en-US" w:eastAsia="zh-CN"/>
            </w:rPr>
            <w:t>国有资产占有使用情况</w:t>
          </w:r>
          <w:r>
            <w:tab/>
          </w:r>
          <w:r>
            <w:fldChar w:fldCharType="begin"/>
          </w:r>
          <w:r>
            <w:instrText xml:space="preserve"> PAGEREF _Toc1585847373 \h </w:instrText>
          </w:r>
          <w:r>
            <w:fldChar w:fldCharType="separate"/>
          </w:r>
          <w:r>
            <w:t>9</w:t>
          </w:r>
          <w:r>
            <w:fldChar w:fldCharType="end"/>
          </w:r>
          <w:r>
            <w:rPr>
              <w:rFonts w:hint="eastAsia"/>
            </w:rPr>
            <w:fldChar w:fldCharType="end"/>
          </w:r>
        </w:p>
        <w:p>
          <w:pPr>
            <w:pStyle w:val="9"/>
            <w:tabs>
              <w:tab w:val="right" w:leader="dot" w:pos="8845"/>
            </w:tabs>
          </w:pPr>
          <w:r>
            <w:rPr>
              <w:rFonts w:hint="eastAsia"/>
            </w:rPr>
            <w:fldChar w:fldCharType="begin"/>
          </w:r>
          <w:r>
            <w:rPr>
              <w:rFonts w:hint="eastAsia"/>
            </w:rPr>
            <w:instrText xml:space="preserve"> HYPERLINK \l _Toc61346688 </w:instrText>
          </w:r>
          <w:r>
            <w:rPr>
              <w:rFonts w:hint="eastAsia"/>
            </w:rPr>
            <w:fldChar w:fldCharType="separate"/>
          </w:r>
          <w:r>
            <w:rPr>
              <w:rFonts w:hint="default" w:ascii="仿宋_GB2312" w:hAnsi="仿宋_GB2312" w:eastAsia="仿宋_GB2312" w:cs="仿宋_GB2312"/>
              <w:szCs w:val="32"/>
              <w:lang w:eastAsia="zh-CN"/>
            </w:rPr>
            <w:t>（四）</w:t>
          </w:r>
          <w:r>
            <w:rPr>
              <w:rFonts w:hint="eastAsia" w:ascii="仿宋_GB2312" w:hAnsi="仿宋_GB2312" w:eastAsia="仿宋_GB2312" w:cs="仿宋_GB2312"/>
              <w:szCs w:val="32"/>
              <w:lang w:eastAsia="zh-CN"/>
            </w:rPr>
            <w:t>绩效目标设置情况</w:t>
          </w:r>
          <w:r>
            <w:tab/>
          </w:r>
          <w:r>
            <w:fldChar w:fldCharType="begin"/>
          </w:r>
          <w:r>
            <w:instrText xml:space="preserve"> PAGEREF _Toc61346688 \h </w:instrText>
          </w:r>
          <w:r>
            <w:fldChar w:fldCharType="separate"/>
          </w:r>
          <w:r>
            <w:t>9</w:t>
          </w:r>
          <w:r>
            <w:fldChar w:fldCharType="end"/>
          </w:r>
          <w:r>
            <w:rPr>
              <w:rFonts w:hint="eastAsia"/>
            </w:rPr>
            <w:fldChar w:fldCharType="end"/>
          </w:r>
        </w:p>
        <w:p>
          <w:pPr>
            <w:pStyle w:val="7"/>
            <w:tabs>
              <w:tab w:val="right" w:leader="dot" w:pos="8845"/>
            </w:tabs>
          </w:pPr>
          <w:r>
            <w:rPr>
              <w:rFonts w:hint="eastAsia"/>
            </w:rPr>
            <w:fldChar w:fldCharType="begin"/>
          </w:r>
          <w:r>
            <w:rPr>
              <w:rFonts w:hint="eastAsia"/>
            </w:rPr>
            <w:instrText xml:space="preserve"> HYPERLINK \l _Toc1381187337 </w:instrText>
          </w:r>
          <w:r>
            <w:rPr>
              <w:rFonts w:hint="eastAsia"/>
            </w:rPr>
            <w:fldChar w:fldCharType="separate"/>
          </w:r>
          <w:r>
            <w:rPr>
              <w:rFonts w:hint="default" w:ascii="黑体" w:hAnsi="黑体" w:eastAsia="黑体" w:cs="黑体"/>
              <w:szCs w:val="32"/>
            </w:rPr>
            <w:t>十一、</w:t>
          </w:r>
          <w:r>
            <w:rPr>
              <w:rFonts w:hint="eastAsia" w:ascii="黑体" w:hAnsi="黑体" w:eastAsia="黑体" w:cs="黑体"/>
              <w:szCs w:val="32"/>
            </w:rPr>
            <w:t>名词解释</w:t>
          </w:r>
          <w:r>
            <w:tab/>
          </w:r>
          <w:r>
            <w:fldChar w:fldCharType="begin"/>
          </w:r>
          <w:r>
            <w:instrText xml:space="preserve"> PAGEREF _Toc1381187337 \h </w:instrText>
          </w:r>
          <w:r>
            <w:fldChar w:fldCharType="separate"/>
          </w:r>
          <w:r>
            <w:t>9</w:t>
          </w:r>
          <w:r>
            <w:fldChar w:fldCharType="end"/>
          </w:r>
          <w:r>
            <w:rPr>
              <w:rFonts w:hint="eastAsia"/>
            </w:rPr>
            <w:fldChar w:fldCharType="end"/>
          </w:r>
        </w:p>
        <w:p>
          <w:pPr>
            <w:spacing w:line="360" w:lineRule="auto"/>
            <w:rPr>
              <w:rFonts w:hint="eastAsia" w:ascii="Calibri" w:hAnsi="Calibri" w:eastAsia="宋体" w:cs="Times New Roman"/>
              <w:kern w:val="2"/>
              <w:sz w:val="21"/>
              <w:szCs w:val="24"/>
              <w:lang w:val="en-US" w:eastAsia="zh-CN" w:bidi="ar-SA"/>
            </w:rPr>
          </w:pPr>
          <w:r>
            <w:rPr>
              <w:rFonts w:hint="eastAsia"/>
            </w:rPr>
            <w:fldChar w:fldCharType="end"/>
          </w:r>
        </w:p>
      </w:sdtContent>
    </w:sdt>
    <w:p>
      <w:pPr>
        <w:pStyle w:val="2"/>
        <w:rPr>
          <w:rFonts w:hint="eastAsia"/>
        </w:rPr>
      </w:pPr>
    </w:p>
    <w:p/>
    <w:p>
      <w:pPr>
        <w:pStyle w:val="10"/>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10"/>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10"/>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10"/>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spacing w:line="576" w:lineRule="exact"/>
        <w:ind w:firstLine="640" w:firstLineChars="200"/>
        <w:outlineLvl w:val="0"/>
        <w:rPr>
          <w:rFonts w:ascii="黑体" w:hAnsi="黑体" w:eastAsia="黑体" w:cs="黑体"/>
          <w:sz w:val="32"/>
          <w:szCs w:val="32"/>
        </w:rPr>
      </w:pPr>
      <w:bookmarkStart w:id="0" w:name="_Toc579534177"/>
      <w:r>
        <w:rPr>
          <w:rFonts w:hint="eastAsia" w:ascii="黑体" w:hAnsi="黑体" w:eastAsia="黑体" w:cs="黑体"/>
          <w:sz w:val="32"/>
          <w:szCs w:val="32"/>
        </w:rPr>
        <w:t>一、基本职能及主要工作</w:t>
      </w:r>
      <w:bookmarkEnd w:id="0"/>
    </w:p>
    <w:p>
      <w:pPr>
        <w:pStyle w:val="10"/>
        <w:widowControl/>
        <w:numPr>
          <w:ilvl w:val="0"/>
          <w:numId w:val="1"/>
        </w:numPr>
        <w:spacing w:line="576" w:lineRule="exact"/>
        <w:ind w:left="0" w:firstLine="560"/>
        <w:outlineLvl w:val="1"/>
        <w:rPr>
          <w:rFonts w:ascii="楷体_GB2312" w:hAnsi="华文仿宋" w:eastAsia="楷体_GB2312" w:cs="华文仿宋"/>
          <w:bCs/>
          <w:color w:val="333333"/>
          <w:sz w:val="32"/>
          <w:szCs w:val="32"/>
          <w:shd w:val="clear" w:color="auto" w:fill="FFFFFF"/>
        </w:rPr>
      </w:pPr>
      <w:bookmarkStart w:id="1" w:name="_Toc670756338"/>
      <w:r>
        <w:rPr>
          <w:rFonts w:hint="eastAsia" w:ascii="楷体_GB2312" w:hAnsi="华文仿宋" w:eastAsia="楷体_GB2312" w:cs="华文仿宋"/>
          <w:bCs/>
          <w:color w:val="333333"/>
          <w:sz w:val="32"/>
          <w:szCs w:val="32"/>
          <w:shd w:val="clear" w:color="auto" w:fill="FFFFFF"/>
        </w:rPr>
        <w:t>广元市应急管理科技信息中心职能简介</w:t>
      </w:r>
      <w:bookmarkEnd w:id="1"/>
    </w:p>
    <w:p>
      <w:pPr>
        <w:pStyle w:val="10"/>
        <w:widowControl/>
        <w:spacing w:line="576" w:lineRule="exact"/>
        <w:ind w:firstLine="640" w:firstLineChars="200"/>
        <w:rPr>
          <w:rFonts w:ascii="仿宋_GB2312" w:hAnsi="华文仿宋" w:eastAsia="仿宋_GB2312" w:cs="华文仿宋"/>
          <w:bCs/>
          <w:color w:val="333333"/>
          <w:sz w:val="32"/>
          <w:szCs w:val="32"/>
        </w:rPr>
      </w:pPr>
      <w:r>
        <w:rPr>
          <w:rFonts w:hint="eastAsia" w:ascii="仿宋_GB2312" w:hAnsi="华文仿宋" w:eastAsia="仿宋_GB2312" w:cs="华文仿宋"/>
          <w:color w:val="000000"/>
          <w:sz w:val="32"/>
          <w:szCs w:val="32"/>
        </w:rPr>
        <w:t>承担市级应急管理、安全生产科技和信息化建设工作；负责应急管理大数据中心管理事务，负责承担应急骨干专网建设、维护和管理工作；指导各县区应急管理科技和信息化建设工作；指导行业企业的安全生产信息化建设工作。</w:t>
      </w:r>
    </w:p>
    <w:p>
      <w:pPr>
        <w:widowControl/>
        <w:numPr>
          <w:ilvl w:val="0"/>
          <w:numId w:val="1"/>
        </w:numPr>
        <w:spacing w:line="576" w:lineRule="exact"/>
        <w:ind w:left="0" w:firstLine="560"/>
        <w:outlineLvl w:val="1"/>
        <w:rPr>
          <w:rFonts w:ascii="楷体_GB2312" w:hAnsi="华文仿宋" w:eastAsia="楷体_GB2312" w:cs="华文仿宋"/>
          <w:bCs/>
          <w:color w:val="333333"/>
          <w:sz w:val="32"/>
          <w:szCs w:val="32"/>
          <w:shd w:val="clear" w:color="auto" w:fill="FFFFFF"/>
        </w:rPr>
      </w:pPr>
      <w:bookmarkStart w:id="2" w:name="_Toc1695380987"/>
      <w:r>
        <w:rPr>
          <w:rFonts w:hint="eastAsia" w:ascii="楷体_GB2312" w:hAnsi="华文仿宋" w:eastAsia="楷体_GB2312" w:cs="华文仿宋"/>
          <w:bCs/>
          <w:color w:val="333333"/>
          <w:sz w:val="32"/>
          <w:szCs w:val="32"/>
          <w:shd w:val="clear" w:color="auto" w:fill="FFFFFF"/>
        </w:rPr>
        <w:t>广元市应急管理科技信息中心2024年重点工作</w:t>
      </w:r>
      <w:bookmarkEnd w:id="2"/>
    </w:p>
    <w:p>
      <w:pPr>
        <w:widowControl/>
        <w:spacing w:line="576" w:lineRule="exact"/>
        <w:ind w:firstLine="640" w:firstLineChars="200"/>
        <w:rPr>
          <w:rFonts w:ascii="仿宋_GB2312" w:hAnsi="华文仿宋" w:eastAsia="仿宋_GB2312" w:cs="华文仿宋"/>
          <w:color w:val="000000"/>
          <w:sz w:val="32"/>
          <w:szCs w:val="32"/>
        </w:rPr>
      </w:pPr>
      <w:r>
        <w:rPr>
          <w:rFonts w:hint="eastAsia" w:ascii="仿宋_GB2312" w:hAnsi="华文仿宋" w:eastAsia="仿宋_GB2312" w:cs="华文仿宋"/>
          <w:color w:val="000000"/>
          <w:sz w:val="32"/>
          <w:szCs w:val="32"/>
        </w:rPr>
        <w:t>1、持续推进省级平台的应用。一是严格按照省厅相关要求，细化措施、精心组织，提高应综平台各业务系统的使用效率，推动业务工作与信息化融合开展。二是积极对接省厅统建的“数据治理+汇聚融合”平台，开展本级数据治理、分析，实现省市数据共享，打通纵向互通渠道。三是完成省厅交代的其他工作任务。</w:t>
      </w:r>
      <w:r>
        <w:rPr>
          <w:rFonts w:hint="eastAsia" w:ascii="仿宋_GB2312" w:hAnsi="华文仿宋" w:eastAsia="仿宋_GB2312" w:cs="华文仿宋"/>
          <w:color w:val="000000"/>
          <w:sz w:val="32"/>
          <w:szCs w:val="32"/>
        </w:rPr>
        <w:br w:type="textWrapping"/>
      </w:r>
      <w:r>
        <w:rPr>
          <w:rFonts w:hint="eastAsia" w:ascii="仿宋_GB2312" w:hAnsi="华文仿宋" w:eastAsia="仿宋_GB2312" w:cs="华文仿宋"/>
          <w:color w:val="000000"/>
          <w:sz w:val="32"/>
          <w:szCs w:val="32"/>
        </w:rPr>
        <w:t xml:space="preserve">   2、积极配合国债项目落地。按照《四川省自然灾害应急能力提升工程预警指挥项目和四川省航空应急能力提升项目市（州）建设任务》，结合我市实际，积极完成项目申报工作，解决存在的问题，高效推动项目落实落地。</w:t>
      </w:r>
      <w:r>
        <w:rPr>
          <w:rFonts w:hint="eastAsia" w:ascii="仿宋_GB2312" w:hAnsi="华文仿宋" w:eastAsia="仿宋_GB2312" w:cs="华文仿宋"/>
          <w:color w:val="000000"/>
          <w:sz w:val="32"/>
          <w:szCs w:val="32"/>
        </w:rPr>
        <w:br w:type="textWrapping"/>
      </w:r>
      <w:r>
        <w:rPr>
          <w:rFonts w:hint="eastAsia" w:ascii="仿宋_GB2312" w:hAnsi="华文仿宋" w:eastAsia="仿宋_GB2312" w:cs="华文仿宋"/>
          <w:color w:val="000000"/>
          <w:sz w:val="32"/>
          <w:szCs w:val="32"/>
        </w:rPr>
        <w:t xml:space="preserve">   3、完成电子政务外网视频会商系统替换。按照《四川省应急管理厅关于进一步加强视频系统部署应用工作的通知》（〔2023〕165号），完成“电子政务外网视频会商系统替换”建设，并实现与省平台的对接融合；加强统筹指导，督促县区完成此项工作，确保全市应急管理系统视频调度、会商工作正常开展。</w:t>
      </w:r>
      <w:r>
        <w:rPr>
          <w:rFonts w:hint="eastAsia" w:ascii="仿宋_GB2312" w:hAnsi="华文仿宋" w:eastAsia="仿宋_GB2312" w:cs="华文仿宋"/>
          <w:color w:val="000000"/>
          <w:sz w:val="32"/>
          <w:szCs w:val="32"/>
        </w:rPr>
        <w:br w:type="textWrapping"/>
      </w:r>
      <w:r>
        <w:rPr>
          <w:rFonts w:hint="eastAsia" w:ascii="仿宋_GB2312" w:hAnsi="华文仿宋" w:eastAsia="仿宋_GB2312" w:cs="华文仿宋"/>
          <w:color w:val="000000"/>
          <w:sz w:val="32"/>
          <w:szCs w:val="32"/>
        </w:rPr>
        <w:t xml:space="preserve">   4、做好省区域应急救援广元基地信息化建设相关工作。按照《四川省应急救援基地建设指导意见》等文件要求，结合我市实际，兼顾区域性救援需求方向，做好基地信息化规划设计工作，争取年内启动项目，全力打造辐射“川陕甘”三省结合部，具备应急指挥、综合救援、培训演练、物资储运、航空保障等功能，国内一流的现代化应急救援基地。构建跨地域、跨业务、跨层级的应急指挥体系，全面提升区域防灾减灾救灾能力。</w:t>
      </w:r>
      <w:r>
        <w:rPr>
          <w:rFonts w:hint="eastAsia" w:ascii="仿宋_GB2312" w:hAnsi="华文仿宋" w:eastAsia="仿宋_GB2312" w:cs="华文仿宋"/>
          <w:color w:val="000000"/>
          <w:sz w:val="32"/>
          <w:szCs w:val="32"/>
        </w:rPr>
        <w:br w:type="textWrapping"/>
      </w:r>
      <w:r>
        <w:rPr>
          <w:rFonts w:hint="eastAsia" w:ascii="仿宋_GB2312" w:hAnsi="华文仿宋" w:eastAsia="仿宋_GB2312" w:cs="华文仿宋"/>
          <w:color w:val="000000"/>
          <w:sz w:val="32"/>
          <w:szCs w:val="32"/>
        </w:rPr>
        <w:t xml:space="preserve">    5、加强业务系统的国产化适配。按照国家安全可靠应用推进工作相关文件的要求，完成我局“煤矿远程监控系统安可适配改造”项目建设，并做好系统培训、后续运行维护等工作。</w:t>
      </w:r>
    </w:p>
    <w:p>
      <w:pPr>
        <w:spacing w:line="576" w:lineRule="exact"/>
        <w:ind w:firstLine="640" w:firstLineChars="200"/>
        <w:outlineLvl w:val="0"/>
        <w:rPr>
          <w:rFonts w:ascii="黑体" w:hAnsi="黑体" w:eastAsia="黑体" w:cs="黑体"/>
          <w:sz w:val="32"/>
          <w:szCs w:val="32"/>
        </w:rPr>
      </w:pPr>
      <w:bookmarkStart w:id="3" w:name="_Toc1427455858"/>
      <w:r>
        <w:rPr>
          <w:rFonts w:hint="eastAsia" w:ascii="黑体" w:hAnsi="黑体" w:eastAsia="黑体" w:cs="黑体"/>
          <w:sz w:val="32"/>
          <w:szCs w:val="32"/>
        </w:rPr>
        <w:t>二、部门预算单位构成</w:t>
      </w:r>
      <w:bookmarkEnd w:id="3"/>
    </w:p>
    <w:p>
      <w:pPr>
        <w:widowControl/>
        <w:pBdr>
          <w:bottom w:val="single" w:color="FFFFFF" w:sz="8" w:space="31"/>
        </w:pBdr>
        <w:spacing w:line="576" w:lineRule="exact"/>
        <w:ind w:firstLine="640" w:firstLineChars="200"/>
        <w:rPr>
          <w:rFonts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广元市应急管理科技信息中心</w:t>
      </w:r>
      <w:r>
        <w:rPr>
          <w:rFonts w:hint="eastAsia" w:ascii="仿宋_GB2312" w:hAnsi="华文仿宋" w:eastAsia="仿宋_GB2312" w:cs="华文仿宋"/>
          <w:color w:val="333333"/>
          <w:kern w:val="0"/>
          <w:sz w:val="32"/>
          <w:szCs w:val="32"/>
          <w:shd w:val="clear" w:color="auto" w:fill="FFFFFF"/>
          <w:lang w:eastAsia="zh-CN"/>
        </w:rPr>
        <w:t>为应急管理局的二级预算单位，无</w:t>
      </w:r>
      <w:r>
        <w:rPr>
          <w:rFonts w:hint="eastAsia" w:ascii="仿宋_GB2312" w:hAnsi="华文仿宋" w:eastAsia="仿宋_GB2312" w:cs="华文仿宋"/>
          <w:color w:val="333333"/>
          <w:kern w:val="0"/>
          <w:sz w:val="32"/>
          <w:szCs w:val="32"/>
          <w:shd w:val="clear" w:color="auto" w:fill="FFFFFF"/>
        </w:rPr>
        <w:t>下属</w:t>
      </w:r>
      <w:r>
        <w:rPr>
          <w:rFonts w:hint="eastAsia" w:ascii="仿宋_GB2312" w:hAnsi="华文仿宋" w:eastAsia="仿宋_GB2312" w:cs="华文仿宋"/>
          <w:color w:val="333333"/>
          <w:kern w:val="0"/>
          <w:sz w:val="32"/>
          <w:szCs w:val="32"/>
          <w:shd w:val="clear" w:color="auto" w:fill="FFFFFF"/>
          <w:lang w:eastAsia="zh-CN"/>
        </w:rPr>
        <w:t>机构</w:t>
      </w:r>
      <w:r>
        <w:rPr>
          <w:rFonts w:hint="eastAsia" w:ascii="仿宋_GB2312" w:hAnsi="华文仿宋" w:eastAsia="仿宋_GB2312" w:cs="华文仿宋"/>
          <w:color w:val="333333"/>
          <w:kern w:val="0"/>
          <w:sz w:val="32"/>
          <w:szCs w:val="32"/>
          <w:shd w:val="clear" w:color="auto" w:fill="FFFFFF"/>
        </w:rPr>
        <w:t>。</w:t>
      </w:r>
    </w:p>
    <w:p>
      <w:pPr>
        <w:widowControl/>
        <w:pBdr>
          <w:bottom w:val="single" w:color="FFFFFF" w:sz="8" w:space="31"/>
        </w:pBdr>
        <w:spacing w:line="576" w:lineRule="exact"/>
        <w:ind w:firstLine="640" w:firstLineChars="200"/>
        <w:outlineLvl w:val="0"/>
        <w:rPr>
          <w:rFonts w:ascii="黑体" w:hAnsi="黑体" w:eastAsia="黑体" w:cs="黑体"/>
          <w:sz w:val="32"/>
          <w:szCs w:val="32"/>
        </w:rPr>
      </w:pPr>
      <w:bookmarkStart w:id="4" w:name="_Toc1545896552"/>
      <w:r>
        <w:rPr>
          <w:rFonts w:hint="eastAsia" w:ascii="黑体" w:hAnsi="黑体" w:eastAsia="黑体" w:cs="黑体"/>
          <w:sz w:val="32"/>
          <w:szCs w:val="32"/>
        </w:rPr>
        <w:t>三、收支预算情况说明</w:t>
      </w:r>
      <w:bookmarkEnd w:id="4"/>
    </w:p>
    <w:p>
      <w:pPr>
        <w:widowControl/>
        <w:pBdr>
          <w:bottom w:val="single" w:color="FFFFFF" w:sz="8" w:space="31"/>
        </w:pBdr>
        <w:spacing w:line="576" w:lineRule="exact"/>
        <w:ind w:firstLine="640" w:firstLineChars="200"/>
        <w:rPr>
          <w:rFonts w:ascii="仿宋_GB2312" w:hAnsi="华文仿宋" w:eastAsia="仿宋_GB2312" w:cs="华文仿宋"/>
          <w:color w:val="000000"/>
          <w:kern w:val="0"/>
          <w:sz w:val="32"/>
          <w:szCs w:val="32"/>
          <w:shd w:val="clear" w:color="auto" w:fill="FFFFFF"/>
        </w:rPr>
      </w:pPr>
      <w:r>
        <w:rPr>
          <w:rFonts w:hint="eastAsia" w:ascii="仿宋_GB2312" w:hAnsi="仿宋_GB2312" w:eastAsia="仿宋_GB2312" w:cs="仿宋_GB2312"/>
          <w:sz w:val="32"/>
          <w:szCs w:val="32"/>
        </w:rPr>
        <w:t>按照综合预算的原则，广元市应急管理科技信息中心所有收入和支出均纳入部门预算管理。收入包括：一般公共预算拨款收入；</w:t>
      </w:r>
      <w:r>
        <w:rPr>
          <w:rFonts w:hint="eastAsia" w:ascii="仿宋_GB2312" w:hAnsi="华文仿宋" w:eastAsia="仿宋_GB2312" w:cs="华文仿宋"/>
          <w:color w:val="333333"/>
          <w:kern w:val="0"/>
          <w:sz w:val="32"/>
          <w:szCs w:val="32"/>
          <w:shd w:val="clear" w:color="auto" w:fill="FFFFFF"/>
        </w:rPr>
        <w:t>支出包括：社会保障和就业支出、卫生健康支出、住房保障支出、灾害防治及应急管理支出。应急</w:t>
      </w:r>
      <w:r>
        <w:rPr>
          <w:rFonts w:hint="eastAsia" w:ascii="仿宋_GB2312" w:hAnsi="华文仿宋" w:eastAsia="仿宋_GB2312" w:cs="华文仿宋"/>
          <w:color w:val="000000"/>
          <w:kern w:val="0"/>
          <w:sz w:val="32"/>
          <w:szCs w:val="32"/>
          <w:shd w:val="clear" w:color="auto" w:fill="FFFFFF"/>
        </w:rPr>
        <w:t>管理科技信息中心2024年收支总预算241.83万元，比2023年收支预算总数增加38.49万元，主要原因是人员增加。</w:t>
      </w:r>
    </w:p>
    <w:p>
      <w:pPr>
        <w:spacing w:line="576" w:lineRule="exact"/>
        <w:ind w:firstLine="640" w:firstLineChars="200"/>
        <w:outlineLvl w:val="1"/>
        <w:rPr>
          <w:rFonts w:ascii="楷体_GB2312" w:hAnsi="楷体_GB2312" w:eastAsia="楷体_GB2312" w:cs="楷体_GB2312"/>
          <w:sz w:val="32"/>
          <w:szCs w:val="32"/>
        </w:rPr>
      </w:pPr>
      <w:bookmarkStart w:id="5" w:name="_Toc547747177"/>
      <w:r>
        <w:rPr>
          <w:rFonts w:hint="eastAsia" w:ascii="楷体_GB2312" w:hAnsi="楷体_GB2312" w:eastAsia="楷体_GB2312" w:cs="楷体_GB2312"/>
          <w:sz w:val="32"/>
          <w:szCs w:val="32"/>
        </w:rPr>
        <w:t>（一）收入预算情况</w:t>
      </w:r>
      <w:bookmarkEnd w:id="5"/>
    </w:p>
    <w:p>
      <w:pPr>
        <w:widowControl/>
        <w:pBdr>
          <w:bottom w:val="single" w:color="FFFFFF" w:sz="8" w:space="31"/>
        </w:pBdr>
        <w:spacing w:line="576" w:lineRule="exact"/>
        <w:ind w:firstLine="640" w:firstLineChars="200"/>
        <w:rPr>
          <w:rFonts w:hint="eastAsia" w:ascii="仿宋_GB2312" w:hAnsi="华文仿宋" w:eastAsia="仿宋_GB2312" w:cs="华文仿宋"/>
          <w:bCs/>
          <w:color w:val="333333"/>
          <w:kern w:val="0"/>
          <w:sz w:val="32"/>
          <w:szCs w:val="32"/>
          <w:shd w:val="clear" w:color="auto" w:fill="FFFFFF"/>
        </w:rPr>
      </w:pPr>
      <w:r>
        <w:rPr>
          <w:rFonts w:hint="eastAsia" w:ascii="仿宋_GB2312" w:hAnsi="华文仿宋" w:eastAsia="仿宋_GB2312" w:cs="华文仿宋"/>
          <w:bCs/>
          <w:color w:val="333333"/>
          <w:kern w:val="0"/>
          <w:sz w:val="32"/>
          <w:szCs w:val="32"/>
          <w:shd w:val="clear" w:color="auto" w:fill="FFFFFF"/>
        </w:rPr>
        <w:t>广元市应急管理科技信息中心2024年收入预算241.83万元，其中：一般公共预算拨款收入241.83万元，占100%。</w:t>
      </w:r>
    </w:p>
    <w:p>
      <w:pPr>
        <w:widowControl/>
        <w:pBdr>
          <w:bottom w:val="single" w:color="FFFFFF" w:sz="8" w:space="31"/>
        </w:pBdr>
        <w:spacing w:line="576" w:lineRule="exact"/>
        <w:ind w:firstLine="640" w:firstLineChars="200"/>
        <w:outlineLvl w:val="1"/>
        <w:rPr>
          <w:rFonts w:ascii="仿宋_GB2312" w:hAnsi="华文仿宋" w:eastAsia="仿宋_GB2312" w:cs="华文仿宋"/>
          <w:bCs/>
          <w:color w:val="333333"/>
          <w:kern w:val="0"/>
          <w:sz w:val="32"/>
          <w:szCs w:val="32"/>
          <w:shd w:val="clear" w:color="auto" w:fill="FFFFFF"/>
        </w:rPr>
      </w:pPr>
      <w:bookmarkStart w:id="6" w:name="_Toc2112835510"/>
      <w:r>
        <w:rPr>
          <w:rFonts w:hint="eastAsia" w:ascii="楷体_GB2312" w:hAnsi="楷体_GB2312" w:eastAsia="楷体_GB2312" w:cs="楷体_GB2312"/>
          <w:sz w:val="32"/>
          <w:szCs w:val="32"/>
        </w:rPr>
        <w:t>（二）支出预算情况</w:t>
      </w:r>
      <w:bookmarkEnd w:id="6"/>
    </w:p>
    <w:p>
      <w:pPr>
        <w:widowControl/>
        <w:pBdr>
          <w:bottom w:val="single" w:color="FFFFFF" w:sz="8" w:space="31"/>
        </w:pBdr>
        <w:spacing w:line="576" w:lineRule="exact"/>
        <w:ind w:firstLine="960" w:firstLineChars="3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广元市应急管理科技信息中心2024年支出预算241.83万元，其中：基本支出224.28万元，占92.75%；项目支出17.54万元，占7.25%。</w:t>
      </w:r>
    </w:p>
    <w:p>
      <w:pPr>
        <w:widowControl/>
        <w:pBdr>
          <w:bottom w:val="single" w:color="FFFFFF" w:sz="8" w:space="31"/>
        </w:pBdr>
        <w:spacing w:line="576" w:lineRule="exact"/>
        <w:ind w:firstLine="960" w:firstLineChars="300"/>
        <w:outlineLvl w:val="0"/>
        <w:rPr>
          <w:rFonts w:ascii="仿宋_GB2312" w:hAnsi="华文仿宋" w:eastAsia="仿宋_GB2312" w:cs="华文仿宋"/>
          <w:color w:val="333333"/>
          <w:kern w:val="0"/>
          <w:sz w:val="32"/>
          <w:szCs w:val="32"/>
          <w:shd w:val="clear" w:color="auto" w:fill="FFFFFF"/>
        </w:rPr>
      </w:pPr>
      <w:bookmarkStart w:id="7" w:name="_Toc168557420"/>
      <w:r>
        <w:rPr>
          <w:rFonts w:hint="eastAsia" w:ascii="黑体" w:hAnsi="黑体" w:eastAsia="黑体" w:cs="黑体"/>
          <w:sz w:val="32"/>
          <w:szCs w:val="32"/>
        </w:rPr>
        <w:t>四、财政拨款收支预算情况说明</w:t>
      </w:r>
      <w:bookmarkEnd w:id="7"/>
    </w:p>
    <w:p>
      <w:pPr>
        <w:widowControl/>
        <w:pBdr>
          <w:bottom w:val="single" w:color="FFFFFF" w:sz="8" w:space="31"/>
        </w:pBdr>
        <w:spacing w:line="576" w:lineRule="exact"/>
        <w:rPr>
          <w:rFonts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 xml:space="preserve">    广元市应急管理科技信息中心2024年财政拨款收支总预算241.83万元,比2023年财政拨款收支总预算增加38.49万元，主要原因是</w:t>
      </w:r>
      <w:r>
        <w:rPr>
          <w:rFonts w:hint="eastAsia" w:ascii="仿宋_GB2312" w:hAnsi="华文仿宋" w:eastAsia="仿宋_GB2312" w:cs="华文仿宋"/>
          <w:color w:val="000000"/>
          <w:kern w:val="0"/>
          <w:sz w:val="32"/>
          <w:szCs w:val="32"/>
          <w:shd w:val="clear" w:color="auto" w:fill="FFFFFF"/>
        </w:rPr>
        <w:t>人员增加。</w:t>
      </w:r>
    </w:p>
    <w:p>
      <w:pPr>
        <w:widowControl/>
        <w:pBdr>
          <w:bottom w:val="single" w:color="FFFFFF" w:sz="8" w:space="31"/>
        </w:pBdr>
        <w:spacing w:line="576" w:lineRule="exact"/>
        <w:ind w:firstLine="640" w:firstLineChars="2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收入包括：本年一般公共预算拨款收入241.83万元；支出包括：社会保障和就业支出21.75万元、卫生健康支出6.93万元、住房保障支出18.67万元、灾害防治及应急管理支出194.47万元。</w:t>
      </w:r>
    </w:p>
    <w:p>
      <w:pPr>
        <w:spacing w:line="576" w:lineRule="exact"/>
        <w:ind w:firstLine="640" w:firstLineChars="200"/>
        <w:outlineLvl w:val="0"/>
        <w:rPr>
          <w:rFonts w:hint="eastAsia" w:ascii="黑体" w:hAnsi="黑体" w:eastAsia="黑体" w:cs="黑体"/>
          <w:sz w:val="32"/>
          <w:szCs w:val="32"/>
        </w:rPr>
      </w:pPr>
      <w:bookmarkStart w:id="8" w:name="_Toc397018684"/>
      <w:r>
        <w:rPr>
          <w:rFonts w:hint="eastAsia" w:ascii="黑体" w:hAnsi="黑体" w:eastAsia="黑体" w:cs="黑体"/>
          <w:sz w:val="32"/>
          <w:szCs w:val="32"/>
        </w:rPr>
        <w:t>五、一般公共预算当年拨款情况说明</w:t>
      </w:r>
      <w:bookmarkEnd w:id="8"/>
    </w:p>
    <w:p>
      <w:pPr>
        <w:spacing w:line="576" w:lineRule="exact"/>
        <w:ind w:firstLine="640" w:firstLineChars="200"/>
        <w:outlineLvl w:val="0"/>
        <w:rPr>
          <w:rFonts w:hint="eastAsia" w:ascii="黑体" w:hAnsi="黑体" w:eastAsia="黑体" w:cs="黑体"/>
          <w:sz w:val="32"/>
          <w:szCs w:val="32"/>
        </w:rPr>
      </w:pPr>
      <w:bookmarkStart w:id="9" w:name="_Toc628130853"/>
      <w:r>
        <w:rPr>
          <w:rFonts w:hint="eastAsia" w:ascii="楷体_GB2312" w:hAnsi="楷体_GB2312" w:eastAsia="楷体_GB2312" w:cs="楷体_GB2312"/>
          <w:sz w:val="32"/>
          <w:szCs w:val="32"/>
        </w:rPr>
        <w:t>（一）一般公共预算当年拨款规模变化情况</w:t>
      </w:r>
      <w:bookmarkEnd w:id="9"/>
    </w:p>
    <w:p>
      <w:pPr>
        <w:widowControl/>
        <w:pBdr>
          <w:bottom w:val="single" w:color="FFFFFF" w:sz="8" w:space="31"/>
        </w:pBdr>
        <w:spacing w:line="576" w:lineRule="exact"/>
        <w:ind w:firstLine="640" w:firstLineChars="2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bCs/>
          <w:color w:val="333333"/>
          <w:kern w:val="0"/>
          <w:sz w:val="32"/>
          <w:szCs w:val="32"/>
          <w:shd w:val="clear" w:color="auto" w:fill="FFFFFF"/>
        </w:rPr>
        <w:t>广元市应急管理科技信息中心2024年一般公共预算当年拨款241.83万元，比2023年预算数增加38.49万元，主要原因是人员增加</w:t>
      </w:r>
      <w:r>
        <w:rPr>
          <w:rFonts w:hint="eastAsia" w:ascii="仿宋_GB2312" w:hAnsi="华文仿宋" w:eastAsia="仿宋_GB2312" w:cs="华文仿宋"/>
          <w:color w:val="333333"/>
          <w:kern w:val="0"/>
          <w:sz w:val="32"/>
          <w:szCs w:val="32"/>
          <w:shd w:val="clear" w:color="auto" w:fill="FFFFFF"/>
        </w:rPr>
        <w:t>。</w:t>
      </w:r>
    </w:p>
    <w:p>
      <w:pPr>
        <w:widowControl/>
        <w:pBdr>
          <w:bottom w:val="single" w:color="FFFFFF" w:sz="8" w:space="31"/>
        </w:pBdr>
        <w:spacing w:line="576" w:lineRule="exact"/>
        <w:ind w:firstLine="640" w:firstLineChars="200"/>
        <w:outlineLvl w:val="1"/>
        <w:rPr>
          <w:rFonts w:ascii="仿宋_GB2312" w:hAnsi="华文仿宋" w:eastAsia="仿宋_GB2312" w:cs="华文仿宋"/>
          <w:color w:val="333333"/>
          <w:kern w:val="0"/>
          <w:sz w:val="32"/>
          <w:szCs w:val="32"/>
          <w:shd w:val="clear" w:color="auto" w:fill="FFFFFF"/>
        </w:rPr>
      </w:pPr>
      <w:bookmarkStart w:id="10" w:name="_Toc1459577926"/>
      <w:r>
        <w:rPr>
          <w:rFonts w:hint="eastAsia" w:ascii="楷体_GB2312" w:hAnsi="楷体_GB2312" w:eastAsia="楷体_GB2312" w:cs="楷体_GB2312"/>
          <w:sz w:val="32"/>
          <w:szCs w:val="32"/>
        </w:rPr>
        <w:t>（二）一般公共预算当年拨款结构情况</w:t>
      </w:r>
      <w:bookmarkEnd w:id="10"/>
    </w:p>
    <w:p>
      <w:pPr>
        <w:widowControl/>
        <w:pBdr>
          <w:bottom w:val="single" w:color="FFFFFF" w:sz="8" w:space="31"/>
        </w:pBdr>
        <w:spacing w:line="576" w:lineRule="exact"/>
        <w:ind w:firstLine="640" w:firstLineChars="2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社会保障和就业支出21.75万元，占8.99%；卫生健康支出6.93万元，占2.87%；住房保障支出18.67万元，占7.72%；灾害防治及应急管理支出194.47万元，占80.42%。</w:t>
      </w:r>
    </w:p>
    <w:p>
      <w:pPr>
        <w:widowControl/>
        <w:pBdr>
          <w:bottom w:val="single" w:color="FFFFFF" w:sz="8" w:space="31"/>
        </w:pBdr>
        <w:spacing w:line="576" w:lineRule="exact"/>
        <w:ind w:firstLine="640" w:firstLineChars="200"/>
        <w:outlineLvl w:val="1"/>
        <w:rPr>
          <w:rFonts w:ascii="仿宋_GB2312" w:hAnsi="华文仿宋" w:eastAsia="仿宋_GB2312" w:cs="华文仿宋"/>
          <w:color w:val="333333"/>
          <w:kern w:val="0"/>
          <w:sz w:val="32"/>
          <w:szCs w:val="32"/>
          <w:shd w:val="clear" w:color="auto" w:fill="FFFFFF"/>
        </w:rPr>
      </w:pPr>
      <w:bookmarkStart w:id="11" w:name="_Toc198997106"/>
      <w:r>
        <w:rPr>
          <w:rFonts w:hint="eastAsia" w:ascii="楷体_GB2312" w:hAnsi="楷体_GB2312" w:eastAsia="楷体_GB2312" w:cs="楷体_GB2312"/>
          <w:sz w:val="32"/>
          <w:szCs w:val="32"/>
        </w:rPr>
        <w:t>（三）一般公共预算当年拨款具体使用情况</w:t>
      </w:r>
      <w:bookmarkEnd w:id="11"/>
    </w:p>
    <w:p>
      <w:pPr>
        <w:widowControl/>
        <w:pBdr>
          <w:bottom w:val="single" w:color="FFFFFF" w:sz="8" w:space="31"/>
        </w:pBdr>
        <w:spacing w:line="576" w:lineRule="exact"/>
        <w:ind w:firstLine="640" w:firstLineChars="200"/>
        <w:rPr>
          <w:rFonts w:ascii="仿宋_GB2312" w:hAnsi="华文仿宋" w:eastAsia="仿宋_GB2312" w:cs="华文仿宋"/>
          <w:color w:val="333333"/>
          <w:kern w:val="0"/>
          <w:sz w:val="32"/>
          <w:szCs w:val="32"/>
          <w:shd w:val="clear" w:color="auto" w:fill="FFFFFF"/>
        </w:rPr>
      </w:pPr>
      <w:r>
        <w:rPr>
          <w:rFonts w:hint="default" w:ascii="仿宋_GB2312" w:hAnsi="华文仿宋" w:eastAsia="仿宋_GB2312" w:cs="华文仿宋"/>
          <w:color w:val="333333"/>
          <w:kern w:val="0"/>
          <w:sz w:val="32"/>
          <w:szCs w:val="32"/>
          <w:shd w:val="clear" w:color="auto" w:fill="FFFFFF"/>
        </w:rPr>
        <w:t>1</w:t>
      </w:r>
      <w:r>
        <w:rPr>
          <w:rFonts w:hint="eastAsia" w:ascii="仿宋_GB2312" w:hAnsi="华文仿宋" w:eastAsia="仿宋_GB2312" w:cs="华文仿宋"/>
          <w:color w:val="333333"/>
          <w:kern w:val="0"/>
          <w:sz w:val="32"/>
          <w:szCs w:val="32"/>
          <w:shd w:val="clear" w:color="auto" w:fill="FFFFFF"/>
        </w:rPr>
        <w:t>.社会保障和就业（类）行政事业单位养老支出（款）机关事业单位基本养老保险缴费支出（项）2024年预算数为21.75万元，主要用于：实施养老保险制度由单位缴纳的基本养老保险支出。</w:t>
      </w:r>
    </w:p>
    <w:p>
      <w:pPr>
        <w:widowControl/>
        <w:pBdr>
          <w:bottom w:val="single" w:color="FFFFFF" w:sz="8" w:space="31"/>
        </w:pBdr>
        <w:spacing w:line="576" w:lineRule="exact"/>
        <w:ind w:firstLine="640" w:firstLineChars="200"/>
        <w:rPr>
          <w:rFonts w:ascii="仿宋_GB2312" w:hAnsi="华文仿宋" w:eastAsia="仿宋_GB2312" w:cs="华文仿宋"/>
          <w:color w:val="333333"/>
          <w:kern w:val="0"/>
          <w:sz w:val="32"/>
          <w:szCs w:val="32"/>
          <w:shd w:val="clear" w:color="auto" w:fill="FFFFFF"/>
        </w:rPr>
      </w:pPr>
      <w:r>
        <w:rPr>
          <w:rFonts w:hint="default" w:ascii="仿宋_GB2312" w:hAnsi="华文仿宋" w:eastAsia="仿宋_GB2312" w:cs="华文仿宋"/>
          <w:color w:val="333333"/>
          <w:kern w:val="0"/>
          <w:sz w:val="32"/>
          <w:szCs w:val="32"/>
          <w:shd w:val="clear" w:color="auto" w:fill="FFFFFF"/>
        </w:rPr>
        <w:t>2</w:t>
      </w:r>
      <w:r>
        <w:rPr>
          <w:rFonts w:hint="eastAsia" w:ascii="仿宋_GB2312" w:hAnsi="华文仿宋" w:eastAsia="仿宋_GB2312" w:cs="华文仿宋"/>
          <w:color w:val="333333"/>
          <w:kern w:val="0"/>
          <w:sz w:val="32"/>
          <w:szCs w:val="32"/>
          <w:shd w:val="clear" w:color="auto" w:fill="FFFFFF"/>
        </w:rPr>
        <w:t>.卫生健康（类）行政事业单位医疗（款）事业单位医疗（项）2024年预算数为6.93万元，主要用于：事业单位按规定由单位缴纳的基本医疗保险支出。</w:t>
      </w:r>
    </w:p>
    <w:p>
      <w:pPr>
        <w:widowControl/>
        <w:pBdr>
          <w:bottom w:val="single" w:color="FFFFFF" w:sz="8" w:space="31"/>
        </w:pBdr>
        <w:spacing w:line="576" w:lineRule="exact"/>
        <w:ind w:firstLine="640" w:firstLineChars="200"/>
        <w:rPr>
          <w:rFonts w:hint="eastAsia" w:ascii="仿宋_GB2312" w:hAnsi="华文仿宋" w:eastAsia="仿宋_GB2312" w:cs="华文仿宋"/>
          <w:color w:val="333333"/>
          <w:kern w:val="0"/>
          <w:sz w:val="32"/>
          <w:szCs w:val="32"/>
          <w:shd w:val="clear" w:color="auto" w:fill="FFFFFF"/>
        </w:rPr>
      </w:pPr>
      <w:r>
        <w:rPr>
          <w:rFonts w:hint="default" w:ascii="仿宋_GB2312" w:hAnsi="华文仿宋" w:eastAsia="仿宋_GB2312" w:cs="华文仿宋"/>
          <w:color w:val="333333"/>
          <w:kern w:val="0"/>
          <w:sz w:val="32"/>
          <w:szCs w:val="32"/>
          <w:shd w:val="clear" w:color="auto" w:fill="FFFFFF"/>
        </w:rPr>
        <w:t>3</w:t>
      </w:r>
      <w:r>
        <w:rPr>
          <w:rFonts w:hint="eastAsia" w:ascii="仿宋_GB2312" w:hAnsi="华文仿宋" w:eastAsia="仿宋_GB2312" w:cs="华文仿宋"/>
          <w:color w:val="333333"/>
          <w:kern w:val="0"/>
          <w:sz w:val="32"/>
          <w:szCs w:val="32"/>
          <w:shd w:val="clear" w:color="auto" w:fill="FFFFFF"/>
        </w:rPr>
        <w:t>.住房保障（类）住房改革支出（款）住房公积金（项）2024年预算数为18.67万元，主要用于：部门按规定为职工缴纳的住房公积金支出。</w:t>
      </w:r>
    </w:p>
    <w:p>
      <w:pPr>
        <w:widowControl/>
        <w:pBdr>
          <w:bottom w:val="single" w:color="FFFFFF" w:sz="8" w:space="31"/>
        </w:pBdr>
        <w:spacing w:line="576" w:lineRule="exact"/>
        <w:ind w:firstLine="640" w:firstLineChars="200"/>
        <w:rPr>
          <w:rFonts w:hint="default" w:ascii="仿宋_GB2312" w:hAnsi="华文仿宋" w:eastAsia="仿宋_GB2312" w:cs="华文仿宋"/>
          <w:color w:val="333333"/>
          <w:kern w:val="0"/>
          <w:sz w:val="32"/>
          <w:szCs w:val="32"/>
          <w:shd w:val="clear" w:color="auto" w:fill="FFFFFF"/>
        </w:rPr>
      </w:pPr>
      <w:r>
        <w:rPr>
          <w:rFonts w:hint="default" w:ascii="仿宋_GB2312" w:hAnsi="华文仿宋" w:eastAsia="仿宋_GB2312" w:cs="华文仿宋"/>
          <w:color w:val="333333"/>
          <w:kern w:val="0"/>
          <w:sz w:val="32"/>
          <w:szCs w:val="32"/>
          <w:shd w:val="clear" w:color="auto" w:fill="FFFFFF"/>
        </w:rPr>
        <w:t>4</w:t>
      </w:r>
      <w:r>
        <w:rPr>
          <w:rFonts w:hint="eastAsia" w:ascii="仿宋_GB2312" w:hAnsi="华文仿宋" w:eastAsia="仿宋_GB2312" w:cs="华文仿宋"/>
          <w:color w:val="333333"/>
          <w:kern w:val="0"/>
          <w:sz w:val="32"/>
          <w:szCs w:val="32"/>
          <w:shd w:val="clear" w:color="auto" w:fill="FFFFFF"/>
        </w:rPr>
        <w:t>.灾害防治及应急管理支出（类）应急管理事务（款）事业运行（项）2024年预算数为176.93万元；主要用于职工工资及五险一金和公用经费。</w:t>
      </w:r>
    </w:p>
    <w:p>
      <w:pPr>
        <w:widowControl/>
        <w:pBdr>
          <w:bottom w:val="single" w:color="FFFFFF" w:sz="8" w:space="31"/>
        </w:pBdr>
        <w:spacing w:line="576" w:lineRule="exact"/>
        <w:ind w:firstLine="640" w:firstLineChars="200"/>
        <w:rPr>
          <w:rFonts w:hint="eastAsia"/>
        </w:rPr>
      </w:pPr>
      <w:r>
        <w:rPr>
          <w:rFonts w:hint="default" w:ascii="仿宋_GB2312" w:hAnsi="华文仿宋" w:eastAsia="仿宋_GB2312" w:cs="华文仿宋"/>
          <w:color w:val="333333"/>
          <w:kern w:val="0"/>
          <w:sz w:val="32"/>
          <w:szCs w:val="32"/>
          <w:shd w:val="clear" w:color="auto" w:fill="FFFFFF"/>
        </w:rPr>
        <w:t>5</w:t>
      </w:r>
      <w:r>
        <w:rPr>
          <w:rFonts w:hint="eastAsia" w:ascii="仿宋_GB2312" w:hAnsi="华文仿宋" w:eastAsia="仿宋_GB2312" w:cs="华文仿宋"/>
          <w:color w:val="333333"/>
          <w:kern w:val="0"/>
          <w:sz w:val="32"/>
          <w:szCs w:val="32"/>
          <w:shd w:val="clear" w:color="auto" w:fill="FFFFFF"/>
        </w:rPr>
        <w:t>.灾害防治及应急管理支出（类）应急管理事务（款）其他应急管理支出（项）2024年预算数为17.54万元；主要用于科技和信息化工作经费、天通卫星通信通讯设备运行服务费、特塔租赁及维护费。</w:t>
      </w:r>
    </w:p>
    <w:p>
      <w:pPr>
        <w:widowControl/>
        <w:pBdr>
          <w:bottom w:val="single" w:color="FFFFFF" w:sz="8" w:space="31"/>
        </w:pBdr>
        <w:spacing w:line="576" w:lineRule="exact"/>
        <w:ind w:firstLine="640" w:firstLineChars="200"/>
        <w:outlineLvl w:val="0"/>
        <w:rPr>
          <w:rFonts w:hint="eastAsia" w:ascii="黑体" w:hAnsi="黑体" w:eastAsia="黑体" w:cs="黑体"/>
          <w:sz w:val="32"/>
          <w:szCs w:val="32"/>
        </w:rPr>
      </w:pPr>
      <w:bookmarkStart w:id="12" w:name="_Toc1402504053"/>
      <w:r>
        <w:rPr>
          <w:rFonts w:hint="eastAsia" w:ascii="黑体" w:hAnsi="黑体" w:eastAsia="黑体" w:cs="黑体"/>
          <w:sz w:val="32"/>
          <w:szCs w:val="32"/>
        </w:rPr>
        <w:t>六、一般公共预算基本支出情况说明</w:t>
      </w:r>
      <w:bookmarkEnd w:id="12"/>
    </w:p>
    <w:p>
      <w:pPr>
        <w:widowControl/>
        <w:pBdr>
          <w:bottom w:val="single" w:color="FFFFFF" w:sz="8" w:space="31"/>
        </w:pBdr>
        <w:spacing w:line="576" w:lineRule="exact"/>
        <w:ind w:firstLine="640" w:firstLineChars="2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广元市应急管理科技信息中心2024年一般公共预算基本支出224.28万元，其中：</w:t>
      </w:r>
    </w:p>
    <w:p>
      <w:pPr>
        <w:widowControl/>
        <w:pBdr>
          <w:bottom w:val="single" w:color="FFFFFF" w:sz="8" w:space="31"/>
        </w:pBdr>
        <w:spacing w:line="576" w:lineRule="exact"/>
        <w:ind w:firstLine="640" w:firstLineChars="2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人员经费198.52万元，主要包括：基本工资、津贴补贴、奖金、</w:t>
      </w:r>
      <w:r>
        <w:rPr>
          <w:rFonts w:hint="default" w:ascii="仿宋_GB2312" w:hAnsi="华文仿宋" w:eastAsia="仿宋_GB2312" w:cs="华文仿宋"/>
          <w:color w:val="333333"/>
          <w:kern w:val="0"/>
          <w:sz w:val="32"/>
          <w:szCs w:val="32"/>
          <w:shd w:val="clear" w:color="auto" w:fill="FFFFFF"/>
        </w:rPr>
        <w:t>绩效工资、</w:t>
      </w:r>
      <w:r>
        <w:rPr>
          <w:rFonts w:hint="eastAsia" w:ascii="仿宋_GB2312" w:hAnsi="华文仿宋" w:eastAsia="仿宋_GB2312" w:cs="华文仿宋"/>
          <w:color w:val="333333"/>
          <w:kern w:val="0"/>
          <w:sz w:val="32"/>
          <w:szCs w:val="32"/>
          <w:shd w:val="clear" w:color="auto" w:fill="FFFFFF"/>
        </w:rPr>
        <w:t>社会保险缴费、住房公积金</w:t>
      </w:r>
      <w:r>
        <w:rPr>
          <w:rFonts w:hint="default" w:ascii="仿宋_GB2312" w:hAnsi="华文仿宋" w:eastAsia="仿宋_GB2312" w:cs="华文仿宋"/>
          <w:color w:val="333333"/>
          <w:kern w:val="0"/>
          <w:sz w:val="32"/>
          <w:szCs w:val="32"/>
          <w:shd w:val="clear" w:color="auto" w:fill="FFFFFF"/>
        </w:rPr>
        <w:t>、生活补助</w:t>
      </w:r>
      <w:r>
        <w:rPr>
          <w:rFonts w:hint="eastAsia" w:ascii="仿宋_GB2312" w:hAnsi="华文仿宋" w:eastAsia="仿宋_GB2312" w:cs="华文仿宋"/>
          <w:color w:val="333333"/>
          <w:kern w:val="0"/>
          <w:sz w:val="32"/>
          <w:szCs w:val="32"/>
          <w:shd w:val="clear" w:color="auto" w:fill="FFFFFF"/>
        </w:rPr>
        <w:t>等支出。</w:t>
      </w:r>
    </w:p>
    <w:p>
      <w:pPr>
        <w:widowControl/>
        <w:pBdr>
          <w:bottom w:val="single" w:color="FFFFFF" w:sz="8" w:space="31"/>
        </w:pBdr>
        <w:spacing w:line="576" w:lineRule="exact"/>
        <w:ind w:firstLine="640" w:firstLineChars="2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公用经费25.76万元，主要包括：办公费、</w:t>
      </w:r>
      <w:r>
        <w:rPr>
          <w:rFonts w:hint="default" w:ascii="仿宋_GB2312" w:hAnsi="华文仿宋" w:eastAsia="仿宋_GB2312" w:cs="华文仿宋"/>
          <w:color w:val="333333"/>
          <w:kern w:val="0"/>
          <w:sz w:val="32"/>
          <w:szCs w:val="32"/>
          <w:shd w:val="clear" w:color="auto" w:fill="FFFFFF"/>
        </w:rPr>
        <w:t>咨询费、</w:t>
      </w:r>
      <w:r>
        <w:rPr>
          <w:rFonts w:hint="eastAsia" w:ascii="仿宋_GB2312" w:hAnsi="华文仿宋" w:eastAsia="仿宋_GB2312" w:cs="华文仿宋"/>
          <w:color w:val="333333"/>
          <w:kern w:val="0"/>
          <w:sz w:val="32"/>
          <w:szCs w:val="32"/>
          <w:shd w:val="clear" w:color="auto" w:fill="FFFFFF"/>
        </w:rPr>
        <w:t>邮电费、差旅费、维修（护）费、培训费、公务接待费、劳务费、工会经费、福利费、公务用车运行维护费、其他交通费用</w:t>
      </w:r>
      <w:r>
        <w:rPr>
          <w:rFonts w:hint="default" w:ascii="仿宋_GB2312" w:hAnsi="华文仿宋" w:eastAsia="仿宋_GB2312" w:cs="华文仿宋"/>
          <w:color w:val="333333"/>
          <w:kern w:val="0"/>
          <w:sz w:val="32"/>
          <w:szCs w:val="32"/>
          <w:shd w:val="clear" w:color="auto" w:fill="FFFFFF"/>
        </w:rPr>
        <w:t>、其他商品和服务支出</w:t>
      </w:r>
      <w:r>
        <w:rPr>
          <w:rFonts w:hint="eastAsia" w:ascii="仿宋_GB2312" w:hAnsi="华文仿宋" w:eastAsia="仿宋_GB2312" w:cs="华文仿宋"/>
          <w:color w:val="333333"/>
          <w:kern w:val="0"/>
          <w:sz w:val="32"/>
          <w:szCs w:val="32"/>
          <w:shd w:val="clear" w:color="auto" w:fill="FFFFFF"/>
        </w:rPr>
        <w:t>等支出。</w:t>
      </w:r>
    </w:p>
    <w:p>
      <w:pPr>
        <w:widowControl/>
        <w:pBdr>
          <w:bottom w:val="single" w:color="FFFFFF" w:sz="8" w:space="31"/>
        </w:pBdr>
        <w:spacing w:line="576" w:lineRule="exact"/>
        <w:ind w:firstLine="640" w:firstLineChars="200"/>
        <w:outlineLvl w:val="0"/>
        <w:rPr>
          <w:rFonts w:hint="eastAsia" w:ascii="仿宋_GB2312" w:hAnsi="华文仿宋" w:eastAsia="仿宋_GB2312" w:cs="华文仿宋"/>
          <w:color w:val="333333"/>
          <w:kern w:val="0"/>
          <w:sz w:val="32"/>
          <w:szCs w:val="32"/>
          <w:shd w:val="clear" w:color="auto" w:fill="FFFFFF"/>
        </w:rPr>
      </w:pPr>
      <w:bookmarkStart w:id="13" w:name="_Toc1161503257"/>
      <w:r>
        <w:rPr>
          <w:rFonts w:hint="default" w:ascii="黑体" w:hAnsi="黑体" w:eastAsia="黑体" w:cs="黑体"/>
          <w:sz w:val="32"/>
          <w:szCs w:val="32"/>
        </w:rPr>
        <w:t>七、</w:t>
      </w:r>
      <w:r>
        <w:rPr>
          <w:rFonts w:hint="eastAsia" w:ascii="黑体" w:hAnsi="黑体" w:eastAsia="黑体" w:cs="黑体"/>
          <w:sz w:val="32"/>
          <w:szCs w:val="32"/>
        </w:rPr>
        <w:t>“三公”经费财政拨款预算安排情况说明</w:t>
      </w:r>
      <w:bookmarkEnd w:id="13"/>
    </w:p>
    <w:p>
      <w:pPr>
        <w:widowControl/>
        <w:pBdr>
          <w:bottom w:val="single" w:color="FFFFFF" w:sz="8" w:space="31"/>
        </w:pBdr>
        <w:spacing w:line="576" w:lineRule="exact"/>
        <w:ind w:firstLine="640" w:firstLineChars="200"/>
        <w:rPr>
          <w:rFonts w:hint="eastAsia" w:ascii="仿宋_GB2312" w:hAnsi="华文仿宋" w:eastAsia="仿宋_GB2312" w:cs="华文仿宋"/>
          <w:color w:val="333333"/>
          <w:sz w:val="32"/>
          <w:szCs w:val="32"/>
        </w:rPr>
      </w:pPr>
      <w:r>
        <w:rPr>
          <w:rFonts w:hint="eastAsia" w:ascii="仿宋_GB2312" w:hAnsi="华文仿宋" w:eastAsia="仿宋_GB2312" w:cs="华文仿宋"/>
          <w:color w:val="333333"/>
          <w:kern w:val="0"/>
          <w:sz w:val="32"/>
          <w:szCs w:val="32"/>
          <w:shd w:val="clear" w:color="auto" w:fill="FFFFFF"/>
        </w:rPr>
        <w:t>广元市应急管理科技信息中心2024年“三公”经费财政拨款预算数1.49万元，其中：公务接待费0.14万元，公务用车购置及运行维护费1.35万元，因公出国（境）经费0万元。</w:t>
      </w:r>
    </w:p>
    <w:p>
      <w:pPr>
        <w:widowControl/>
        <w:pBdr>
          <w:bottom w:val="single" w:color="FFFFFF" w:sz="8" w:space="31"/>
        </w:pBdr>
        <w:spacing w:line="576" w:lineRule="exact"/>
        <w:ind w:firstLine="640" w:firstLineChars="200"/>
        <w:outlineLvl w:val="1"/>
        <w:rPr>
          <w:rFonts w:hint="eastAsia" w:ascii="仿宋_GB2312" w:hAnsi="华文仿宋" w:eastAsia="仿宋_GB2312" w:cs="华文仿宋"/>
          <w:color w:val="333333"/>
          <w:sz w:val="32"/>
          <w:szCs w:val="32"/>
        </w:rPr>
      </w:pPr>
      <w:bookmarkStart w:id="14" w:name="_Toc2024384615"/>
      <w:r>
        <w:rPr>
          <w:rFonts w:hint="eastAsia" w:ascii="楷体_GB2312" w:hAnsi="楷体_GB2312" w:eastAsia="楷体_GB2312" w:cs="楷体_GB2312"/>
          <w:sz w:val="32"/>
          <w:szCs w:val="32"/>
        </w:rPr>
        <w:t>（一）公务接待费</w:t>
      </w:r>
      <w:bookmarkEnd w:id="14"/>
    </w:p>
    <w:p>
      <w:pPr>
        <w:widowControl/>
        <w:pBdr>
          <w:bottom w:val="single" w:color="FFFFFF" w:sz="8" w:space="31"/>
        </w:pBdr>
        <w:spacing w:line="576" w:lineRule="exact"/>
        <w:ind w:firstLine="640" w:firstLineChars="2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公务接待费与2023年预算</w:t>
      </w:r>
      <w:r>
        <w:rPr>
          <w:rFonts w:hint="default" w:ascii="仿宋_GB2312" w:hAnsi="华文仿宋" w:eastAsia="仿宋_GB2312" w:cs="华文仿宋"/>
          <w:color w:val="333333"/>
          <w:kern w:val="0"/>
          <w:sz w:val="32"/>
          <w:szCs w:val="32"/>
          <w:shd w:val="clear" w:color="auto" w:fill="FFFFFF"/>
        </w:rPr>
        <w:t>相比</w:t>
      </w:r>
      <w:r>
        <w:rPr>
          <w:rFonts w:hint="eastAsia" w:ascii="仿宋_GB2312" w:hAnsi="华文仿宋" w:eastAsia="仿宋_GB2312" w:cs="华文仿宋"/>
          <w:color w:val="333333"/>
          <w:kern w:val="0"/>
          <w:sz w:val="32"/>
          <w:szCs w:val="32"/>
          <w:shd w:val="clear" w:color="auto" w:fill="FFFFFF"/>
        </w:rPr>
        <w:t>持平。</w:t>
      </w:r>
    </w:p>
    <w:p>
      <w:pPr>
        <w:widowControl/>
        <w:pBdr>
          <w:bottom w:val="single" w:color="FFFFFF" w:sz="8" w:space="31"/>
        </w:pBdr>
        <w:spacing w:line="576" w:lineRule="exact"/>
        <w:ind w:firstLine="640" w:firstLineChars="200"/>
        <w:rPr>
          <w:rFonts w:hint="eastAsia" w:ascii="仿宋_GB2312" w:hAnsi="华文仿宋" w:eastAsia="仿宋_GB2312" w:cs="华文仿宋"/>
          <w:color w:val="333333"/>
          <w:sz w:val="32"/>
          <w:szCs w:val="32"/>
        </w:rPr>
      </w:pPr>
      <w:r>
        <w:rPr>
          <w:rFonts w:hint="eastAsia" w:ascii="仿宋_GB2312" w:hAnsi="华文仿宋" w:eastAsia="仿宋_GB2312" w:cs="华文仿宋"/>
          <w:bCs/>
          <w:color w:val="333333"/>
          <w:kern w:val="0"/>
          <w:sz w:val="32"/>
          <w:szCs w:val="32"/>
          <w:shd w:val="clear" w:color="auto" w:fill="FFFFFF"/>
        </w:rPr>
        <w:t>2024年公务接待费计划用于执行接待考察调研、检查指导等公务活动开支的交通费、住宿费、用餐费等，与2023年预算持平。</w:t>
      </w:r>
    </w:p>
    <w:p>
      <w:pPr>
        <w:widowControl/>
        <w:pBdr>
          <w:bottom w:val="single" w:color="FFFFFF" w:sz="8" w:space="31"/>
        </w:pBdr>
        <w:spacing w:line="576" w:lineRule="exact"/>
        <w:ind w:firstLine="640" w:firstLineChars="200"/>
        <w:outlineLvl w:val="1"/>
        <w:rPr>
          <w:rFonts w:hint="eastAsia" w:ascii="楷体_GB2312" w:hAnsi="楷体_GB2312" w:eastAsia="楷体_GB2312" w:cs="楷体_GB2312"/>
          <w:sz w:val="32"/>
          <w:szCs w:val="32"/>
        </w:rPr>
      </w:pPr>
      <w:bookmarkStart w:id="15" w:name="_Toc490447618"/>
      <w:r>
        <w:rPr>
          <w:rFonts w:hint="default" w:ascii="楷体_GB2312" w:hAnsi="楷体_GB2312" w:eastAsia="楷体_GB2312" w:cs="楷体_GB2312"/>
          <w:sz w:val="32"/>
          <w:szCs w:val="32"/>
        </w:rPr>
        <w:t>（二）</w:t>
      </w:r>
      <w:r>
        <w:rPr>
          <w:rFonts w:hint="eastAsia" w:ascii="楷体_GB2312" w:hAnsi="楷体_GB2312" w:eastAsia="楷体_GB2312" w:cs="楷体_GB2312"/>
          <w:sz w:val="32"/>
          <w:szCs w:val="32"/>
        </w:rPr>
        <w:t>公务用车购置及运行维护费</w:t>
      </w:r>
      <w:bookmarkEnd w:id="15"/>
    </w:p>
    <w:p>
      <w:pPr>
        <w:widowControl/>
        <w:pBdr>
          <w:bottom w:val="single" w:color="FFFFFF" w:sz="8" w:space="31"/>
        </w:pBdr>
        <w:spacing w:line="576" w:lineRule="exact"/>
        <w:ind w:firstLine="640" w:firstLineChars="200"/>
        <w:rPr>
          <w:rFonts w:hint="eastAsia" w:ascii="仿宋_GB2312" w:hAnsi="华文仿宋" w:eastAsia="仿宋_GB2312" w:cs="华文仿宋"/>
          <w:bCs/>
          <w:color w:val="333333"/>
          <w:kern w:val="0"/>
          <w:sz w:val="32"/>
          <w:szCs w:val="32"/>
          <w:shd w:val="clear" w:color="auto" w:fill="FFFFFF"/>
        </w:rPr>
      </w:pPr>
      <w:r>
        <w:rPr>
          <w:rFonts w:hint="eastAsia" w:ascii="仿宋_GB2312" w:hAnsi="华文仿宋" w:eastAsia="仿宋_GB2312" w:cs="华文仿宋"/>
          <w:bCs/>
          <w:color w:val="333333"/>
          <w:kern w:val="0"/>
          <w:sz w:val="32"/>
          <w:szCs w:val="32"/>
          <w:shd w:val="clear" w:color="auto" w:fill="FFFFFF"/>
        </w:rPr>
        <w:t>公务用车购置及运行维护费与2023年预算持平。</w:t>
      </w:r>
    </w:p>
    <w:p>
      <w:pPr>
        <w:widowControl/>
        <w:pBdr>
          <w:bottom w:val="single" w:color="FFFFFF" w:sz="8" w:space="31"/>
        </w:pBdr>
        <w:spacing w:line="576" w:lineRule="exact"/>
        <w:ind w:firstLine="640" w:firstLineChars="200"/>
        <w:rPr>
          <w:rFonts w:hint="eastAsia" w:ascii="仿宋_GB2312" w:hAnsi="华文仿宋" w:eastAsia="仿宋_GB2312" w:cs="华文仿宋"/>
          <w:bCs/>
          <w:color w:val="333333"/>
          <w:kern w:val="0"/>
          <w:sz w:val="32"/>
          <w:szCs w:val="32"/>
          <w:shd w:val="clear" w:color="auto" w:fill="FFFFFF"/>
        </w:rPr>
      </w:pPr>
      <w:r>
        <w:rPr>
          <w:rFonts w:hint="eastAsia" w:ascii="仿宋_GB2312" w:hAnsi="华文仿宋" w:eastAsia="仿宋_GB2312" w:cs="华文仿宋"/>
          <w:bCs/>
          <w:color w:val="333333"/>
          <w:kern w:val="0"/>
          <w:sz w:val="32"/>
          <w:szCs w:val="32"/>
          <w:shd w:val="clear" w:color="auto" w:fill="FFFFFF"/>
        </w:rPr>
        <w:t>单位现有公务用车1辆，其中：特种行业用车1辆。</w:t>
      </w:r>
    </w:p>
    <w:p>
      <w:pPr>
        <w:widowControl/>
        <w:pBdr>
          <w:bottom w:val="single" w:color="FFFFFF" w:sz="8" w:space="31"/>
        </w:pBdr>
        <w:spacing w:line="576" w:lineRule="exact"/>
        <w:ind w:firstLine="640" w:firstLineChars="2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2024年年未安排公务用车购置费。</w:t>
      </w:r>
    </w:p>
    <w:p>
      <w:pPr>
        <w:widowControl/>
        <w:spacing w:line="576" w:lineRule="exact"/>
        <w:ind w:firstLine="668"/>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2024年安排公务用车运行维护费1.35万元，用于1辆特种行业（皮卡车）公务用车燃油、过路（桥）、维修、保险等方面支出，主要保障指导各县区应急管理和信息化建设工作，指导行业企业的安全生产信息化工作，与2023年预算数持平。</w:t>
      </w:r>
    </w:p>
    <w:p>
      <w:pPr>
        <w:spacing w:line="576" w:lineRule="exact"/>
        <w:ind w:firstLine="320" w:firstLineChars="100"/>
        <w:outlineLvl w:val="1"/>
        <w:rPr>
          <w:rFonts w:ascii="仿宋_GB2312" w:hAnsi="仿宋_GB2312" w:eastAsia="仿宋_GB2312" w:cs="仿宋_GB2312"/>
          <w:sz w:val="32"/>
          <w:szCs w:val="32"/>
        </w:rPr>
      </w:pPr>
      <w:bookmarkStart w:id="16" w:name="_Toc1726735581"/>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6"/>
    </w:p>
    <w:p>
      <w:pPr>
        <w:widowControl/>
        <w:spacing w:line="576" w:lineRule="exact"/>
        <w:ind w:firstLine="668"/>
        <w:rPr>
          <w:rFonts w:ascii="仿宋_GB2312" w:hAnsi="华文仿宋" w:eastAsia="仿宋_GB2312" w:cs="华文仿宋"/>
          <w:color w:val="333333"/>
          <w:kern w:val="0"/>
          <w:sz w:val="32"/>
          <w:szCs w:val="32"/>
          <w:shd w:val="clear" w:color="auto" w:fill="FFFFFF"/>
        </w:rPr>
      </w:pPr>
      <w:r>
        <w:rPr>
          <w:rFonts w:hint="eastAsia" w:ascii="楷体_GB2312" w:hAnsi="华文仿宋" w:eastAsia="楷体_GB2312" w:cs="华文仿宋"/>
          <w:bCs/>
          <w:color w:val="333333"/>
          <w:kern w:val="0"/>
          <w:sz w:val="32"/>
          <w:szCs w:val="32"/>
          <w:shd w:val="clear" w:color="auto" w:fill="FFFFFF"/>
        </w:rPr>
        <w:t>因公出国（境）经费与2023年预算</w:t>
      </w:r>
      <w:r>
        <w:rPr>
          <w:rFonts w:hint="eastAsia" w:ascii="仿宋_GB2312" w:hAnsi="华文仿宋" w:eastAsia="仿宋_GB2312" w:cs="华文仿宋"/>
          <w:color w:val="333333"/>
          <w:kern w:val="0"/>
          <w:sz w:val="32"/>
          <w:szCs w:val="32"/>
          <w:shd w:val="clear" w:color="auto" w:fill="FFFFFF"/>
        </w:rPr>
        <w:t>相比持平，主要原因是本单位无因公出国（境）经费支出。</w:t>
      </w:r>
    </w:p>
    <w:p>
      <w:pPr>
        <w:spacing w:line="576" w:lineRule="exact"/>
        <w:ind w:firstLine="640" w:firstLineChars="200"/>
        <w:outlineLvl w:val="0"/>
        <w:rPr>
          <w:rFonts w:ascii="黑体" w:hAnsi="黑体" w:eastAsia="黑体" w:cs="黑体"/>
          <w:sz w:val="32"/>
          <w:szCs w:val="32"/>
        </w:rPr>
      </w:pPr>
      <w:bookmarkStart w:id="17" w:name="_Toc1718511013"/>
      <w:r>
        <w:rPr>
          <w:rFonts w:hint="eastAsia" w:ascii="黑体" w:hAnsi="黑体" w:eastAsia="黑体" w:cs="黑体"/>
          <w:sz w:val="32"/>
          <w:szCs w:val="32"/>
        </w:rPr>
        <w:t>八、政府性基金预算支出情况说明</w:t>
      </w:r>
      <w:bookmarkEnd w:id="17"/>
    </w:p>
    <w:p>
      <w:pPr>
        <w:widowControl/>
        <w:spacing w:line="576" w:lineRule="exact"/>
        <w:ind w:firstLine="668"/>
        <w:rPr>
          <w:rFonts w:ascii="仿宋_GB2312" w:hAnsi="华文仿宋" w:eastAsia="仿宋_GB2312" w:cs="华文仿宋"/>
          <w:color w:val="333333"/>
          <w:sz w:val="32"/>
          <w:szCs w:val="32"/>
        </w:rPr>
      </w:pPr>
      <w:r>
        <w:rPr>
          <w:rFonts w:hint="eastAsia" w:ascii="仿宋_GB2312" w:hAnsi="华文仿宋" w:eastAsia="仿宋_GB2312" w:cs="华文仿宋"/>
          <w:color w:val="333333"/>
          <w:kern w:val="0"/>
          <w:sz w:val="32"/>
          <w:szCs w:val="32"/>
          <w:shd w:val="clear" w:color="auto" w:fill="FFFFFF"/>
        </w:rPr>
        <w:t>广元市应急管理科技信息中心2024年没有使用政府性基金预算拨款安排的支出。</w:t>
      </w:r>
    </w:p>
    <w:p>
      <w:pPr>
        <w:spacing w:line="576" w:lineRule="exact"/>
        <w:ind w:firstLine="640" w:firstLineChars="200"/>
        <w:outlineLvl w:val="0"/>
        <w:rPr>
          <w:rFonts w:ascii="黑体" w:hAnsi="黑体" w:eastAsia="黑体" w:cs="黑体"/>
          <w:sz w:val="32"/>
          <w:szCs w:val="32"/>
        </w:rPr>
      </w:pPr>
      <w:bookmarkStart w:id="18" w:name="_Toc1741303186"/>
      <w:r>
        <w:rPr>
          <w:rFonts w:hint="eastAsia" w:ascii="黑体" w:hAnsi="黑体" w:eastAsia="黑体" w:cs="黑体"/>
          <w:sz w:val="32"/>
          <w:szCs w:val="32"/>
        </w:rPr>
        <w:t>九、国有资本经营预算支出情况说明</w:t>
      </w:r>
      <w:bookmarkEnd w:id="18"/>
    </w:p>
    <w:p>
      <w:pPr>
        <w:widowControl/>
        <w:spacing w:line="576" w:lineRule="exact"/>
        <w:ind w:firstLine="668"/>
        <w:rPr>
          <w:rFonts w:ascii="仿宋_GB2312" w:hAnsi="华文仿宋" w:eastAsia="仿宋_GB2312" w:cs="华文仿宋"/>
          <w:color w:val="333333"/>
          <w:sz w:val="32"/>
          <w:szCs w:val="32"/>
        </w:rPr>
      </w:pPr>
      <w:r>
        <w:rPr>
          <w:rFonts w:hint="eastAsia" w:ascii="仿宋_GB2312" w:hAnsi="华文仿宋" w:eastAsia="仿宋_GB2312" w:cs="华文仿宋"/>
          <w:color w:val="333333"/>
          <w:kern w:val="0"/>
          <w:sz w:val="32"/>
          <w:szCs w:val="32"/>
          <w:shd w:val="clear" w:color="auto" w:fill="FFFFFF"/>
        </w:rPr>
        <w:t>广元市应急管理科技信息中心2024年没有使用国有资本经营预算拨款安排的支出。</w:t>
      </w:r>
    </w:p>
    <w:p>
      <w:pPr>
        <w:spacing w:line="576" w:lineRule="exact"/>
        <w:ind w:firstLine="640" w:firstLineChars="200"/>
        <w:outlineLvl w:val="0"/>
        <w:rPr>
          <w:rFonts w:ascii="黑体" w:hAnsi="黑体" w:eastAsia="黑体" w:cs="黑体"/>
          <w:sz w:val="32"/>
          <w:szCs w:val="32"/>
        </w:rPr>
      </w:pPr>
      <w:bookmarkStart w:id="19" w:name="_Toc43938059"/>
      <w:r>
        <w:rPr>
          <w:rFonts w:hint="eastAsia" w:ascii="黑体" w:hAnsi="黑体" w:eastAsia="黑体" w:cs="黑体"/>
          <w:sz w:val="32"/>
          <w:szCs w:val="32"/>
        </w:rPr>
        <w:t>十、其他重要事项的情况说明</w:t>
      </w:r>
      <w:bookmarkEnd w:id="19"/>
    </w:p>
    <w:p>
      <w:pPr>
        <w:spacing w:line="576" w:lineRule="exact"/>
        <w:ind w:firstLine="640" w:firstLineChars="200"/>
        <w:outlineLvl w:val="1"/>
        <w:rPr>
          <w:rFonts w:hint="default" w:ascii="仿宋_GB2312" w:hAnsi="仿宋_GB2312" w:eastAsia="仿宋_GB2312" w:cs="仿宋_GB2312"/>
          <w:sz w:val="32"/>
          <w:szCs w:val="32"/>
        </w:rPr>
      </w:pPr>
      <w:bookmarkStart w:id="20" w:name="_Toc1058310147"/>
      <w:r>
        <w:rPr>
          <w:rFonts w:hint="default" w:ascii="仿宋_GB2312" w:hAnsi="仿宋_GB2312" w:eastAsia="仿宋_GB2312" w:cs="仿宋_GB2312"/>
          <w:sz w:val="32"/>
          <w:szCs w:val="32"/>
          <w:lang w:val="en-US" w:eastAsia="zh-CN"/>
        </w:rPr>
        <w:t>（一）机关运行经费</w:t>
      </w:r>
      <w:bookmarkEnd w:id="20"/>
    </w:p>
    <w:p>
      <w:pPr>
        <w:widowControl/>
        <w:spacing w:line="576" w:lineRule="exact"/>
        <w:ind w:firstLine="668"/>
        <w:rPr>
          <w:rFonts w:ascii="仿宋_GB2312" w:hAnsi="华文仿宋" w:eastAsia="仿宋_GB2312" w:cs="华文仿宋"/>
          <w:color w:val="333333"/>
          <w:sz w:val="32"/>
          <w:szCs w:val="32"/>
        </w:rPr>
      </w:pPr>
      <w:r>
        <w:rPr>
          <w:rFonts w:hint="eastAsia" w:ascii="仿宋_GB2312" w:hAnsi="华文仿宋" w:eastAsia="仿宋_GB2312" w:cs="华文仿宋"/>
          <w:color w:val="333333"/>
          <w:kern w:val="0"/>
          <w:sz w:val="32"/>
          <w:szCs w:val="32"/>
          <w:shd w:val="clear" w:color="auto" w:fill="FFFFFF"/>
        </w:rPr>
        <w:t>广元市应急管理科技信息中心为市应急管理局下属事业单位，无机关运行经费支出。</w:t>
      </w:r>
    </w:p>
    <w:p>
      <w:pPr>
        <w:spacing w:line="576" w:lineRule="exact"/>
        <w:ind w:firstLine="640" w:firstLineChars="200"/>
        <w:outlineLvl w:val="1"/>
        <w:rPr>
          <w:rFonts w:hint="eastAsia" w:ascii="仿宋_GB2312" w:hAnsi="仿宋_GB2312" w:eastAsia="仿宋_GB2312" w:cs="仿宋_GB2312"/>
          <w:sz w:val="32"/>
          <w:szCs w:val="32"/>
          <w:lang w:val="en-US" w:eastAsia="zh-CN"/>
        </w:rPr>
      </w:pPr>
      <w:bookmarkStart w:id="21" w:name="_Toc507191665"/>
      <w:r>
        <w:rPr>
          <w:rFonts w:hint="eastAsia" w:ascii="仿宋_GB2312" w:hAnsi="仿宋_GB2312" w:eastAsia="仿宋_GB2312" w:cs="仿宋_GB2312"/>
          <w:sz w:val="32"/>
          <w:szCs w:val="32"/>
          <w:lang w:val="en-US" w:eastAsia="zh-CN"/>
        </w:rPr>
        <w:t>（二）政府采购情况</w:t>
      </w:r>
      <w:bookmarkEnd w:id="2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2024年，广元市应急管理科技信息中心安排政府采购预算1.35万元，其中：政府采购服务预算1.35万元。</w:t>
      </w:r>
    </w:p>
    <w:p>
      <w:pPr>
        <w:spacing w:line="576" w:lineRule="exact"/>
        <w:ind w:firstLine="640" w:firstLineChars="200"/>
        <w:outlineLvl w:val="1"/>
        <w:rPr>
          <w:rFonts w:hint="eastAsia" w:ascii="仿宋_GB2312" w:hAnsi="仿宋_GB2312" w:eastAsia="仿宋_GB2312" w:cs="仿宋_GB2312"/>
          <w:sz w:val="32"/>
          <w:szCs w:val="32"/>
          <w:lang w:val="en-US" w:eastAsia="zh-CN"/>
        </w:rPr>
      </w:pPr>
      <w:bookmarkStart w:id="22" w:name="_Toc1585847373"/>
      <w:r>
        <w:rPr>
          <w:rFonts w:hint="default" w:ascii="仿宋_GB2312" w:hAnsi="仿宋_GB2312" w:eastAsia="仿宋_GB2312" w:cs="仿宋_GB2312"/>
          <w:sz w:val="32"/>
          <w:szCs w:val="32"/>
          <w:lang w:eastAsia="zh-CN"/>
        </w:rPr>
        <w:t>（三）</w:t>
      </w:r>
      <w:r>
        <w:rPr>
          <w:rFonts w:hint="eastAsia" w:ascii="仿宋_GB2312" w:hAnsi="仿宋_GB2312" w:eastAsia="仿宋_GB2312" w:cs="仿宋_GB2312"/>
          <w:sz w:val="32"/>
          <w:szCs w:val="32"/>
          <w:lang w:val="en-US" w:eastAsia="zh-CN"/>
        </w:rPr>
        <w:t>国有资产占有使用情况</w:t>
      </w:r>
      <w:bookmarkEnd w:id="22"/>
    </w:p>
    <w:p>
      <w:pPr>
        <w:spacing w:line="576" w:lineRule="exact"/>
        <w:ind w:left="0" w:leftChars="0" w:firstLine="640" w:firstLineChars="200"/>
        <w:rPr>
          <w:rFonts w:hint="eastAsia"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截至2023年底，广元市应急管理科技信息中心共有车辆1辆，其中，特种车辆1辆。</w:t>
      </w: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价值200万元以上大型设备。</w:t>
      </w:r>
    </w:p>
    <w:p>
      <w:pPr>
        <w:spacing w:line="576"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bookmarkStart w:id="25" w:name="_GoBack"/>
      <w:bookmarkEnd w:id="25"/>
    </w:p>
    <w:p>
      <w:pPr>
        <w:spacing w:line="576" w:lineRule="exact"/>
        <w:ind w:firstLine="640" w:firstLineChars="200"/>
        <w:outlineLvl w:val="1"/>
        <w:rPr>
          <w:rFonts w:hint="default" w:ascii="仿宋_GB2312" w:hAnsi="仿宋_GB2312" w:eastAsia="仿宋_GB2312" w:cs="仿宋_GB2312"/>
          <w:sz w:val="32"/>
          <w:szCs w:val="32"/>
          <w:lang w:eastAsia="zh-CN"/>
        </w:rPr>
      </w:pPr>
      <w:bookmarkStart w:id="23" w:name="_Toc61346688"/>
      <w:r>
        <w:rPr>
          <w:rFonts w:hint="default" w:ascii="仿宋_GB2312" w:hAnsi="仿宋_GB2312" w:eastAsia="仿宋_GB2312" w:cs="仿宋_GB2312"/>
          <w:sz w:val="32"/>
          <w:szCs w:val="32"/>
          <w:lang w:eastAsia="zh-CN"/>
        </w:rPr>
        <w:t>（四）</w:t>
      </w:r>
      <w:r>
        <w:rPr>
          <w:rFonts w:hint="eastAsia" w:ascii="仿宋_GB2312" w:hAnsi="仿宋_GB2312" w:eastAsia="仿宋_GB2312" w:cs="仿宋_GB2312"/>
          <w:sz w:val="32"/>
          <w:szCs w:val="32"/>
          <w:lang w:eastAsia="zh-CN"/>
        </w:rPr>
        <w:t>绩效目标设置情况</w:t>
      </w:r>
      <w:bookmarkEnd w:id="23"/>
    </w:p>
    <w:p>
      <w:pPr>
        <w:widowControl/>
        <w:spacing w:line="576" w:lineRule="exact"/>
        <w:ind w:firstLine="640" w:firstLineChars="200"/>
        <w:rPr>
          <w:rFonts w:ascii="黑体" w:hAnsi="黑体" w:eastAsia="黑体" w:cs="华文仿宋"/>
          <w:color w:val="333333"/>
          <w:kern w:val="0"/>
          <w:sz w:val="32"/>
          <w:szCs w:val="32"/>
          <w:shd w:val="clear" w:color="auto" w:fill="FFFFFF"/>
        </w:rPr>
      </w:pPr>
      <w:r>
        <w:rPr>
          <w:rFonts w:hint="eastAsia" w:ascii="仿宋_GB2312" w:hAnsi="仿宋_GB2312" w:eastAsia="仿宋_GB2312" w:cs="仿宋_GB2312"/>
          <w:sz w:val="32"/>
          <w:szCs w:val="32"/>
        </w:rPr>
        <w:t>2024年广元市应急管理科技信息中心开展绩效目标管理的项目3个，涉及预算17.54万元。其中：特定目标类项目3个，涉及预算17.54万元。</w:t>
      </w:r>
    </w:p>
    <w:p>
      <w:pPr>
        <w:spacing w:line="576" w:lineRule="exact"/>
        <w:ind w:firstLine="640" w:firstLineChars="200"/>
        <w:outlineLvl w:val="0"/>
        <w:rPr>
          <w:rFonts w:hint="eastAsia" w:ascii="黑体" w:hAnsi="黑体" w:eastAsia="黑体" w:cs="黑体"/>
          <w:sz w:val="32"/>
          <w:szCs w:val="32"/>
        </w:rPr>
      </w:pPr>
      <w:bookmarkStart w:id="24" w:name="_Toc1381187337"/>
      <w:r>
        <w:rPr>
          <w:rFonts w:hint="default" w:ascii="黑体" w:hAnsi="黑体" w:eastAsia="黑体" w:cs="黑体"/>
          <w:sz w:val="32"/>
          <w:szCs w:val="32"/>
        </w:rPr>
        <w:t>十一、</w:t>
      </w:r>
      <w:r>
        <w:rPr>
          <w:rFonts w:hint="eastAsia" w:ascii="黑体" w:hAnsi="黑体" w:eastAsia="黑体" w:cs="黑体"/>
          <w:sz w:val="32"/>
          <w:szCs w:val="32"/>
        </w:rPr>
        <w:t>名词解释</w:t>
      </w:r>
      <w:bookmarkEnd w:id="24"/>
    </w:p>
    <w:p>
      <w:pPr>
        <w:keepNext w:val="0"/>
        <w:keepLines w:val="0"/>
        <w:widowControl w:val="0"/>
        <w:suppressLineNumbers w:val="0"/>
        <w:suppressAutoHyphens/>
        <w:spacing w:before="0" w:beforeAutospacing="0" w:after="0" w:afterAutospacing="0" w:line="576" w:lineRule="exact"/>
        <w:ind w:left="0" w:right="0" w:firstLine="640" w:firstLineChars="200"/>
        <w:jc w:val="both"/>
        <w:rPr>
          <w:rFonts w:hint="default" w:ascii="仿宋_GB2312" w:hAnsi="华文仿宋" w:eastAsia="仿宋_GB2312" w:cs="华文仿宋"/>
          <w:color w:val="000000"/>
          <w:sz w:val="32"/>
          <w:szCs w:val="32"/>
        </w:rPr>
      </w:pPr>
      <w:r>
        <w:rPr>
          <w:rFonts w:hint="eastAsia" w:ascii="仿宋_GB2312" w:hAnsi="华文仿宋" w:eastAsia="仿宋_GB2312" w:cs="华文仿宋"/>
          <w:color w:val="000000"/>
          <w:sz w:val="32"/>
          <w:szCs w:val="32"/>
        </w:rPr>
        <w:t>（一）</w:t>
      </w:r>
      <w:r>
        <w:rPr>
          <w:rFonts w:hint="default" w:ascii="仿宋_GB2312" w:hAnsi="华文仿宋" w:eastAsia="仿宋_GB2312" w:cs="华文仿宋"/>
          <w:color w:val="000000"/>
          <w:sz w:val="32"/>
          <w:szCs w:val="32"/>
          <w:lang w:val="en-US" w:eastAsia="zh-CN"/>
        </w:rPr>
        <w:t>财政拨款收入:指市财政当年安排的财政预算收入。按现行管理制度,部门预算中反映的财政拨款包括一般公共预算拨款</w:t>
      </w:r>
      <w:r>
        <w:rPr>
          <w:rFonts w:hint="default" w:ascii="仿宋_GB2312" w:hAnsi="Calibri" w:eastAsia="仿宋_GB2312" w:cs="仿宋_GB2312"/>
          <w:kern w:val="2"/>
          <w:sz w:val="32"/>
          <w:szCs w:val="32"/>
          <w:lang w:val="en-US" w:eastAsia="zh-CN" w:bidi="ar"/>
        </w:rPr>
        <w:t>和政府性基金预算拨款</w:t>
      </w:r>
      <w:r>
        <w:rPr>
          <w:rFonts w:hint="default" w:ascii="仿宋_GB2312" w:hAnsi="华文仿宋" w:eastAsia="仿宋_GB2312" w:cs="华文仿宋"/>
          <w:color w:val="000000"/>
          <w:sz w:val="32"/>
          <w:szCs w:val="32"/>
          <w:lang w:val="en-US" w:eastAsia="zh-CN"/>
        </w:rPr>
        <w:t>。</w:t>
      </w:r>
    </w:p>
    <w:p>
      <w:pPr>
        <w:widowControl/>
        <w:spacing w:line="576" w:lineRule="exact"/>
        <w:ind w:firstLine="640" w:firstLineChars="200"/>
        <w:rPr>
          <w:rFonts w:ascii="仿宋_GB2312" w:hAnsi="华文仿宋" w:eastAsia="仿宋_GB2312" w:cs="华文仿宋"/>
          <w:color w:val="000000"/>
          <w:sz w:val="32"/>
          <w:szCs w:val="32"/>
        </w:rPr>
      </w:pPr>
      <w:r>
        <w:rPr>
          <w:rFonts w:hint="eastAsia" w:ascii="仿宋_GB2312" w:hAnsi="华文仿宋" w:eastAsia="仿宋_GB2312" w:cs="华文仿宋"/>
          <w:color w:val="000000"/>
          <w:sz w:val="32"/>
          <w:szCs w:val="32"/>
        </w:rPr>
        <w:t>（</w:t>
      </w:r>
      <w:r>
        <w:rPr>
          <w:rFonts w:hint="default" w:ascii="仿宋_GB2312" w:hAnsi="华文仿宋" w:eastAsia="仿宋_GB2312" w:cs="华文仿宋"/>
          <w:color w:val="000000"/>
          <w:sz w:val="32"/>
          <w:szCs w:val="32"/>
        </w:rPr>
        <w:t>二</w:t>
      </w:r>
      <w:r>
        <w:rPr>
          <w:rFonts w:hint="eastAsia" w:ascii="仿宋_GB2312" w:hAnsi="华文仿宋" w:eastAsia="仿宋_GB2312" w:cs="华文仿宋"/>
          <w:color w:val="000000"/>
          <w:sz w:val="32"/>
          <w:szCs w:val="32"/>
        </w:rPr>
        <w:t>）社会保障和就业（类）行政事业单位养老支出（款）机关事业单位基本养老保险缴费支出（项）指部门实施养老保险制度由单位缴纳的养老保险的支出。</w:t>
      </w:r>
      <w:r>
        <w:rPr>
          <w:rFonts w:hint="eastAsia" w:ascii="仿宋_GB2312" w:hAnsi="华文仿宋" w:eastAsia="仿宋_GB2312" w:cs="华文仿宋"/>
          <w:color w:val="000000"/>
          <w:sz w:val="32"/>
          <w:szCs w:val="32"/>
        </w:rPr>
        <w:br w:type="textWrapping"/>
      </w:r>
      <w:r>
        <w:rPr>
          <w:rFonts w:hint="eastAsia" w:ascii="仿宋_GB2312" w:hAnsi="华文仿宋" w:eastAsia="仿宋_GB2312" w:cs="华文仿宋"/>
          <w:color w:val="000000"/>
          <w:sz w:val="32"/>
          <w:szCs w:val="32"/>
        </w:rPr>
        <w:t>　　（</w:t>
      </w:r>
      <w:r>
        <w:rPr>
          <w:rFonts w:hint="default" w:ascii="仿宋_GB2312" w:hAnsi="华文仿宋" w:eastAsia="仿宋_GB2312" w:cs="华文仿宋"/>
          <w:color w:val="000000"/>
          <w:sz w:val="32"/>
          <w:szCs w:val="32"/>
        </w:rPr>
        <w:t>三</w:t>
      </w:r>
      <w:r>
        <w:rPr>
          <w:rFonts w:hint="eastAsia" w:ascii="仿宋_GB2312" w:hAnsi="华文仿宋" w:eastAsia="仿宋_GB2312" w:cs="华文仿宋"/>
          <w:color w:val="000000"/>
          <w:sz w:val="32"/>
          <w:szCs w:val="32"/>
        </w:rPr>
        <w:t>）卫生健康（类）行政事业单位医疗（款）事业单位医疗（项）：指事业单位用于单位应缴纳基本医疗保险支出。</w:t>
      </w:r>
    </w:p>
    <w:p>
      <w:pPr>
        <w:widowControl/>
        <w:spacing w:line="576" w:lineRule="exact"/>
        <w:ind w:firstLine="668"/>
        <w:rPr>
          <w:rFonts w:ascii="仿宋_GB2312" w:hAnsi="华文仿宋" w:eastAsia="仿宋_GB2312" w:cs="华文仿宋"/>
          <w:color w:val="333333"/>
          <w:sz w:val="32"/>
          <w:szCs w:val="32"/>
        </w:rPr>
      </w:pPr>
      <w:r>
        <w:rPr>
          <w:rFonts w:hint="eastAsia" w:ascii="仿宋_GB2312" w:hAnsi="华文仿宋" w:eastAsia="仿宋_GB2312" w:cs="华文仿宋"/>
          <w:color w:val="000000"/>
          <w:sz w:val="32"/>
          <w:szCs w:val="32"/>
        </w:rPr>
        <w:t>（</w:t>
      </w:r>
      <w:r>
        <w:rPr>
          <w:rFonts w:hint="default" w:ascii="仿宋_GB2312" w:hAnsi="华文仿宋" w:eastAsia="仿宋_GB2312" w:cs="华文仿宋"/>
          <w:color w:val="000000"/>
          <w:sz w:val="32"/>
          <w:szCs w:val="32"/>
        </w:rPr>
        <w:t>四</w:t>
      </w:r>
      <w:r>
        <w:rPr>
          <w:rFonts w:hint="eastAsia" w:ascii="仿宋_GB2312" w:hAnsi="华文仿宋" w:eastAsia="仿宋_GB2312" w:cs="华文仿宋"/>
          <w:color w:val="000000"/>
          <w:sz w:val="32"/>
          <w:szCs w:val="32"/>
        </w:rPr>
        <w:t>）住房保障（类）住房改革支出（款）住房公积金（项）：指按照《住房公积金管理条例》的规定，由单位及其在职职工缴存的长期住房储金。</w:t>
      </w:r>
      <w:r>
        <w:rPr>
          <w:rFonts w:hint="eastAsia" w:ascii="仿宋_GB2312" w:hAnsi="华文仿宋" w:eastAsia="仿宋_GB2312" w:cs="华文仿宋"/>
          <w:color w:val="000000"/>
          <w:sz w:val="32"/>
          <w:szCs w:val="32"/>
        </w:rPr>
        <w:br w:type="textWrapping"/>
      </w:r>
      <w:r>
        <w:rPr>
          <w:rFonts w:hint="default" w:ascii="仿宋_GB2312" w:hAnsi="华文仿宋" w:eastAsia="仿宋_GB2312" w:cs="华文仿宋"/>
          <w:color w:val="000000"/>
          <w:sz w:val="32"/>
          <w:szCs w:val="32"/>
        </w:rPr>
        <w:t xml:space="preserve">    </w:t>
      </w:r>
      <w:r>
        <w:rPr>
          <w:rFonts w:hint="eastAsia" w:ascii="仿宋_GB2312" w:hAnsi="华文仿宋" w:eastAsia="仿宋_GB2312" w:cs="华文仿宋"/>
          <w:color w:val="000000"/>
          <w:sz w:val="32"/>
          <w:szCs w:val="32"/>
        </w:rPr>
        <w:t>（</w:t>
      </w:r>
      <w:r>
        <w:rPr>
          <w:rFonts w:hint="default" w:ascii="仿宋_GB2312" w:hAnsi="华文仿宋" w:eastAsia="仿宋_GB2312" w:cs="华文仿宋"/>
          <w:color w:val="000000"/>
          <w:sz w:val="32"/>
          <w:szCs w:val="32"/>
        </w:rPr>
        <w:t>五</w:t>
      </w:r>
      <w:r>
        <w:rPr>
          <w:rFonts w:hint="eastAsia" w:ascii="仿宋_GB2312" w:hAnsi="华文仿宋" w:eastAsia="仿宋_GB2312" w:cs="华文仿宋"/>
          <w:color w:val="000000"/>
          <w:sz w:val="32"/>
          <w:szCs w:val="32"/>
        </w:rPr>
        <w:t>）灾害防治及应急管理支出（类）应急管理事务（款）事业运行（项）指机关单位用于保障机构正常运行、开展日常工作的基本支出。</w:t>
      </w:r>
      <w:r>
        <w:rPr>
          <w:rFonts w:hint="eastAsia" w:ascii="仿宋_GB2312" w:hAnsi="华文仿宋" w:eastAsia="仿宋_GB2312" w:cs="华文仿宋"/>
          <w:color w:val="000000"/>
          <w:sz w:val="32"/>
          <w:szCs w:val="32"/>
        </w:rPr>
        <w:br w:type="textWrapping"/>
      </w:r>
      <w:r>
        <w:rPr>
          <w:rFonts w:hint="eastAsia" w:ascii="仿宋_GB2312" w:hAnsi="华文仿宋" w:eastAsia="仿宋_GB2312" w:cs="华文仿宋"/>
          <w:color w:val="000000"/>
          <w:sz w:val="32"/>
          <w:szCs w:val="32"/>
        </w:rPr>
        <w:t>　　（</w:t>
      </w:r>
      <w:r>
        <w:rPr>
          <w:rFonts w:hint="default" w:ascii="仿宋_GB2312" w:hAnsi="华文仿宋" w:eastAsia="仿宋_GB2312" w:cs="华文仿宋"/>
          <w:color w:val="000000"/>
          <w:sz w:val="32"/>
          <w:szCs w:val="32"/>
        </w:rPr>
        <w:t>六</w:t>
      </w:r>
      <w:r>
        <w:rPr>
          <w:rFonts w:hint="eastAsia" w:ascii="仿宋_GB2312" w:hAnsi="华文仿宋" w:eastAsia="仿宋_GB2312" w:cs="华文仿宋"/>
          <w:color w:val="000000"/>
          <w:sz w:val="32"/>
          <w:szCs w:val="32"/>
        </w:rPr>
        <w:t>）灾害防治及应急管理支出（类）应急管理事务（款）其他应急管理支出（项）：指机关单位开展应急管理科技信息化工作及政府购买服务人员工资的项目支出。</w:t>
      </w:r>
      <w:r>
        <w:rPr>
          <w:rFonts w:hint="eastAsia" w:ascii="仿宋_GB2312" w:hAnsi="华文仿宋" w:eastAsia="仿宋_GB2312" w:cs="华文仿宋"/>
          <w:color w:val="333333"/>
          <w:kern w:val="0"/>
          <w:sz w:val="32"/>
          <w:szCs w:val="32"/>
          <w:highlight w:val="yellow"/>
          <w:shd w:val="clear" w:color="auto" w:fill="FFFFFF"/>
        </w:rPr>
        <w:br w:type="textWrapping"/>
      </w:r>
      <w:r>
        <w:rPr>
          <w:rFonts w:hint="eastAsia" w:ascii="仿宋_GB2312" w:hAnsi="华文仿宋" w:eastAsia="仿宋_GB2312" w:cs="华文仿宋"/>
          <w:color w:val="000000"/>
          <w:sz w:val="32"/>
          <w:szCs w:val="32"/>
        </w:rPr>
        <w:t xml:space="preserve">   </w:t>
      </w:r>
      <w:r>
        <w:rPr>
          <w:rFonts w:hint="default" w:ascii="仿宋_GB2312" w:hAnsi="华文仿宋" w:eastAsia="仿宋_GB2312" w:cs="华文仿宋"/>
          <w:color w:val="000000"/>
          <w:sz w:val="32"/>
          <w:szCs w:val="32"/>
        </w:rPr>
        <w:t xml:space="preserve"> </w:t>
      </w:r>
      <w:r>
        <w:rPr>
          <w:rFonts w:hint="eastAsia" w:ascii="仿宋_GB2312" w:hAnsi="华文仿宋" w:eastAsia="仿宋_GB2312" w:cs="华文仿宋"/>
          <w:color w:val="000000"/>
          <w:sz w:val="32"/>
          <w:szCs w:val="32"/>
        </w:rPr>
        <w:t>（</w:t>
      </w:r>
      <w:r>
        <w:rPr>
          <w:rFonts w:hint="default" w:ascii="仿宋_GB2312" w:hAnsi="华文仿宋" w:eastAsia="仿宋_GB2312" w:cs="华文仿宋"/>
          <w:color w:val="000000"/>
          <w:sz w:val="32"/>
          <w:szCs w:val="32"/>
        </w:rPr>
        <w:t>七</w:t>
      </w:r>
      <w:r>
        <w:rPr>
          <w:rFonts w:hint="eastAsia" w:ascii="仿宋_GB2312" w:hAnsi="华文仿宋" w:eastAsia="仿宋_GB2312" w:cs="华文仿宋"/>
          <w:color w:val="000000"/>
          <w:sz w:val="32"/>
          <w:szCs w:val="32"/>
        </w:rPr>
        <w:t>）基本支出：指为保证机构正常运转，完</w:t>
      </w:r>
      <w:r>
        <w:rPr>
          <w:rFonts w:hint="eastAsia" w:ascii="仿宋_GB2312" w:hAnsi="华文仿宋" w:eastAsia="仿宋_GB2312" w:cs="华文仿宋"/>
          <w:color w:val="333333"/>
          <w:kern w:val="0"/>
          <w:sz w:val="32"/>
          <w:szCs w:val="32"/>
          <w:shd w:val="clear" w:color="auto" w:fill="FFFFFF"/>
        </w:rPr>
        <w:t>成日常工作任务而发生的人员支出和公用支出。</w:t>
      </w:r>
      <w:r>
        <w:rPr>
          <w:rFonts w:hint="eastAsia" w:ascii="仿宋_GB2312" w:hAnsi="华文仿宋" w:eastAsia="仿宋_GB2312" w:cs="华文仿宋"/>
          <w:color w:val="333333"/>
          <w:kern w:val="0"/>
          <w:sz w:val="32"/>
          <w:szCs w:val="32"/>
          <w:shd w:val="clear" w:color="auto" w:fill="FFFFFF"/>
        </w:rPr>
        <w:br w:type="textWrapping"/>
      </w:r>
      <w:r>
        <w:rPr>
          <w:rFonts w:hint="eastAsia" w:ascii="仿宋_GB2312" w:hAnsi="华文仿宋" w:eastAsia="仿宋_GB2312" w:cs="华文仿宋"/>
          <w:color w:val="333333"/>
          <w:kern w:val="0"/>
          <w:sz w:val="32"/>
          <w:szCs w:val="32"/>
          <w:shd w:val="clear" w:color="auto" w:fill="FFFFFF"/>
        </w:rPr>
        <w:t>　　（</w:t>
      </w:r>
      <w:r>
        <w:rPr>
          <w:rFonts w:hint="default" w:ascii="仿宋_GB2312" w:hAnsi="华文仿宋" w:eastAsia="仿宋_GB2312" w:cs="华文仿宋"/>
          <w:color w:val="333333"/>
          <w:kern w:val="0"/>
          <w:sz w:val="32"/>
          <w:szCs w:val="32"/>
          <w:shd w:val="clear" w:color="auto" w:fill="FFFFFF"/>
        </w:rPr>
        <w:t>八</w:t>
      </w:r>
      <w:r>
        <w:rPr>
          <w:rFonts w:hint="eastAsia" w:ascii="仿宋_GB2312" w:hAnsi="华文仿宋" w:eastAsia="仿宋_GB2312" w:cs="华文仿宋"/>
          <w:color w:val="333333"/>
          <w:kern w:val="0"/>
          <w:sz w:val="32"/>
          <w:szCs w:val="32"/>
          <w:shd w:val="clear" w:color="auto" w:fill="FFFFFF"/>
        </w:rPr>
        <w:t>）项目支出：指在基本支出之外为完成特定行政任务和事业发展目标所发生的支出。</w:t>
      </w:r>
    </w:p>
    <w:p>
      <w:pPr>
        <w:widowControl/>
        <w:spacing w:line="576" w:lineRule="exact"/>
        <w:ind w:firstLine="668"/>
        <w:rPr>
          <w:rFonts w:ascii="仿宋_GB2312" w:hAnsi="华文仿宋" w:eastAsia="仿宋_GB2312" w:cs="华文仿宋"/>
          <w:color w:val="333333"/>
          <w:kern w:val="0"/>
          <w:sz w:val="32"/>
          <w:szCs w:val="32"/>
          <w:shd w:val="clear" w:color="auto" w:fill="FFFFFF"/>
        </w:rPr>
      </w:pPr>
      <w:r>
        <w:rPr>
          <w:rFonts w:hint="eastAsia" w:ascii="仿宋_GB2312" w:hAnsi="华文仿宋" w:eastAsia="仿宋_GB2312" w:cs="华文仿宋"/>
          <w:color w:val="333333"/>
          <w:kern w:val="0"/>
          <w:sz w:val="32"/>
          <w:szCs w:val="32"/>
          <w:shd w:val="clear" w:color="auto" w:fill="FFFFFF"/>
        </w:rPr>
        <w:t>（</w:t>
      </w:r>
      <w:r>
        <w:rPr>
          <w:rFonts w:hint="default" w:ascii="仿宋_GB2312" w:hAnsi="华文仿宋" w:eastAsia="仿宋_GB2312" w:cs="华文仿宋"/>
          <w:color w:val="333333"/>
          <w:kern w:val="0"/>
          <w:sz w:val="32"/>
          <w:szCs w:val="32"/>
          <w:shd w:val="clear" w:color="auto" w:fill="FFFFFF"/>
        </w:rPr>
        <w:t>九</w:t>
      </w:r>
      <w:r>
        <w:rPr>
          <w:rFonts w:hint="eastAsia" w:ascii="仿宋_GB2312" w:hAnsi="华文仿宋" w:eastAsia="仿宋_GB2312" w:cs="华文仿宋"/>
          <w:color w:val="333333"/>
          <w:kern w:val="0"/>
          <w:sz w:val="32"/>
          <w:szCs w:val="32"/>
          <w:shd w:val="clear" w:color="auto" w:fill="FFFFFF"/>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华文仿宋" w:eastAsia="仿宋_GB2312" w:cs="华文仿宋"/>
          <w:color w:val="333333"/>
          <w:kern w:val="0"/>
          <w:sz w:val="32"/>
          <w:szCs w:val="32"/>
          <w:shd w:val="clear" w:color="auto" w:fill="FFFFFF"/>
        </w:rPr>
        <w:br w:type="textWrapping"/>
      </w:r>
      <w:r>
        <w:rPr>
          <w:rFonts w:hint="eastAsia" w:ascii="仿宋_GB2312" w:hAnsi="华文仿宋" w:eastAsia="仿宋_GB2312" w:cs="华文仿宋"/>
          <w:color w:val="333333"/>
          <w:kern w:val="0"/>
          <w:sz w:val="32"/>
          <w:szCs w:val="32"/>
          <w:shd w:val="clear" w:color="auto" w:fill="FFFFFF"/>
        </w:rPr>
        <w:t>　　</w:t>
      </w:r>
    </w:p>
    <w:p>
      <w:pPr>
        <w:widowControl/>
        <w:spacing w:line="576" w:lineRule="exact"/>
        <w:ind w:firstLine="668"/>
        <w:rPr>
          <w:rFonts w:ascii="仿宋_GB2312" w:hAnsi="仿宋_GB2312" w:eastAsia="仿宋_GB2312" w:cs="仿宋_GB2312"/>
          <w:b/>
          <w:bCs/>
          <w:sz w:val="32"/>
          <w:szCs w:val="32"/>
        </w:rPr>
      </w:pPr>
      <w:r>
        <w:rPr>
          <w:rFonts w:hint="eastAsia" w:ascii="仿宋_GB2312" w:hAnsi="华文仿宋" w:eastAsia="仿宋_GB2312" w:cs="华文仿宋"/>
          <w:color w:val="333333"/>
          <w:kern w:val="0"/>
          <w:sz w:val="32"/>
          <w:szCs w:val="32"/>
          <w:shd w:val="clear" w:color="auto" w:fill="FFFFFF"/>
        </w:rPr>
        <w:t>附件：广元市应急管理科技信息中心</w:t>
      </w:r>
      <w:r>
        <w:rPr>
          <w:rFonts w:hint="default" w:ascii="仿宋_GB2312" w:hAnsi="华文仿宋" w:eastAsia="仿宋_GB2312" w:cs="华文仿宋"/>
          <w:color w:val="333333"/>
          <w:kern w:val="0"/>
          <w:sz w:val="32"/>
          <w:szCs w:val="32"/>
          <w:shd w:val="clear" w:color="auto" w:fill="FFFFFF"/>
        </w:rPr>
        <w:t>单位</w:t>
      </w:r>
      <w:r>
        <w:rPr>
          <w:rFonts w:hint="eastAsia" w:ascii="仿宋_GB2312" w:hAnsi="华文仿宋" w:eastAsia="仿宋_GB2312" w:cs="华文仿宋"/>
          <w:color w:val="333333"/>
          <w:kern w:val="0"/>
          <w:sz w:val="32"/>
          <w:szCs w:val="32"/>
          <w:shd w:val="clear" w:color="auto" w:fill="FFFFFF"/>
        </w:rPr>
        <w:t>预算公开表</w:t>
      </w: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auto"/>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华文仿宋">
    <w:altName w:val="方正仿宋_GBK"/>
    <w:panose1 w:val="02010600040101010101"/>
    <w:charset w:val="86"/>
    <w:family w:val="auto"/>
    <w:pitch w:val="default"/>
    <w:sig w:usb0="00000000" w:usb1="00000000" w:usb2="00000000" w:usb3="00000000" w:csb0="0004009F" w:csb1="DFD70000"/>
  </w:font>
  <w:font w:name="方正仿宋_GBK">
    <w:panose1 w:val="02000000000000000000"/>
    <w:charset w:val="86"/>
    <w:family w:val="auto"/>
    <w:pitch w:val="default"/>
    <w:sig w:usb0="00000001" w:usb1="0800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path/>
          <v:fill on="f" focussize="0,0"/>
          <v:stroke on="f" joinstyle="miter"/>
          <v:imagedata o:title=""/>
          <o:lock v:ext="edit"/>
          <v:textbox inset="0mm,0mm,0mm,0mm" style="mso-fit-shape-to-text:t;">
            <w:txbxContent>
              <w:p>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84F1AE"/>
    <w:multiLevelType w:val="singleLevel"/>
    <w:tmpl w:val="6784F1AE"/>
    <w:lvl w:ilvl="0" w:tentative="0">
      <w:start w:val="1"/>
      <w:numFmt w:val="chineseCounting"/>
      <w:suff w:val="nothing"/>
      <w:lvlText w:val="（%1）"/>
      <w:lvlJc w:val="left"/>
      <w:pPr>
        <w:ind w:left="49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E3ZThlMWMyMTllOTZiNDVmMWQ0MzJmZTc5OGU2ZTcifQ=="/>
  </w:docVars>
  <w:rsids>
    <w:rsidRoot w:val="0024742F"/>
    <w:rsid w:val="001869D1"/>
    <w:rsid w:val="00231AF1"/>
    <w:rsid w:val="0024742F"/>
    <w:rsid w:val="003972F5"/>
    <w:rsid w:val="004D092E"/>
    <w:rsid w:val="007112D6"/>
    <w:rsid w:val="0072195B"/>
    <w:rsid w:val="007F1483"/>
    <w:rsid w:val="00894EF5"/>
    <w:rsid w:val="00A87E3B"/>
    <w:rsid w:val="00CE5E40"/>
    <w:rsid w:val="012352D1"/>
    <w:rsid w:val="01397892"/>
    <w:rsid w:val="0169685A"/>
    <w:rsid w:val="02BD2705"/>
    <w:rsid w:val="0471044C"/>
    <w:rsid w:val="071D2559"/>
    <w:rsid w:val="094D11A9"/>
    <w:rsid w:val="0BC02988"/>
    <w:rsid w:val="0BE42BC5"/>
    <w:rsid w:val="10141507"/>
    <w:rsid w:val="1289075F"/>
    <w:rsid w:val="16A80D15"/>
    <w:rsid w:val="16E42841"/>
    <w:rsid w:val="18A577BC"/>
    <w:rsid w:val="197B53D3"/>
    <w:rsid w:val="1A0C0586"/>
    <w:rsid w:val="1D6C348C"/>
    <w:rsid w:val="1D9F113A"/>
    <w:rsid w:val="1F7BF06F"/>
    <w:rsid w:val="1FEE4B73"/>
    <w:rsid w:val="202F2AD1"/>
    <w:rsid w:val="205937F1"/>
    <w:rsid w:val="21D51DCC"/>
    <w:rsid w:val="23474BEA"/>
    <w:rsid w:val="23CE9849"/>
    <w:rsid w:val="25073F45"/>
    <w:rsid w:val="28A84205"/>
    <w:rsid w:val="28CD997D"/>
    <w:rsid w:val="293930C6"/>
    <w:rsid w:val="29C37B78"/>
    <w:rsid w:val="2A484859"/>
    <w:rsid w:val="2BCFF22B"/>
    <w:rsid w:val="2BDA0897"/>
    <w:rsid w:val="338C3013"/>
    <w:rsid w:val="33FD10D3"/>
    <w:rsid w:val="355D1673"/>
    <w:rsid w:val="372799D5"/>
    <w:rsid w:val="39761568"/>
    <w:rsid w:val="39F304DD"/>
    <w:rsid w:val="3B8620A7"/>
    <w:rsid w:val="3BD21711"/>
    <w:rsid w:val="3BFE8C2E"/>
    <w:rsid w:val="3C236CE4"/>
    <w:rsid w:val="3C8D359F"/>
    <w:rsid w:val="3F702CE8"/>
    <w:rsid w:val="41443B0A"/>
    <w:rsid w:val="450862C5"/>
    <w:rsid w:val="459B34BF"/>
    <w:rsid w:val="4708107D"/>
    <w:rsid w:val="49E73BDC"/>
    <w:rsid w:val="4CE7388E"/>
    <w:rsid w:val="51241B8B"/>
    <w:rsid w:val="51F6441E"/>
    <w:rsid w:val="53E77159"/>
    <w:rsid w:val="54244390"/>
    <w:rsid w:val="54662A63"/>
    <w:rsid w:val="55FF535F"/>
    <w:rsid w:val="5696214F"/>
    <w:rsid w:val="569B6E75"/>
    <w:rsid w:val="58064E12"/>
    <w:rsid w:val="58122FAA"/>
    <w:rsid w:val="581947F3"/>
    <w:rsid w:val="5A920F10"/>
    <w:rsid w:val="5B445446"/>
    <w:rsid w:val="5BFEE015"/>
    <w:rsid w:val="5C253229"/>
    <w:rsid w:val="5DD40262"/>
    <w:rsid w:val="5EB91099"/>
    <w:rsid w:val="5FFD6D65"/>
    <w:rsid w:val="62945C53"/>
    <w:rsid w:val="62B13E15"/>
    <w:rsid w:val="63EDCF55"/>
    <w:rsid w:val="63FBFBCF"/>
    <w:rsid w:val="644B1C02"/>
    <w:rsid w:val="65177D95"/>
    <w:rsid w:val="669360FD"/>
    <w:rsid w:val="66B370FA"/>
    <w:rsid w:val="68FF6A83"/>
    <w:rsid w:val="690E2DE0"/>
    <w:rsid w:val="6AEF6005"/>
    <w:rsid w:val="6BE25325"/>
    <w:rsid w:val="6C996482"/>
    <w:rsid w:val="6CE23D5D"/>
    <w:rsid w:val="6D4D2B68"/>
    <w:rsid w:val="6E344E0D"/>
    <w:rsid w:val="6E3DB48E"/>
    <w:rsid w:val="6FBBC9CF"/>
    <w:rsid w:val="702F2361"/>
    <w:rsid w:val="72452668"/>
    <w:rsid w:val="727A501B"/>
    <w:rsid w:val="72BDE561"/>
    <w:rsid w:val="73081ADA"/>
    <w:rsid w:val="75961A5B"/>
    <w:rsid w:val="75B74B43"/>
    <w:rsid w:val="766E250E"/>
    <w:rsid w:val="77BF5A37"/>
    <w:rsid w:val="78462278"/>
    <w:rsid w:val="7932489E"/>
    <w:rsid w:val="79427A26"/>
    <w:rsid w:val="795F0F84"/>
    <w:rsid w:val="7997EA6C"/>
    <w:rsid w:val="79EE5751"/>
    <w:rsid w:val="7AEAE675"/>
    <w:rsid w:val="7BAFCE5D"/>
    <w:rsid w:val="7BF5B0B4"/>
    <w:rsid w:val="7CCFE3EB"/>
    <w:rsid w:val="7D46598C"/>
    <w:rsid w:val="7D9F8F0F"/>
    <w:rsid w:val="7DFB240B"/>
    <w:rsid w:val="7DFE05E7"/>
    <w:rsid w:val="7E0935ED"/>
    <w:rsid w:val="7E57ADDE"/>
    <w:rsid w:val="7F4C7979"/>
    <w:rsid w:val="7FC307D4"/>
    <w:rsid w:val="7FCF2AF7"/>
    <w:rsid w:val="7FFFBDD3"/>
    <w:rsid w:val="9FEF033D"/>
    <w:rsid w:val="A27FF1E5"/>
    <w:rsid w:val="AF3FEDDD"/>
    <w:rsid w:val="AFDEB5A7"/>
    <w:rsid w:val="AFEA7FBF"/>
    <w:rsid w:val="B83F4767"/>
    <w:rsid w:val="BE930E74"/>
    <w:rsid w:val="BF930F07"/>
    <w:rsid w:val="BFAB67A4"/>
    <w:rsid w:val="BFCE8436"/>
    <w:rsid w:val="C3F7EB7A"/>
    <w:rsid w:val="CBE31F8D"/>
    <w:rsid w:val="CC5FB034"/>
    <w:rsid w:val="CFF5FEEC"/>
    <w:rsid w:val="D3DD9064"/>
    <w:rsid w:val="D6F76A0C"/>
    <w:rsid w:val="D7ECE8D2"/>
    <w:rsid w:val="D9EEB321"/>
    <w:rsid w:val="DFDD4FB5"/>
    <w:rsid w:val="E7F748B5"/>
    <w:rsid w:val="EE5F3713"/>
    <w:rsid w:val="EFC9D62C"/>
    <w:rsid w:val="EFD4BD3E"/>
    <w:rsid w:val="F6BE9755"/>
    <w:rsid w:val="F6FFA89B"/>
    <w:rsid w:val="F88D0DC7"/>
    <w:rsid w:val="FAE4EFE1"/>
    <w:rsid w:val="FB9B6F12"/>
    <w:rsid w:val="FBB66A4A"/>
    <w:rsid w:val="FBFE8D2F"/>
    <w:rsid w:val="FDEE6989"/>
    <w:rsid w:val="FEF1604C"/>
    <w:rsid w:val="FF5E7DB8"/>
    <w:rsid w:val="FF77E367"/>
    <w:rsid w:val="FFD576EB"/>
    <w:rsid w:val="FFDB1578"/>
    <w:rsid w:val="FFEDAB5E"/>
    <w:rsid w:val="FFFADE43"/>
    <w:rsid w:val="FFFBE8B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pPr>
      <w:spacing w:line="540" w:lineRule="exact"/>
    </w:pPr>
    <w:rPr>
      <w:rFonts w:eastAsia="仿宋_GB2312"/>
      <w:spacing w:val="-2"/>
      <w:sz w:val="32"/>
      <w:szCs w:val="20"/>
    </w:rPr>
  </w:style>
  <w:style w:type="paragraph" w:styleId="3">
    <w:name w:val="caption"/>
    <w:basedOn w:val="1"/>
    <w:next w:val="1"/>
    <w:qFormat/>
    <w:uiPriority w:val="0"/>
    <w:pPr>
      <w:suppressLineNumbers/>
      <w:spacing w:before="120" w:after="120"/>
    </w:pPr>
    <w:rPr>
      <w:i/>
      <w:iCs/>
      <w:sz w:val="24"/>
    </w:rPr>
  </w:style>
  <w:style w:type="paragraph" w:styleId="4">
    <w:name w:val="Body Text"/>
    <w:basedOn w:val="1"/>
    <w:qFormat/>
    <w:uiPriority w:val="0"/>
    <w:pPr>
      <w:spacing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List"/>
    <w:basedOn w:val="4"/>
    <w:qFormat/>
    <w:uiPriority w:val="0"/>
  </w:style>
  <w:style w:type="paragraph" w:styleId="9">
    <w:name w:val="toc 2"/>
    <w:basedOn w:val="1"/>
    <w:next w:val="1"/>
    <w:qFormat/>
    <w:uiPriority w:val="0"/>
    <w:pPr>
      <w:ind w:left="420" w:leftChars="200"/>
    </w:pPr>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4"/>
    <w:qFormat/>
    <w:uiPriority w:val="0"/>
    <w:pPr>
      <w:keepNext/>
      <w:spacing w:before="240" w:after="120"/>
    </w:pPr>
    <w:rPr>
      <w:rFonts w:ascii="Liberation Sans" w:hAnsi="Liberation Sans" w:eastAsia="Noto Sans CJK SC Regular" w:cs="Noto Sans CJK SC Regular"/>
      <w:sz w:val="28"/>
      <w:szCs w:val="28"/>
    </w:rPr>
  </w:style>
  <w:style w:type="paragraph" w:customStyle="1" w:styleId="15">
    <w:name w:val="Index"/>
    <w:basedOn w:val="1"/>
    <w:qFormat/>
    <w:uiPriority w:val="0"/>
    <w:pPr>
      <w:suppressLineNumbers/>
    </w:pPr>
  </w:style>
  <w:style w:type="paragraph" w:styleId="16">
    <w:name w:val="List Paragraph"/>
    <w:basedOn w:val="1"/>
    <w:unhideWhenUsed/>
    <w:qFormat/>
    <w:uiPriority w:val="99"/>
    <w:pPr>
      <w:ind w:firstLine="420" w:firstLineChars="200"/>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Pages>
  <Words>3928</Words>
  <Characters>942</Characters>
  <Lines>1</Lines>
  <Paragraphs>1</Paragraphs>
  <TotalTime>1</TotalTime>
  <ScaleCrop>false</ScaleCrop>
  <LinksUpToDate>false</LinksUpToDate>
  <CharactersWithSpaces>4861</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2018-12-01T17:47:00Z</dcterms:created>
  <dc:creator>admin</dc:creator>
  <cp:lastModifiedBy> </cp:lastModifiedBy>
  <cp:lastPrinted>2024-02-06T18:49:00Z</cp:lastPrinted>
  <dcterms:modified xsi:type="dcterms:W3CDTF">2024-02-27T18:26:04Z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